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52B90B" w14:textId="77777777" w:rsidR="00311816" w:rsidRDefault="00311816" w:rsidP="00311816">
      <w:pPr>
        <w:autoSpaceDE w:val="0"/>
        <w:autoSpaceDN w:val="0"/>
        <w:adjustRightInd w:val="0"/>
        <w:spacing w:after="0" w:line="240" w:lineRule="auto"/>
        <w:rPr>
          <w:rFonts w:asciiTheme="majorBidi" w:hAnsiTheme="majorBidi" w:cstheme="majorBidi"/>
        </w:rPr>
      </w:pPr>
      <w:r>
        <w:rPr>
          <w:rFonts w:asciiTheme="majorBidi" w:hAnsiTheme="majorBidi" w:cstheme="majorBidi"/>
          <w:noProof/>
          <w:lang w:eastAsia="zh-CN"/>
        </w:rPr>
        <w:drawing>
          <wp:anchor distT="0" distB="0" distL="114300" distR="114300" simplePos="0" relativeHeight="251661312" behindDoc="0" locked="0" layoutInCell="1" allowOverlap="1" wp14:anchorId="347A1EBB" wp14:editId="4BF9BE34">
            <wp:simplePos x="0" y="0"/>
            <wp:positionH relativeFrom="column">
              <wp:posOffset>1310652</wp:posOffset>
            </wp:positionH>
            <wp:positionV relativeFrom="paragraph">
              <wp:posOffset>-310515</wp:posOffset>
            </wp:positionV>
            <wp:extent cx="3036570" cy="1104265"/>
            <wp:effectExtent l="0" t="0" r="0" b="0"/>
            <wp:wrapNone/>
            <wp:docPr id="2" name="Picture 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7F919F8D" w14:textId="77777777" w:rsidR="00311816" w:rsidRDefault="00311816" w:rsidP="00311816">
      <w:pPr>
        <w:autoSpaceDE w:val="0"/>
        <w:autoSpaceDN w:val="0"/>
        <w:adjustRightInd w:val="0"/>
        <w:spacing w:after="0" w:line="240" w:lineRule="auto"/>
        <w:rPr>
          <w:rFonts w:asciiTheme="majorBidi" w:hAnsiTheme="majorBidi" w:cstheme="majorBidi"/>
        </w:rPr>
      </w:pPr>
    </w:p>
    <w:p w14:paraId="10A2EC25" w14:textId="77777777" w:rsidR="00311816" w:rsidRDefault="00311816" w:rsidP="00311816">
      <w:pPr>
        <w:autoSpaceDE w:val="0"/>
        <w:autoSpaceDN w:val="0"/>
        <w:adjustRightInd w:val="0"/>
        <w:spacing w:after="0" w:line="240" w:lineRule="auto"/>
        <w:rPr>
          <w:rFonts w:asciiTheme="majorBidi" w:hAnsiTheme="majorBidi" w:cstheme="majorBidi"/>
        </w:rPr>
      </w:pPr>
    </w:p>
    <w:p w14:paraId="554A0E19" w14:textId="77777777" w:rsidR="00311816" w:rsidRDefault="00311816" w:rsidP="00311816">
      <w:pPr>
        <w:autoSpaceDE w:val="0"/>
        <w:autoSpaceDN w:val="0"/>
        <w:adjustRightInd w:val="0"/>
        <w:spacing w:after="0" w:line="240" w:lineRule="auto"/>
        <w:rPr>
          <w:rFonts w:asciiTheme="majorBidi" w:hAnsiTheme="majorBidi" w:cstheme="majorBidi"/>
        </w:rPr>
      </w:pPr>
    </w:p>
    <w:p w14:paraId="150BB9F0"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7DE8F264"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6CA7EE19"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01661405"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50C5809B" w14:textId="77777777" w:rsidR="00311816" w:rsidRDefault="00311816" w:rsidP="0050065E">
      <w:pPr>
        <w:autoSpaceDE w:val="0"/>
        <w:autoSpaceDN w:val="0"/>
        <w:adjustRightInd w:val="0"/>
        <w:spacing w:after="0" w:line="240" w:lineRule="auto"/>
        <w:rPr>
          <w:rFonts w:asciiTheme="majorBidi" w:hAnsiTheme="majorBidi" w:cstheme="majorBidi"/>
        </w:rPr>
      </w:pPr>
    </w:p>
    <w:p w14:paraId="43E3A95A"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0FE4C2E1" w14:textId="2598BFD7" w:rsidR="00311816" w:rsidRPr="001D3BF3" w:rsidRDefault="0028654F" w:rsidP="00311816">
      <w:pPr>
        <w:autoSpaceDE w:val="0"/>
        <w:autoSpaceDN w:val="0"/>
        <w:adjustRightInd w:val="0"/>
        <w:spacing w:after="0" w:line="240" w:lineRule="auto"/>
        <w:jc w:val="center"/>
        <w:rPr>
          <w:rFonts w:asciiTheme="majorBidi" w:hAnsiTheme="majorBidi" w:cstheme="majorBidi"/>
          <w:b/>
          <w:bCs/>
          <w:sz w:val="28"/>
          <w:szCs w:val="28"/>
        </w:rPr>
      </w:pPr>
      <w:r w:rsidRPr="0028654F">
        <w:rPr>
          <w:rFonts w:asciiTheme="majorBidi" w:hAnsiTheme="majorBidi" w:cstheme="majorBidi"/>
          <w:b/>
          <w:bCs/>
          <w:color w:val="222222"/>
          <w:sz w:val="40"/>
          <w:szCs w:val="28"/>
          <w:shd w:val="clear" w:color="auto" w:fill="FFFFFF"/>
        </w:rPr>
        <w:t>Development of a Topical Prodrug to Treat Burn Scar Contracture</w:t>
      </w:r>
      <w:r w:rsidR="00311816" w:rsidRPr="0028654F">
        <w:rPr>
          <w:rFonts w:asciiTheme="majorBidi" w:hAnsiTheme="majorBidi" w:cstheme="majorBidi"/>
          <w:b/>
          <w:bCs/>
          <w:color w:val="222222"/>
          <w:sz w:val="40"/>
          <w:szCs w:val="28"/>
          <w:shd w:val="clear" w:color="auto" w:fill="FFFFFF"/>
        </w:rPr>
        <w:t xml:space="preserve"> </w:t>
      </w:r>
      <w:r w:rsidR="00311816" w:rsidRPr="0028654F">
        <w:rPr>
          <w:rFonts w:asciiTheme="majorBidi" w:hAnsiTheme="majorBidi" w:cstheme="majorBidi"/>
          <w:b/>
          <w:bCs/>
          <w:color w:val="222222"/>
          <w:sz w:val="40"/>
          <w:szCs w:val="28"/>
        </w:rPr>
        <w:br/>
      </w:r>
      <w:r w:rsidR="00311816" w:rsidRPr="001D3BF3">
        <w:rPr>
          <w:rFonts w:asciiTheme="majorBidi" w:hAnsiTheme="majorBidi" w:cstheme="majorBidi"/>
          <w:b/>
          <w:bCs/>
          <w:color w:val="222222"/>
          <w:sz w:val="28"/>
          <w:szCs w:val="28"/>
        </w:rPr>
        <w:br/>
      </w:r>
    </w:p>
    <w:p w14:paraId="5614FBC4" w14:textId="77777777" w:rsidR="00311816" w:rsidRDefault="00311816" w:rsidP="00311816">
      <w:pPr>
        <w:autoSpaceDE w:val="0"/>
        <w:autoSpaceDN w:val="0"/>
        <w:adjustRightInd w:val="0"/>
        <w:spacing w:after="0" w:line="240" w:lineRule="auto"/>
        <w:rPr>
          <w:rFonts w:asciiTheme="majorBidi" w:hAnsiTheme="majorBidi" w:cstheme="majorBidi"/>
        </w:rPr>
      </w:pPr>
    </w:p>
    <w:p w14:paraId="7E0B79B9"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1949A126" w14:textId="77777777" w:rsidR="00311816" w:rsidRDefault="00311816" w:rsidP="00311816">
      <w:pPr>
        <w:autoSpaceDE w:val="0"/>
        <w:autoSpaceDN w:val="0"/>
        <w:adjustRightInd w:val="0"/>
        <w:spacing w:after="0" w:line="240" w:lineRule="auto"/>
        <w:jc w:val="center"/>
        <w:rPr>
          <w:rFonts w:asciiTheme="majorBidi" w:hAnsiTheme="majorBidi" w:cstheme="majorBidi"/>
        </w:rPr>
      </w:pPr>
    </w:p>
    <w:p w14:paraId="38B7FADC" w14:textId="77777777" w:rsidR="00311816" w:rsidRPr="00FB352E" w:rsidRDefault="00311816" w:rsidP="00311816">
      <w:pPr>
        <w:autoSpaceDE w:val="0"/>
        <w:autoSpaceDN w:val="0"/>
        <w:adjustRightInd w:val="0"/>
        <w:spacing w:after="0" w:line="240" w:lineRule="auto"/>
        <w:jc w:val="center"/>
        <w:rPr>
          <w:rFonts w:asciiTheme="majorBidi" w:hAnsiTheme="majorBidi" w:cstheme="majorBidi"/>
          <w:b/>
          <w:bCs/>
        </w:rPr>
      </w:pPr>
      <w:r w:rsidRPr="00FB352E">
        <w:rPr>
          <w:rFonts w:asciiTheme="majorBidi" w:hAnsiTheme="majorBidi" w:cstheme="majorBidi"/>
          <w:b/>
          <w:bCs/>
        </w:rPr>
        <w:t>By:</w:t>
      </w:r>
    </w:p>
    <w:p w14:paraId="051F8B6A" w14:textId="77777777" w:rsidR="00311816" w:rsidRPr="00177AB6" w:rsidRDefault="00311816" w:rsidP="00311816">
      <w:pPr>
        <w:autoSpaceDE w:val="0"/>
        <w:autoSpaceDN w:val="0"/>
        <w:adjustRightInd w:val="0"/>
        <w:spacing w:after="0" w:line="240" w:lineRule="auto"/>
        <w:jc w:val="center"/>
        <w:rPr>
          <w:rFonts w:asciiTheme="majorBidi" w:hAnsiTheme="majorBidi" w:cstheme="majorBidi"/>
        </w:rPr>
      </w:pPr>
    </w:p>
    <w:p w14:paraId="26340B8B" w14:textId="77777777" w:rsidR="00311816" w:rsidRPr="00FB352E" w:rsidRDefault="00311816" w:rsidP="00311816">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Kathryn. A. Murray</w:t>
      </w:r>
    </w:p>
    <w:p w14:paraId="35ABA984" w14:textId="77777777" w:rsidR="00311816" w:rsidRPr="00177AB6" w:rsidRDefault="00311816" w:rsidP="00311816">
      <w:pPr>
        <w:autoSpaceDE w:val="0"/>
        <w:autoSpaceDN w:val="0"/>
        <w:adjustRightInd w:val="0"/>
        <w:spacing w:after="0" w:line="240" w:lineRule="auto"/>
        <w:rPr>
          <w:rFonts w:asciiTheme="majorBidi" w:hAnsiTheme="majorBidi" w:cstheme="majorBidi"/>
          <w:sz w:val="28"/>
          <w:szCs w:val="28"/>
        </w:rPr>
      </w:pPr>
    </w:p>
    <w:p w14:paraId="1592F483" w14:textId="77777777" w:rsidR="00311816" w:rsidRDefault="00311816" w:rsidP="00311816">
      <w:pPr>
        <w:autoSpaceDE w:val="0"/>
        <w:autoSpaceDN w:val="0"/>
        <w:adjustRightInd w:val="0"/>
        <w:spacing w:after="0" w:line="240" w:lineRule="auto"/>
        <w:rPr>
          <w:rFonts w:asciiTheme="majorBidi" w:hAnsiTheme="majorBidi" w:cstheme="majorBidi"/>
        </w:rPr>
      </w:pPr>
    </w:p>
    <w:p w14:paraId="41BB0AF9" w14:textId="77777777" w:rsidR="00311816" w:rsidRDefault="00311816" w:rsidP="00311816">
      <w:pPr>
        <w:autoSpaceDE w:val="0"/>
        <w:autoSpaceDN w:val="0"/>
        <w:adjustRightInd w:val="0"/>
        <w:spacing w:after="0" w:line="240" w:lineRule="auto"/>
        <w:rPr>
          <w:rFonts w:asciiTheme="majorBidi" w:hAnsiTheme="majorBidi" w:cstheme="majorBidi"/>
        </w:rPr>
      </w:pPr>
    </w:p>
    <w:p w14:paraId="3FA0D3F0" w14:textId="77777777" w:rsidR="00311816" w:rsidRDefault="00311816" w:rsidP="00311816">
      <w:pPr>
        <w:autoSpaceDE w:val="0"/>
        <w:autoSpaceDN w:val="0"/>
        <w:adjustRightInd w:val="0"/>
        <w:spacing w:after="0" w:line="240" w:lineRule="auto"/>
        <w:rPr>
          <w:rFonts w:asciiTheme="majorBidi" w:hAnsiTheme="majorBidi" w:cstheme="majorBidi"/>
        </w:rPr>
      </w:pPr>
    </w:p>
    <w:p w14:paraId="17EF8418" w14:textId="77777777" w:rsidR="00311816" w:rsidRPr="00D535FE" w:rsidRDefault="00311816" w:rsidP="00311816">
      <w:pPr>
        <w:autoSpaceDE w:val="0"/>
        <w:autoSpaceDN w:val="0"/>
        <w:adjustRightInd w:val="0"/>
        <w:spacing w:after="0" w:line="240" w:lineRule="auto"/>
        <w:jc w:val="center"/>
        <w:rPr>
          <w:rFonts w:asciiTheme="majorBidi" w:hAnsiTheme="majorBidi" w:cstheme="majorBidi"/>
        </w:rPr>
      </w:pPr>
      <w:r w:rsidRPr="00D535FE">
        <w:rPr>
          <w:rFonts w:asciiTheme="majorBidi" w:hAnsiTheme="majorBidi" w:cstheme="majorBidi"/>
        </w:rPr>
        <w:t xml:space="preserve">A thesis submitted in </w:t>
      </w:r>
      <w:r>
        <w:rPr>
          <w:rFonts w:asciiTheme="majorBidi" w:hAnsiTheme="majorBidi" w:cstheme="majorBidi"/>
        </w:rPr>
        <w:t>partial</w:t>
      </w:r>
      <w:r w:rsidRPr="00D535FE">
        <w:rPr>
          <w:rFonts w:asciiTheme="majorBidi" w:hAnsiTheme="majorBidi" w:cstheme="majorBidi"/>
        </w:rPr>
        <w:t xml:space="preserve"> fulfilment of the requirements </w:t>
      </w:r>
      <w:r>
        <w:rPr>
          <w:rFonts w:asciiTheme="majorBidi" w:hAnsiTheme="majorBidi" w:cstheme="majorBidi"/>
        </w:rPr>
        <w:t>for</w:t>
      </w:r>
      <w:r w:rsidRPr="00D535FE">
        <w:rPr>
          <w:rFonts w:asciiTheme="majorBidi" w:hAnsiTheme="majorBidi" w:cstheme="majorBidi"/>
        </w:rPr>
        <w:t xml:space="preserve"> the degree of</w:t>
      </w:r>
    </w:p>
    <w:p w14:paraId="5AAB4164" w14:textId="77777777" w:rsidR="00311816" w:rsidRDefault="00311816" w:rsidP="00311816">
      <w:pPr>
        <w:jc w:val="center"/>
        <w:rPr>
          <w:rFonts w:asciiTheme="majorBidi" w:hAnsiTheme="majorBidi" w:cstheme="majorBidi"/>
        </w:rPr>
      </w:pPr>
      <w:r w:rsidRPr="00D535FE">
        <w:rPr>
          <w:rFonts w:asciiTheme="majorBidi" w:hAnsiTheme="majorBidi" w:cstheme="majorBidi"/>
        </w:rPr>
        <w:t>Doctor of Philosophy</w:t>
      </w:r>
      <w:r>
        <w:rPr>
          <w:rFonts w:asciiTheme="majorBidi" w:hAnsiTheme="majorBidi" w:cstheme="majorBidi"/>
        </w:rPr>
        <w:t xml:space="preserve"> </w:t>
      </w:r>
    </w:p>
    <w:p w14:paraId="76F88DC3" w14:textId="77777777" w:rsidR="00311816" w:rsidRDefault="00311816" w:rsidP="00311816">
      <w:pPr>
        <w:jc w:val="center"/>
        <w:rPr>
          <w:rFonts w:asciiTheme="majorBidi" w:hAnsiTheme="majorBidi" w:cstheme="majorBidi"/>
        </w:rPr>
      </w:pPr>
    </w:p>
    <w:p w14:paraId="38637C62" w14:textId="77777777" w:rsidR="00311816" w:rsidRDefault="00311816" w:rsidP="00311816">
      <w:pPr>
        <w:jc w:val="center"/>
        <w:rPr>
          <w:rFonts w:asciiTheme="majorBidi" w:hAnsiTheme="majorBidi" w:cstheme="majorBidi"/>
        </w:rPr>
      </w:pPr>
    </w:p>
    <w:p w14:paraId="5BA78FE5" w14:textId="77777777" w:rsidR="00311816" w:rsidRDefault="00311816" w:rsidP="00311816">
      <w:pPr>
        <w:jc w:val="center"/>
        <w:rPr>
          <w:rFonts w:asciiTheme="majorBidi" w:hAnsiTheme="majorBidi" w:cstheme="majorBidi"/>
        </w:rPr>
      </w:pPr>
    </w:p>
    <w:p w14:paraId="46482B4B" w14:textId="77777777" w:rsidR="00311816" w:rsidRPr="00D535FE" w:rsidRDefault="00311816" w:rsidP="00311816">
      <w:pPr>
        <w:spacing w:after="0" w:line="240" w:lineRule="auto"/>
        <w:jc w:val="center"/>
        <w:rPr>
          <w:rFonts w:asciiTheme="majorBidi" w:hAnsiTheme="majorBidi" w:cstheme="majorBidi"/>
        </w:rPr>
      </w:pPr>
      <w:r>
        <w:rPr>
          <w:rFonts w:asciiTheme="majorBidi" w:hAnsiTheme="majorBidi" w:cstheme="majorBidi"/>
        </w:rPr>
        <w:t>The University of Sheffield</w:t>
      </w:r>
    </w:p>
    <w:p w14:paraId="59B1B3B0" w14:textId="77777777" w:rsidR="00311816" w:rsidRPr="00D535FE" w:rsidRDefault="00311816" w:rsidP="00311816">
      <w:pPr>
        <w:autoSpaceDE w:val="0"/>
        <w:autoSpaceDN w:val="0"/>
        <w:adjustRightInd w:val="0"/>
        <w:spacing w:after="0" w:line="240" w:lineRule="auto"/>
        <w:jc w:val="center"/>
        <w:rPr>
          <w:rFonts w:asciiTheme="majorBidi" w:hAnsiTheme="majorBidi" w:cstheme="majorBidi"/>
        </w:rPr>
      </w:pPr>
      <w:r w:rsidRPr="00D535FE">
        <w:rPr>
          <w:rFonts w:asciiTheme="majorBidi" w:hAnsiTheme="majorBidi" w:cstheme="majorBidi"/>
        </w:rPr>
        <w:t xml:space="preserve">Faculty of </w:t>
      </w:r>
      <w:r>
        <w:rPr>
          <w:rFonts w:asciiTheme="majorBidi" w:hAnsiTheme="majorBidi" w:cstheme="majorBidi"/>
        </w:rPr>
        <w:t>Science</w:t>
      </w:r>
    </w:p>
    <w:p w14:paraId="11473FCE" w14:textId="77777777" w:rsidR="00311816" w:rsidRDefault="00311816" w:rsidP="00311816">
      <w:pPr>
        <w:jc w:val="center"/>
        <w:rPr>
          <w:rFonts w:asciiTheme="majorBidi" w:hAnsiTheme="majorBidi" w:cstheme="majorBidi"/>
        </w:rPr>
      </w:pPr>
      <w:r>
        <w:rPr>
          <w:rFonts w:asciiTheme="majorBidi" w:hAnsiTheme="majorBidi" w:cstheme="majorBidi"/>
        </w:rPr>
        <w:t>Department of Chemistry</w:t>
      </w:r>
    </w:p>
    <w:p w14:paraId="756785A5" w14:textId="77777777" w:rsidR="00311816" w:rsidRDefault="00311816" w:rsidP="00311816">
      <w:pPr>
        <w:jc w:val="center"/>
        <w:rPr>
          <w:rFonts w:asciiTheme="majorBidi" w:hAnsiTheme="majorBidi" w:cstheme="majorBidi"/>
        </w:rPr>
      </w:pPr>
    </w:p>
    <w:p w14:paraId="6451E4D9" w14:textId="21C49E75" w:rsidR="00311816" w:rsidRDefault="00311816" w:rsidP="0050065E">
      <w:pPr>
        <w:jc w:val="center"/>
        <w:rPr>
          <w:rFonts w:asciiTheme="majorBidi" w:hAnsiTheme="majorBidi" w:cstheme="majorBidi"/>
        </w:rPr>
      </w:pPr>
      <w:r>
        <w:rPr>
          <w:rFonts w:asciiTheme="majorBidi" w:hAnsiTheme="majorBidi" w:cstheme="majorBidi"/>
        </w:rPr>
        <w:t xml:space="preserve"> </w:t>
      </w:r>
    </w:p>
    <w:p w14:paraId="34C5525E" w14:textId="77777777" w:rsidR="00311816" w:rsidRDefault="00311816" w:rsidP="00311816">
      <w:pPr>
        <w:jc w:val="center"/>
        <w:rPr>
          <w:rFonts w:asciiTheme="majorBidi" w:hAnsiTheme="majorBidi" w:cstheme="majorBidi"/>
        </w:rPr>
      </w:pPr>
    </w:p>
    <w:p w14:paraId="2F228876" w14:textId="5B52C4DE" w:rsidR="00311816" w:rsidRDefault="00311816" w:rsidP="00D84B6C">
      <w:pPr>
        <w:jc w:val="center"/>
        <w:rPr>
          <w:rFonts w:asciiTheme="majorBidi" w:hAnsiTheme="majorBidi" w:cstheme="majorBidi"/>
        </w:rPr>
      </w:pPr>
      <w:r>
        <w:rPr>
          <w:rFonts w:asciiTheme="majorBidi" w:hAnsiTheme="majorBidi" w:cstheme="majorBidi"/>
        </w:rPr>
        <w:t>Submission</w:t>
      </w:r>
      <w:r w:rsidRPr="00DE2DFA">
        <w:rPr>
          <w:rFonts w:asciiTheme="majorBidi" w:hAnsiTheme="majorBidi" w:cstheme="majorBidi"/>
        </w:rPr>
        <w:t xml:space="preserve"> </w:t>
      </w:r>
      <w:r w:rsidR="009A585B">
        <w:rPr>
          <w:rFonts w:asciiTheme="majorBidi" w:hAnsiTheme="majorBidi" w:cstheme="majorBidi"/>
        </w:rPr>
        <w:t>Dat</w:t>
      </w:r>
      <w:r w:rsidR="00C0659D">
        <w:rPr>
          <w:rFonts w:asciiTheme="majorBidi" w:hAnsiTheme="majorBidi" w:cstheme="majorBidi"/>
        </w:rPr>
        <w:t>e</w:t>
      </w:r>
      <w:r w:rsidR="002F11EE">
        <w:rPr>
          <w:rFonts w:asciiTheme="majorBidi" w:hAnsiTheme="majorBidi" w:cstheme="majorBidi"/>
        </w:rPr>
        <w:t>:</w:t>
      </w:r>
    </w:p>
    <w:p w14:paraId="2CD99FFA" w14:textId="77777777" w:rsidR="002F11EE" w:rsidRDefault="00D84B6C" w:rsidP="002F11EE">
      <w:pPr>
        <w:jc w:val="center"/>
        <w:rPr>
          <w:rFonts w:asciiTheme="majorBidi" w:hAnsiTheme="majorBidi" w:cstheme="majorBidi"/>
        </w:rPr>
      </w:pPr>
      <w:r>
        <w:rPr>
          <w:rFonts w:asciiTheme="majorBidi" w:hAnsiTheme="majorBidi" w:cstheme="majorBidi"/>
        </w:rPr>
        <w:t>September</w:t>
      </w:r>
      <w:r w:rsidR="002F11EE">
        <w:rPr>
          <w:rFonts w:asciiTheme="majorBidi" w:hAnsiTheme="majorBidi" w:cstheme="majorBidi"/>
        </w:rPr>
        <w:t xml:space="preserve"> 2018 </w:t>
      </w:r>
    </w:p>
    <w:p w14:paraId="672B2D50" w14:textId="77777777" w:rsidR="0050065E" w:rsidRDefault="0050065E" w:rsidP="002F11EE">
      <w:pPr>
        <w:jc w:val="center"/>
        <w:rPr>
          <w:rFonts w:asciiTheme="majorBidi" w:hAnsiTheme="majorBidi" w:cstheme="majorBidi"/>
        </w:rPr>
      </w:pPr>
    </w:p>
    <w:p w14:paraId="4B0C9701" w14:textId="28EB5511" w:rsidR="0050065E" w:rsidRDefault="0050065E" w:rsidP="002F11EE">
      <w:pPr>
        <w:jc w:val="center"/>
        <w:rPr>
          <w:rFonts w:asciiTheme="majorBidi" w:hAnsiTheme="majorBidi" w:cstheme="majorBidi"/>
        </w:rPr>
        <w:sectPr w:rsidR="0050065E" w:rsidSect="0028654F">
          <w:headerReference w:type="default" r:id="rId9"/>
          <w:footerReference w:type="even" r:id="rId10"/>
          <w:footerReference w:type="default" r:id="rId11"/>
          <w:headerReference w:type="first" r:id="rId12"/>
          <w:pgSz w:w="11900" w:h="16840"/>
          <w:pgMar w:top="1440" w:right="1440" w:bottom="1440" w:left="2268" w:header="720" w:footer="720" w:gutter="0"/>
          <w:cols w:space="720"/>
          <w:titlePg/>
          <w:docGrid w:linePitch="360"/>
        </w:sectPr>
      </w:pPr>
    </w:p>
    <w:p w14:paraId="26AD4802" w14:textId="65BF0059" w:rsidR="0050065E" w:rsidRPr="009F15DC" w:rsidRDefault="0050065E" w:rsidP="009F15DC">
      <w:pPr>
        <w:sectPr w:rsidR="0050065E" w:rsidRPr="009F15DC" w:rsidSect="0050065E">
          <w:type w:val="continuous"/>
          <w:pgSz w:w="11900" w:h="16840"/>
          <w:pgMar w:top="1440" w:right="1440" w:bottom="1440" w:left="2268" w:header="720" w:footer="720" w:gutter="0"/>
          <w:pgNumType w:fmt="lowerRoman" w:start="1"/>
          <w:cols w:space="720"/>
          <w:docGrid w:linePitch="360"/>
        </w:sectPr>
      </w:pPr>
    </w:p>
    <w:p w14:paraId="08FECE05" w14:textId="31819243" w:rsidR="00311816" w:rsidRPr="003D132C" w:rsidRDefault="00311816" w:rsidP="00C0659D">
      <w:pPr>
        <w:pStyle w:val="Heading1"/>
        <w:numPr>
          <w:ilvl w:val="0"/>
          <w:numId w:val="0"/>
        </w:numPr>
      </w:pPr>
      <w:bookmarkStart w:id="1" w:name="_Toc2450961"/>
      <w:r w:rsidRPr="003D132C">
        <w:lastRenderedPageBreak/>
        <w:t>Declaration</w:t>
      </w:r>
      <w:bookmarkEnd w:id="1"/>
    </w:p>
    <w:p w14:paraId="547C6284" w14:textId="77777777" w:rsidR="00FB4744" w:rsidRDefault="0081379E" w:rsidP="00FB4744">
      <w:r>
        <w:t xml:space="preserve">The work described in this thesis was undertaken at the University of Sheffield under the supervision of Dr Sebastian Spain and Professor Sheila MacNeil between October 2014 and </w:t>
      </w:r>
      <w:r w:rsidR="00FB4744">
        <w:t xml:space="preserve">September 2018 and has not been submitted, either wholly or in part, for this or any other degree. All the work is the original work of the author, except where acknowledged. </w:t>
      </w:r>
    </w:p>
    <w:p w14:paraId="667A73EC" w14:textId="77777777" w:rsidR="00FB4744" w:rsidRDefault="00FB4744" w:rsidP="00FB4744"/>
    <w:p w14:paraId="0D37113E" w14:textId="31A69C8A" w:rsidR="00FB4744" w:rsidRDefault="00FB4744" w:rsidP="00FB4744">
      <w:r>
        <w:rPr>
          <w:noProof/>
        </w:rPr>
        <mc:AlternateContent>
          <mc:Choice Requires="wps">
            <w:drawing>
              <wp:anchor distT="0" distB="0" distL="114300" distR="114300" simplePos="0" relativeHeight="251662336" behindDoc="0" locked="0" layoutInCell="1" allowOverlap="1" wp14:anchorId="5FD025F5" wp14:editId="45FE3D2F">
                <wp:simplePos x="0" y="0"/>
                <wp:positionH relativeFrom="column">
                  <wp:posOffset>874395</wp:posOffset>
                </wp:positionH>
                <wp:positionV relativeFrom="paragraph">
                  <wp:posOffset>153670</wp:posOffset>
                </wp:positionV>
                <wp:extent cx="1980000" cy="0"/>
                <wp:effectExtent l="0" t="0" r="13970" b="12700"/>
                <wp:wrapNone/>
                <wp:docPr id="54" name="Straight Connector 54"/>
                <wp:cNvGraphicFramePr/>
                <a:graphic xmlns:a="http://schemas.openxmlformats.org/drawingml/2006/main">
                  <a:graphicData uri="http://schemas.microsoft.com/office/word/2010/wordprocessingShape">
                    <wps:wsp>
                      <wps:cNvCnPr/>
                      <wps:spPr>
                        <a:xfrm>
                          <a:off x="0" y="0"/>
                          <a:ext cx="198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069F434" id="Straight Connector 54"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85pt,12.1pt" to="224.75pt,1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" strokecolor="black [3213]" strokeweight=".5pt">
                <v:stroke joinstyle="miter"/>
              </v:line>
            </w:pict>
          </mc:Fallback>
        </mc:AlternateContent>
      </w:r>
      <w:r>
        <w:t xml:space="preserve">Signature: </w:t>
      </w:r>
      <w:r w:rsidRPr="00FB4744">
        <w:rPr>
          <w:u w:val="single"/>
        </w:rPr>
        <w:t xml:space="preserve">                    </w:t>
      </w:r>
      <w:r w:rsidRPr="00FB4744">
        <w:t xml:space="preserve">                               </w:t>
      </w:r>
    </w:p>
    <w:p w14:paraId="2EFFD034" w14:textId="77777777" w:rsidR="00FB4744" w:rsidRDefault="00FB4744" w:rsidP="00FB4744">
      <w:pPr>
        <w:ind w:left="720" w:firstLine="720"/>
      </w:pPr>
      <w:r>
        <w:t>Kathryn Alexandra Murray</w:t>
      </w:r>
    </w:p>
    <w:p w14:paraId="5CAD89DF" w14:textId="21D7A518" w:rsidR="00311816" w:rsidRDefault="00FB4744" w:rsidP="00FB4744">
      <w:pPr>
        <w:ind w:left="720" w:firstLine="720"/>
      </w:pPr>
      <w:r>
        <w:t>September 2018</w:t>
      </w:r>
      <w:r w:rsidR="00311816" w:rsidRPr="00FB4744">
        <w:br w:type="page"/>
      </w:r>
    </w:p>
    <w:p w14:paraId="194CBB43" w14:textId="77777777" w:rsidR="00311816" w:rsidRDefault="00311816" w:rsidP="0028654F">
      <w:pPr>
        <w:pStyle w:val="Heading1"/>
        <w:sectPr w:rsidR="00311816" w:rsidSect="00C0076B">
          <w:pgSz w:w="11900" w:h="16840"/>
          <w:pgMar w:top="1440" w:right="1440" w:bottom="1440" w:left="2268" w:header="720" w:footer="720" w:gutter="0"/>
          <w:pgNumType w:fmt="lowerRoman" w:start="1"/>
          <w:cols w:space="720"/>
          <w:docGrid w:linePitch="360"/>
        </w:sectPr>
      </w:pPr>
    </w:p>
    <w:p w14:paraId="40B3A152" w14:textId="77777777" w:rsidR="00670475" w:rsidRDefault="00670475" w:rsidP="003D132C">
      <w:pPr>
        <w:pStyle w:val="Heading1"/>
        <w:numPr>
          <w:ilvl w:val="0"/>
          <w:numId w:val="0"/>
        </w:numPr>
      </w:pPr>
    </w:p>
    <w:p w14:paraId="3781BC1E" w14:textId="77777777" w:rsidR="00670475" w:rsidRDefault="00670475">
      <w:pPr>
        <w:spacing w:after="0" w:line="240" w:lineRule="auto"/>
        <w:jc w:val="left"/>
        <w:rPr>
          <w:rFonts w:eastAsiaTheme="majorEastAsia" w:cstheme="majorBidi"/>
          <w:b/>
          <w:color w:val="000000" w:themeColor="text1"/>
          <w:sz w:val="36"/>
          <w:szCs w:val="32"/>
        </w:rPr>
      </w:pPr>
      <w:r>
        <w:br w:type="page"/>
      </w:r>
    </w:p>
    <w:p w14:paraId="541AE0F2" w14:textId="46409ADC" w:rsidR="00311816" w:rsidRPr="003D132C" w:rsidRDefault="00311816" w:rsidP="003D132C">
      <w:pPr>
        <w:pStyle w:val="Heading1"/>
        <w:numPr>
          <w:ilvl w:val="0"/>
          <w:numId w:val="0"/>
        </w:numPr>
      </w:pPr>
      <w:bookmarkStart w:id="2" w:name="_Toc2450962"/>
      <w:r w:rsidRPr="003D132C">
        <w:lastRenderedPageBreak/>
        <w:t>Abstract</w:t>
      </w:r>
      <w:bookmarkEnd w:id="2"/>
    </w:p>
    <w:p w14:paraId="576F1D55" w14:textId="77777777" w:rsidR="00573B5A" w:rsidRDefault="00573B5A" w:rsidP="00670475">
      <w:pPr>
        <w:spacing w:after="0"/>
        <w:jc w:val="left"/>
        <w:rPr>
          <w:color w:val="FF0000"/>
        </w:rPr>
      </w:pPr>
    </w:p>
    <w:p w14:paraId="7907B171" w14:textId="56C2DA1D" w:rsidR="00D6245F" w:rsidRDefault="00AA0D43" w:rsidP="00D6245F">
      <w:pPr>
        <w:spacing w:after="0"/>
      </w:pPr>
      <w:r>
        <w:t xml:space="preserve">Scar contracture </w:t>
      </w:r>
      <w:r w:rsidR="00573B5A">
        <w:t xml:space="preserve">is a debilitating consequence of major burn injuries that leads to pain, disfigurement and a loss of joint mobility. </w:t>
      </w:r>
      <w:r w:rsidR="00E65742">
        <w:t>There is an unmet clinical need for</w:t>
      </w:r>
      <w:r w:rsidR="00E65742" w:rsidRPr="00C35E25">
        <w:rPr>
          <w:color w:val="FF0000"/>
        </w:rPr>
        <w:t xml:space="preserve"> </w:t>
      </w:r>
      <w:r w:rsidR="00E65742">
        <w:t>targeted therapies to treat the underlying mechanism of contraction.</w:t>
      </w:r>
      <w:r w:rsidR="00D6245F">
        <w:t xml:space="preserve"> It has been suggested that inhibition of lysyl oxidase (LOX), the enzyme that catalyses collagen cross-linking, could reduce the formation of scar contractures.</w:t>
      </w:r>
    </w:p>
    <w:p w14:paraId="7A3B7B10" w14:textId="48BEAAE3" w:rsidR="00D6245F" w:rsidRDefault="00D6245F" w:rsidP="00D6245F">
      <w:pPr>
        <w:spacing w:after="0"/>
      </w:pPr>
      <w:r>
        <w:t xml:space="preserve">This thesis describes the development of a prodrug to increase the lipophilicity of a known irreversible inhibitor of LOX, </w:t>
      </w:r>
      <w:r>
        <w:sym w:font="Symbol" w:char="F062"/>
      </w:r>
      <w:r>
        <w:noBreakHyphen/>
        <w:t>aminopropionitrile (</w:t>
      </w:r>
      <w:r>
        <w:sym w:font="Symbol" w:char="F062"/>
      </w:r>
      <w:r>
        <w:noBreakHyphen/>
        <w:t>APN), to increase its suitability for topical drug delivery.</w:t>
      </w:r>
      <w:r w:rsidR="00933B1A">
        <w:t xml:space="preserve"> </w:t>
      </w:r>
      <w:r>
        <w:t xml:space="preserve">Attempts were made to produce an imine between </w:t>
      </w:r>
      <w:r>
        <w:sym w:font="Symbol" w:char="F062"/>
      </w:r>
      <w:r>
        <w:noBreakHyphen/>
        <w:t xml:space="preserve">APN and a variety of aldehydes. </w:t>
      </w:r>
      <w:r w:rsidR="00592A7C">
        <w:t>The r</w:t>
      </w:r>
      <w:r>
        <w:t xml:space="preserve">eaction </w:t>
      </w:r>
      <w:r w:rsidR="00C35E25">
        <w:t xml:space="preserve">of </w:t>
      </w:r>
      <w:r w:rsidR="00C35E25">
        <w:sym w:font="Symbol" w:char="F062"/>
      </w:r>
      <w:r w:rsidR="00C35E25">
        <w:noBreakHyphen/>
        <w:t xml:space="preserve">APN </w:t>
      </w:r>
      <w:r>
        <w:t xml:space="preserve">with salicylaldehyde produced a stable imine product that was readily isolated and characterised. </w:t>
      </w:r>
      <w:r w:rsidR="00302065">
        <w:t>F</w:t>
      </w:r>
      <w:r w:rsidR="00933B1A">
        <w:t xml:space="preserve">our further </w:t>
      </w:r>
      <w:r w:rsidR="00302065">
        <w:t>imines</w:t>
      </w:r>
      <w:r w:rsidR="00933B1A">
        <w:t xml:space="preserve"> were </w:t>
      </w:r>
      <w:r w:rsidR="00302065">
        <w:t xml:space="preserve">then </w:t>
      </w:r>
      <w:r w:rsidR="00933B1A">
        <w:t>synthesised based on</w:t>
      </w:r>
      <w:r w:rsidR="00464BA3">
        <w:t xml:space="preserve"> the</w:t>
      </w:r>
      <w:r w:rsidR="00933B1A">
        <w:t xml:space="preserve"> salicylaldehyde </w:t>
      </w:r>
      <w:r w:rsidR="00464BA3">
        <w:t>framework</w:t>
      </w:r>
      <w:r w:rsidR="00933B1A">
        <w:t xml:space="preserve">. </w:t>
      </w:r>
      <w:r>
        <w:t>Dissociation of the imine</w:t>
      </w:r>
      <w:r w:rsidR="00302065">
        <w:t>s</w:t>
      </w:r>
      <w:r>
        <w:t xml:space="preserve"> back </w:t>
      </w:r>
      <w:r w:rsidR="00C35E25">
        <w:t xml:space="preserve">to </w:t>
      </w:r>
      <w:r w:rsidR="00C35E25">
        <w:sym w:font="Symbol" w:char="F062"/>
      </w:r>
      <w:r w:rsidR="00C35E25">
        <w:noBreakHyphen/>
        <w:t>APN</w:t>
      </w:r>
      <w:r>
        <w:t xml:space="preserve"> was investigated in aqueous and organic so</w:t>
      </w:r>
      <w:r w:rsidR="00302065">
        <w:t>lvents</w:t>
      </w:r>
      <w:r>
        <w:t xml:space="preserve"> and analysed by </w:t>
      </w:r>
      <w:r w:rsidRPr="00D6245F">
        <w:rPr>
          <w:vertAlign w:val="superscript"/>
        </w:rPr>
        <w:t>1</w:t>
      </w:r>
      <w:r>
        <w:t xml:space="preserve">H NMR spectroscopy. </w:t>
      </w:r>
      <w:r w:rsidR="00302065">
        <w:t>The imines were</w:t>
      </w:r>
      <w:r>
        <w:t xml:space="preserve"> found to be stable in organic solvents yet dissociated instantly when dissolved in an aqueous environment. </w:t>
      </w:r>
    </w:p>
    <w:p w14:paraId="111260B2" w14:textId="6E270A74" w:rsidR="00933B1A" w:rsidRDefault="00D6245F" w:rsidP="00D6245F">
      <w:pPr>
        <w:spacing w:after="0"/>
      </w:pPr>
      <w:r>
        <w:t xml:space="preserve">Testing the prodrugs in an </w:t>
      </w:r>
      <w:r w:rsidRPr="00D6245F">
        <w:rPr>
          <w:i/>
        </w:rPr>
        <w:t>in vitro</w:t>
      </w:r>
      <w:r>
        <w:t xml:space="preserve"> assay of enzyme activity demonstrated </w:t>
      </w:r>
      <w:r w:rsidR="00302065">
        <w:t xml:space="preserve">that </w:t>
      </w:r>
      <w:r>
        <w:t>this dissociation was sufficient to inhibit LOX activity.</w:t>
      </w:r>
      <w:r w:rsidR="00C35E25">
        <w:t xml:space="preserve"> Furthermore, t</w:t>
      </w:r>
      <w:r w:rsidR="00933B1A">
        <w:t>he prodrugs exhibited negligible toxicity in cell metabolic activity and membrane integrity assays</w:t>
      </w:r>
      <w:r w:rsidR="00933B1A" w:rsidRPr="00933B1A">
        <w:t xml:space="preserve"> </w:t>
      </w:r>
      <w:r w:rsidR="00933B1A">
        <w:t>at concentrations required for enzyme inhibition.</w:t>
      </w:r>
      <w:r w:rsidR="00302065">
        <w:t xml:space="preserve"> Increasing the concentration of the prodrugs to that used in 3D models of contraction caused notable cytotoxic effects.</w:t>
      </w:r>
    </w:p>
    <w:p w14:paraId="48DA0EFD" w14:textId="64E0DC20" w:rsidR="00311816" w:rsidRDefault="00933B1A" w:rsidP="00D6245F">
      <w:pPr>
        <w:spacing w:after="0"/>
      </w:pPr>
      <w:r>
        <w:t>Finally, the prodru</w:t>
      </w:r>
      <w:r w:rsidR="00302065">
        <w:t>gs were tested in a 3D model</w:t>
      </w:r>
      <w:r>
        <w:t xml:space="preserve"> of </w:t>
      </w:r>
      <w:r w:rsidR="00302065">
        <w:t xml:space="preserve">contraction using </w:t>
      </w:r>
      <w:r>
        <w:t>tissue</w:t>
      </w:r>
      <w:r w:rsidR="009352BF">
        <w:t>-</w:t>
      </w:r>
      <w:r>
        <w:t>engineered skin (TES). Multiple issues arose in the TES contraction model</w:t>
      </w:r>
      <w:r w:rsidR="00302065">
        <w:t xml:space="preserve">, including a lack of efficacy of </w:t>
      </w:r>
      <w:r w:rsidR="00302065">
        <w:sym w:font="Symbol" w:char="F062"/>
      </w:r>
      <w:r w:rsidR="00302065">
        <w:noBreakHyphen/>
        <w:t>APN to inhibit contraction</w:t>
      </w:r>
      <w:r>
        <w:t xml:space="preserve">. Using collagen gels as an alternative, </w:t>
      </w:r>
      <w:r>
        <w:sym w:font="Symbol" w:char="F062"/>
      </w:r>
      <w:r>
        <w:noBreakHyphen/>
        <w:t>APN was shown to reduce contraction in a dose-dependent manner whilst maintaining cell viab</w:t>
      </w:r>
      <w:r w:rsidR="00302065">
        <w:t>ility. However, a</w:t>
      </w:r>
      <w:r>
        <w:t>pplication of the prodrugs to collagen gels resulted in a marked decrease in cell viability.</w:t>
      </w:r>
      <w:r w:rsidR="00311816">
        <w:br w:type="page"/>
      </w:r>
    </w:p>
    <w:p w14:paraId="26329E4B" w14:textId="77777777" w:rsidR="00670475" w:rsidRDefault="00670475" w:rsidP="00670475">
      <w:pPr>
        <w:pStyle w:val="Heading1"/>
        <w:numPr>
          <w:ilvl w:val="0"/>
          <w:numId w:val="0"/>
        </w:numPr>
        <w:ind w:left="432" w:hanging="432"/>
      </w:pPr>
    </w:p>
    <w:p w14:paraId="41292E7F" w14:textId="77777777" w:rsidR="00670475" w:rsidRDefault="00670475" w:rsidP="00670475">
      <w:pPr>
        <w:spacing w:after="0"/>
        <w:jc w:val="left"/>
        <w:rPr>
          <w:rFonts w:eastAsiaTheme="majorEastAsia" w:cstheme="majorBidi"/>
          <w:b/>
          <w:color w:val="000000" w:themeColor="text1"/>
          <w:sz w:val="36"/>
          <w:szCs w:val="32"/>
        </w:rPr>
      </w:pPr>
      <w:r>
        <w:br w:type="page"/>
      </w:r>
    </w:p>
    <w:p w14:paraId="57FC16C9" w14:textId="7EEF6601" w:rsidR="00311816" w:rsidRPr="003D132C" w:rsidRDefault="00311816" w:rsidP="003D132C">
      <w:pPr>
        <w:pStyle w:val="Heading1"/>
        <w:numPr>
          <w:ilvl w:val="0"/>
          <w:numId w:val="0"/>
        </w:numPr>
        <w:ind w:left="432" w:hanging="432"/>
      </w:pPr>
      <w:bookmarkStart w:id="3" w:name="_Toc2450963"/>
      <w:r w:rsidRPr="003D132C">
        <w:lastRenderedPageBreak/>
        <w:t>Publications and conferences</w:t>
      </w:r>
      <w:bookmarkEnd w:id="3"/>
    </w:p>
    <w:p w14:paraId="644F0540" w14:textId="77777777" w:rsidR="001A287F" w:rsidRDefault="001A287F" w:rsidP="001A287F">
      <w:pPr>
        <w:pStyle w:val="NormalWeb"/>
        <w:spacing w:before="0" w:beforeAutospacing="0" w:after="120" w:afterAutospacing="0"/>
        <w:jc w:val="both"/>
        <w:rPr>
          <w:rFonts w:ascii="Helvetica" w:hAnsi="Helvetica"/>
          <w:color w:val="000000" w:themeColor="text1"/>
          <w:sz w:val="22"/>
          <w:szCs w:val="22"/>
        </w:rPr>
      </w:pPr>
    </w:p>
    <w:p w14:paraId="23000464" w14:textId="77777777" w:rsidR="001A287F" w:rsidRPr="00933B1A" w:rsidRDefault="001A287F" w:rsidP="001A287F">
      <w:pPr>
        <w:pStyle w:val="NormalWeb"/>
        <w:spacing w:before="0" w:beforeAutospacing="0" w:after="120" w:afterAutospacing="0"/>
        <w:jc w:val="both"/>
        <w:rPr>
          <w:b/>
          <w:color w:val="000000" w:themeColor="text1"/>
          <w:sz w:val="28"/>
          <w:szCs w:val="22"/>
        </w:rPr>
      </w:pPr>
      <w:r w:rsidRPr="00933B1A">
        <w:rPr>
          <w:b/>
          <w:color w:val="000000" w:themeColor="text1"/>
          <w:sz w:val="28"/>
          <w:szCs w:val="22"/>
        </w:rPr>
        <w:t>Publications</w:t>
      </w:r>
    </w:p>
    <w:p w14:paraId="21A1691E" w14:textId="77777777" w:rsidR="001A287F" w:rsidRPr="00BA464D" w:rsidRDefault="001A287F" w:rsidP="001A287F">
      <w:pPr>
        <w:pStyle w:val="NormalWeb"/>
        <w:spacing w:before="0" w:beforeAutospacing="0" w:after="120" w:afterAutospacing="0"/>
        <w:jc w:val="both"/>
        <w:rPr>
          <w:rFonts w:ascii="Helvetica" w:hAnsi="Helvetica"/>
          <w:color w:val="000000" w:themeColor="text1"/>
          <w:sz w:val="13"/>
          <w:szCs w:val="22"/>
        </w:rPr>
      </w:pPr>
    </w:p>
    <w:p w14:paraId="351966D8" w14:textId="29ED5A55" w:rsidR="001A287F" w:rsidRPr="00BF49AE" w:rsidRDefault="001A287F" w:rsidP="004B7228">
      <w:r w:rsidRPr="00BF49AE">
        <w:t xml:space="preserve">Bleasdale. B, Finnegan. S, </w:t>
      </w:r>
      <w:r w:rsidRPr="001A287F">
        <w:rPr>
          <w:b/>
        </w:rPr>
        <w:t>Murray. K</w:t>
      </w:r>
      <w:r w:rsidRPr="00BF49AE">
        <w:t xml:space="preserve">, Kelly. S, Percival. S. L., (2015). The Use of Silicone Adhesives for Scar Reduction. </w:t>
      </w:r>
      <w:r w:rsidRPr="00537B51">
        <w:rPr>
          <w:i/>
        </w:rPr>
        <w:t>Advances in Wound Care</w:t>
      </w:r>
      <w:r w:rsidRPr="00BF49AE">
        <w:t>, 4 (7), 422-430. DOI:10.1089/wound.2015.0625</w:t>
      </w:r>
    </w:p>
    <w:p w14:paraId="609BF8BF" w14:textId="67F7FF9F" w:rsidR="001A287F" w:rsidRDefault="001A287F" w:rsidP="004B7228">
      <w:r w:rsidRPr="001A287F">
        <w:rPr>
          <w:b/>
        </w:rPr>
        <w:t>Murray. K</w:t>
      </w:r>
      <w:r w:rsidRPr="00BF49AE">
        <w:t xml:space="preserve">, Bullock. A, MacNeil. S, Spain. S. G. (2018) Development of a Topical Prodrug for Lysyl Oxidase Inhibition, </w:t>
      </w:r>
      <w:r w:rsidRPr="00537B51">
        <w:rPr>
          <w:i/>
        </w:rPr>
        <w:t>In preparation</w:t>
      </w:r>
      <w:r w:rsidRPr="00BF49AE">
        <w:t>.</w:t>
      </w:r>
    </w:p>
    <w:p w14:paraId="30167265" w14:textId="7963CAC9" w:rsidR="001A287F" w:rsidRDefault="001A287F" w:rsidP="001A287F">
      <w:pPr>
        <w:pStyle w:val="NormalWeb"/>
        <w:spacing w:before="120" w:beforeAutospacing="0" w:after="120" w:afterAutospacing="0"/>
        <w:jc w:val="both"/>
        <w:rPr>
          <w:rFonts w:ascii="Helvetica" w:hAnsi="Helvetica"/>
          <w:color w:val="000000" w:themeColor="text1"/>
          <w:sz w:val="22"/>
          <w:szCs w:val="22"/>
        </w:rPr>
      </w:pPr>
    </w:p>
    <w:p w14:paraId="046772EA" w14:textId="1D82EA95" w:rsidR="001A287F" w:rsidRPr="00933B1A" w:rsidRDefault="001A287F" w:rsidP="001A287F">
      <w:pPr>
        <w:pStyle w:val="NormalWeb"/>
        <w:spacing w:before="120" w:beforeAutospacing="0" w:after="120" w:afterAutospacing="0"/>
        <w:jc w:val="both"/>
        <w:rPr>
          <w:b/>
          <w:color w:val="000000" w:themeColor="text1"/>
          <w:sz w:val="28"/>
          <w:szCs w:val="22"/>
        </w:rPr>
      </w:pPr>
      <w:r w:rsidRPr="00933B1A">
        <w:rPr>
          <w:b/>
          <w:color w:val="000000" w:themeColor="text1"/>
          <w:sz w:val="28"/>
          <w:szCs w:val="22"/>
        </w:rPr>
        <w:t>Conferences</w:t>
      </w:r>
    </w:p>
    <w:p w14:paraId="59514EBA" w14:textId="77777777" w:rsidR="001A287F" w:rsidRPr="00BA464D" w:rsidRDefault="001A287F" w:rsidP="001A287F">
      <w:pPr>
        <w:pStyle w:val="NormalWeb"/>
        <w:spacing w:before="120" w:beforeAutospacing="0" w:after="120" w:afterAutospacing="0"/>
        <w:jc w:val="both"/>
        <w:rPr>
          <w:rFonts w:ascii="Helvetica" w:hAnsi="Helvetica"/>
          <w:color w:val="000000" w:themeColor="text1"/>
          <w:sz w:val="13"/>
          <w:szCs w:val="22"/>
        </w:rPr>
      </w:pPr>
    </w:p>
    <w:p w14:paraId="35BD54F5" w14:textId="61D7CD5C" w:rsidR="001A287F" w:rsidRPr="001A287F" w:rsidRDefault="001A287F" w:rsidP="004B7228">
      <w:r w:rsidRPr="001A287F">
        <w:t xml:space="preserve">Oral presentation – Macro Group Young Researchers Meeting </w:t>
      </w:r>
      <w:r w:rsidR="00D84B6C">
        <w:t>(YRM), Dublin (</w:t>
      </w:r>
      <w:r w:rsidRPr="001A287F">
        <w:t>07/2018)</w:t>
      </w:r>
    </w:p>
    <w:p w14:paraId="6D2F6F02" w14:textId="51CB8DE5" w:rsidR="001A287F" w:rsidRPr="001A287F" w:rsidRDefault="001A287F" w:rsidP="004B7228">
      <w:r w:rsidRPr="001A287F">
        <w:t>Poster presentation – Biomaterials &amp; Tissue Engineering Group 19</w:t>
      </w:r>
      <w:r w:rsidRPr="001A287F">
        <w:rPr>
          <w:vertAlign w:val="superscript"/>
        </w:rPr>
        <w:t>th</w:t>
      </w:r>
      <w:r w:rsidRPr="001A287F">
        <w:t xml:space="preserve"> Annual White Rose work in progress meeting, Leeds (12/2017)</w:t>
      </w:r>
    </w:p>
    <w:p w14:paraId="4FC29B6F" w14:textId="77777777" w:rsidR="001A287F" w:rsidRPr="00DC73EE" w:rsidRDefault="001A287F" w:rsidP="004B7228">
      <w:r w:rsidRPr="001A287F">
        <w:t>Poster presentation – Advanced Materials for Biomedical Applications, Ghent (09/2017) – Awarded best poster prize</w:t>
      </w:r>
    </w:p>
    <w:p w14:paraId="77D1C6F7" w14:textId="2A9CA282" w:rsidR="001A287F" w:rsidRDefault="001A287F" w:rsidP="004B7228">
      <w:pPr>
        <w:rPr>
          <w:rFonts w:cs="Times New Roman"/>
        </w:rPr>
      </w:pPr>
      <w:r w:rsidRPr="00DC73EE">
        <w:rPr>
          <w:rFonts w:cs="Times New Roman"/>
        </w:rPr>
        <w:t>Oral presentation – Sheffield Polymer, Soft Matter and Colloids Annual Summer Conference (08/2017)</w:t>
      </w:r>
    </w:p>
    <w:p w14:paraId="7BB7B661" w14:textId="46F6098B" w:rsidR="00B111D1" w:rsidRPr="001A287F" w:rsidRDefault="00B111D1" w:rsidP="00B111D1">
      <w:r>
        <w:rPr>
          <w:rFonts w:cs="Times New Roman"/>
        </w:rPr>
        <w:t xml:space="preserve">Post presentation - </w:t>
      </w:r>
      <w:r w:rsidRPr="001A287F">
        <w:t xml:space="preserve">Macro Group Young Researchers Meeting (YRM), </w:t>
      </w:r>
      <w:r w:rsidR="00D84B6C">
        <w:t>Edinburgh (</w:t>
      </w:r>
      <w:r>
        <w:t>06/2017</w:t>
      </w:r>
      <w:r w:rsidRPr="001A287F">
        <w:t>)</w:t>
      </w:r>
    </w:p>
    <w:p w14:paraId="45CAE32C" w14:textId="4BCC8A40" w:rsidR="001A287F" w:rsidRPr="00DC73EE" w:rsidRDefault="001A287F" w:rsidP="004B7228">
      <w:pPr>
        <w:rPr>
          <w:rFonts w:cs="Times New Roman"/>
          <w:b/>
        </w:rPr>
      </w:pPr>
      <w:r w:rsidRPr="00DC73EE">
        <w:rPr>
          <w:rFonts w:cs="Times New Roman"/>
        </w:rPr>
        <w:t>Poster presentation – Warwick Polymers 2016, Warwick (07/2016)</w:t>
      </w:r>
    </w:p>
    <w:p w14:paraId="7635428C" w14:textId="77777777" w:rsidR="00311816" w:rsidRDefault="00311816">
      <w:pPr>
        <w:spacing w:after="0" w:line="240" w:lineRule="auto"/>
        <w:jc w:val="left"/>
      </w:pPr>
      <w:r>
        <w:br w:type="page"/>
      </w:r>
    </w:p>
    <w:p w14:paraId="394C4B4B" w14:textId="77777777" w:rsidR="00670475" w:rsidRDefault="00670475" w:rsidP="003D132C">
      <w:pPr>
        <w:pStyle w:val="Heading1"/>
        <w:numPr>
          <w:ilvl w:val="0"/>
          <w:numId w:val="0"/>
        </w:numPr>
        <w:ind w:left="432" w:hanging="432"/>
      </w:pPr>
    </w:p>
    <w:p w14:paraId="48DCDA0E" w14:textId="77777777" w:rsidR="00670475" w:rsidRDefault="00670475">
      <w:pPr>
        <w:spacing w:after="0" w:line="240" w:lineRule="auto"/>
        <w:jc w:val="left"/>
        <w:rPr>
          <w:rFonts w:eastAsiaTheme="majorEastAsia" w:cstheme="majorBidi"/>
          <w:b/>
          <w:color w:val="000000" w:themeColor="text1"/>
          <w:sz w:val="36"/>
          <w:szCs w:val="32"/>
        </w:rPr>
      </w:pPr>
      <w:r>
        <w:br w:type="page"/>
      </w:r>
    </w:p>
    <w:p w14:paraId="6BA57ECE" w14:textId="3EF1447A" w:rsidR="00311816" w:rsidRPr="003D132C" w:rsidRDefault="00311816" w:rsidP="003D132C">
      <w:pPr>
        <w:pStyle w:val="Heading1"/>
        <w:numPr>
          <w:ilvl w:val="0"/>
          <w:numId w:val="0"/>
        </w:numPr>
        <w:ind w:left="432" w:hanging="432"/>
      </w:pPr>
      <w:bookmarkStart w:id="4" w:name="_Toc2450964"/>
      <w:r w:rsidRPr="003D132C">
        <w:lastRenderedPageBreak/>
        <w:t>Acknowledgements</w:t>
      </w:r>
      <w:bookmarkEnd w:id="4"/>
    </w:p>
    <w:p w14:paraId="1FAD71E0" w14:textId="77777777" w:rsidR="00E8374D" w:rsidRDefault="00E8374D">
      <w:pPr>
        <w:spacing w:after="0" w:line="240" w:lineRule="auto"/>
        <w:jc w:val="left"/>
      </w:pPr>
    </w:p>
    <w:p w14:paraId="1303169C" w14:textId="00BFBEEF" w:rsidR="00455C28" w:rsidRPr="00BB442E" w:rsidRDefault="004E1C0A" w:rsidP="00BB442E">
      <w:pPr>
        <w:spacing w:after="0"/>
        <w:rPr>
          <w:rFonts w:cs="Times New Roman"/>
          <w:color w:val="000000" w:themeColor="text1"/>
        </w:rPr>
      </w:pPr>
      <w:r w:rsidRPr="00FD2556">
        <w:rPr>
          <w:rFonts w:cs="Times New Roman"/>
          <w:color w:val="000000" w:themeColor="text1"/>
        </w:rPr>
        <w:t xml:space="preserve">First a big thank you to my two supervisors Dr Sebastian Spain and Professor Sheila MacNeil, who took me on as a student when my PhD was in upheaval. I am very grateful for your enthusiasm and guidance over the last four years. </w:t>
      </w:r>
      <w:r>
        <w:rPr>
          <w:rFonts w:cs="Times New Roman"/>
        </w:rPr>
        <w:t>Thank you</w:t>
      </w:r>
      <w:r w:rsidR="00DC73EE" w:rsidRPr="00455C28">
        <w:rPr>
          <w:rFonts w:cs="Times New Roman"/>
        </w:rPr>
        <w:t xml:space="preserve"> to the army of technicians who have given me technical support during</w:t>
      </w:r>
      <w:r w:rsidR="005F026D" w:rsidRPr="00455C28">
        <w:rPr>
          <w:rFonts w:cs="Times New Roman"/>
        </w:rPr>
        <w:t xml:space="preserve"> my years at Sheffield; Dr Sandra van Mers (NMR), Dr Craig </w:t>
      </w:r>
      <w:r w:rsidR="00DC73EE" w:rsidRPr="00455C28">
        <w:rPr>
          <w:rFonts w:cs="Times New Roman"/>
        </w:rPr>
        <w:t xml:space="preserve">Robertson </w:t>
      </w:r>
      <w:r>
        <w:rPr>
          <w:rFonts w:cs="Times New Roman"/>
        </w:rPr>
        <w:t>(X</w:t>
      </w:r>
      <w:r w:rsidR="005F026D" w:rsidRPr="00455C28">
        <w:rPr>
          <w:rFonts w:cs="Times New Roman"/>
        </w:rPr>
        <w:t>-ray crystallography)</w:t>
      </w:r>
      <w:r w:rsidR="00DC73EE" w:rsidRPr="00455C28">
        <w:rPr>
          <w:rFonts w:cs="Times New Roman"/>
        </w:rPr>
        <w:t>,</w:t>
      </w:r>
      <w:r w:rsidR="005F026D" w:rsidRPr="00455C28">
        <w:rPr>
          <w:rFonts w:cs="Times New Roman"/>
        </w:rPr>
        <w:t xml:space="preserve"> Vanessa Singleton and Robert Dickinson (Kroto</w:t>
      </w:r>
      <w:r w:rsidR="00DC73EE" w:rsidRPr="00455C28">
        <w:rPr>
          <w:rFonts w:cs="Times New Roman"/>
        </w:rPr>
        <w:t xml:space="preserve"> Research Institute) and </w:t>
      </w:r>
      <w:r w:rsidR="00BC7A8E">
        <w:rPr>
          <w:rFonts w:cs="Times New Roman"/>
        </w:rPr>
        <w:t xml:space="preserve">Sharon, </w:t>
      </w:r>
      <w:r w:rsidR="00DC73EE" w:rsidRPr="00455C28">
        <w:rPr>
          <w:rFonts w:cs="Times New Roman"/>
        </w:rPr>
        <w:t>Nick and Pete in stores.</w:t>
      </w:r>
      <w:r w:rsidR="00455C28" w:rsidRPr="00455C28">
        <w:rPr>
          <w:rFonts w:cs="Times New Roman"/>
        </w:rPr>
        <w:t xml:space="preserve"> Thank you as well to Dr Anthony Bullock for his patience teaching me everything to do with cell culture and skin, and for answering my many, many questions.</w:t>
      </w:r>
    </w:p>
    <w:p w14:paraId="59800AAC" w14:textId="40DB8CA8" w:rsidR="00C0076B" w:rsidRPr="00455C28" w:rsidRDefault="00DC73EE" w:rsidP="00BB442E">
      <w:pPr>
        <w:rPr>
          <w:rFonts w:cs="Times New Roman"/>
        </w:rPr>
      </w:pPr>
      <w:r w:rsidRPr="00455C28">
        <w:rPr>
          <w:rFonts w:cs="Times New Roman"/>
        </w:rPr>
        <w:t>During my PhD I was lucky enough t</w:t>
      </w:r>
      <w:r w:rsidR="00FE7206">
        <w:rPr>
          <w:rFonts w:cs="Times New Roman"/>
        </w:rPr>
        <w:t xml:space="preserve">o </w:t>
      </w:r>
      <w:r w:rsidRPr="00455C28">
        <w:rPr>
          <w:rFonts w:cs="Times New Roman"/>
        </w:rPr>
        <w:t xml:space="preserve">spend 6 months on industrial placement with Redx Pharma, </w:t>
      </w:r>
      <w:r w:rsidR="004E1C0A">
        <w:rPr>
          <w:rFonts w:cs="Times New Roman"/>
        </w:rPr>
        <w:t xml:space="preserve">where I learnt so much about cell culture and drug discovery. </w:t>
      </w:r>
      <w:r w:rsidR="00FD2556">
        <w:rPr>
          <w:rFonts w:cs="Times New Roman"/>
        </w:rPr>
        <w:t>T</w:t>
      </w:r>
      <w:r w:rsidRPr="00455C28">
        <w:rPr>
          <w:rFonts w:cs="Times New Roman"/>
        </w:rPr>
        <w:t xml:space="preserve">hank you to Dr Peter Bunyard, Kay </w:t>
      </w:r>
      <w:r w:rsidR="00E95045" w:rsidRPr="00455C28">
        <w:rPr>
          <w:rFonts w:cs="Times New Roman"/>
        </w:rPr>
        <w:t xml:space="preserve">Eckersley </w:t>
      </w:r>
      <w:r w:rsidRPr="00455C28">
        <w:rPr>
          <w:rFonts w:cs="Times New Roman"/>
        </w:rPr>
        <w:t>and Dr Emily Offer</w:t>
      </w:r>
      <w:r w:rsidR="00E95045" w:rsidRPr="00455C28">
        <w:rPr>
          <w:rFonts w:cs="Times New Roman"/>
        </w:rPr>
        <w:t>,</w:t>
      </w:r>
      <w:r w:rsidRPr="00455C28">
        <w:rPr>
          <w:rFonts w:cs="Times New Roman"/>
        </w:rPr>
        <w:t xml:space="preserve"> as well as </w:t>
      </w:r>
      <w:r w:rsidR="004E1C0A">
        <w:rPr>
          <w:rFonts w:cs="Times New Roman"/>
        </w:rPr>
        <w:t xml:space="preserve">the whole Redx Immunology team, for </w:t>
      </w:r>
      <w:r w:rsidR="00BB442E">
        <w:rPr>
          <w:rFonts w:cs="Times New Roman"/>
        </w:rPr>
        <w:t>making me so welcome.</w:t>
      </w:r>
      <w:r w:rsidR="00FD2556">
        <w:rPr>
          <w:rFonts w:cs="Times New Roman"/>
        </w:rPr>
        <w:t xml:space="preserve"> </w:t>
      </w:r>
    </w:p>
    <w:p w14:paraId="12000C0E" w14:textId="77777777" w:rsidR="0024708F" w:rsidRDefault="00FD2556" w:rsidP="00BB442E">
      <w:pPr>
        <w:rPr>
          <w:rFonts w:cs="Times New Roman"/>
        </w:rPr>
      </w:pPr>
      <w:r>
        <w:rPr>
          <w:rFonts w:cs="Times New Roman"/>
        </w:rPr>
        <w:t xml:space="preserve">The Centre for Doctoral Training (CDT) in Polymers, Soft Matter and Colloids has been a source of friendships during my PhD. Thank you to Dr Joe Gaunt and Professor Steve Armes for </w:t>
      </w:r>
      <w:r w:rsidR="0024708F">
        <w:rPr>
          <w:rFonts w:cs="Times New Roman"/>
        </w:rPr>
        <w:t xml:space="preserve">running the </w:t>
      </w:r>
      <w:r>
        <w:rPr>
          <w:rFonts w:cs="Times New Roman"/>
        </w:rPr>
        <w:t>CDT and thanks to my brilliant cohort (Amy, Dom, Matt, Ste and Luke) for regular coffee breaks in Jessop West.</w:t>
      </w:r>
      <w:r w:rsidR="00BB442E">
        <w:rPr>
          <w:rFonts w:cs="Times New Roman"/>
        </w:rPr>
        <w:t xml:space="preserve"> </w:t>
      </w:r>
    </w:p>
    <w:p w14:paraId="5C675965" w14:textId="5D0132A0" w:rsidR="00CF603B" w:rsidRDefault="00CF603B" w:rsidP="00BB442E">
      <w:pPr>
        <w:rPr>
          <w:rFonts w:cs="Times New Roman"/>
        </w:rPr>
      </w:pPr>
      <w:r w:rsidRPr="00455C28">
        <w:rPr>
          <w:rFonts w:cs="Times New Roman"/>
        </w:rPr>
        <w:t xml:space="preserve">Thank you to my thesis mentor Ruth, who </w:t>
      </w:r>
      <w:r w:rsidR="00FD2556" w:rsidRPr="00455C28">
        <w:rPr>
          <w:rFonts w:cs="Times New Roman"/>
        </w:rPr>
        <w:t xml:space="preserve">encouraged me through the writing process </w:t>
      </w:r>
      <w:r w:rsidR="00FD2556">
        <w:rPr>
          <w:rFonts w:cs="Times New Roman"/>
        </w:rPr>
        <w:t xml:space="preserve">and </w:t>
      </w:r>
      <w:r w:rsidRPr="00455C28">
        <w:rPr>
          <w:rFonts w:cs="Times New Roman"/>
        </w:rPr>
        <w:t>was so</w:t>
      </w:r>
      <w:r w:rsidR="00FD2556">
        <w:rPr>
          <w:rFonts w:cs="Times New Roman"/>
        </w:rPr>
        <w:t xml:space="preserve"> supportive at every meeting. </w:t>
      </w:r>
      <w:r w:rsidRPr="00455C28">
        <w:rPr>
          <w:rFonts w:cs="Times New Roman"/>
        </w:rPr>
        <w:t>Thank you as well to Amy Cockram</w:t>
      </w:r>
      <w:r w:rsidR="00FD2556">
        <w:rPr>
          <w:rFonts w:cs="Times New Roman"/>
        </w:rPr>
        <w:t>,</w:t>
      </w:r>
      <w:r w:rsidRPr="00455C28">
        <w:rPr>
          <w:rFonts w:cs="Times New Roman"/>
        </w:rPr>
        <w:t xml:space="preserve"> </w:t>
      </w:r>
      <w:r w:rsidR="00FD2556">
        <w:rPr>
          <w:rFonts w:cs="Times New Roman"/>
        </w:rPr>
        <w:t>my ‘writing buddy’, for tea, chats and motivation.</w:t>
      </w:r>
    </w:p>
    <w:p w14:paraId="73462282" w14:textId="61EFBAFD" w:rsidR="00DC73EE" w:rsidRPr="00455C28" w:rsidRDefault="00E95045" w:rsidP="00BB442E">
      <w:pPr>
        <w:rPr>
          <w:rFonts w:cs="Times New Roman"/>
        </w:rPr>
      </w:pPr>
      <w:r w:rsidRPr="00455C28">
        <w:rPr>
          <w:rFonts w:cs="Times New Roman"/>
        </w:rPr>
        <w:t xml:space="preserve">My PhD has been so much fun thanks to a </w:t>
      </w:r>
      <w:r w:rsidR="00CF603B" w:rsidRPr="00455C28">
        <w:rPr>
          <w:rFonts w:cs="Times New Roman"/>
        </w:rPr>
        <w:t>sociable</w:t>
      </w:r>
      <w:r w:rsidRPr="00455C28">
        <w:rPr>
          <w:rFonts w:cs="Times New Roman"/>
        </w:rPr>
        <w:t xml:space="preserve"> office filled with friendly faces and </w:t>
      </w:r>
      <w:r w:rsidR="0056015D">
        <w:rPr>
          <w:rFonts w:cs="Times New Roman"/>
        </w:rPr>
        <w:t>never</w:t>
      </w:r>
      <w:r w:rsidR="00CF603B" w:rsidRPr="00455C28">
        <w:rPr>
          <w:rFonts w:cs="Times New Roman"/>
        </w:rPr>
        <w:t xml:space="preserve">-ending </w:t>
      </w:r>
      <w:r w:rsidRPr="00455C28">
        <w:rPr>
          <w:rFonts w:cs="Times New Roman"/>
        </w:rPr>
        <w:t xml:space="preserve">baked goods, so a big thank you to </w:t>
      </w:r>
      <w:r w:rsidR="00BB442E">
        <w:rPr>
          <w:rFonts w:cs="Times New Roman"/>
        </w:rPr>
        <w:t xml:space="preserve">all the Spain group members (Dom, Rheanna, Emma, Jasmine, Tom, Laila, Marissa and Anna), the Armes group and everyone in F3, </w:t>
      </w:r>
      <w:r w:rsidR="00CF603B" w:rsidRPr="00455C28">
        <w:rPr>
          <w:rFonts w:cs="Times New Roman"/>
        </w:rPr>
        <w:t>past and present</w:t>
      </w:r>
      <w:r w:rsidR="00BB442E">
        <w:rPr>
          <w:rFonts w:cs="Times New Roman"/>
        </w:rPr>
        <w:t xml:space="preserve">. </w:t>
      </w:r>
      <w:r w:rsidR="00FD2556">
        <w:rPr>
          <w:rFonts w:cs="Times New Roman"/>
        </w:rPr>
        <w:t>T</w:t>
      </w:r>
      <w:r w:rsidRPr="00455C28">
        <w:rPr>
          <w:rFonts w:cs="Times New Roman"/>
        </w:rPr>
        <w:t xml:space="preserve">hank you </w:t>
      </w:r>
      <w:r w:rsidR="00FD2556">
        <w:rPr>
          <w:rFonts w:cs="Times New Roman"/>
        </w:rPr>
        <w:t xml:space="preserve">as well </w:t>
      </w:r>
      <w:r w:rsidRPr="00455C28">
        <w:rPr>
          <w:rFonts w:cs="Times New Roman"/>
        </w:rPr>
        <w:t>to my friends at the Kroto Research Institute for making me so welcome.</w:t>
      </w:r>
    </w:p>
    <w:p w14:paraId="37BE94D2" w14:textId="77777777" w:rsidR="0056015D" w:rsidRDefault="00E95045" w:rsidP="00BB442E">
      <w:pPr>
        <w:rPr>
          <w:rFonts w:cs="Times New Roman"/>
        </w:rPr>
      </w:pPr>
      <w:r w:rsidRPr="00455C28">
        <w:rPr>
          <w:rFonts w:cs="Times New Roman"/>
        </w:rPr>
        <w:t>I’m not sure this PhD would have been possible without the incredible support of my family and friends.</w:t>
      </w:r>
      <w:r w:rsidR="00BB442E">
        <w:rPr>
          <w:rFonts w:cs="Times New Roman"/>
        </w:rPr>
        <w:t xml:space="preserve"> To Jen and Mari- thank you for </w:t>
      </w:r>
      <w:r w:rsidRPr="00455C28">
        <w:rPr>
          <w:rFonts w:cs="Times New Roman"/>
        </w:rPr>
        <w:t xml:space="preserve">years </w:t>
      </w:r>
      <w:r w:rsidRPr="0024708F">
        <w:rPr>
          <w:rFonts w:cs="Times New Roman"/>
          <w:color w:val="000000" w:themeColor="text1"/>
        </w:rPr>
        <w:t xml:space="preserve">of craziness </w:t>
      </w:r>
      <w:r w:rsidRPr="00455C28">
        <w:rPr>
          <w:rFonts w:cs="Times New Roman"/>
        </w:rPr>
        <w:t xml:space="preserve">and friendship. </w:t>
      </w:r>
      <w:r w:rsidR="005F026D" w:rsidRPr="00455C28">
        <w:rPr>
          <w:rFonts w:cs="Times New Roman"/>
        </w:rPr>
        <w:t>I am very lucky to be part of such an excellent trio.</w:t>
      </w:r>
      <w:r w:rsidR="0056015D">
        <w:rPr>
          <w:rFonts w:cs="Times New Roman"/>
        </w:rPr>
        <w:t xml:space="preserve"> </w:t>
      </w:r>
    </w:p>
    <w:p w14:paraId="30FA4ECC" w14:textId="6638E95D" w:rsidR="00311816" w:rsidRPr="0056015D" w:rsidRDefault="005F026D" w:rsidP="00BB442E">
      <w:pPr>
        <w:rPr>
          <w:rFonts w:cs="Times New Roman"/>
        </w:rPr>
      </w:pPr>
      <w:r w:rsidRPr="00455C28">
        <w:rPr>
          <w:rFonts w:cs="Times New Roman"/>
        </w:rPr>
        <w:t xml:space="preserve">Thank you to my fantastic parents, who have supported me in everything I’ve turned my hand to and continue to do so with unwavering enthusiasm. Thank you </w:t>
      </w:r>
      <w:r w:rsidR="00BB442E">
        <w:rPr>
          <w:rFonts w:cs="Times New Roman"/>
        </w:rPr>
        <w:t xml:space="preserve">as well to </w:t>
      </w:r>
      <w:r w:rsidR="00BB442E">
        <w:rPr>
          <w:rFonts w:cs="Times New Roman"/>
        </w:rPr>
        <w:lastRenderedPageBreak/>
        <w:t>my</w:t>
      </w:r>
      <w:r w:rsidR="00E95045" w:rsidRPr="00455C28">
        <w:rPr>
          <w:rFonts w:cs="Times New Roman"/>
        </w:rPr>
        <w:t xml:space="preserve"> sister Faye </w:t>
      </w:r>
      <w:r w:rsidR="00BB442E">
        <w:rPr>
          <w:rFonts w:cs="Times New Roman"/>
        </w:rPr>
        <w:t>for inspiring me to work hard and for sending motivation</w:t>
      </w:r>
      <w:r w:rsidR="009352BF">
        <w:rPr>
          <w:rFonts w:cs="Times New Roman"/>
        </w:rPr>
        <w:t>al</w:t>
      </w:r>
      <w:r w:rsidR="00BB442E">
        <w:rPr>
          <w:rFonts w:cs="Times New Roman"/>
        </w:rPr>
        <w:t xml:space="preserve"> treats in the post!</w:t>
      </w:r>
      <w:r w:rsidR="0056015D">
        <w:rPr>
          <w:rFonts w:cs="Times New Roman"/>
        </w:rPr>
        <w:t xml:space="preserve"> </w:t>
      </w:r>
      <w:r w:rsidRPr="00455C28">
        <w:rPr>
          <w:rFonts w:cs="Times New Roman"/>
        </w:rPr>
        <w:t>F</w:t>
      </w:r>
      <w:r w:rsidR="00DC73EE" w:rsidRPr="00455C28">
        <w:rPr>
          <w:rFonts w:cs="Times New Roman"/>
        </w:rPr>
        <w:t>inally</w:t>
      </w:r>
      <w:r w:rsidR="00CF603B" w:rsidRPr="00455C28">
        <w:rPr>
          <w:rFonts w:cs="Times New Roman"/>
        </w:rPr>
        <w:t>, I owe so much of this PhD to Chris. Thank you for your support, talks, friendship and much-needed coffee breaks. I’m not sure how I would have got here without you.</w:t>
      </w:r>
      <w:r w:rsidR="00CF603B">
        <w:rPr>
          <w:rFonts w:cs="Times New Roman"/>
        </w:rPr>
        <w:t xml:space="preserve"> </w:t>
      </w:r>
      <w:r w:rsidR="00311816">
        <w:br w:type="page"/>
      </w:r>
    </w:p>
    <w:p w14:paraId="4A44ACFB" w14:textId="5AD2FED9" w:rsidR="00311816" w:rsidRPr="009F15DC" w:rsidRDefault="00311816" w:rsidP="009F15DC">
      <w:pPr>
        <w:pStyle w:val="Heading1"/>
        <w:numPr>
          <w:ilvl w:val="0"/>
          <w:numId w:val="0"/>
        </w:numPr>
        <w:ind w:left="432" w:hanging="432"/>
      </w:pPr>
      <w:bookmarkStart w:id="5" w:name="_Toc2450965"/>
      <w:r w:rsidRPr="003D132C">
        <w:lastRenderedPageBreak/>
        <w:t>List of abbreviations</w:t>
      </w:r>
      <w:bookmarkEnd w:id="5"/>
    </w:p>
    <w:tbl>
      <w:tblPr>
        <w:tblStyle w:val="TableGrid"/>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521"/>
      </w:tblGrid>
      <w:tr w:rsidR="00311816" w:rsidRPr="00777289" w14:paraId="0007CA89" w14:textId="77777777" w:rsidTr="004B698F">
        <w:trPr>
          <w:trHeight w:val="397"/>
        </w:trPr>
        <w:tc>
          <w:tcPr>
            <w:tcW w:w="1701" w:type="dxa"/>
          </w:tcPr>
          <w:p w14:paraId="47AD0382" w14:textId="77777777" w:rsidR="00311816" w:rsidRPr="00BC7A8E" w:rsidRDefault="00311816" w:rsidP="00BC001E">
            <w:pPr>
              <w:spacing w:line="276" w:lineRule="auto"/>
              <w:rPr>
                <w:rFonts w:cstheme="minorHAnsi"/>
                <w:b/>
              </w:rPr>
            </w:pPr>
            <w:r w:rsidRPr="00BC7A8E">
              <w:rPr>
                <w:rFonts w:cstheme="minorHAnsi"/>
                <w:b/>
              </w:rPr>
              <w:t>Abbreviation</w:t>
            </w:r>
          </w:p>
        </w:tc>
        <w:tc>
          <w:tcPr>
            <w:tcW w:w="6521" w:type="dxa"/>
          </w:tcPr>
          <w:p w14:paraId="536C6266" w14:textId="77777777" w:rsidR="00311816" w:rsidRPr="00BC7A8E" w:rsidRDefault="00311816" w:rsidP="004B7228">
            <w:pPr>
              <w:spacing w:line="276" w:lineRule="auto"/>
              <w:rPr>
                <w:rFonts w:cstheme="minorHAnsi"/>
                <w:b/>
              </w:rPr>
            </w:pPr>
            <w:r w:rsidRPr="00BC7A8E">
              <w:rPr>
                <w:rFonts w:cstheme="minorHAnsi"/>
                <w:b/>
              </w:rPr>
              <w:t>In Full</w:t>
            </w:r>
          </w:p>
        </w:tc>
      </w:tr>
      <w:tr w:rsidR="004B698F" w:rsidRPr="00777289" w14:paraId="2BA4A984"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70C2E544" w14:textId="361F728D" w:rsidR="004B698F" w:rsidRPr="00777289" w:rsidRDefault="004B698F" w:rsidP="004B698F">
            <w:pPr>
              <w:spacing w:line="276" w:lineRule="auto"/>
              <w:rPr>
                <w:rFonts w:cstheme="minorHAnsi"/>
              </w:rPr>
            </w:pPr>
            <w:r>
              <w:rPr>
                <w:rFonts w:cstheme="minorHAnsi"/>
              </w:rPr>
              <w:sym w:font="Symbol" w:char="F061"/>
            </w:r>
            <w:r>
              <w:rPr>
                <w:rFonts w:cstheme="minorHAnsi"/>
              </w:rPr>
              <w:t>-SMA</w:t>
            </w:r>
          </w:p>
        </w:tc>
        <w:tc>
          <w:tcPr>
            <w:tcW w:w="6521" w:type="dxa"/>
            <w:tcBorders>
              <w:top w:val="nil"/>
              <w:left w:val="nil"/>
              <w:bottom w:val="nil"/>
              <w:right w:val="nil"/>
            </w:tcBorders>
          </w:tcPr>
          <w:p w14:paraId="7FE2675F" w14:textId="09C4D2BC" w:rsidR="004B698F" w:rsidRPr="00777289" w:rsidRDefault="00BB442E" w:rsidP="004B698F">
            <w:pPr>
              <w:spacing w:line="276" w:lineRule="auto"/>
              <w:rPr>
                <w:rFonts w:cstheme="minorHAnsi"/>
              </w:rPr>
            </w:pPr>
            <w:r>
              <w:rPr>
                <w:rFonts w:cstheme="minorHAnsi"/>
              </w:rPr>
              <w:sym w:font="Symbol" w:char="F061"/>
            </w:r>
            <w:r>
              <w:rPr>
                <w:rFonts w:cstheme="minorHAnsi"/>
              </w:rPr>
              <w:t>-</w:t>
            </w:r>
            <w:r w:rsidR="004B698F">
              <w:rPr>
                <w:rFonts w:cstheme="minorHAnsi"/>
              </w:rPr>
              <w:t>smooth muscle actin</w:t>
            </w:r>
          </w:p>
        </w:tc>
      </w:tr>
      <w:tr w:rsidR="004B698F" w:rsidRPr="00777289" w14:paraId="60AE68EE"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6707E61F" w14:textId="63D1B609" w:rsidR="004B698F" w:rsidRPr="00777289" w:rsidRDefault="004B698F" w:rsidP="004B698F">
            <w:pPr>
              <w:spacing w:line="276" w:lineRule="auto"/>
              <w:rPr>
                <w:rFonts w:cstheme="minorHAnsi"/>
              </w:rPr>
            </w:pPr>
            <w:r w:rsidRPr="00777289">
              <w:rPr>
                <w:rFonts w:cstheme="minorHAnsi"/>
              </w:rPr>
              <w:t>β-APN</w:t>
            </w:r>
          </w:p>
        </w:tc>
        <w:tc>
          <w:tcPr>
            <w:tcW w:w="6521" w:type="dxa"/>
            <w:tcBorders>
              <w:top w:val="nil"/>
              <w:left w:val="nil"/>
              <w:bottom w:val="nil"/>
              <w:right w:val="nil"/>
            </w:tcBorders>
          </w:tcPr>
          <w:p w14:paraId="351423CE" w14:textId="0AB70F7B" w:rsidR="004B698F" w:rsidRPr="00777289" w:rsidRDefault="004B698F" w:rsidP="004B698F">
            <w:pPr>
              <w:spacing w:line="276" w:lineRule="auto"/>
              <w:rPr>
                <w:rFonts w:cstheme="minorHAnsi"/>
              </w:rPr>
            </w:pPr>
            <w:r w:rsidRPr="00777289">
              <w:rPr>
                <w:rFonts w:cstheme="minorHAnsi"/>
              </w:rPr>
              <w:t>β-aminopropionitrile</w:t>
            </w:r>
          </w:p>
        </w:tc>
      </w:tr>
      <w:tr w:rsidR="004B698F" w:rsidRPr="00777289" w14:paraId="7F975FBA"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3"/>
        </w:trPr>
        <w:tc>
          <w:tcPr>
            <w:tcW w:w="1701" w:type="dxa"/>
            <w:tcBorders>
              <w:top w:val="nil"/>
              <w:left w:val="nil"/>
              <w:bottom w:val="nil"/>
              <w:right w:val="nil"/>
            </w:tcBorders>
          </w:tcPr>
          <w:p w14:paraId="1DFC5D29" w14:textId="77777777" w:rsidR="004B698F" w:rsidRPr="00777289" w:rsidRDefault="004B698F" w:rsidP="004B698F">
            <w:pPr>
              <w:spacing w:line="276" w:lineRule="auto"/>
              <w:rPr>
                <w:rFonts w:cstheme="minorHAnsi"/>
              </w:rPr>
            </w:pPr>
            <w:r>
              <w:rPr>
                <w:rFonts w:cstheme="minorHAnsi"/>
              </w:rPr>
              <w:t>ADME</w:t>
            </w:r>
          </w:p>
        </w:tc>
        <w:tc>
          <w:tcPr>
            <w:tcW w:w="6521" w:type="dxa"/>
            <w:tcBorders>
              <w:top w:val="nil"/>
              <w:left w:val="nil"/>
              <w:bottom w:val="nil"/>
              <w:right w:val="nil"/>
            </w:tcBorders>
          </w:tcPr>
          <w:p w14:paraId="758EBA8B" w14:textId="77777777" w:rsidR="004B698F" w:rsidRPr="00777289" w:rsidRDefault="004B698F" w:rsidP="004B698F">
            <w:pPr>
              <w:spacing w:line="276" w:lineRule="auto"/>
              <w:rPr>
                <w:rFonts w:cstheme="minorHAnsi"/>
              </w:rPr>
            </w:pPr>
            <w:r>
              <w:rPr>
                <w:rFonts w:cstheme="minorHAnsi"/>
              </w:rPr>
              <w:t>Absorption, distribution, metabolism, excretion</w:t>
            </w:r>
          </w:p>
        </w:tc>
      </w:tr>
      <w:tr w:rsidR="004B698F" w:rsidRPr="00777289" w14:paraId="4FBDA5F7" w14:textId="77777777" w:rsidTr="004B698F">
        <w:trPr>
          <w:trHeight w:val="397"/>
        </w:trPr>
        <w:tc>
          <w:tcPr>
            <w:tcW w:w="1701" w:type="dxa"/>
          </w:tcPr>
          <w:p w14:paraId="6D405EE0" w14:textId="77777777" w:rsidR="004B698F" w:rsidRPr="00777289" w:rsidRDefault="004B698F" w:rsidP="004B698F">
            <w:pPr>
              <w:spacing w:line="276" w:lineRule="auto"/>
              <w:rPr>
                <w:rFonts w:cstheme="minorHAnsi"/>
              </w:rPr>
            </w:pPr>
            <w:r>
              <w:rPr>
                <w:rFonts w:cstheme="minorHAnsi"/>
              </w:rPr>
              <w:t>ALI</w:t>
            </w:r>
          </w:p>
        </w:tc>
        <w:tc>
          <w:tcPr>
            <w:tcW w:w="6521" w:type="dxa"/>
          </w:tcPr>
          <w:p w14:paraId="59849E66" w14:textId="77777777" w:rsidR="004B698F" w:rsidRPr="00777289" w:rsidRDefault="004B698F" w:rsidP="004B698F">
            <w:pPr>
              <w:spacing w:line="276" w:lineRule="auto"/>
              <w:rPr>
                <w:rFonts w:cstheme="minorHAnsi"/>
              </w:rPr>
            </w:pPr>
            <w:r>
              <w:rPr>
                <w:rFonts w:cstheme="minorHAnsi"/>
              </w:rPr>
              <w:t>Air-liquid interface</w:t>
            </w:r>
          </w:p>
        </w:tc>
      </w:tr>
      <w:tr w:rsidR="004B698F" w:rsidRPr="00777289" w14:paraId="083C5EC0"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994D8AF" w14:textId="77777777" w:rsidR="004B698F" w:rsidRPr="00777289" w:rsidRDefault="004B698F" w:rsidP="004B698F">
            <w:pPr>
              <w:spacing w:line="276" w:lineRule="auto"/>
              <w:rPr>
                <w:rFonts w:cstheme="minorHAnsi"/>
              </w:rPr>
            </w:pPr>
            <w:r>
              <w:rPr>
                <w:rFonts w:cstheme="minorHAnsi"/>
              </w:rPr>
              <w:t>BBB</w:t>
            </w:r>
          </w:p>
        </w:tc>
        <w:tc>
          <w:tcPr>
            <w:tcW w:w="6521" w:type="dxa"/>
            <w:tcBorders>
              <w:top w:val="nil"/>
              <w:left w:val="nil"/>
              <w:bottom w:val="nil"/>
              <w:right w:val="nil"/>
            </w:tcBorders>
          </w:tcPr>
          <w:p w14:paraId="1E499741" w14:textId="77777777" w:rsidR="004B698F" w:rsidRPr="00777289" w:rsidRDefault="004B698F" w:rsidP="004B698F">
            <w:pPr>
              <w:spacing w:line="276" w:lineRule="auto"/>
              <w:rPr>
                <w:rFonts w:cstheme="minorHAnsi"/>
              </w:rPr>
            </w:pPr>
            <w:r>
              <w:rPr>
                <w:rFonts w:cstheme="minorHAnsi"/>
              </w:rPr>
              <w:t>Blood brain barrier</w:t>
            </w:r>
          </w:p>
        </w:tc>
      </w:tr>
      <w:tr w:rsidR="00424885" w:rsidRPr="00777289" w14:paraId="1C7C66A2"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12822BCC" w14:textId="0D2FB180" w:rsidR="00424885" w:rsidRDefault="00424885" w:rsidP="004B698F">
            <w:pPr>
              <w:spacing w:line="276" w:lineRule="auto"/>
              <w:rPr>
                <w:rFonts w:cstheme="minorHAnsi"/>
              </w:rPr>
            </w:pPr>
            <w:r>
              <w:rPr>
                <w:rFonts w:cstheme="minorHAnsi"/>
              </w:rPr>
              <w:t>BM</w:t>
            </w:r>
          </w:p>
        </w:tc>
        <w:tc>
          <w:tcPr>
            <w:tcW w:w="6521" w:type="dxa"/>
            <w:tcBorders>
              <w:top w:val="nil"/>
              <w:left w:val="nil"/>
              <w:bottom w:val="nil"/>
              <w:right w:val="nil"/>
            </w:tcBorders>
          </w:tcPr>
          <w:p w14:paraId="26D6E0D7" w14:textId="70BBC7C7" w:rsidR="00424885" w:rsidRDefault="00424885" w:rsidP="004B698F">
            <w:pPr>
              <w:spacing w:line="276" w:lineRule="auto"/>
              <w:rPr>
                <w:rFonts w:cstheme="minorHAnsi"/>
              </w:rPr>
            </w:pPr>
            <w:r>
              <w:rPr>
                <w:rFonts w:cstheme="minorHAnsi"/>
              </w:rPr>
              <w:t>Basement membrane</w:t>
            </w:r>
          </w:p>
        </w:tc>
      </w:tr>
      <w:tr w:rsidR="004B698F" w:rsidRPr="00777289" w14:paraId="1AFBB28A"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0F0B9FD4" w14:textId="77777777" w:rsidR="004B698F" w:rsidRPr="00777289" w:rsidRDefault="004B698F" w:rsidP="004B698F">
            <w:pPr>
              <w:spacing w:line="276" w:lineRule="auto"/>
              <w:rPr>
                <w:rFonts w:cstheme="minorHAnsi"/>
              </w:rPr>
            </w:pPr>
            <w:r>
              <w:rPr>
                <w:rFonts w:cstheme="minorHAnsi"/>
              </w:rPr>
              <w:t>BSA</w:t>
            </w:r>
          </w:p>
        </w:tc>
        <w:tc>
          <w:tcPr>
            <w:tcW w:w="6521" w:type="dxa"/>
            <w:tcBorders>
              <w:top w:val="nil"/>
              <w:left w:val="nil"/>
              <w:bottom w:val="nil"/>
              <w:right w:val="nil"/>
            </w:tcBorders>
          </w:tcPr>
          <w:p w14:paraId="4BFF44B5" w14:textId="77777777" w:rsidR="004B698F" w:rsidRPr="00777289" w:rsidRDefault="004B698F" w:rsidP="004B698F">
            <w:pPr>
              <w:spacing w:line="276" w:lineRule="auto"/>
              <w:rPr>
                <w:rFonts w:cstheme="minorHAnsi"/>
              </w:rPr>
            </w:pPr>
            <w:r>
              <w:rPr>
                <w:rFonts w:cstheme="minorHAnsi"/>
              </w:rPr>
              <w:t>Bovine serum albumin</w:t>
            </w:r>
          </w:p>
        </w:tc>
      </w:tr>
      <w:tr w:rsidR="004B698F" w:rsidRPr="00777289" w14:paraId="0AAB0CF4"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44FD295B" w14:textId="77777777" w:rsidR="004B698F" w:rsidRPr="00777289" w:rsidRDefault="004B698F" w:rsidP="004B698F">
            <w:pPr>
              <w:spacing w:line="276" w:lineRule="auto"/>
              <w:rPr>
                <w:rFonts w:cstheme="minorHAnsi"/>
              </w:rPr>
            </w:pPr>
            <w:r>
              <w:rPr>
                <w:rFonts w:cstheme="minorHAnsi"/>
              </w:rPr>
              <w:t>CEA</w:t>
            </w:r>
          </w:p>
        </w:tc>
        <w:tc>
          <w:tcPr>
            <w:tcW w:w="6521" w:type="dxa"/>
            <w:tcBorders>
              <w:top w:val="nil"/>
              <w:left w:val="nil"/>
              <w:bottom w:val="nil"/>
              <w:right w:val="nil"/>
            </w:tcBorders>
          </w:tcPr>
          <w:p w14:paraId="3F285E00" w14:textId="77777777" w:rsidR="004B698F" w:rsidRPr="00777289" w:rsidRDefault="004B698F" w:rsidP="004B698F">
            <w:pPr>
              <w:spacing w:line="276" w:lineRule="auto"/>
              <w:rPr>
                <w:rFonts w:cstheme="minorHAnsi"/>
              </w:rPr>
            </w:pPr>
            <w:r>
              <w:rPr>
                <w:rFonts w:cstheme="minorHAnsi"/>
              </w:rPr>
              <w:t>Cultured epithelial autograft</w:t>
            </w:r>
          </w:p>
        </w:tc>
      </w:tr>
      <w:tr w:rsidR="004B698F" w:rsidRPr="00777289" w14:paraId="56C40648"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5F1CB625" w14:textId="77777777" w:rsidR="004B698F" w:rsidRPr="00777289" w:rsidRDefault="004B698F" w:rsidP="004B698F">
            <w:pPr>
              <w:spacing w:line="276" w:lineRule="auto"/>
              <w:rPr>
                <w:rFonts w:cstheme="minorHAnsi"/>
              </w:rPr>
            </w:pPr>
            <w:r>
              <w:rPr>
                <w:rFonts w:cstheme="minorHAnsi"/>
              </w:rPr>
              <w:t>DCM</w:t>
            </w:r>
          </w:p>
        </w:tc>
        <w:tc>
          <w:tcPr>
            <w:tcW w:w="6521" w:type="dxa"/>
            <w:tcBorders>
              <w:top w:val="nil"/>
              <w:left w:val="nil"/>
              <w:bottom w:val="nil"/>
              <w:right w:val="nil"/>
            </w:tcBorders>
          </w:tcPr>
          <w:p w14:paraId="6B848A8C" w14:textId="77777777" w:rsidR="004B698F" w:rsidRPr="00777289" w:rsidRDefault="004B698F" w:rsidP="004B698F">
            <w:pPr>
              <w:spacing w:line="276" w:lineRule="auto"/>
              <w:rPr>
                <w:rFonts w:cstheme="minorHAnsi"/>
              </w:rPr>
            </w:pPr>
            <w:r>
              <w:rPr>
                <w:rFonts w:cstheme="minorHAnsi"/>
              </w:rPr>
              <w:t>Dichloromethane</w:t>
            </w:r>
          </w:p>
        </w:tc>
      </w:tr>
      <w:tr w:rsidR="004B698F" w:rsidRPr="00777289" w14:paraId="768D7929" w14:textId="77777777" w:rsidTr="004B698F">
        <w:trPr>
          <w:trHeight w:val="397"/>
        </w:trPr>
        <w:tc>
          <w:tcPr>
            <w:tcW w:w="1701" w:type="dxa"/>
          </w:tcPr>
          <w:p w14:paraId="3931E7E0" w14:textId="77777777" w:rsidR="004B698F" w:rsidRPr="00777289" w:rsidRDefault="004B698F" w:rsidP="004B698F">
            <w:pPr>
              <w:spacing w:line="276" w:lineRule="auto"/>
              <w:rPr>
                <w:rFonts w:cstheme="minorHAnsi"/>
              </w:rPr>
            </w:pPr>
            <w:r>
              <w:rPr>
                <w:rFonts w:cstheme="minorHAnsi"/>
              </w:rPr>
              <w:t>DED</w:t>
            </w:r>
          </w:p>
        </w:tc>
        <w:tc>
          <w:tcPr>
            <w:tcW w:w="6521" w:type="dxa"/>
          </w:tcPr>
          <w:p w14:paraId="4A994F8C" w14:textId="77777777" w:rsidR="004B698F" w:rsidRPr="00777289" w:rsidRDefault="004B698F" w:rsidP="004B698F">
            <w:pPr>
              <w:spacing w:line="276" w:lineRule="auto"/>
              <w:rPr>
                <w:rFonts w:cstheme="minorHAnsi"/>
              </w:rPr>
            </w:pPr>
            <w:r>
              <w:rPr>
                <w:rFonts w:cstheme="minorHAnsi"/>
              </w:rPr>
              <w:t>De-epidermised dermis</w:t>
            </w:r>
          </w:p>
        </w:tc>
      </w:tr>
      <w:tr w:rsidR="004B698F" w:rsidRPr="00777289" w14:paraId="75A8F2C2" w14:textId="77777777" w:rsidTr="004B698F">
        <w:trPr>
          <w:trHeight w:val="397"/>
        </w:trPr>
        <w:tc>
          <w:tcPr>
            <w:tcW w:w="1701" w:type="dxa"/>
          </w:tcPr>
          <w:p w14:paraId="2C6E08CA" w14:textId="77777777" w:rsidR="004B698F" w:rsidRPr="00777289" w:rsidRDefault="004B698F" w:rsidP="004B698F">
            <w:pPr>
              <w:spacing w:line="276" w:lineRule="auto"/>
              <w:rPr>
                <w:rFonts w:cstheme="minorHAnsi"/>
              </w:rPr>
            </w:pPr>
            <w:r w:rsidRPr="00777289">
              <w:rPr>
                <w:rFonts w:cstheme="minorHAnsi"/>
              </w:rPr>
              <w:t>DMEM</w:t>
            </w:r>
          </w:p>
        </w:tc>
        <w:tc>
          <w:tcPr>
            <w:tcW w:w="6521" w:type="dxa"/>
          </w:tcPr>
          <w:p w14:paraId="145400A2" w14:textId="77777777" w:rsidR="004B698F" w:rsidRPr="00777289" w:rsidRDefault="004B698F" w:rsidP="004B698F">
            <w:pPr>
              <w:spacing w:line="276" w:lineRule="auto"/>
              <w:rPr>
                <w:rFonts w:cstheme="minorHAnsi"/>
              </w:rPr>
            </w:pPr>
            <w:r w:rsidRPr="00777289">
              <w:rPr>
                <w:rFonts w:cstheme="minorHAnsi"/>
              </w:rPr>
              <w:t>Dulbecco’s modified Eagles medium</w:t>
            </w:r>
          </w:p>
        </w:tc>
      </w:tr>
      <w:tr w:rsidR="004B698F" w:rsidRPr="00777289" w14:paraId="1C2EFAB6" w14:textId="77777777" w:rsidTr="004B698F">
        <w:trPr>
          <w:trHeight w:val="397"/>
        </w:trPr>
        <w:tc>
          <w:tcPr>
            <w:tcW w:w="1701" w:type="dxa"/>
          </w:tcPr>
          <w:p w14:paraId="6D75E73F" w14:textId="77777777" w:rsidR="004B698F" w:rsidRPr="00777289" w:rsidRDefault="004B698F" w:rsidP="004B698F">
            <w:pPr>
              <w:spacing w:line="276" w:lineRule="auto"/>
              <w:rPr>
                <w:rFonts w:cstheme="minorHAnsi"/>
              </w:rPr>
            </w:pPr>
            <w:r w:rsidRPr="00777289">
              <w:rPr>
                <w:rFonts w:cstheme="minorHAnsi"/>
              </w:rPr>
              <w:t>DMSO</w:t>
            </w:r>
          </w:p>
        </w:tc>
        <w:tc>
          <w:tcPr>
            <w:tcW w:w="6521" w:type="dxa"/>
          </w:tcPr>
          <w:p w14:paraId="5F3555F1" w14:textId="77777777" w:rsidR="004B698F" w:rsidRPr="00777289" w:rsidRDefault="004B698F" w:rsidP="004B698F">
            <w:pPr>
              <w:spacing w:line="276" w:lineRule="auto"/>
              <w:rPr>
                <w:rFonts w:cstheme="minorHAnsi"/>
              </w:rPr>
            </w:pPr>
            <w:r w:rsidRPr="00777289">
              <w:rPr>
                <w:rFonts w:cstheme="minorHAnsi"/>
              </w:rPr>
              <w:t>Dimethyl sulfoxide</w:t>
            </w:r>
          </w:p>
        </w:tc>
      </w:tr>
      <w:tr w:rsidR="004B698F" w:rsidRPr="00777289" w14:paraId="6D19126B" w14:textId="77777777" w:rsidTr="004B698F">
        <w:trPr>
          <w:trHeight w:val="397"/>
        </w:trPr>
        <w:tc>
          <w:tcPr>
            <w:tcW w:w="1701" w:type="dxa"/>
          </w:tcPr>
          <w:p w14:paraId="5154CAC5" w14:textId="77777777" w:rsidR="004B698F" w:rsidRPr="00777289" w:rsidRDefault="004B698F" w:rsidP="004B698F">
            <w:pPr>
              <w:spacing w:line="276" w:lineRule="auto"/>
              <w:rPr>
                <w:rFonts w:cstheme="minorHAnsi"/>
              </w:rPr>
            </w:pPr>
            <w:r w:rsidRPr="00777289">
              <w:rPr>
                <w:rFonts w:cstheme="minorHAnsi"/>
              </w:rPr>
              <w:t>EDTA</w:t>
            </w:r>
          </w:p>
        </w:tc>
        <w:tc>
          <w:tcPr>
            <w:tcW w:w="6521" w:type="dxa"/>
          </w:tcPr>
          <w:p w14:paraId="3CF3B950" w14:textId="77777777" w:rsidR="004B698F" w:rsidRPr="00777289" w:rsidRDefault="004B698F" w:rsidP="004B698F">
            <w:pPr>
              <w:spacing w:line="276" w:lineRule="auto"/>
              <w:rPr>
                <w:rFonts w:cstheme="minorHAnsi"/>
              </w:rPr>
            </w:pPr>
            <w:r w:rsidRPr="00777289">
              <w:rPr>
                <w:rFonts w:cstheme="minorHAnsi"/>
                <w:shd w:val="clear" w:color="auto" w:fill="FFFFFF"/>
              </w:rPr>
              <w:t>Ethylenediaminetetraacetic acid</w:t>
            </w:r>
          </w:p>
        </w:tc>
      </w:tr>
      <w:tr w:rsidR="004B698F" w:rsidRPr="00777289" w14:paraId="4B4E10B3" w14:textId="77777777" w:rsidTr="004B698F">
        <w:trPr>
          <w:trHeight w:val="397"/>
        </w:trPr>
        <w:tc>
          <w:tcPr>
            <w:tcW w:w="1701" w:type="dxa"/>
          </w:tcPr>
          <w:p w14:paraId="75E48356" w14:textId="77777777" w:rsidR="004B698F" w:rsidRPr="00777289" w:rsidRDefault="004B698F" w:rsidP="004B698F">
            <w:pPr>
              <w:spacing w:line="276" w:lineRule="auto"/>
              <w:rPr>
                <w:rFonts w:cstheme="minorHAnsi"/>
              </w:rPr>
            </w:pPr>
            <w:r w:rsidRPr="00777289">
              <w:rPr>
                <w:rFonts w:cstheme="minorHAnsi"/>
              </w:rPr>
              <w:t>EGF</w:t>
            </w:r>
          </w:p>
        </w:tc>
        <w:tc>
          <w:tcPr>
            <w:tcW w:w="6521" w:type="dxa"/>
          </w:tcPr>
          <w:p w14:paraId="5A8F6CCE" w14:textId="77777777" w:rsidR="004B698F" w:rsidRPr="00777289" w:rsidRDefault="004B698F" w:rsidP="004B698F">
            <w:pPr>
              <w:spacing w:line="276" w:lineRule="auto"/>
              <w:rPr>
                <w:rFonts w:cstheme="minorHAnsi"/>
              </w:rPr>
            </w:pPr>
            <w:r w:rsidRPr="00777289">
              <w:rPr>
                <w:rFonts w:cstheme="minorHAnsi"/>
              </w:rPr>
              <w:t>Epidermal growth factor</w:t>
            </w:r>
          </w:p>
        </w:tc>
      </w:tr>
      <w:tr w:rsidR="004B698F" w:rsidRPr="00777289" w14:paraId="4DEE56D0" w14:textId="77777777" w:rsidTr="004B698F">
        <w:trPr>
          <w:trHeight w:val="397"/>
        </w:trPr>
        <w:tc>
          <w:tcPr>
            <w:tcW w:w="1701" w:type="dxa"/>
          </w:tcPr>
          <w:p w14:paraId="0CE37228" w14:textId="77777777" w:rsidR="004B698F" w:rsidRPr="00777289" w:rsidRDefault="004B698F" w:rsidP="004B698F">
            <w:pPr>
              <w:spacing w:line="276" w:lineRule="auto"/>
              <w:rPr>
                <w:rFonts w:cstheme="minorHAnsi"/>
              </w:rPr>
            </w:pPr>
            <w:r w:rsidRPr="00777289">
              <w:rPr>
                <w:rFonts w:cstheme="minorHAnsi"/>
              </w:rPr>
              <w:t>FCS</w:t>
            </w:r>
          </w:p>
        </w:tc>
        <w:tc>
          <w:tcPr>
            <w:tcW w:w="6521" w:type="dxa"/>
          </w:tcPr>
          <w:p w14:paraId="0C9F14D1" w14:textId="77777777" w:rsidR="004B698F" w:rsidRPr="00777289" w:rsidRDefault="004B698F" w:rsidP="004B698F">
            <w:pPr>
              <w:spacing w:line="276" w:lineRule="auto"/>
              <w:rPr>
                <w:rFonts w:cstheme="minorHAnsi"/>
              </w:rPr>
            </w:pPr>
            <w:r w:rsidRPr="00777289">
              <w:rPr>
                <w:rFonts w:cstheme="minorHAnsi"/>
              </w:rPr>
              <w:t>Foetal calf serum</w:t>
            </w:r>
          </w:p>
        </w:tc>
      </w:tr>
      <w:tr w:rsidR="004B698F" w:rsidRPr="00777289" w14:paraId="276E36E9"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4B854EF1" w14:textId="77777777" w:rsidR="004B698F" w:rsidRPr="00777289" w:rsidRDefault="004B698F" w:rsidP="004B698F">
            <w:pPr>
              <w:spacing w:line="276" w:lineRule="auto"/>
              <w:rPr>
                <w:rFonts w:cstheme="minorHAnsi"/>
              </w:rPr>
            </w:pPr>
            <w:r>
              <w:rPr>
                <w:rFonts w:cstheme="minorHAnsi"/>
              </w:rPr>
              <w:t>FDA</w:t>
            </w:r>
          </w:p>
        </w:tc>
        <w:tc>
          <w:tcPr>
            <w:tcW w:w="6521" w:type="dxa"/>
            <w:tcBorders>
              <w:top w:val="nil"/>
              <w:left w:val="nil"/>
              <w:bottom w:val="nil"/>
              <w:right w:val="nil"/>
            </w:tcBorders>
          </w:tcPr>
          <w:p w14:paraId="5432442C" w14:textId="77777777" w:rsidR="004B698F" w:rsidRPr="00777289" w:rsidRDefault="004B698F" w:rsidP="004B698F">
            <w:pPr>
              <w:spacing w:line="276" w:lineRule="auto"/>
              <w:rPr>
                <w:rFonts w:cstheme="minorHAnsi"/>
              </w:rPr>
            </w:pPr>
            <w:r>
              <w:rPr>
                <w:rFonts w:cstheme="minorHAnsi"/>
              </w:rPr>
              <w:t>Food and drug administration</w:t>
            </w:r>
          </w:p>
        </w:tc>
      </w:tr>
      <w:tr w:rsidR="004B698F" w:rsidRPr="00777289" w14:paraId="29C13EF4"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4A3D43D6" w14:textId="77777777" w:rsidR="004B698F" w:rsidRPr="00777289" w:rsidRDefault="004B698F" w:rsidP="004B698F">
            <w:pPr>
              <w:spacing w:line="276" w:lineRule="auto"/>
              <w:rPr>
                <w:rFonts w:cstheme="minorHAnsi"/>
              </w:rPr>
            </w:pPr>
            <w:r>
              <w:rPr>
                <w:rFonts w:cstheme="minorHAnsi"/>
              </w:rPr>
              <w:t>FGF</w:t>
            </w:r>
          </w:p>
        </w:tc>
        <w:tc>
          <w:tcPr>
            <w:tcW w:w="6521" w:type="dxa"/>
            <w:tcBorders>
              <w:top w:val="nil"/>
              <w:left w:val="nil"/>
              <w:bottom w:val="nil"/>
              <w:right w:val="nil"/>
            </w:tcBorders>
          </w:tcPr>
          <w:p w14:paraId="2B60559D" w14:textId="77777777" w:rsidR="004B698F" w:rsidRPr="00777289" w:rsidRDefault="004B698F" w:rsidP="004B698F">
            <w:pPr>
              <w:spacing w:line="276" w:lineRule="auto"/>
              <w:rPr>
                <w:rFonts w:cstheme="minorHAnsi"/>
              </w:rPr>
            </w:pPr>
            <w:r>
              <w:rPr>
                <w:rFonts w:cstheme="minorHAnsi"/>
              </w:rPr>
              <w:t>Fibroblast growth factor</w:t>
            </w:r>
          </w:p>
        </w:tc>
      </w:tr>
      <w:tr w:rsidR="004B698F" w:rsidRPr="00777289" w14:paraId="6D6A4D37"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7598E516" w14:textId="77777777" w:rsidR="004B698F" w:rsidRPr="00777289" w:rsidRDefault="004B698F" w:rsidP="004B698F">
            <w:pPr>
              <w:spacing w:line="276" w:lineRule="auto"/>
              <w:rPr>
                <w:rFonts w:cstheme="minorHAnsi"/>
              </w:rPr>
            </w:pPr>
            <w:r>
              <w:rPr>
                <w:rFonts w:cstheme="minorHAnsi"/>
              </w:rPr>
              <w:t>FTFG</w:t>
            </w:r>
          </w:p>
        </w:tc>
        <w:tc>
          <w:tcPr>
            <w:tcW w:w="6521" w:type="dxa"/>
            <w:tcBorders>
              <w:top w:val="nil"/>
              <w:left w:val="nil"/>
              <w:bottom w:val="nil"/>
              <w:right w:val="nil"/>
            </w:tcBorders>
          </w:tcPr>
          <w:p w14:paraId="05998404" w14:textId="77777777" w:rsidR="004B698F" w:rsidRPr="00777289" w:rsidRDefault="004B698F" w:rsidP="004B698F">
            <w:pPr>
              <w:spacing w:line="276" w:lineRule="auto"/>
              <w:rPr>
                <w:rFonts w:cstheme="minorHAnsi"/>
              </w:rPr>
            </w:pPr>
            <w:r>
              <w:rPr>
                <w:rFonts w:cstheme="minorHAnsi"/>
              </w:rPr>
              <w:t>Full thickness skin graft</w:t>
            </w:r>
          </w:p>
        </w:tc>
      </w:tr>
      <w:tr w:rsidR="004B698F" w:rsidRPr="00777289" w14:paraId="450D913E" w14:textId="77777777" w:rsidTr="004B698F">
        <w:trPr>
          <w:trHeight w:val="397"/>
        </w:trPr>
        <w:tc>
          <w:tcPr>
            <w:tcW w:w="1701" w:type="dxa"/>
          </w:tcPr>
          <w:p w14:paraId="222126ED" w14:textId="77777777" w:rsidR="004B698F" w:rsidRPr="00777289" w:rsidRDefault="004B698F" w:rsidP="004B698F">
            <w:pPr>
              <w:spacing w:line="276" w:lineRule="auto"/>
              <w:rPr>
                <w:rFonts w:cstheme="minorHAnsi"/>
              </w:rPr>
            </w:pPr>
            <w:r w:rsidRPr="00777289">
              <w:rPr>
                <w:rFonts w:cstheme="minorHAnsi"/>
              </w:rPr>
              <w:t>FTIR</w:t>
            </w:r>
          </w:p>
        </w:tc>
        <w:tc>
          <w:tcPr>
            <w:tcW w:w="6521" w:type="dxa"/>
          </w:tcPr>
          <w:p w14:paraId="6CDF13F5" w14:textId="77777777" w:rsidR="004B698F" w:rsidRPr="00777289" w:rsidRDefault="004B698F" w:rsidP="004B698F">
            <w:pPr>
              <w:spacing w:line="276" w:lineRule="auto"/>
              <w:rPr>
                <w:rFonts w:cstheme="minorHAnsi"/>
              </w:rPr>
            </w:pPr>
            <w:r w:rsidRPr="00777289">
              <w:rPr>
                <w:rFonts w:cstheme="minorHAnsi"/>
              </w:rPr>
              <w:t xml:space="preserve">Fourier transform infra-red </w:t>
            </w:r>
          </w:p>
        </w:tc>
      </w:tr>
      <w:tr w:rsidR="004B698F" w:rsidRPr="00777289" w14:paraId="56B45B56" w14:textId="77777777" w:rsidTr="004B698F">
        <w:trPr>
          <w:trHeight w:val="397"/>
        </w:trPr>
        <w:tc>
          <w:tcPr>
            <w:tcW w:w="1701" w:type="dxa"/>
          </w:tcPr>
          <w:p w14:paraId="3489DF73" w14:textId="77777777" w:rsidR="004B698F" w:rsidRPr="00777289" w:rsidRDefault="004B698F" w:rsidP="004B698F">
            <w:pPr>
              <w:spacing w:line="276" w:lineRule="auto"/>
              <w:rPr>
                <w:rFonts w:cstheme="minorHAnsi"/>
              </w:rPr>
            </w:pPr>
            <w:r>
              <w:rPr>
                <w:rFonts w:cstheme="minorHAnsi"/>
              </w:rPr>
              <w:t>HDF</w:t>
            </w:r>
          </w:p>
        </w:tc>
        <w:tc>
          <w:tcPr>
            <w:tcW w:w="6521" w:type="dxa"/>
          </w:tcPr>
          <w:p w14:paraId="284E1625" w14:textId="77777777" w:rsidR="004B698F" w:rsidRPr="00777289" w:rsidRDefault="004B698F" w:rsidP="004B698F">
            <w:pPr>
              <w:spacing w:line="276" w:lineRule="auto"/>
              <w:rPr>
                <w:rFonts w:cstheme="minorHAnsi"/>
              </w:rPr>
            </w:pPr>
            <w:r>
              <w:rPr>
                <w:rFonts w:cstheme="minorHAnsi"/>
              </w:rPr>
              <w:t>Human dermal fibroblasts</w:t>
            </w:r>
          </w:p>
        </w:tc>
      </w:tr>
      <w:tr w:rsidR="004B698F" w:rsidRPr="00777289" w14:paraId="4C023683" w14:textId="77777777" w:rsidTr="004B698F">
        <w:trPr>
          <w:trHeight w:val="397"/>
        </w:trPr>
        <w:tc>
          <w:tcPr>
            <w:tcW w:w="1701" w:type="dxa"/>
          </w:tcPr>
          <w:p w14:paraId="6020E089" w14:textId="77777777" w:rsidR="004B698F" w:rsidRPr="00777289" w:rsidRDefault="004B698F" w:rsidP="004B698F">
            <w:pPr>
              <w:spacing w:line="276" w:lineRule="auto"/>
              <w:rPr>
                <w:rFonts w:cstheme="minorHAnsi"/>
              </w:rPr>
            </w:pPr>
            <w:r>
              <w:rPr>
                <w:rFonts w:cstheme="minorHAnsi"/>
              </w:rPr>
              <w:t>HEK</w:t>
            </w:r>
          </w:p>
        </w:tc>
        <w:tc>
          <w:tcPr>
            <w:tcW w:w="6521" w:type="dxa"/>
          </w:tcPr>
          <w:p w14:paraId="6852CFFE" w14:textId="77777777" w:rsidR="004B698F" w:rsidRPr="00777289" w:rsidRDefault="004B698F" w:rsidP="004B698F">
            <w:pPr>
              <w:spacing w:line="276" w:lineRule="auto"/>
              <w:rPr>
                <w:rFonts w:cstheme="minorHAnsi"/>
              </w:rPr>
            </w:pPr>
            <w:r>
              <w:rPr>
                <w:rFonts w:cstheme="minorHAnsi"/>
              </w:rPr>
              <w:t>Human epidermal keratinocytes</w:t>
            </w:r>
          </w:p>
        </w:tc>
      </w:tr>
      <w:tr w:rsidR="004B698F" w:rsidRPr="00777289" w14:paraId="31EBA9E8" w14:textId="77777777" w:rsidTr="004B698F">
        <w:trPr>
          <w:trHeight w:val="397"/>
        </w:trPr>
        <w:tc>
          <w:tcPr>
            <w:tcW w:w="1701" w:type="dxa"/>
          </w:tcPr>
          <w:p w14:paraId="0BF2275E" w14:textId="77777777" w:rsidR="004B698F" w:rsidRPr="00777289" w:rsidRDefault="004B698F" w:rsidP="004B698F">
            <w:pPr>
              <w:spacing w:line="276" w:lineRule="auto"/>
              <w:rPr>
                <w:rFonts w:cstheme="minorHAnsi"/>
              </w:rPr>
            </w:pPr>
            <w:r w:rsidRPr="00777289">
              <w:rPr>
                <w:rFonts w:cstheme="minorHAnsi"/>
              </w:rPr>
              <w:t>HRP</w:t>
            </w:r>
          </w:p>
        </w:tc>
        <w:tc>
          <w:tcPr>
            <w:tcW w:w="6521" w:type="dxa"/>
          </w:tcPr>
          <w:p w14:paraId="63DD0A94" w14:textId="63B33ED4" w:rsidR="004B698F" w:rsidRPr="00777289" w:rsidRDefault="004B698F" w:rsidP="004B698F">
            <w:pPr>
              <w:spacing w:line="276" w:lineRule="auto"/>
              <w:rPr>
                <w:rFonts w:cstheme="minorHAnsi"/>
              </w:rPr>
            </w:pPr>
            <w:r w:rsidRPr="00777289">
              <w:rPr>
                <w:rFonts w:cstheme="minorHAnsi"/>
              </w:rPr>
              <w:t>Horseradish peroxidase</w:t>
            </w:r>
          </w:p>
        </w:tc>
      </w:tr>
      <w:tr w:rsidR="004B698F" w:rsidRPr="00777289" w14:paraId="137E8901"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565A80B7" w14:textId="77777777" w:rsidR="004B698F" w:rsidRPr="00777289" w:rsidRDefault="004B698F" w:rsidP="004B698F">
            <w:pPr>
              <w:spacing w:line="276" w:lineRule="auto"/>
              <w:rPr>
                <w:rFonts w:cstheme="minorHAnsi"/>
              </w:rPr>
            </w:pPr>
            <w:r>
              <w:rPr>
                <w:rFonts w:cstheme="minorHAnsi"/>
              </w:rPr>
              <w:t>IC</w:t>
            </w:r>
            <w:r w:rsidRPr="00EA0CCD">
              <w:rPr>
                <w:rFonts w:cstheme="minorHAnsi"/>
                <w:vertAlign w:val="subscript"/>
              </w:rPr>
              <w:t>50</w:t>
            </w:r>
          </w:p>
        </w:tc>
        <w:tc>
          <w:tcPr>
            <w:tcW w:w="6521" w:type="dxa"/>
            <w:tcBorders>
              <w:top w:val="nil"/>
              <w:left w:val="nil"/>
              <w:bottom w:val="nil"/>
              <w:right w:val="nil"/>
            </w:tcBorders>
          </w:tcPr>
          <w:p w14:paraId="6908D920" w14:textId="77777777" w:rsidR="004B698F" w:rsidRPr="00777289" w:rsidRDefault="004B698F" w:rsidP="004B698F">
            <w:pPr>
              <w:spacing w:line="276" w:lineRule="auto"/>
              <w:rPr>
                <w:rFonts w:cstheme="minorHAnsi"/>
              </w:rPr>
            </w:pPr>
            <w:r>
              <w:rPr>
                <w:rFonts w:cstheme="minorHAnsi"/>
              </w:rPr>
              <w:t>Inhibitory concentration at 50 %</w:t>
            </w:r>
          </w:p>
        </w:tc>
      </w:tr>
      <w:tr w:rsidR="004B698F" w:rsidRPr="00777289" w14:paraId="0B3C5F57" w14:textId="77777777" w:rsidTr="004B698F">
        <w:trPr>
          <w:trHeight w:val="397"/>
        </w:trPr>
        <w:tc>
          <w:tcPr>
            <w:tcW w:w="1701" w:type="dxa"/>
          </w:tcPr>
          <w:p w14:paraId="785A9FCF" w14:textId="77777777" w:rsidR="004B698F" w:rsidRPr="00777289" w:rsidRDefault="004B698F" w:rsidP="004B698F">
            <w:pPr>
              <w:spacing w:line="276" w:lineRule="auto"/>
              <w:rPr>
                <w:rFonts w:cstheme="minorHAnsi"/>
              </w:rPr>
            </w:pPr>
            <w:r w:rsidRPr="00777289">
              <w:rPr>
                <w:rFonts w:cstheme="minorHAnsi"/>
              </w:rPr>
              <w:t>IMS</w:t>
            </w:r>
          </w:p>
        </w:tc>
        <w:tc>
          <w:tcPr>
            <w:tcW w:w="6521" w:type="dxa"/>
          </w:tcPr>
          <w:p w14:paraId="47B1CE19" w14:textId="77777777" w:rsidR="004B698F" w:rsidRPr="00777289" w:rsidRDefault="004B698F" w:rsidP="004B698F">
            <w:pPr>
              <w:spacing w:line="276" w:lineRule="auto"/>
              <w:rPr>
                <w:rFonts w:cstheme="minorHAnsi"/>
              </w:rPr>
            </w:pPr>
            <w:r w:rsidRPr="00777289">
              <w:rPr>
                <w:rFonts w:cstheme="minorHAnsi"/>
              </w:rPr>
              <w:t>Industrially methylated spirits</w:t>
            </w:r>
          </w:p>
        </w:tc>
      </w:tr>
      <w:tr w:rsidR="004B698F" w:rsidRPr="00777289" w14:paraId="13869C0A" w14:textId="77777777" w:rsidTr="004B698F">
        <w:trPr>
          <w:trHeight w:val="397"/>
        </w:trPr>
        <w:tc>
          <w:tcPr>
            <w:tcW w:w="1701" w:type="dxa"/>
          </w:tcPr>
          <w:p w14:paraId="2622404F" w14:textId="77777777" w:rsidR="004B698F" w:rsidRPr="00777289" w:rsidRDefault="004B698F" w:rsidP="004B698F">
            <w:pPr>
              <w:spacing w:line="276" w:lineRule="auto"/>
              <w:rPr>
                <w:rFonts w:cstheme="minorHAnsi"/>
              </w:rPr>
            </w:pPr>
            <w:r w:rsidRPr="00777289">
              <w:rPr>
                <w:rFonts w:cstheme="minorHAnsi"/>
              </w:rPr>
              <w:t>IPA</w:t>
            </w:r>
          </w:p>
        </w:tc>
        <w:tc>
          <w:tcPr>
            <w:tcW w:w="6521" w:type="dxa"/>
          </w:tcPr>
          <w:p w14:paraId="0B09D6EB" w14:textId="77777777" w:rsidR="004B698F" w:rsidRPr="00777289" w:rsidRDefault="004B698F" w:rsidP="004B698F">
            <w:pPr>
              <w:spacing w:line="276" w:lineRule="auto"/>
              <w:rPr>
                <w:rFonts w:cstheme="minorHAnsi"/>
              </w:rPr>
            </w:pPr>
            <w:r w:rsidRPr="00777289">
              <w:rPr>
                <w:rFonts w:cstheme="minorHAnsi"/>
              </w:rPr>
              <w:t>Acidified isopropyl alcohol</w:t>
            </w:r>
          </w:p>
        </w:tc>
      </w:tr>
      <w:tr w:rsidR="004B698F" w:rsidRPr="00777289" w14:paraId="0E997D2B"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2E1CD49F" w14:textId="77777777" w:rsidR="004B698F" w:rsidRPr="00777289" w:rsidRDefault="004B698F" w:rsidP="004B698F">
            <w:pPr>
              <w:spacing w:line="276" w:lineRule="auto"/>
              <w:rPr>
                <w:rFonts w:cstheme="minorHAnsi"/>
              </w:rPr>
            </w:pPr>
            <w:r>
              <w:rPr>
                <w:rFonts w:cstheme="minorHAnsi"/>
              </w:rPr>
              <w:t>LC-MS</w:t>
            </w:r>
          </w:p>
        </w:tc>
        <w:tc>
          <w:tcPr>
            <w:tcW w:w="6521" w:type="dxa"/>
            <w:tcBorders>
              <w:top w:val="nil"/>
              <w:left w:val="nil"/>
              <w:bottom w:val="nil"/>
              <w:right w:val="nil"/>
            </w:tcBorders>
          </w:tcPr>
          <w:p w14:paraId="231598F4" w14:textId="77777777" w:rsidR="004B698F" w:rsidRPr="00777289" w:rsidRDefault="004B698F" w:rsidP="004B698F">
            <w:pPr>
              <w:spacing w:line="276" w:lineRule="auto"/>
              <w:rPr>
                <w:rFonts w:cstheme="minorHAnsi"/>
              </w:rPr>
            </w:pPr>
            <w:r>
              <w:rPr>
                <w:rFonts w:cstheme="minorHAnsi"/>
              </w:rPr>
              <w:t>Liquid chromatography mass spectrometry</w:t>
            </w:r>
          </w:p>
        </w:tc>
      </w:tr>
      <w:tr w:rsidR="004B698F" w:rsidRPr="00777289" w14:paraId="6B0A7B06"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1639AC3" w14:textId="77777777" w:rsidR="004B698F" w:rsidRPr="00777289" w:rsidRDefault="004B698F" w:rsidP="004B698F">
            <w:pPr>
              <w:spacing w:line="276" w:lineRule="auto"/>
              <w:rPr>
                <w:rFonts w:cstheme="minorHAnsi"/>
              </w:rPr>
            </w:pPr>
            <w:r>
              <w:rPr>
                <w:rFonts w:cstheme="minorHAnsi"/>
              </w:rPr>
              <w:t>LD</w:t>
            </w:r>
            <w:r w:rsidRPr="00EA0CCD">
              <w:rPr>
                <w:rFonts w:cstheme="minorHAnsi"/>
                <w:vertAlign w:val="subscript"/>
              </w:rPr>
              <w:t>50</w:t>
            </w:r>
          </w:p>
        </w:tc>
        <w:tc>
          <w:tcPr>
            <w:tcW w:w="6521" w:type="dxa"/>
            <w:tcBorders>
              <w:top w:val="nil"/>
              <w:left w:val="nil"/>
              <w:bottom w:val="nil"/>
              <w:right w:val="nil"/>
            </w:tcBorders>
          </w:tcPr>
          <w:p w14:paraId="5534F0E6" w14:textId="77777777" w:rsidR="004B698F" w:rsidRPr="00777289" w:rsidRDefault="004B698F" w:rsidP="004B698F">
            <w:pPr>
              <w:spacing w:line="276" w:lineRule="auto"/>
              <w:rPr>
                <w:rFonts w:cstheme="minorHAnsi"/>
              </w:rPr>
            </w:pPr>
            <w:r>
              <w:rPr>
                <w:rFonts w:cstheme="minorHAnsi"/>
              </w:rPr>
              <w:t>Lethal dose at 50 %</w:t>
            </w:r>
          </w:p>
        </w:tc>
      </w:tr>
      <w:tr w:rsidR="004B698F" w:rsidRPr="00777289" w14:paraId="6C63E935" w14:textId="77777777" w:rsidTr="004B698F">
        <w:trPr>
          <w:trHeight w:val="397"/>
        </w:trPr>
        <w:tc>
          <w:tcPr>
            <w:tcW w:w="1701" w:type="dxa"/>
          </w:tcPr>
          <w:p w14:paraId="0C1E7C5C" w14:textId="77777777" w:rsidR="004B698F" w:rsidRPr="00777289" w:rsidRDefault="004B698F" w:rsidP="004B698F">
            <w:pPr>
              <w:spacing w:line="276" w:lineRule="auto"/>
              <w:rPr>
                <w:rFonts w:cstheme="minorHAnsi"/>
              </w:rPr>
            </w:pPr>
            <w:r w:rsidRPr="00777289">
              <w:rPr>
                <w:rFonts w:cstheme="minorHAnsi"/>
              </w:rPr>
              <w:t>LDH</w:t>
            </w:r>
          </w:p>
        </w:tc>
        <w:tc>
          <w:tcPr>
            <w:tcW w:w="6521" w:type="dxa"/>
          </w:tcPr>
          <w:p w14:paraId="08958D8C" w14:textId="77777777" w:rsidR="004B698F" w:rsidRPr="00777289" w:rsidRDefault="004B698F" w:rsidP="004B698F">
            <w:pPr>
              <w:spacing w:line="276" w:lineRule="auto"/>
              <w:rPr>
                <w:rFonts w:cstheme="minorHAnsi"/>
              </w:rPr>
            </w:pPr>
            <w:r w:rsidRPr="00777289">
              <w:rPr>
                <w:rFonts w:cstheme="minorHAnsi"/>
              </w:rPr>
              <w:t>Lactate dehydrogenase</w:t>
            </w:r>
          </w:p>
        </w:tc>
      </w:tr>
      <w:tr w:rsidR="004B698F" w:rsidRPr="00777289" w14:paraId="0734A539"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4FF67CAE" w14:textId="77777777" w:rsidR="004B698F" w:rsidRPr="00777289" w:rsidRDefault="004B698F" w:rsidP="004B698F">
            <w:pPr>
              <w:spacing w:line="276" w:lineRule="auto"/>
              <w:rPr>
                <w:rFonts w:cstheme="minorHAnsi"/>
              </w:rPr>
            </w:pPr>
            <w:r>
              <w:rPr>
                <w:rFonts w:cstheme="minorHAnsi"/>
              </w:rPr>
              <w:t>Log P</w:t>
            </w:r>
          </w:p>
        </w:tc>
        <w:tc>
          <w:tcPr>
            <w:tcW w:w="6521" w:type="dxa"/>
            <w:tcBorders>
              <w:top w:val="nil"/>
              <w:left w:val="nil"/>
              <w:bottom w:val="nil"/>
              <w:right w:val="nil"/>
            </w:tcBorders>
          </w:tcPr>
          <w:p w14:paraId="3E1A04BD" w14:textId="77777777" w:rsidR="004B698F" w:rsidRPr="00777289" w:rsidRDefault="004B698F" w:rsidP="004B698F">
            <w:pPr>
              <w:spacing w:line="276" w:lineRule="auto"/>
              <w:rPr>
                <w:rFonts w:cstheme="minorHAnsi"/>
              </w:rPr>
            </w:pPr>
            <w:r>
              <w:rPr>
                <w:rFonts w:cstheme="minorHAnsi"/>
              </w:rPr>
              <w:t>Partition coefficient</w:t>
            </w:r>
          </w:p>
        </w:tc>
      </w:tr>
      <w:tr w:rsidR="004B698F" w:rsidRPr="00777289" w14:paraId="30E01AE0" w14:textId="77777777" w:rsidTr="004B698F">
        <w:trPr>
          <w:trHeight w:val="397"/>
        </w:trPr>
        <w:tc>
          <w:tcPr>
            <w:tcW w:w="1701" w:type="dxa"/>
          </w:tcPr>
          <w:p w14:paraId="09B33807" w14:textId="77777777" w:rsidR="004B698F" w:rsidRPr="00777289" w:rsidRDefault="004B698F" w:rsidP="004B698F">
            <w:pPr>
              <w:spacing w:line="276" w:lineRule="auto"/>
              <w:rPr>
                <w:rFonts w:cstheme="minorHAnsi"/>
              </w:rPr>
            </w:pPr>
            <w:r w:rsidRPr="00777289">
              <w:rPr>
                <w:rFonts w:cstheme="minorHAnsi"/>
              </w:rPr>
              <w:lastRenderedPageBreak/>
              <w:t>LOX</w:t>
            </w:r>
          </w:p>
        </w:tc>
        <w:tc>
          <w:tcPr>
            <w:tcW w:w="6521" w:type="dxa"/>
          </w:tcPr>
          <w:p w14:paraId="3B79207C" w14:textId="77777777" w:rsidR="004B698F" w:rsidRPr="00777289" w:rsidRDefault="004B698F" w:rsidP="004B698F">
            <w:pPr>
              <w:spacing w:line="276" w:lineRule="auto"/>
              <w:rPr>
                <w:rFonts w:cstheme="minorHAnsi"/>
              </w:rPr>
            </w:pPr>
            <w:r w:rsidRPr="00777289">
              <w:rPr>
                <w:rFonts w:cstheme="minorHAnsi"/>
              </w:rPr>
              <w:t>Lysyl oxidase</w:t>
            </w:r>
          </w:p>
        </w:tc>
      </w:tr>
      <w:tr w:rsidR="004B698F" w:rsidRPr="00777289" w14:paraId="4EF9FE7A"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2073D772" w14:textId="77777777" w:rsidR="004B698F" w:rsidRPr="00777289" w:rsidRDefault="004B698F" w:rsidP="004B698F">
            <w:pPr>
              <w:spacing w:line="276" w:lineRule="auto"/>
              <w:rPr>
                <w:rFonts w:cstheme="minorHAnsi"/>
              </w:rPr>
            </w:pPr>
            <w:r>
              <w:rPr>
                <w:rFonts w:cstheme="minorHAnsi"/>
              </w:rPr>
              <w:t>LOXL</w:t>
            </w:r>
          </w:p>
        </w:tc>
        <w:tc>
          <w:tcPr>
            <w:tcW w:w="6521" w:type="dxa"/>
            <w:tcBorders>
              <w:top w:val="nil"/>
              <w:left w:val="nil"/>
              <w:bottom w:val="nil"/>
              <w:right w:val="nil"/>
            </w:tcBorders>
          </w:tcPr>
          <w:p w14:paraId="171D029D" w14:textId="77777777" w:rsidR="004B698F" w:rsidRPr="00777289" w:rsidRDefault="004B698F" w:rsidP="004B698F">
            <w:pPr>
              <w:spacing w:line="276" w:lineRule="auto"/>
              <w:rPr>
                <w:rFonts w:cstheme="minorHAnsi"/>
              </w:rPr>
            </w:pPr>
            <w:r>
              <w:rPr>
                <w:rFonts w:cstheme="minorHAnsi"/>
              </w:rPr>
              <w:t>Lysyl oxidase-like</w:t>
            </w:r>
          </w:p>
        </w:tc>
      </w:tr>
      <w:tr w:rsidR="004B698F" w:rsidRPr="00777289" w14:paraId="0AB40521"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67A4660F" w14:textId="77777777" w:rsidR="004B698F" w:rsidRPr="00777289" w:rsidRDefault="004B698F" w:rsidP="004B698F">
            <w:pPr>
              <w:spacing w:line="276" w:lineRule="auto"/>
              <w:rPr>
                <w:rFonts w:cstheme="minorHAnsi"/>
              </w:rPr>
            </w:pPr>
            <w:r>
              <w:rPr>
                <w:rFonts w:cstheme="minorHAnsi"/>
              </w:rPr>
              <w:t>LTQ</w:t>
            </w:r>
          </w:p>
        </w:tc>
        <w:tc>
          <w:tcPr>
            <w:tcW w:w="6521" w:type="dxa"/>
            <w:tcBorders>
              <w:top w:val="nil"/>
              <w:left w:val="nil"/>
              <w:bottom w:val="nil"/>
              <w:right w:val="nil"/>
            </w:tcBorders>
          </w:tcPr>
          <w:p w14:paraId="28EC4230" w14:textId="77777777" w:rsidR="004B698F" w:rsidRPr="00777289" w:rsidRDefault="004B698F" w:rsidP="004B698F">
            <w:pPr>
              <w:spacing w:line="276" w:lineRule="auto"/>
              <w:rPr>
                <w:rFonts w:cstheme="minorHAnsi"/>
              </w:rPr>
            </w:pPr>
            <w:r>
              <w:rPr>
                <w:color w:val="000000" w:themeColor="text1"/>
              </w:rPr>
              <w:t>L</w:t>
            </w:r>
            <w:r w:rsidRPr="0049154E">
              <w:rPr>
                <w:color w:val="000000" w:themeColor="text1"/>
              </w:rPr>
              <w:t>ysine tyrosylquinone</w:t>
            </w:r>
          </w:p>
        </w:tc>
      </w:tr>
      <w:tr w:rsidR="004B698F" w:rsidRPr="00777289" w14:paraId="56BD2D95"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73586B9" w14:textId="77777777" w:rsidR="004B698F" w:rsidRPr="00777289" w:rsidRDefault="004B698F" w:rsidP="004B698F">
            <w:pPr>
              <w:spacing w:line="276" w:lineRule="auto"/>
              <w:rPr>
                <w:rFonts w:cstheme="minorHAnsi"/>
              </w:rPr>
            </w:pPr>
            <w:r>
              <w:rPr>
                <w:rFonts w:cstheme="minorHAnsi"/>
              </w:rPr>
              <w:t>MAO</w:t>
            </w:r>
          </w:p>
        </w:tc>
        <w:tc>
          <w:tcPr>
            <w:tcW w:w="6521" w:type="dxa"/>
            <w:tcBorders>
              <w:top w:val="nil"/>
              <w:left w:val="nil"/>
              <w:bottom w:val="nil"/>
              <w:right w:val="nil"/>
            </w:tcBorders>
          </w:tcPr>
          <w:p w14:paraId="1B7E48D7" w14:textId="77777777" w:rsidR="004B698F" w:rsidRPr="00777289" w:rsidRDefault="004B698F" w:rsidP="004B698F">
            <w:pPr>
              <w:spacing w:line="276" w:lineRule="auto"/>
              <w:rPr>
                <w:rFonts w:cstheme="minorHAnsi"/>
              </w:rPr>
            </w:pPr>
            <w:r>
              <w:rPr>
                <w:rFonts w:cstheme="minorHAnsi"/>
              </w:rPr>
              <w:t>Monoamine oxidase</w:t>
            </w:r>
          </w:p>
        </w:tc>
      </w:tr>
      <w:tr w:rsidR="004B698F" w:rsidRPr="00777289" w14:paraId="576ABBDE" w14:textId="77777777" w:rsidTr="004B698F">
        <w:trPr>
          <w:trHeight w:val="397"/>
        </w:trPr>
        <w:tc>
          <w:tcPr>
            <w:tcW w:w="1701" w:type="dxa"/>
          </w:tcPr>
          <w:p w14:paraId="328A7FED" w14:textId="77777777" w:rsidR="004B698F" w:rsidRPr="00777289" w:rsidRDefault="004B698F" w:rsidP="004B698F">
            <w:pPr>
              <w:spacing w:line="276" w:lineRule="auto"/>
              <w:rPr>
                <w:rFonts w:cstheme="minorHAnsi"/>
              </w:rPr>
            </w:pPr>
            <w:r w:rsidRPr="00777289">
              <w:rPr>
                <w:rFonts w:cstheme="minorHAnsi"/>
              </w:rPr>
              <w:t>MTT</w:t>
            </w:r>
          </w:p>
        </w:tc>
        <w:tc>
          <w:tcPr>
            <w:tcW w:w="6521" w:type="dxa"/>
          </w:tcPr>
          <w:p w14:paraId="065A75ED" w14:textId="77777777" w:rsidR="004B698F" w:rsidRPr="00777289" w:rsidRDefault="004B698F" w:rsidP="004B698F">
            <w:pPr>
              <w:spacing w:line="276" w:lineRule="auto"/>
              <w:rPr>
                <w:rFonts w:cstheme="minorHAnsi"/>
              </w:rPr>
            </w:pPr>
            <w:r w:rsidRPr="00777289">
              <w:rPr>
                <w:rFonts w:cstheme="minorHAnsi"/>
              </w:rPr>
              <w:t>(3-(4,5-Dimethylthiazol-2-yl)-2,5-Diphenyltetrazolium Bromide)</w:t>
            </w:r>
          </w:p>
        </w:tc>
      </w:tr>
      <w:tr w:rsidR="004B698F" w:rsidRPr="00777289" w14:paraId="01BC7766" w14:textId="77777777" w:rsidTr="004B698F">
        <w:trPr>
          <w:trHeight w:val="397"/>
        </w:trPr>
        <w:tc>
          <w:tcPr>
            <w:tcW w:w="1701" w:type="dxa"/>
          </w:tcPr>
          <w:p w14:paraId="34B62B63" w14:textId="77777777" w:rsidR="004B698F" w:rsidRPr="00777289" w:rsidRDefault="004B698F" w:rsidP="004B698F">
            <w:pPr>
              <w:spacing w:line="276" w:lineRule="auto"/>
              <w:rPr>
                <w:rFonts w:cstheme="minorHAnsi"/>
              </w:rPr>
            </w:pPr>
            <w:r w:rsidRPr="00777289">
              <w:rPr>
                <w:rFonts w:cstheme="minorHAnsi"/>
              </w:rPr>
              <w:t>NMR</w:t>
            </w:r>
          </w:p>
        </w:tc>
        <w:tc>
          <w:tcPr>
            <w:tcW w:w="6521" w:type="dxa"/>
          </w:tcPr>
          <w:p w14:paraId="4BAB327B" w14:textId="77777777" w:rsidR="004B698F" w:rsidRPr="00777289" w:rsidRDefault="004B698F" w:rsidP="004B698F">
            <w:pPr>
              <w:spacing w:line="276" w:lineRule="auto"/>
              <w:rPr>
                <w:rFonts w:cstheme="minorHAnsi"/>
              </w:rPr>
            </w:pPr>
            <w:r w:rsidRPr="00777289">
              <w:rPr>
                <w:rFonts w:cstheme="minorHAnsi"/>
              </w:rPr>
              <w:t>Nuclear magnetic resonance</w:t>
            </w:r>
          </w:p>
        </w:tc>
      </w:tr>
      <w:tr w:rsidR="004B698F" w:rsidRPr="00777289" w14:paraId="1B269C67"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63D27F2" w14:textId="77777777" w:rsidR="004B698F" w:rsidRPr="00777289" w:rsidRDefault="004B698F" w:rsidP="004B698F">
            <w:pPr>
              <w:spacing w:line="276" w:lineRule="auto"/>
              <w:rPr>
                <w:rFonts w:cstheme="minorHAnsi"/>
              </w:rPr>
            </w:pPr>
            <w:r>
              <w:rPr>
                <w:rFonts w:cstheme="minorHAnsi"/>
              </w:rPr>
              <w:t>NSAID</w:t>
            </w:r>
          </w:p>
        </w:tc>
        <w:tc>
          <w:tcPr>
            <w:tcW w:w="6521" w:type="dxa"/>
            <w:tcBorders>
              <w:top w:val="nil"/>
              <w:left w:val="nil"/>
              <w:bottom w:val="nil"/>
              <w:right w:val="nil"/>
            </w:tcBorders>
          </w:tcPr>
          <w:p w14:paraId="633248FA" w14:textId="77777777" w:rsidR="004B698F" w:rsidRPr="00777289" w:rsidRDefault="004B698F" w:rsidP="004B698F">
            <w:pPr>
              <w:spacing w:line="276" w:lineRule="auto"/>
              <w:rPr>
                <w:rFonts w:cstheme="minorHAnsi"/>
              </w:rPr>
            </w:pPr>
            <w:r>
              <w:rPr>
                <w:rFonts w:cstheme="minorHAnsi"/>
              </w:rPr>
              <w:t>Non-steroidal anti-inflammatory</w:t>
            </w:r>
          </w:p>
        </w:tc>
      </w:tr>
      <w:tr w:rsidR="004B698F" w:rsidRPr="00777289" w14:paraId="70AE0F9E" w14:textId="77777777" w:rsidTr="004B698F">
        <w:trPr>
          <w:trHeight w:val="397"/>
        </w:trPr>
        <w:tc>
          <w:tcPr>
            <w:tcW w:w="1701" w:type="dxa"/>
          </w:tcPr>
          <w:p w14:paraId="334ADF61" w14:textId="77777777" w:rsidR="004B698F" w:rsidRPr="00777289" w:rsidRDefault="004B698F" w:rsidP="004B698F">
            <w:pPr>
              <w:spacing w:line="276" w:lineRule="auto"/>
              <w:rPr>
                <w:rFonts w:cstheme="minorHAnsi"/>
              </w:rPr>
            </w:pPr>
            <w:r w:rsidRPr="00777289">
              <w:rPr>
                <w:rFonts w:cstheme="minorHAnsi"/>
              </w:rPr>
              <w:t>PBS</w:t>
            </w:r>
          </w:p>
        </w:tc>
        <w:tc>
          <w:tcPr>
            <w:tcW w:w="6521" w:type="dxa"/>
          </w:tcPr>
          <w:p w14:paraId="5A685C69" w14:textId="77777777" w:rsidR="004B698F" w:rsidRPr="00777289" w:rsidRDefault="004B698F" w:rsidP="004B698F">
            <w:pPr>
              <w:spacing w:line="276" w:lineRule="auto"/>
              <w:rPr>
                <w:rFonts w:cstheme="minorHAnsi"/>
              </w:rPr>
            </w:pPr>
            <w:r w:rsidRPr="00777289">
              <w:rPr>
                <w:rFonts w:cstheme="minorHAnsi"/>
              </w:rPr>
              <w:t>Phosphate buffered saline</w:t>
            </w:r>
          </w:p>
        </w:tc>
      </w:tr>
      <w:tr w:rsidR="0095799D" w:rsidRPr="00777289" w14:paraId="145073A1"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66ABD7C1" w14:textId="560AE449" w:rsidR="0095799D" w:rsidRDefault="0095799D" w:rsidP="004B698F">
            <w:pPr>
              <w:spacing w:line="276" w:lineRule="auto"/>
              <w:rPr>
                <w:rFonts w:cstheme="minorHAnsi"/>
              </w:rPr>
            </w:pPr>
            <w:r>
              <w:rPr>
                <w:rFonts w:cstheme="minorHAnsi"/>
              </w:rPr>
              <w:t>PES</w:t>
            </w:r>
          </w:p>
        </w:tc>
        <w:tc>
          <w:tcPr>
            <w:tcW w:w="6521" w:type="dxa"/>
            <w:tcBorders>
              <w:top w:val="nil"/>
              <w:left w:val="nil"/>
              <w:bottom w:val="nil"/>
              <w:right w:val="nil"/>
            </w:tcBorders>
          </w:tcPr>
          <w:p w14:paraId="6980FC00" w14:textId="1EA180A0" w:rsidR="0095799D" w:rsidRDefault="0095799D" w:rsidP="004B698F">
            <w:pPr>
              <w:spacing w:line="276" w:lineRule="auto"/>
              <w:rPr>
                <w:color w:val="000000" w:themeColor="text1"/>
              </w:rPr>
            </w:pPr>
            <w:r>
              <w:rPr>
                <w:lang w:eastAsia="en-GB"/>
              </w:rPr>
              <w:t>P</w:t>
            </w:r>
            <w:r w:rsidRPr="00643D5F">
              <w:rPr>
                <w:lang w:eastAsia="en-GB"/>
              </w:rPr>
              <w:t>olyether sulfone</w:t>
            </w:r>
          </w:p>
        </w:tc>
      </w:tr>
      <w:tr w:rsidR="004B698F" w:rsidRPr="00777289" w14:paraId="46152A6D"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609A1AAE" w14:textId="77777777" w:rsidR="004B698F" w:rsidRPr="00777289" w:rsidRDefault="004B698F" w:rsidP="004B698F">
            <w:pPr>
              <w:spacing w:line="276" w:lineRule="auto"/>
              <w:rPr>
                <w:rFonts w:cstheme="minorHAnsi"/>
              </w:rPr>
            </w:pPr>
            <w:r>
              <w:rPr>
                <w:rFonts w:cstheme="minorHAnsi"/>
              </w:rPr>
              <w:t>PGF</w:t>
            </w:r>
            <w:r w:rsidRPr="006A7B6B">
              <w:rPr>
                <w:rFonts w:cstheme="minorHAnsi"/>
                <w:vertAlign w:val="subscript"/>
              </w:rPr>
              <w:t>2</w:t>
            </w:r>
            <w:r w:rsidRPr="006A7B6B">
              <w:rPr>
                <w:rFonts w:cstheme="minorHAnsi"/>
                <w:vertAlign w:val="subscript"/>
              </w:rPr>
              <w:sym w:font="Symbol" w:char="F061"/>
            </w:r>
          </w:p>
        </w:tc>
        <w:tc>
          <w:tcPr>
            <w:tcW w:w="6521" w:type="dxa"/>
            <w:tcBorders>
              <w:top w:val="nil"/>
              <w:left w:val="nil"/>
              <w:bottom w:val="nil"/>
              <w:right w:val="nil"/>
            </w:tcBorders>
          </w:tcPr>
          <w:p w14:paraId="12FE6FD6" w14:textId="77777777" w:rsidR="004B698F" w:rsidRPr="00777289" w:rsidRDefault="004B698F" w:rsidP="004B698F">
            <w:pPr>
              <w:spacing w:line="276" w:lineRule="auto"/>
              <w:rPr>
                <w:rFonts w:cstheme="minorHAnsi"/>
              </w:rPr>
            </w:pPr>
            <w:r>
              <w:rPr>
                <w:color w:val="000000" w:themeColor="text1"/>
              </w:rPr>
              <w:t>Prostaglandin F</w:t>
            </w:r>
            <w:r>
              <w:rPr>
                <w:color w:val="000000" w:themeColor="text1"/>
                <w:vertAlign w:val="subscript"/>
              </w:rPr>
              <w:t>2</w:t>
            </w:r>
            <w:r>
              <w:rPr>
                <w:color w:val="000000" w:themeColor="text1"/>
                <w:vertAlign w:val="subscript"/>
              </w:rPr>
              <w:sym w:font="Symbol" w:char="F061"/>
            </w:r>
          </w:p>
        </w:tc>
      </w:tr>
      <w:tr w:rsidR="004B698F" w:rsidRPr="00777289" w14:paraId="671A95F7"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5096E97" w14:textId="77777777" w:rsidR="004B698F" w:rsidRPr="00777289" w:rsidRDefault="004B698F" w:rsidP="004B698F">
            <w:pPr>
              <w:spacing w:line="276" w:lineRule="auto"/>
              <w:rPr>
                <w:rFonts w:cstheme="minorHAnsi"/>
              </w:rPr>
            </w:pPr>
            <w:r>
              <w:rPr>
                <w:rFonts w:cstheme="minorHAnsi"/>
              </w:rPr>
              <w:t>PGT</w:t>
            </w:r>
          </w:p>
        </w:tc>
        <w:tc>
          <w:tcPr>
            <w:tcW w:w="6521" w:type="dxa"/>
            <w:tcBorders>
              <w:top w:val="nil"/>
              <w:left w:val="nil"/>
              <w:bottom w:val="nil"/>
              <w:right w:val="nil"/>
            </w:tcBorders>
          </w:tcPr>
          <w:p w14:paraId="45E46C46" w14:textId="77777777" w:rsidR="004B698F" w:rsidRPr="00777289" w:rsidRDefault="004B698F" w:rsidP="004B698F">
            <w:pPr>
              <w:spacing w:line="276" w:lineRule="auto"/>
              <w:rPr>
                <w:rFonts w:cstheme="minorHAnsi"/>
              </w:rPr>
            </w:pPr>
            <w:r>
              <w:rPr>
                <w:rFonts w:cstheme="minorHAnsi"/>
              </w:rPr>
              <w:t>Pressure garment therapy</w:t>
            </w:r>
          </w:p>
        </w:tc>
      </w:tr>
      <w:tr w:rsidR="004B698F" w:rsidRPr="00777289" w14:paraId="315A4B40"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01F80B16" w14:textId="77777777" w:rsidR="004B698F" w:rsidRPr="00777289" w:rsidRDefault="004B698F" w:rsidP="004B698F">
            <w:pPr>
              <w:spacing w:line="276" w:lineRule="auto"/>
              <w:rPr>
                <w:rFonts w:cstheme="minorHAnsi"/>
              </w:rPr>
            </w:pPr>
            <w:r>
              <w:rPr>
                <w:rFonts w:cstheme="minorHAnsi"/>
              </w:rPr>
              <w:t>pK</w:t>
            </w:r>
            <w:r w:rsidRPr="006A7B6B">
              <w:rPr>
                <w:rFonts w:cstheme="minorHAnsi"/>
                <w:vertAlign w:val="subscript"/>
              </w:rPr>
              <w:t>a</w:t>
            </w:r>
          </w:p>
        </w:tc>
        <w:tc>
          <w:tcPr>
            <w:tcW w:w="6521" w:type="dxa"/>
            <w:tcBorders>
              <w:top w:val="nil"/>
              <w:left w:val="nil"/>
              <w:bottom w:val="nil"/>
              <w:right w:val="nil"/>
            </w:tcBorders>
          </w:tcPr>
          <w:p w14:paraId="23CE031E" w14:textId="77777777" w:rsidR="004B698F" w:rsidRPr="00777289" w:rsidRDefault="004B698F" w:rsidP="004B698F">
            <w:pPr>
              <w:spacing w:line="276" w:lineRule="auto"/>
              <w:rPr>
                <w:rFonts w:cstheme="minorHAnsi"/>
              </w:rPr>
            </w:pPr>
            <w:r>
              <w:rPr>
                <w:rFonts w:cstheme="minorHAnsi"/>
              </w:rPr>
              <w:t>Dissociation constant</w:t>
            </w:r>
          </w:p>
        </w:tc>
      </w:tr>
      <w:tr w:rsidR="00637148" w:rsidRPr="00777289" w14:paraId="473B8173"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08AAD069" w14:textId="1299BCCA" w:rsidR="00637148" w:rsidRDefault="00637148" w:rsidP="004B698F">
            <w:pPr>
              <w:spacing w:line="276" w:lineRule="auto"/>
              <w:rPr>
                <w:rFonts w:cstheme="minorHAnsi"/>
              </w:rPr>
            </w:pPr>
            <w:r>
              <w:rPr>
                <w:rFonts w:cstheme="minorHAnsi"/>
              </w:rPr>
              <w:t>PVA</w:t>
            </w:r>
          </w:p>
        </w:tc>
        <w:tc>
          <w:tcPr>
            <w:tcW w:w="6521" w:type="dxa"/>
            <w:tcBorders>
              <w:top w:val="nil"/>
              <w:left w:val="nil"/>
              <w:bottom w:val="nil"/>
              <w:right w:val="nil"/>
            </w:tcBorders>
          </w:tcPr>
          <w:p w14:paraId="1C0A03AB" w14:textId="69E44AF6" w:rsidR="00637148" w:rsidRDefault="00637148" w:rsidP="004B698F">
            <w:pPr>
              <w:spacing w:line="276" w:lineRule="auto"/>
              <w:rPr>
                <w:rFonts w:cstheme="minorHAnsi"/>
              </w:rPr>
            </w:pPr>
            <w:r>
              <w:rPr>
                <w:rFonts w:cstheme="minorHAnsi"/>
              </w:rPr>
              <w:t>Poly(vinyl alcohol)</w:t>
            </w:r>
          </w:p>
        </w:tc>
      </w:tr>
      <w:tr w:rsidR="004B698F" w:rsidRPr="00777289" w14:paraId="61487C0D"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7005AD50" w14:textId="77777777" w:rsidR="004B698F" w:rsidRPr="00777289" w:rsidRDefault="004B698F" w:rsidP="004B698F">
            <w:pPr>
              <w:spacing w:line="276" w:lineRule="auto"/>
              <w:rPr>
                <w:rFonts w:cstheme="minorHAnsi"/>
              </w:rPr>
            </w:pPr>
            <w:r>
              <w:rPr>
                <w:rFonts w:cstheme="minorHAnsi"/>
              </w:rPr>
              <w:t>RCT</w:t>
            </w:r>
          </w:p>
        </w:tc>
        <w:tc>
          <w:tcPr>
            <w:tcW w:w="6521" w:type="dxa"/>
            <w:tcBorders>
              <w:top w:val="nil"/>
              <w:left w:val="nil"/>
              <w:bottom w:val="nil"/>
              <w:right w:val="nil"/>
            </w:tcBorders>
          </w:tcPr>
          <w:p w14:paraId="24D6D8D0" w14:textId="76D6DFEB" w:rsidR="004B698F" w:rsidRPr="00777289" w:rsidRDefault="004B698F" w:rsidP="004B698F">
            <w:pPr>
              <w:spacing w:line="276" w:lineRule="auto"/>
              <w:rPr>
                <w:rFonts w:cstheme="minorHAnsi"/>
              </w:rPr>
            </w:pPr>
            <w:r>
              <w:rPr>
                <w:rFonts w:cstheme="minorHAnsi"/>
              </w:rPr>
              <w:t>Random</w:t>
            </w:r>
            <w:r w:rsidR="00FE7206">
              <w:rPr>
                <w:rFonts w:cstheme="minorHAnsi"/>
              </w:rPr>
              <w:t>ised</w:t>
            </w:r>
            <w:r>
              <w:rPr>
                <w:rFonts w:cstheme="minorHAnsi"/>
              </w:rPr>
              <w:t xml:space="preserve"> controlled trial</w:t>
            </w:r>
          </w:p>
        </w:tc>
      </w:tr>
      <w:tr w:rsidR="004B698F" w:rsidRPr="00777289" w14:paraId="531782F6"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34CBEC6B" w14:textId="77777777" w:rsidR="004B698F" w:rsidRPr="00777289" w:rsidRDefault="004B698F" w:rsidP="004B698F">
            <w:pPr>
              <w:spacing w:line="276" w:lineRule="auto"/>
              <w:rPr>
                <w:rFonts w:cstheme="minorHAnsi"/>
              </w:rPr>
            </w:pPr>
            <w:r>
              <w:rPr>
                <w:rFonts w:cstheme="minorHAnsi"/>
              </w:rPr>
              <w:t>SGOT</w:t>
            </w:r>
          </w:p>
        </w:tc>
        <w:tc>
          <w:tcPr>
            <w:tcW w:w="6521" w:type="dxa"/>
            <w:tcBorders>
              <w:top w:val="nil"/>
              <w:left w:val="nil"/>
              <w:bottom w:val="nil"/>
              <w:right w:val="nil"/>
            </w:tcBorders>
          </w:tcPr>
          <w:p w14:paraId="0E399BB7" w14:textId="1FB9398A" w:rsidR="004B698F" w:rsidRPr="00777289" w:rsidRDefault="004B698F" w:rsidP="004B698F">
            <w:pPr>
              <w:spacing w:line="276" w:lineRule="auto"/>
              <w:rPr>
                <w:rFonts w:cstheme="minorHAnsi"/>
              </w:rPr>
            </w:pPr>
            <w:r>
              <w:rPr>
                <w:color w:val="000000" w:themeColor="text1"/>
              </w:rPr>
              <w:t>Serum glutamic oxalo</w:t>
            </w:r>
            <w:r w:rsidRPr="00C60F82">
              <w:rPr>
                <w:color w:val="000000" w:themeColor="text1"/>
              </w:rPr>
              <w:t>cetic transaminase</w:t>
            </w:r>
          </w:p>
        </w:tc>
      </w:tr>
      <w:tr w:rsidR="004B698F" w:rsidRPr="00777289" w14:paraId="24D87487" w14:textId="77777777" w:rsidTr="004B698F">
        <w:trPr>
          <w:trHeight w:val="397"/>
        </w:trPr>
        <w:tc>
          <w:tcPr>
            <w:tcW w:w="1701" w:type="dxa"/>
          </w:tcPr>
          <w:p w14:paraId="4807FC25" w14:textId="77777777" w:rsidR="004B698F" w:rsidRPr="00777289" w:rsidRDefault="004B698F" w:rsidP="004B698F">
            <w:pPr>
              <w:spacing w:line="276" w:lineRule="auto"/>
              <w:rPr>
                <w:rFonts w:cstheme="minorHAnsi"/>
              </w:rPr>
            </w:pPr>
            <w:r w:rsidRPr="00777289">
              <w:rPr>
                <w:rFonts w:cstheme="minorHAnsi"/>
              </w:rPr>
              <w:t>STSG</w:t>
            </w:r>
          </w:p>
        </w:tc>
        <w:tc>
          <w:tcPr>
            <w:tcW w:w="6521" w:type="dxa"/>
          </w:tcPr>
          <w:p w14:paraId="7560FD0B" w14:textId="77777777" w:rsidR="004B698F" w:rsidRPr="00777289" w:rsidRDefault="004B698F" w:rsidP="004B698F">
            <w:pPr>
              <w:spacing w:line="276" w:lineRule="auto"/>
              <w:rPr>
                <w:rFonts w:cstheme="minorHAnsi"/>
              </w:rPr>
            </w:pPr>
            <w:r w:rsidRPr="00777289">
              <w:rPr>
                <w:rFonts w:cstheme="minorHAnsi"/>
              </w:rPr>
              <w:t>Split thickness skin graft</w:t>
            </w:r>
          </w:p>
        </w:tc>
      </w:tr>
      <w:tr w:rsidR="004B698F" w:rsidRPr="00777289" w14:paraId="0177C14E" w14:textId="77777777" w:rsidTr="004B698F">
        <w:trPr>
          <w:trHeight w:val="397"/>
        </w:trPr>
        <w:tc>
          <w:tcPr>
            <w:tcW w:w="1701" w:type="dxa"/>
          </w:tcPr>
          <w:p w14:paraId="1EFB1751" w14:textId="77777777" w:rsidR="004B698F" w:rsidRPr="00777289" w:rsidRDefault="004B698F" w:rsidP="004B698F">
            <w:pPr>
              <w:spacing w:line="276" w:lineRule="auto"/>
              <w:rPr>
                <w:rFonts w:cstheme="minorHAnsi"/>
              </w:rPr>
            </w:pPr>
            <w:r w:rsidRPr="00777289">
              <w:rPr>
                <w:rFonts w:cstheme="minorHAnsi"/>
              </w:rPr>
              <w:t>T</w:t>
            </w:r>
            <w:r w:rsidRPr="00777289">
              <w:rPr>
                <w:rFonts w:cstheme="minorHAnsi"/>
                <w:vertAlign w:val="subscript"/>
              </w:rPr>
              <w:t>3</w:t>
            </w:r>
          </w:p>
        </w:tc>
        <w:tc>
          <w:tcPr>
            <w:tcW w:w="6521" w:type="dxa"/>
          </w:tcPr>
          <w:p w14:paraId="21BA41B7" w14:textId="77777777" w:rsidR="004B698F" w:rsidRPr="00777289" w:rsidRDefault="004B698F" w:rsidP="004B698F">
            <w:pPr>
              <w:spacing w:line="276" w:lineRule="auto"/>
              <w:rPr>
                <w:rFonts w:cstheme="minorHAnsi"/>
              </w:rPr>
            </w:pPr>
            <w:r w:rsidRPr="00777289">
              <w:t>Triiodo</w:t>
            </w:r>
            <w:r w:rsidRPr="00777289">
              <w:noBreakHyphen/>
              <w:t>L</w:t>
            </w:r>
            <w:r w:rsidRPr="00777289">
              <w:noBreakHyphen/>
              <w:t>thyronine</w:t>
            </w:r>
          </w:p>
        </w:tc>
      </w:tr>
      <w:tr w:rsidR="004B698F" w:rsidRPr="00777289" w14:paraId="625C8B9C" w14:textId="77777777" w:rsidTr="004B698F">
        <w:trPr>
          <w:trHeight w:val="397"/>
        </w:trPr>
        <w:tc>
          <w:tcPr>
            <w:tcW w:w="1701" w:type="dxa"/>
          </w:tcPr>
          <w:p w14:paraId="6A3F8D2C" w14:textId="77777777" w:rsidR="004B698F" w:rsidRPr="00777289" w:rsidRDefault="004B698F" w:rsidP="004B698F">
            <w:pPr>
              <w:spacing w:line="276" w:lineRule="auto"/>
              <w:rPr>
                <w:rFonts w:cstheme="minorHAnsi"/>
              </w:rPr>
            </w:pPr>
            <w:r>
              <w:rPr>
                <w:rFonts w:cstheme="minorHAnsi"/>
              </w:rPr>
              <w:t>TBSA</w:t>
            </w:r>
          </w:p>
        </w:tc>
        <w:tc>
          <w:tcPr>
            <w:tcW w:w="6521" w:type="dxa"/>
          </w:tcPr>
          <w:p w14:paraId="2317C7E6" w14:textId="77777777" w:rsidR="004B698F" w:rsidRPr="00777289" w:rsidRDefault="004B698F" w:rsidP="004B698F">
            <w:pPr>
              <w:spacing w:line="276" w:lineRule="auto"/>
              <w:rPr>
                <w:rFonts w:cstheme="minorHAnsi"/>
              </w:rPr>
            </w:pPr>
            <w:r>
              <w:rPr>
                <w:rFonts w:cstheme="minorHAnsi"/>
              </w:rPr>
              <w:t>Total body surface area</w:t>
            </w:r>
          </w:p>
        </w:tc>
      </w:tr>
      <w:tr w:rsidR="004B698F" w:rsidRPr="00777289" w14:paraId="5CA40427"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1364BD56" w14:textId="77777777" w:rsidR="004B698F" w:rsidRPr="00777289" w:rsidRDefault="004B698F" w:rsidP="004B698F">
            <w:pPr>
              <w:spacing w:line="276" w:lineRule="auto"/>
              <w:rPr>
                <w:rFonts w:cstheme="minorHAnsi"/>
              </w:rPr>
            </w:pPr>
            <w:r>
              <w:rPr>
                <w:rFonts w:cstheme="minorHAnsi"/>
              </w:rPr>
              <w:t>TEA</w:t>
            </w:r>
          </w:p>
        </w:tc>
        <w:tc>
          <w:tcPr>
            <w:tcW w:w="6521" w:type="dxa"/>
            <w:tcBorders>
              <w:top w:val="nil"/>
              <w:left w:val="nil"/>
              <w:bottom w:val="nil"/>
              <w:right w:val="nil"/>
            </w:tcBorders>
          </w:tcPr>
          <w:p w14:paraId="1AC041AB" w14:textId="77777777" w:rsidR="004B698F" w:rsidRPr="00777289" w:rsidRDefault="004B698F" w:rsidP="004B698F">
            <w:pPr>
              <w:spacing w:line="276" w:lineRule="auto"/>
              <w:rPr>
                <w:rFonts w:cstheme="minorHAnsi"/>
              </w:rPr>
            </w:pPr>
            <w:r>
              <w:rPr>
                <w:rFonts w:cstheme="minorHAnsi"/>
              </w:rPr>
              <w:t>Triethylamine</w:t>
            </w:r>
          </w:p>
        </w:tc>
      </w:tr>
      <w:tr w:rsidR="004B698F" w:rsidRPr="00777289" w14:paraId="10413B84" w14:textId="77777777" w:rsidTr="004B698F">
        <w:trPr>
          <w:trHeight w:val="397"/>
        </w:trPr>
        <w:tc>
          <w:tcPr>
            <w:tcW w:w="1701" w:type="dxa"/>
          </w:tcPr>
          <w:p w14:paraId="1B402D81" w14:textId="77777777" w:rsidR="004B698F" w:rsidRPr="00777289" w:rsidRDefault="004B698F" w:rsidP="004B698F">
            <w:pPr>
              <w:spacing w:line="276" w:lineRule="auto"/>
              <w:rPr>
                <w:rFonts w:cstheme="minorHAnsi"/>
              </w:rPr>
            </w:pPr>
            <w:r>
              <w:rPr>
                <w:rFonts w:cstheme="minorHAnsi"/>
              </w:rPr>
              <w:t>TEBM</w:t>
            </w:r>
          </w:p>
        </w:tc>
        <w:tc>
          <w:tcPr>
            <w:tcW w:w="6521" w:type="dxa"/>
          </w:tcPr>
          <w:p w14:paraId="081E5F78" w14:textId="47B78423" w:rsidR="004B698F" w:rsidRPr="00777289" w:rsidRDefault="004B698F" w:rsidP="004B698F">
            <w:pPr>
              <w:spacing w:line="276" w:lineRule="auto"/>
              <w:rPr>
                <w:rFonts w:cstheme="minorHAnsi"/>
              </w:rPr>
            </w:pPr>
            <w:r>
              <w:rPr>
                <w:rFonts w:cstheme="minorHAnsi"/>
              </w:rPr>
              <w:t>Tissue</w:t>
            </w:r>
            <w:r w:rsidR="009352BF">
              <w:rPr>
                <w:rFonts w:cstheme="minorHAnsi"/>
              </w:rPr>
              <w:t>-</w:t>
            </w:r>
            <w:r>
              <w:rPr>
                <w:rFonts w:cstheme="minorHAnsi"/>
              </w:rPr>
              <w:t>engineered buccal mucosa</w:t>
            </w:r>
          </w:p>
        </w:tc>
      </w:tr>
      <w:tr w:rsidR="004B698F" w:rsidRPr="00777289" w14:paraId="52F6BF80" w14:textId="77777777" w:rsidTr="004B698F">
        <w:trPr>
          <w:trHeight w:val="397"/>
        </w:trPr>
        <w:tc>
          <w:tcPr>
            <w:tcW w:w="1701" w:type="dxa"/>
          </w:tcPr>
          <w:p w14:paraId="3194DDEB" w14:textId="77777777" w:rsidR="004B698F" w:rsidRPr="00777289" w:rsidRDefault="004B698F" w:rsidP="004B698F">
            <w:pPr>
              <w:spacing w:line="276" w:lineRule="auto"/>
              <w:rPr>
                <w:rFonts w:cstheme="minorHAnsi"/>
              </w:rPr>
            </w:pPr>
            <w:r>
              <w:rPr>
                <w:rFonts w:cstheme="minorHAnsi"/>
              </w:rPr>
              <w:t>TES</w:t>
            </w:r>
          </w:p>
        </w:tc>
        <w:tc>
          <w:tcPr>
            <w:tcW w:w="6521" w:type="dxa"/>
          </w:tcPr>
          <w:p w14:paraId="3712453B" w14:textId="3C657168" w:rsidR="004B698F" w:rsidRPr="00777289" w:rsidRDefault="004B698F" w:rsidP="004B698F">
            <w:pPr>
              <w:spacing w:line="276" w:lineRule="auto"/>
              <w:rPr>
                <w:rFonts w:cstheme="minorHAnsi"/>
              </w:rPr>
            </w:pPr>
            <w:r>
              <w:rPr>
                <w:rFonts w:cstheme="minorHAnsi"/>
              </w:rPr>
              <w:t>Tissue</w:t>
            </w:r>
            <w:r w:rsidR="009352BF">
              <w:rPr>
                <w:rFonts w:cstheme="minorHAnsi"/>
              </w:rPr>
              <w:t>-</w:t>
            </w:r>
            <w:r>
              <w:rPr>
                <w:rFonts w:cstheme="minorHAnsi"/>
              </w:rPr>
              <w:t>engineered skin</w:t>
            </w:r>
          </w:p>
        </w:tc>
      </w:tr>
      <w:tr w:rsidR="004B698F" w:rsidRPr="00777289" w14:paraId="2A701F77" w14:textId="77777777" w:rsidTr="004B698F">
        <w:trPr>
          <w:trHeight w:val="397"/>
        </w:trPr>
        <w:tc>
          <w:tcPr>
            <w:tcW w:w="1701" w:type="dxa"/>
          </w:tcPr>
          <w:p w14:paraId="5F1D6DE3" w14:textId="77777777" w:rsidR="004B698F" w:rsidRPr="00777289" w:rsidRDefault="004B698F" w:rsidP="004B698F">
            <w:pPr>
              <w:spacing w:line="276" w:lineRule="auto"/>
              <w:rPr>
                <w:rFonts w:cstheme="minorHAnsi"/>
              </w:rPr>
            </w:pPr>
            <w:r w:rsidRPr="00777289">
              <w:rPr>
                <w:rFonts w:cstheme="minorHAnsi"/>
              </w:rPr>
              <w:t>THF</w:t>
            </w:r>
          </w:p>
        </w:tc>
        <w:tc>
          <w:tcPr>
            <w:tcW w:w="6521" w:type="dxa"/>
          </w:tcPr>
          <w:p w14:paraId="070D75E2" w14:textId="77777777" w:rsidR="004B698F" w:rsidRPr="00777289" w:rsidRDefault="004B698F" w:rsidP="004B698F">
            <w:pPr>
              <w:spacing w:line="276" w:lineRule="auto"/>
              <w:rPr>
                <w:rFonts w:cstheme="minorHAnsi"/>
              </w:rPr>
            </w:pPr>
            <w:r w:rsidRPr="00777289">
              <w:rPr>
                <w:rFonts w:cstheme="minorHAnsi"/>
              </w:rPr>
              <w:t>Tetrahydrofuran</w:t>
            </w:r>
          </w:p>
        </w:tc>
      </w:tr>
      <w:tr w:rsidR="004B698F" w:rsidRPr="00777289" w14:paraId="30231B5E"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2A73F332" w14:textId="77777777" w:rsidR="004B698F" w:rsidRPr="00777289" w:rsidRDefault="004B698F" w:rsidP="004B698F">
            <w:pPr>
              <w:spacing w:line="276" w:lineRule="auto"/>
              <w:rPr>
                <w:rFonts w:cstheme="minorHAnsi"/>
              </w:rPr>
            </w:pPr>
            <w:r>
              <w:rPr>
                <w:rFonts w:cstheme="minorHAnsi"/>
              </w:rPr>
              <w:t>TLC</w:t>
            </w:r>
          </w:p>
        </w:tc>
        <w:tc>
          <w:tcPr>
            <w:tcW w:w="6521" w:type="dxa"/>
            <w:tcBorders>
              <w:top w:val="nil"/>
              <w:left w:val="nil"/>
              <w:bottom w:val="nil"/>
              <w:right w:val="nil"/>
            </w:tcBorders>
          </w:tcPr>
          <w:p w14:paraId="3D458C46" w14:textId="77777777" w:rsidR="004B698F" w:rsidRPr="00777289" w:rsidRDefault="004B698F" w:rsidP="004B698F">
            <w:pPr>
              <w:spacing w:line="276" w:lineRule="auto"/>
              <w:rPr>
                <w:rFonts w:cstheme="minorHAnsi"/>
              </w:rPr>
            </w:pPr>
            <w:r>
              <w:rPr>
                <w:rFonts w:cstheme="minorHAnsi"/>
              </w:rPr>
              <w:t>Thin layer chromatography</w:t>
            </w:r>
          </w:p>
        </w:tc>
      </w:tr>
      <w:tr w:rsidR="004B698F" w:rsidRPr="00777289" w14:paraId="28B23344"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4DDDB8FE" w14:textId="77777777" w:rsidR="004B698F" w:rsidRPr="00777289" w:rsidRDefault="004B698F" w:rsidP="004B698F">
            <w:pPr>
              <w:spacing w:line="276" w:lineRule="auto"/>
              <w:rPr>
                <w:rFonts w:cstheme="minorHAnsi"/>
              </w:rPr>
            </w:pPr>
            <w:r>
              <w:rPr>
                <w:rFonts w:cstheme="minorHAnsi"/>
              </w:rPr>
              <w:t>VEGF</w:t>
            </w:r>
          </w:p>
        </w:tc>
        <w:tc>
          <w:tcPr>
            <w:tcW w:w="6521" w:type="dxa"/>
            <w:tcBorders>
              <w:top w:val="nil"/>
              <w:left w:val="nil"/>
              <w:bottom w:val="nil"/>
              <w:right w:val="nil"/>
            </w:tcBorders>
          </w:tcPr>
          <w:p w14:paraId="4E0ECBED" w14:textId="77777777" w:rsidR="004B698F" w:rsidRPr="00777289" w:rsidRDefault="004B698F" w:rsidP="004B698F">
            <w:pPr>
              <w:spacing w:line="276" w:lineRule="auto"/>
              <w:rPr>
                <w:rFonts w:cstheme="minorHAnsi"/>
              </w:rPr>
            </w:pPr>
            <w:r>
              <w:rPr>
                <w:rFonts w:cstheme="minorHAnsi"/>
              </w:rPr>
              <w:t>Vascular endothelial growth factor</w:t>
            </w:r>
          </w:p>
        </w:tc>
      </w:tr>
      <w:tr w:rsidR="004B698F" w:rsidRPr="00777289" w14:paraId="38E8A8B6" w14:textId="77777777" w:rsidTr="004B69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1701" w:type="dxa"/>
            <w:tcBorders>
              <w:top w:val="nil"/>
              <w:left w:val="nil"/>
              <w:bottom w:val="nil"/>
              <w:right w:val="nil"/>
            </w:tcBorders>
          </w:tcPr>
          <w:p w14:paraId="57658E52" w14:textId="77777777" w:rsidR="004B698F" w:rsidRPr="00777289" w:rsidRDefault="004B698F" w:rsidP="004B698F">
            <w:pPr>
              <w:spacing w:line="276" w:lineRule="auto"/>
              <w:rPr>
                <w:rFonts w:cstheme="minorHAnsi"/>
              </w:rPr>
            </w:pPr>
            <w:r>
              <w:rPr>
                <w:rFonts w:cstheme="minorHAnsi"/>
              </w:rPr>
              <w:t>XRD</w:t>
            </w:r>
          </w:p>
        </w:tc>
        <w:tc>
          <w:tcPr>
            <w:tcW w:w="6521" w:type="dxa"/>
            <w:tcBorders>
              <w:top w:val="nil"/>
              <w:left w:val="nil"/>
              <w:bottom w:val="nil"/>
              <w:right w:val="nil"/>
            </w:tcBorders>
          </w:tcPr>
          <w:p w14:paraId="6E11B8BA" w14:textId="77777777" w:rsidR="004B698F" w:rsidRPr="00777289" w:rsidRDefault="004B698F" w:rsidP="004B698F">
            <w:pPr>
              <w:spacing w:line="276" w:lineRule="auto"/>
              <w:rPr>
                <w:rFonts w:cstheme="minorHAnsi"/>
              </w:rPr>
            </w:pPr>
            <w:r>
              <w:rPr>
                <w:rFonts w:cstheme="minorHAnsi"/>
              </w:rPr>
              <w:t>X-ray diffraction</w:t>
            </w:r>
          </w:p>
        </w:tc>
      </w:tr>
      <w:tr w:rsidR="004B698F" w:rsidRPr="00777289" w14:paraId="481F5D7E" w14:textId="77777777" w:rsidTr="004B698F">
        <w:trPr>
          <w:trHeight w:val="397"/>
        </w:trPr>
        <w:tc>
          <w:tcPr>
            <w:tcW w:w="1701" w:type="dxa"/>
          </w:tcPr>
          <w:p w14:paraId="509D32BF" w14:textId="2CDB3AD0" w:rsidR="004B698F" w:rsidRPr="00777289" w:rsidRDefault="004B698F" w:rsidP="004B698F">
            <w:pPr>
              <w:spacing w:line="276" w:lineRule="auto"/>
              <w:rPr>
                <w:rFonts w:cstheme="minorHAnsi"/>
              </w:rPr>
            </w:pPr>
          </w:p>
        </w:tc>
        <w:tc>
          <w:tcPr>
            <w:tcW w:w="6521" w:type="dxa"/>
          </w:tcPr>
          <w:p w14:paraId="39B0A10E" w14:textId="341BE2DE" w:rsidR="004B698F" w:rsidRPr="00777289" w:rsidRDefault="004B698F" w:rsidP="004B698F">
            <w:pPr>
              <w:spacing w:line="276" w:lineRule="auto"/>
              <w:rPr>
                <w:rFonts w:cstheme="minorHAnsi"/>
              </w:rPr>
            </w:pPr>
          </w:p>
        </w:tc>
      </w:tr>
    </w:tbl>
    <w:p w14:paraId="5C13BD1B" w14:textId="77777777" w:rsidR="009F15DC" w:rsidRDefault="009F15DC" w:rsidP="003D132C">
      <w:pPr>
        <w:pStyle w:val="Heading1"/>
        <w:numPr>
          <w:ilvl w:val="0"/>
          <w:numId w:val="0"/>
        </w:numPr>
        <w:ind w:left="432" w:hanging="432"/>
      </w:pPr>
    </w:p>
    <w:p w14:paraId="54B697CF" w14:textId="77777777" w:rsidR="009F15DC" w:rsidRPr="009F15DC" w:rsidRDefault="009F15DC" w:rsidP="009F15DC"/>
    <w:p w14:paraId="23F73BA9" w14:textId="77777777" w:rsidR="009F15DC" w:rsidRDefault="009F15DC" w:rsidP="003D132C">
      <w:pPr>
        <w:pStyle w:val="Heading1"/>
        <w:numPr>
          <w:ilvl w:val="0"/>
          <w:numId w:val="0"/>
        </w:numPr>
        <w:ind w:left="432" w:hanging="432"/>
      </w:pPr>
    </w:p>
    <w:p w14:paraId="522B4EDC" w14:textId="5B27E05E" w:rsidR="009F15DC" w:rsidRDefault="00311816" w:rsidP="009F15DC">
      <w:pPr>
        <w:pStyle w:val="Heading1"/>
        <w:numPr>
          <w:ilvl w:val="0"/>
          <w:numId w:val="0"/>
        </w:numPr>
      </w:pPr>
      <w:r w:rsidRPr="009F15DC">
        <w:br w:type="page"/>
      </w:r>
    </w:p>
    <w:bookmarkStart w:id="6" w:name="_Toc2450966" w:displacedByCustomXml="next"/>
    <w:sdt>
      <w:sdtPr>
        <w:rPr>
          <w:rFonts w:ascii="Helvetica" w:eastAsiaTheme="minorHAnsi" w:hAnsi="Helvetica" w:cstheme="minorBidi"/>
          <w:b w:val="0"/>
          <w:bCs/>
          <w:color w:val="auto"/>
          <w:sz w:val="24"/>
          <w:szCs w:val="24"/>
        </w:rPr>
        <w:id w:val="-438835988"/>
        <w:docPartObj>
          <w:docPartGallery w:val="Table of Contents"/>
          <w:docPartUnique/>
        </w:docPartObj>
      </w:sdtPr>
      <w:sdtEndPr>
        <w:rPr>
          <w:rFonts w:ascii="Times New Roman" w:hAnsi="Times New Roman"/>
          <w:bCs w:val="0"/>
          <w:noProof/>
        </w:rPr>
      </w:sdtEndPr>
      <w:sdtContent>
        <w:p w14:paraId="760C55F2" w14:textId="0694B478" w:rsidR="00E8374D" w:rsidRPr="009F15DC" w:rsidRDefault="009F15DC" w:rsidP="009F15DC">
          <w:pPr>
            <w:pStyle w:val="Heading1"/>
            <w:numPr>
              <w:ilvl w:val="0"/>
              <w:numId w:val="0"/>
            </w:numPr>
            <w:ind w:left="432" w:hanging="432"/>
          </w:pPr>
          <w:r>
            <w:t>Table of Co</w:t>
          </w:r>
          <w:r w:rsidRPr="003D132C">
            <w:t>ntent</w:t>
          </w:r>
          <w:r>
            <w:t>s</w:t>
          </w:r>
          <w:bookmarkEnd w:id="6"/>
        </w:p>
        <w:p w14:paraId="6E2BB36A" w14:textId="061B94DA" w:rsidR="00322955" w:rsidRDefault="009F15DC">
          <w:pPr>
            <w:pStyle w:val="TOC1"/>
            <w:tabs>
              <w:tab w:val="right" w:leader="dot" w:pos="8182"/>
            </w:tabs>
            <w:rPr>
              <w:rFonts w:asciiTheme="minorHAnsi" w:eastAsiaTheme="minorEastAsia" w:hAnsiTheme="minorHAnsi" w:cstheme="minorBidi"/>
              <w:b w:val="0"/>
              <w:bCs w:val="0"/>
              <w:i w:val="0"/>
              <w:iCs w:val="0"/>
              <w:noProof/>
            </w:rPr>
          </w:pPr>
          <w:r>
            <w:rPr>
              <w:i w:val="0"/>
              <w:iCs w:val="0"/>
            </w:rPr>
            <w:fldChar w:fldCharType="begin"/>
          </w:r>
          <w:r>
            <w:rPr>
              <w:i w:val="0"/>
              <w:iCs w:val="0"/>
            </w:rPr>
            <w:instrText xml:space="preserve"> TOC \o "1-3" \h \z \u </w:instrText>
          </w:r>
          <w:r>
            <w:rPr>
              <w:i w:val="0"/>
              <w:iCs w:val="0"/>
            </w:rPr>
            <w:fldChar w:fldCharType="separate"/>
          </w:r>
          <w:hyperlink w:anchor="_Toc2450961" w:history="1">
            <w:r w:rsidR="00322955" w:rsidRPr="0042470B">
              <w:rPr>
                <w:rStyle w:val="Hyperlink"/>
                <w:noProof/>
              </w:rPr>
              <w:t>Declaration</w:t>
            </w:r>
            <w:r w:rsidR="00322955">
              <w:rPr>
                <w:noProof/>
                <w:webHidden/>
              </w:rPr>
              <w:tab/>
            </w:r>
            <w:r w:rsidR="00322955">
              <w:rPr>
                <w:noProof/>
                <w:webHidden/>
              </w:rPr>
              <w:fldChar w:fldCharType="begin"/>
            </w:r>
            <w:r w:rsidR="00322955">
              <w:rPr>
                <w:noProof/>
                <w:webHidden/>
              </w:rPr>
              <w:instrText xml:space="preserve"> PAGEREF _Toc2450961 \h </w:instrText>
            </w:r>
            <w:r w:rsidR="00322955">
              <w:rPr>
                <w:noProof/>
                <w:webHidden/>
              </w:rPr>
            </w:r>
            <w:r w:rsidR="00322955">
              <w:rPr>
                <w:noProof/>
                <w:webHidden/>
              </w:rPr>
              <w:fldChar w:fldCharType="separate"/>
            </w:r>
            <w:r w:rsidR="00E6157A">
              <w:rPr>
                <w:noProof/>
                <w:webHidden/>
              </w:rPr>
              <w:t>i</w:t>
            </w:r>
            <w:r w:rsidR="00322955">
              <w:rPr>
                <w:noProof/>
                <w:webHidden/>
              </w:rPr>
              <w:fldChar w:fldCharType="end"/>
            </w:r>
          </w:hyperlink>
        </w:p>
        <w:p w14:paraId="1D8EE73D" w14:textId="49503FDD"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0962" w:history="1">
            <w:r w:rsidRPr="0042470B">
              <w:rPr>
                <w:rStyle w:val="Hyperlink"/>
                <w:noProof/>
              </w:rPr>
              <w:t>Abstract</w:t>
            </w:r>
            <w:r>
              <w:rPr>
                <w:noProof/>
                <w:webHidden/>
              </w:rPr>
              <w:tab/>
            </w:r>
            <w:r>
              <w:rPr>
                <w:noProof/>
                <w:webHidden/>
              </w:rPr>
              <w:fldChar w:fldCharType="begin"/>
            </w:r>
            <w:r>
              <w:rPr>
                <w:noProof/>
                <w:webHidden/>
              </w:rPr>
              <w:instrText xml:space="preserve"> PAGEREF _Toc2450962 \h </w:instrText>
            </w:r>
            <w:r>
              <w:rPr>
                <w:noProof/>
                <w:webHidden/>
              </w:rPr>
            </w:r>
            <w:r>
              <w:rPr>
                <w:noProof/>
                <w:webHidden/>
              </w:rPr>
              <w:fldChar w:fldCharType="separate"/>
            </w:r>
            <w:r w:rsidR="00E6157A">
              <w:rPr>
                <w:noProof/>
                <w:webHidden/>
              </w:rPr>
              <w:t>iii</w:t>
            </w:r>
            <w:r>
              <w:rPr>
                <w:noProof/>
                <w:webHidden/>
              </w:rPr>
              <w:fldChar w:fldCharType="end"/>
            </w:r>
          </w:hyperlink>
        </w:p>
        <w:p w14:paraId="0E49E136" w14:textId="1F411378"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0963" w:history="1">
            <w:r w:rsidRPr="0042470B">
              <w:rPr>
                <w:rStyle w:val="Hyperlink"/>
                <w:noProof/>
              </w:rPr>
              <w:t>Publications and conferences</w:t>
            </w:r>
            <w:r>
              <w:rPr>
                <w:noProof/>
                <w:webHidden/>
              </w:rPr>
              <w:tab/>
            </w:r>
            <w:r>
              <w:rPr>
                <w:noProof/>
                <w:webHidden/>
              </w:rPr>
              <w:fldChar w:fldCharType="begin"/>
            </w:r>
            <w:r>
              <w:rPr>
                <w:noProof/>
                <w:webHidden/>
              </w:rPr>
              <w:instrText xml:space="preserve"> PAGEREF _Toc2450963 \h </w:instrText>
            </w:r>
            <w:r>
              <w:rPr>
                <w:noProof/>
                <w:webHidden/>
              </w:rPr>
            </w:r>
            <w:r>
              <w:rPr>
                <w:noProof/>
                <w:webHidden/>
              </w:rPr>
              <w:fldChar w:fldCharType="separate"/>
            </w:r>
            <w:r w:rsidR="00E6157A">
              <w:rPr>
                <w:noProof/>
                <w:webHidden/>
              </w:rPr>
              <w:t>v</w:t>
            </w:r>
            <w:r>
              <w:rPr>
                <w:noProof/>
                <w:webHidden/>
              </w:rPr>
              <w:fldChar w:fldCharType="end"/>
            </w:r>
          </w:hyperlink>
        </w:p>
        <w:p w14:paraId="4351841F" w14:textId="4764AA28"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0964" w:history="1">
            <w:r w:rsidRPr="0042470B">
              <w:rPr>
                <w:rStyle w:val="Hyperlink"/>
                <w:noProof/>
              </w:rPr>
              <w:t>Acknowledgements</w:t>
            </w:r>
            <w:r>
              <w:rPr>
                <w:noProof/>
                <w:webHidden/>
              </w:rPr>
              <w:tab/>
            </w:r>
            <w:r>
              <w:rPr>
                <w:noProof/>
                <w:webHidden/>
              </w:rPr>
              <w:fldChar w:fldCharType="begin"/>
            </w:r>
            <w:r>
              <w:rPr>
                <w:noProof/>
                <w:webHidden/>
              </w:rPr>
              <w:instrText xml:space="preserve"> PAGEREF _Toc2450964 \h </w:instrText>
            </w:r>
            <w:r>
              <w:rPr>
                <w:noProof/>
                <w:webHidden/>
              </w:rPr>
            </w:r>
            <w:r>
              <w:rPr>
                <w:noProof/>
                <w:webHidden/>
              </w:rPr>
              <w:fldChar w:fldCharType="separate"/>
            </w:r>
            <w:r w:rsidR="00E6157A">
              <w:rPr>
                <w:noProof/>
                <w:webHidden/>
              </w:rPr>
              <w:t>vii</w:t>
            </w:r>
            <w:r>
              <w:rPr>
                <w:noProof/>
                <w:webHidden/>
              </w:rPr>
              <w:fldChar w:fldCharType="end"/>
            </w:r>
          </w:hyperlink>
        </w:p>
        <w:p w14:paraId="2946793F" w14:textId="729A7FAA"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0965" w:history="1">
            <w:r w:rsidRPr="0042470B">
              <w:rPr>
                <w:rStyle w:val="Hyperlink"/>
                <w:noProof/>
              </w:rPr>
              <w:t>List of abbreviations</w:t>
            </w:r>
            <w:r>
              <w:rPr>
                <w:noProof/>
                <w:webHidden/>
              </w:rPr>
              <w:tab/>
            </w:r>
            <w:r>
              <w:rPr>
                <w:noProof/>
                <w:webHidden/>
              </w:rPr>
              <w:fldChar w:fldCharType="begin"/>
            </w:r>
            <w:r>
              <w:rPr>
                <w:noProof/>
                <w:webHidden/>
              </w:rPr>
              <w:instrText xml:space="preserve"> PAGEREF _Toc2450965 \h </w:instrText>
            </w:r>
            <w:r>
              <w:rPr>
                <w:noProof/>
                <w:webHidden/>
              </w:rPr>
            </w:r>
            <w:r>
              <w:rPr>
                <w:noProof/>
                <w:webHidden/>
              </w:rPr>
              <w:fldChar w:fldCharType="separate"/>
            </w:r>
            <w:r w:rsidR="00E6157A">
              <w:rPr>
                <w:noProof/>
                <w:webHidden/>
              </w:rPr>
              <w:t>ix</w:t>
            </w:r>
            <w:r>
              <w:rPr>
                <w:noProof/>
                <w:webHidden/>
              </w:rPr>
              <w:fldChar w:fldCharType="end"/>
            </w:r>
          </w:hyperlink>
        </w:p>
        <w:p w14:paraId="0FA63384" w14:textId="77AE7814"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0966" w:history="1">
            <w:r w:rsidRPr="0042470B">
              <w:rPr>
                <w:rStyle w:val="Hyperlink"/>
                <w:noProof/>
              </w:rPr>
              <w:t>Table of Contents</w:t>
            </w:r>
            <w:r>
              <w:rPr>
                <w:noProof/>
                <w:webHidden/>
              </w:rPr>
              <w:tab/>
            </w:r>
            <w:r>
              <w:rPr>
                <w:noProof/>
                <w:webHidden/>
              </w:rPr>
              <w:fldChar w:fldCharType="begin"/>
            </w:r>
            <w:r>
              <w:rPr>
                <w:noProof/>
                <w:webHidden/>
              </w:rPr>
              <w:instrText xml:space="preserve"> PAGEREF _Toc2450966 \h </w:instrText>
            </w:r>
            <w:r>
              <w:rPr>
                <w:noProof/>
                <w:webHidden/>
              </w:rPr>
            </w:r>
            <w:r>
              <w:rPr>
                <w:noProof/>
                <w:webHidden/>
              </w:rPr>
              <w:fldChar w:fldCharType="separate"/>
            </w:r>
            <w:r w:rsidR="00E6157A">
              <w:rPr>
                <w:noProof/>
                <w:webHidden/>
              </w:rPr>
              <w:t>xi</w:t>
            </w:r>
            <w:r>
              <w:rPr>
                <w:noProof/>
                <w:webHidden/>
              </w:rPr>
              <w:fldChar w:fldCharType="end"/>
            </w:r>
          </w:hyperlink>
        </w:p>
        <w:p w14:paraId="76130952" w14:textId="1FB2B907"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0967" w:history="1">
            <w:r w:rsidRPr="0042470B">
              <w:rPr>
                <w:rStyle w:val="Hyperlink"/>
                <w:noProof/>
              </w:rPr>
              <w:t>1</w:t>
            </w:r>
            <w:r>
              <w:rPr>
                <w:rFonts w:asciiTheme="minorHAnsi" w:eastAsiaTheme="minorEastAsia" w:hAnsiTheme="minorHAnsi" w:cstheme="minorBidi"/>
                <w:b w:val="0"/>
                <w:bCs w:val="0"/>
                <w:i w:val="0"/>
                <w:iCs w:val="0"/>
                <w:noProof/>
              </w:rPr>
              <w:tab/>
            </w:r>
            <w:r w:rsidRPr="0042470B">
              <w:rPr>
                <w:rStyle w:val="Hyperlink"/>
                <w:noProof/>
              </w:rPr>
              <w:t>Chapter One: Introduction</w:t>
            </w:r>
            <w:r>
              <w:rPr>
                <w:noProof/>
                <w:webHidden/>
              </w:rPr>
              <w:tab/>
            </w:r>
            <w:r>
              <w:rPr>
                <w:noProof/>
                <w:webHidden/>
              </w:rPr>
              <w:fldChar w:fldCharType="begin"/>
            </w:r>
            <w:r>
              <w:rPr>
                <w:noProof/>
                <w:webHidden/>
              </w:rPr>
              <w:instrText xml:space="preserve"> PAGEREF _Toc2450967 \h </w:instrText>
            </w:r>
            <w:r>
              <w:rPr>
                <w:noProof/>
                <w:webHidden/>
              </w:rPr>
            </w:r>
            <w:r>
              <w:rPr>
                <w:noProof/>
                <w:webHidden/>
              </w:rPr>
              <w:fldChar w:fldCharType="separate"/>
            </w:r>
            <w:r w:rsidR="00E6157A">
              <w:rPr>
                <w:noProof/>
                <w:webHidden/>
              </w:rPr>
              <w:t>1</w:t>
            </w:r>
            <w:r>
              <w:rPr>
                <w:noProof/>
                <w:webHidden/>
              </w:rPr>
              <w:fldChar w:fldCharType="end"/>
            </w:r>
          </w:hyperlink>
        </w:p>
        <w:p w14:paraId="53597BBC" w14:textId="59BBECB9"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68" w:history="1">
            <w:r w:rsidRPr="0042470B">
              <w:rPr>
                <w:rStyle w:val="Hyperlink"/>
                <w:noProof/>
              </w:rPr>
              <w:t>1.1</w:t>
            </w:r>
            <w:r>
              <w:rPr>
                <w:rFonts w:asciiTheme="minorHAnsi" w:eastAsiaTheme="minorEastAsia" w:hAnsiTheme="minorHAnsi" w:cstheme="minorBidi"/>
                <w:b w:val="0"/>
                <w:bCs w:val="0"/>
                <w:noProof/>
                <w:sz w:val="24"/>
                <w:szCs w:val="24"/>
              </w:rPr>
              <w:tab/>
            </w:r>
            <w:r w:rsidRPr="0042470B">
              <w:rPr>
                <w:rStyle w:val="Hyperlink"/>
                <w:noProof/>
              </w:rPr>
              <w:t>Burns</w:t>
            </w:r>
            <w:r>
              <w:rPr>
                <w:noProof/>
                <w:webHidden/>
              </w:rPr>
              <w:tab/>
            </w:r>
            <w:r>
              <w:rPr>
                <w:noProof/>
                <w:webHidden/>
              </w:rPr>
              <w:fldChar w:fldCharType="begin"/>
            </w:r>
            <w:r>
              <w:rPr>
                <w:noProof/>
                <w:webHidden/>
              </w:rPr>
              <w:instrText xml:space="preserve"> PAGEREF _Toc2450968 \h </w:instrText>
            </w:r>
            <w:r>
              <w:rPr>
                <w:noProof/>
                <w:webHidden/>
              </w:rPr>
            </w:r>
            <w:r>
              <w:rPr>
                <w:noProof/>
                <w:webHidden/>
              </w:rPr>
              <w:fldChar w:fldCharType="separate"/>
            </w:r>
            <w:r w:rsidR="00E6157A">
              <w:rPr>
                <w:noProof/>
                <w:webHidden/>
              </w:rPr>
              <w:t>1</w:t>
            </w:r>
            <w:r>
              <w:rPr>
                <w:noProof/>
                <w:webHidden/>
              </w:rPr>
              <w:fldChar w:fldCharType="end"/>
            </w:r>
          </w:hyperlink>
        </w:p>
        <w:p w14:paraId="2AECB955" w14:textId="47F867E8"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69" w:history="1">
            <w:r w:rsidRPr="0042470B">
              <w:rPr>
                <w:rStyle w:val="Hyperlink"/>
                <w:noProof/>
              </w:rPr>
              <w:t>1.1.1</w:t>
            </w:r>
            <w:r>
              <w:rPr>
                <w:rFonts w:asciiTheme="minorHAnsi" w:eastAsiaTheme="minorEastAsia" w:hAnsiTheme="minorHAnsi" w:cstheme="minorBidi"/>
                <w:noProof/>
                <w:sz w:val="24"/>
                <w:szCs w:val="24"/>
              </w:rPr>
              <w:tab/>
            </w:r>
            <w:r w:rsidRPr="0042470B">
              <w:rPr>
                <w:rStyle w:val="Hyperlink"/>
                <w:noProof/>
              </w:rPr>
              <w:t>Burn physiology</w:t>
            </w:r>
            <w:r>
              <w:rPr>
                <w:noProof/>
                <w:webHidden/>
              </w:rPr>
              <w:tab/>
            </w:r>
            <w:r>
              <w:rPr>
                <w:noProof/>
                <w:webHidden/>
              </w:rPr>
              <w:fldChar w:fldCharType="begin"/>
            </w:r>
            <w:r>
              <w:rPr>
                <w:noProof/>
                <w:webHidden/>
              </w:rPr>
              <w:instrText xml:space="preserve"> PAGEREF _Toc2450969 \h </w:instrText>
            </w:r>
            <w:r>
              <w:rPr>
                <w:noProof/>
                <w:webHidden/>
              </w:rPr>
            </w:r>
            <w:r>
              <w:rPr>
                <w:noProof/>
                <w:webHidden/>
              </w:rPr>
              <w:fldChar w:fldCharType="separate"/>
            </w:r>
            <w:r w:rsidR="00E6157A">
              <w:rPr>
                <w:noProof/>
                <w:webHidden/>
              </w:rPr>
              <w:t>1</w:t>
            </w:r>
            <w:r>
              <w:rPr>
                <w:noProof/>
                <w:webHidden/>
              </w:rPr>
              <w:fldChar w:fldCharType="end"/>
            </w:r>
          </w:hyperlink>
        </w:p>
        <w:p w14:paraId="568ECA25" w14:textId="4AE8C750"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0" w:history="1">
            <w:r w:rsidRPr="0042470B">
              <w:rPr>
                <w:rStyle w:val="Hyperlink"/>
                <w:noProof/>
              </w:rPr>
              <w:t>1.1.2</w:t>
            </w:r>
            <w:r>
              <w:rPr>
                <w:rFonts w:asciiTheme="minorHAnsi" w:eastAsiaTheme="minorEastAsia" w:hAnsiTheme="minorHAnsi" w:cstheme="minorBidi"/>
                <w:noProof/>
                <w:sz w:val="24"/>
                <w:szCs w:val="24"/>
              </w:rPr>
              <w:tab/>
            </w:r>
            <w:r w:rsidRPr="0042470B">
              <w:rPr>
                <w:rStyle w:val="Hyperlink"/>
                <w:noProof/>
              </w:rPr>
              <w:t>Burn wound healing</w:t>
            </w:r>
            <w:r>
              <w:rPr>
                <w:noProof/>
                <w:webHidden/>
              </w:rPr>
              <w:tab/>
            </w:r>
            <w:r>
              <w:rPr>
                <w:noProof/>
                <w:webHidden/>
              </w:rPr>
              <w:fldChar w:fldCharType="begin"/>
            </w:r>
            <w:r>
              <w:rPr>
                <w:noProof/>
                <w:webHidden/>
              </w:rPr>
              <w:instrText xml:space="preserve"> PAGEREF _Toc2450970 \h </w:instrText>
            </w:r>
            <w:r>
              <w:rPr>
                <w:noProof/>
                <w:webHidden/>
              </w:rPr>
            </w:r>
            <w:r>
              <w:rPr>
                <w:noProof/>
                <w:webHidden/>
              </w:rPr>
              <w:fldChar w:fldCharType="separate"/>
            </w:r>
            <w:r w:rsidR="00E6157A">
              <w:rPr>
                <w:noProof/>
                <w:webHidden/>
              </w:rPr>
              <w:t>3</w:t>
            </w:r>
            <w:r>
              <w:rPr>
                <w:noProof/>
                <w:webHidden/>
              </w:rPr>
              <w:fldChar w:fldCharType="end"/>
            </w:r>
          </w:hyperlink>
        </w:p>
        <w:p w14:paraId="3EEDC63B" w14:textId="4A320F5D"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1" w:history="1">
            <w:r w:rsidRPr="0042470B">
              <w:rPr>
                <w:rStyle w:val="Hyperlink"/>
                <w:noProof/>
              </w:rPr>
              <w:t>1.1.3</w:t>
            </w:r>
            <w:r>
              <w:rPr>
                <w:rFonts w:asciiTheme="minorHAnsi" w:eastAsiaTheme="minorEastAsia" w:hAnsiTheme="minorHAnsi" w:cstheme="minorBidi"/>
                <w:noProof/>
                <w:sz w:val="24"/>
                <w:szCs w:val="24"/>
              </w:rPr>
              <w:tab/>
            </w:r>
            <w:r w:rsidRPr="0042470B">
              <w:rPr>
                <w:rStyle w:val="Hyperlink"/>
                <w:noProof/>
              </w:rPr>
              <w:t>Burn wound treatment regimes</w:t>
            </w:r>
            <w:r>
              <w:rPr>
                <w:noProof/>
                <w:webHidden/>
              </w:rPr>
              <w:tab/>
            </w:r>
            <w:r>
              <w:rPr>
                <w:noProof/>
                <w:webHidden/>
              </w:rPr>
              <w:fldChar w:fldCharType="begin"/>
            </w:r>
            <w:r>
              <w:rPr>
                <w:noProof/>
                <w:webHidden/>
              </w:rPr>
              <w:instrText xml:space="preserve"> PAGEREF _Toc2450971 \h </w:instrText>
            </w:r>
            <w:r>
              <w:rPr>
                <w:noProof/>
                <w:webHidden/>
              </w:rPr>
            </w:r>
            <w:r>
              <w:rPr>
                <w:noProof/>
                <w:webHidden/>
              </w:rPr>
              <w:fldChar w:fldCharType="separate"/>
            </w:r>
            <w:r w:rsidR="00E6157A">
              <w:rPr>
                <w:noProof/>
                <w:webHidden/>
              </w:rPr>
              <w:t>5</w:t>
            </w:r>
            <w:r>
              <w:rPr>
                <w:noProof/>
                <w:webHidden/>
              </w:rPr>
              <w:fldChar w:fldCharType="end"/>
            </w:r>
          </w:hyperlink>
        </w:p>
        <w:p w14:paraId="42DAA8A4" w14:textId="536D2AF0"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72" w:history="1">
            <w:r w:rsidRPr="0042470B">
              <w:rPr>
                <w:rStyle w:val="Hyperlink"/>
                <w:noProof/>
              </w:rPr>
              <w:t>1.2</w:t>
            </w:r>
            <w:r>
              <w:rPr>
                <w:rFonts w:asciiTheme="minorHAnsi" w:eastAsiaTheme="minorEastAsia" w:hAnsiTheme="minorHAnsi" w:cstheme="minorBidi"/>
                <w:b w:val="0"/>
                <w:bCs w:val="0"/>
                <w:noProof/>
                <w:sz w:val="24"/>
                <w:szCs w:val="24"/>
              </w:rPr>
              <w:tab/>
            </w:r>
            <w:r w:rsidRPr="0042470B">
              <w:rPr>
                <w:rStyle w:val="Hyperlink"/>
                <w:noProof/>
              </w:rPr>
              <w:t>Post-burn contractures</w:t>
            </w:r>
            <w:r>
              <w:rPr>
                <w:noProof/>
                <w:webHidden/>
              </w:rPr>
              <w:tab/>
            </w:r>
            <w:r>
              <w:rPr>
                <w:noProof/>
                <w:webHidden/>
              </w:rPr>
              <w:fldChar w:fldCharType="begin"/>
            </w:r>
            <w:r>
              <w:rPr>
                <w:noProof/>
                <w:webHidden/>
              </w:rPr>
              <w:instrText xml:space="preserve"> PAGEREF _Toc2450972 \h </w:instrText>
            </w:r>
            <w:r>
              <w:rPr>
                <w:noProof/>
                <w:webHidden/>
              </w:rPr>
            </w:r>
            <w:r>
              <w:rPr>
                <w:noProof/>
                <w:webHidden/>
              </w:rPr>
              <w:fldChar w:fldCharType="separate"/>
            </w:r>
            <w:r w:rsidR="00E6157A">
              <w:rPr>
                <w:noProof/>
                <w:webHidden/>
              </w:rPr>
              <w:t>6</w:t>
            </w:r>
            <w:r>
              <w:rPr>
                <w:noProof/>
                <w:webHidden/>
              </w:rPr>
              <w:fldChar w:fldCharType="end"/>
            </w:r>
          </w:hyperlink>
        </w:p>
        <w:p w14:paraId="598461EF" w14:textId="28E6CC7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3" w:history="1">
            <w:r w:rsidRPr="0042470B">
              <w:rPr>
                <w:rStyle w:val="Hyperlink"/>
                <w:noProof/>
              </w:rPr>
              <w:t>1.2.1</w:t>
            </w:r>
            <w:r>
              <w:rPr>
                <w:rFonts w:asciiTheme="minorHAnsi" w:eastAsiaTheme="minorEastAsia" w:hAnsiTheme="minorHAnsi" w:cstheme="minorBidi"/>
                <w:noProof/>
                <w:sz w:val="24"/>
                <w:szCs w:val="24"/>
              </w:rPr>
              <w:tab/>
            </w:r>
            <w:r w:rsidRPr="0042470B">
              <w:rPr>
                <w:rStyle w:val="Hyperlink"/>
                <w:noProof/>
              </w:rPr>
              <w:t>Current treatments for scar contracture</w:t>
            </w:r>
            <w:r>
              <w:rPr>
                <w:noProof/>
                <w:webHidden/>
              </w:rPr>
              <w:tab/>
            </w:r>
            <w:r>
              <w:rPr>
                <w:noProof/>
                <w:webHidden/>
              </w:rPr>
              <w:fldChar w:fldCharType="begin"/>
            </w:r>
            <w:r>
              <w:rPr>
                <w:noProof/>
                <w:webHidden/>
              </w:rPr>
              <w:instrText xml:space="preserve"> PAGEREF _Toc2450973 \h </w:instrText>
            </w:r>
            <w:r>
              <w:rPr>
                <w:noProof/>
                <w:webHidden/>
              </w:rPr>
            </w:r>
            <w:r>
              <w:rPr>
                <w:noProof/>
                <w:webHidden/>
              </w:rPr>
              <w:fldChar w:fldCharType="separate"/>
            </w:r>
            <w:r w:rsidR="00E6157A">
              <w:rPr>
                <w:noProof/>
                <w:webHidden/>
              </w:rPr>
              <w:t>7</w:t>
            </w:r>
            <w:r>
              <w:rPr>
                <w:noProof/>
                <w:webHidden/>
              </w:rPr>
              <w:fldChar w:fldCharType="end"/>
            </w:r>
          </w:hyperlink>
        </w:p>
        <w:p w14:paraId="46ADFD2B" w14:textId="2D878762"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4" w:history="1">
            <w:r w:rsidRPr="0042470B">
              <w:rPr>
                <w:rStyle w:val="Hyperlink"/>
                <w:noProof/>
              </w:rPr>
              <w:t>1.2.2</w:t>
            </w:r>
            <w:r>
              <w:rPr>
                <w:rFonts w:asciiTheme="minorHAnsi" w:eastAsiaTheme="minorEastAsia" w:hAnsiTheme="minorHAnsi" w:cstheme="minorBidi"/>
                <w:noProof/>
                <w:sz w:val="24"/>
                <w:szCs w:val="24"/>
              </w:rPr>
              <w:tab/>
            </w:r>
            <w:r w:rsidRPr="0042470B">
              <w:rPr>
                <w:rStyle w:val="Hyperlink"/>
                <w:noProof/>
              </w:rPr>
              <w:t>Preventative strategies</w:t>
            </w:r>
            <w:r>
              <w:rPr>
                <w:noProof/>
                <w:webHidden/>
              </w:rPr>
              <w:tab/>
            </w:r>
            <w:r>
              <w:rPr>
                <w:noProof/>
                <w:webHidden/>
              </w:rPr>
              <w:fldChar w:fldCharType="begin"/>
            </w:r>
            <w:r>
              <w:rPr>
                <w:noProof/>
                <w:webHidden/>
              </w:rPr>
              <w:instrText xml:space="preserve"> PAGEREF _Toc2450974 \h </w:instrText>
            </w:r>
            <w:r>
              <w:rPr>
                <w:noProof/>
                <w:webHidden/>
              </w:rPr>
            </w:r>
            <w:r>
              <w:rPr>
                <w:noProof/>
                <w:webHidden/>
              </w:rPr>
              <w:fldChar w:fldCharType="separate"/>
            </w:r>
            <w:r w:rsidR="00E6157A">
              <w:rPr>
                <w:noProof/>
                <w:webHidden/>
              </w:rPr>
              <w:t>7</w:t>
            </w:r>
            <w:r>
              <w:rPr>
                <w:noProof/>
                <w:webHidden/>
              </w:rPr>
              <w:fldChar w:fldCharType="end"/>
            </w:r>
          </w:hyperlink>
        </w:p>
        <w:p w14:paraId="1BD63151" w14:textId="103B13BA"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5" w:history="1">
            <w:r w:rsidRPr="0042470B">
              <w:rPr>
                <w:rStyle w:val="Hyperlink"/>
                <w:noProof/>
              </w:rPr>
              <w:t>1.2.3</w:t>
            </w:r>
            <w:r>
              <w:rPr>
                <w:rFonts w:asciiTheme="minorHAnsi" w:eastAsiaTheme="minorEastAsia" w:hAnsiTheme="minorHAnsi" w:cstheme="minorBidi"/>
                <w:noProof/>
                <w:sz w:val="24"/>
                <w:szCs w:val="24"/>
              </w:rPr>
              <w:tab/>
            </w:r>
            <w:r w:rsidRPr="0042470B">
              <w:rPr>
                <w:rStyle w:val="Hyperlink"/>
                <w:noProof/>
              </w:rPr>
              <w:t>Remodelling strategies</w:t>
            </w:r>
            <w:r>
              <w:rPr>
                <w:noProof/>
                <w:webHidden/>
              </w:rPr>
              <w:tab/>
            </w:r>
            <w:r>
              <w:rPr>
                <w:noProof/>
                <w:webHidden/>
              </w:rPr>
              <w:fldChar w:fldCharType="begin"/>
            </w:r>
            <w:r>
              <w:rPr>
                <w:noProof/>
                <w:webHidden/>
              </w:rPr>
              <w:instrText xml:space="preserve"> PAGEREF _Toc2450975 \h </w:instrText>
            </w:r>
            <w:r>
              <w:rPr>
                <w:noProof/>
                <w:webHidden/>
              </w:rPr>
            </w:r>
            <w:r>
              <w:rPr>
                <w:noProof/>
                <w:webHidden/>
              </w:rPr>
              <w:fldChar w:fldCharType="separate"/>
            </w:r>
            <w:r w:rsidR="00E6157A">
              <w:rPr>
                <w:noProof/>
                <w:webHidden/>
              </w:rPr>
              <w:t>9</w:t>
            </w:r>
            <w:r>
              <w:rPr>
                <w:noProof/>
                <w:webHidden/>
              </w:rPr>
              <w:fldChar w:fldCharType="end"/>
            </w:r>
          </w:hyperlink>
        </w:p>
        <w:p w14:paraId="032EA9FA" w14:textId="099C124A"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76" w:history="1">
            <w:r w:rsidRPr="0042470B">
              <w:rPr>
                <w:rStyle w:val="Hyperlink"/>
                <w:noProof/>
              </w:rPr>
              <w:t>1.3</w:t>
            </w:r>
            <w:r>
              <w:rPr>
                <w:rFonts w:asciiTheme="minorHAnsi" w:eastAsiaTheme="minorEastAsia" w:hAnsiTheme="minorHAnsi" w:cstheme="minorBidi"/>
                <w:b w:val="0"/>
                <w:bCs w:val="0"/>
                <w:noProof/>
                <w:sz w:val="24"/>
                <w:szCs w:val="24"/>
              </w:rPr>
              <w:tab/>
            </w:r>
            <w:r w:rsidRPr="0042470B">
              <w:rPr>
                <w:rStyle w:val="Hyperlink"/>
                <w:noProof/>
              </w:rPr>
              <w:t>Mechanism of contraction</w:t>
            </w:r>
            <w:r>
              <w:rPr>
                <w:noProof/>
                <w:webHidden/>
              </w:rPr>
              <w:tab/>
            </w:r>
            <w:r>
              <w:rPr>
                <w:noProof/>
                <w:webHidden/>
              </w:rPr>
              <w:fldChar w:fldCharType="begin"/>
            </w:r>
            <w:r>
              <w:rPr>
                <w:noProof/>
                <w:webHidden/>
              </w:rPr>
              <w:instrText xml:space="preserve"> PAGEREF _Toc2450976 \h </w:instrText>
            </w:r>
            <w:r>
              <w:rPr>
                <w:noProof/>
                <w:webHidden/>
              </w:rPr>
            </w:r>
            <w:r>
              <w:rPr>
                <w:noProof/>
                <w:webHidden/>
              </w:rPr>
              <w:fldChar w:fldCharType="separate"/>
            </w:r>
            <w:r w:rsidR="00E6157A">
              <w:rPr>
                <w:noProof/>
                <w:webHidden/>
              </w:rPr>
              <w:t>10</w:t>
            </w:r>
            <w:r>
              <w:rPr>
                <w:noProof/>
                <w:webHidden/>
              </w:rPr>
              <w:fldChar w:fldCharType="end"/>
            </w:r>
          </w:hyperlink>
        </w:p>
        <w:p w14:paraId="303B7C1E" w14:textId="2F2D0C79"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7" w:history="1">
            <w:r w:rsidRPr="0042470B">
              <w:rPr>
                <w:rStyle w:val="Hyperlink"/>
                <w:noProof/>
              </w:rPr>
              <w:t>1.3.1</w:t>
            </w:r>
            <w:r>
              <w:rPr>
                <w:rFonts w:asciiTheme="minorHAnsi" w:eastAsiaTheme="minorEastAsia" w:hAnsiTheme="minorHAnsi" w:cstheme="minorBidi"/>
                <w:noProof/>
                <w:sz w:val="24"/>
                <w:szCs w:val="24"/>
              </w:rPr>
              <w:tab/>
            </w:r>
            <w:r w:rsidRPr="0042470B">
              <w:rPr>
                <w:rStyle w:val="Hyperlink"/>
                <w:noProof/>
              </w:rPr>
              <w:t>Cell contraction theory</w:t>
            </w:r>
            <w:r>
              <w:rPr>
                <w:noProof/>
                <w:webHidden/>
              </w:rPr>
              <w:tab/>
            </w:r>
            <w:r>
              <w:rPr>
                <w:noProof/>
                <w:webHidden/>
              </w:rPr>
              <w:fldChar w:fldCharType="begin"/>
            </w:r>
            <w:r>
              <w:rPr>
                <w:noProof/>
                <w:webHidden/>
              </w:rPr>
              <w:instrText xml:space="preserve"> PAGEREF _Toc2450977 \h </w:instrText>
            </w:r>
            <w:r>
              <w:rPr>
                <w:noProof/>
                <w:webHidden/>
              </w:rPr>
            </w:r>
            <w:r>
              <w:rPr>
                <w:noProof/>
                <w:webHidden/>
              </w:rPr>
              <w:fldChar w:fldCharType="separate"/>
            </w:r>
            <w:r w:rsidR="00E6157A">
              <w:rPr>
                <w:noProof/>
                <w:webHidden/>
              </w:rPr>
              <w:t>10</w:t>
            </w:r>
            <w:r>
              <w:rPr>
                <w:noProof/>
                <w:webHidden/>
              </w:rPr>
              <w:fldChar w:fldCharType="end"/>
            </w:r>
          </w:hyperlink>
        </w:p>
        <w:p w14:paraId="75154963" w14:textId="4C25DE98"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8" w:history="1">
            <w:r w:rsidRPr="0042470B">
              <w:rPr>
                <w:rStyle w:val="Hyperlink"/>
                <w:noProof/>
              </w:rPr>
              <w:t>1.3.2</w:t>
            </w:r>
            <w:r>
              <w:rPr>
                <w:rFonts w:asciiTheme="minorHAnsi" w:eastAsiaTheme="minorEastAsia" w:hAnsiTheme="minorHAnsi" w:cstheme="minorBidi"/>
                <w:noProof/>
                <w:sz w:val="24"/>
                <w:szCs w:val="24"/>
              </w:rPr>
              <w:tab/>
            </w:r>
            <w:r w:rsidRPr="0042470B">
              <w:rPr>
                <w:rStyle w:val="Hyperlink"/>
                <w:noProof/>
              </w:rPr>
              <w:t>Cell traction theory</w:t>
            </w:r>
            <w:r>
              <w:rPr>
                <w:noProof/>
                <w:webHidden/>
              </w:rPr>
              <w:tab/>
            </w:r>
            <w:r>
              <w:rPr>
                <w:noProof/>
                <w:webHidden/>
              </w:rPr>
              <w:fldChar w:fldCharType="begin"/>
            </w:r>
            <w:r>
              <w:rPr>
                <w:noProof/>
                <w:webHidden/>
              </w:rPr>
              <w:instrText xml:space="preserve"> PAGEREF _Toc2450978 \h </w:instrText>
            </w:r>
            <w:r>
              <w:rPr>
                <w:noProof/>
                <w:webHidden/>
              </w:rPr>
            </w:r>
            <w:r>
              <w:rPr>
                <w:noProof/>
                <w:webHidden/>
              </w:rPr>
              <w:fldChar w:fldCharType="separate"/>
            </w:r>
            <w:r w:rsidR="00E6157A">
              <w:rPr>
                <w:noProof/>
                <w:webHidden/>
              </w:rPr>
              <w:t>10</w:t>
            </w:r>
            <w:r>
              <w:rPr>
                <w:noProof/>
                <w:webHidden/>
              </w:rPr>
              <w:fldChar w:fldCharType="end"/>
            </w:r>
          </w:hyperlink>
        </w:p>
        <w:p w14:paraId="4CAD5E8A" w14:textId="23E940B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79" w:history="1">
            <w:r w:rsidRPr="0042470B">
              <w:rPr>
                <w:rStyle w:val="Hyperlink"/>
                <w:noProof/>
              </w:rPr>
              <w:t>1.3.3</w:t>
            </w:r>
            <w:r>
              <w:rPr>
                <w:rFonts w:asciiTheme="minorHAnsi" w:eastAsiaTheme="minorEastAsia" w:hAnsiTheme="minorHAnsi" w:cstheme="minorBidi"/>
                <w:noProof/>
                <w:sz w:val="24"/>
                <w:szCs w:val="24"/>
              </w:rPr>
              <w:tab/>
            </w:r>
            <w:r w:rsidRPr="0042470B">
              <w:rPr>
                <w:rStyle w:val="Hyperlink"/>
                <w:noProof/>
              </w:rPr>
              <w:t>The role of keratinocytes in scar contracture</w:t>
            </w:r>
            <w:r>
              <w:rPr>
                <w:noProof/>
                <w:webHidden/>
              </w:rPr>
              <w:tab/>
            </w:r>
            <w:r>
              <w:rPr>
                <w:noProof/>
                <w:webHidden/>
              </w:rPr>
              <w:fldChar w:fldCharType="begin"/>
            </w:r>
            <w:r>
              <w:rPr>
                <w:noProof/>
                <w:webHidden/>
              </w:rPr>
              <w:instrText xml:space="preserve"> PAGEREF _Toc2450979 \h </w:instrText>
            </w:r>
            <w:r>
              <w:rPr>
                <w:noProof/>
                <w:webHidden/>
              </w:rPr>
            </w:r>
            <w:r>
              <w:rPr>
                <w:noProof/>
                <w:webHidden/>
              </w:rPr>
              <w:fldChar w:fldCharType="separate"/>
            </w:r>
            <w:r w:rsidR="00E6157A">
              <w:rPr>
                <w:noProof/>
                <w:webHidden/>
              </w:rPr>
              <w:t>11</w:t>
            </w:r>
            <w:r>
              <w:rPr>
                <w:noProof/>
                <w:webHidden/>
              </w:rPr>
              <w:fldChar w:fldCharType="end"/>
            </w:r>
          </w:hyperlink>
        </w:p>
        <w:p w14:paraId="3210AC79" w14:textId="097EC1E2"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80" w:history="1">
            <w:r w:rsidRPr="0042470B">
              <w:rPr>
                <w:rStyle w:val="Hyperlink"/>
                <w:noProof/>
              </w:rPr>
              <w:t>1.3.4</w:t>
            </w:r>
            <w:r>
              <w:rPr>
                <w:rFonts w:asciiTheme="minorHAnsi" w:eastAsiaTheme="minorEastAsia" w:hAnsiTheme="minorHAnsi" w:cstheme="minorBidi"/>
                <w:noProof/>
                <w:sz w:val="24"/>
                <w:szCs w:val="24"/>
              </w:rPr>
              <w:tab/>
            </w:r>
            <w:r w:rsidRPr="0042470B">
              <w:rPr>
                <w:rStyle w:val="Hyperlink"/>
                <w:noProof/>
              </w:rPr>
              <w:t>Role of collagen cross-linking in contraction</w:t>
            </w:r>
            <w:r>
              <w:rPr>
                <w:noProof/>
                <w:webHidden/>
              </w:rPr>
              <w:tab/>
            </w:r>
            <w:r>
              <w:rPr>
                <w:noProof/>
                <w:webHidden/>
              </w:rPr>
              <w:fldChar w:fldCharType="begin"/>
            </w:r>
            <w:r>
              <w:rPr>
                <w:noProof/>
                <w:webHidden/>
              </w:rPr>
              <w:instrText xml:space="preserve"> PAGEREF _Toc2450980 \h </w:instrText>
            </w:r>
            <w:r>
              <w:rPr>
                <w:noProof/>
                <w:webHidden/>
              </w:rPr>
            </w:r>
            <w:r>
              <w:rPr>
                <w:noProof/>
                <w:webHidden/>
              </w:rPr>
              <w:fldChar w:fldCharType="separate"/>
            </w:r>
            <w:r w:rsidR="00E6157A">
              <w:rPr>
                <w:noProof/>
                <w:webHidden/>
              </w:rPr>
              <w:t>12</w:t>
            </w:r>
            <w:r>
              <w:rPr>
                <w:noProof/>
                <w:webHidden/>
              </w:rPr>
              <w:fldChar w:fldCharType="end"/>
            </w:r>
          </w:hyperlink>
        </w:p>
        <w:p w14:paraId="44B57DB7" w14:textId="6D932A0E"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81" w:history="1">
            <w:r w:rsidRPr="0042470B">
              <w:rPr>
                <w:rStyle w:val="Hyperlink"/>
                <w:noProof/>
              </w:rPr>
              <w:t>1.3.5</w:t>
            </w:r>
            <w:r>
              <w:rPr>
                <w:rFonts w:asciiTheme="minorHAnsi" w:eastAsiaTheme="minorEastAsia" w:hAnsiTheme="minorHAnsi" w:cstheme="minorBidi"/>
                <w:noProof/>
                <w:sz w:val="24"/>
                <w:szCs w:val="24"/>
              </w:rPr>
              <w:tab/>
            </w:r>
            <w:r w:rsidRPr="0042470B">
              <w:rPr>
                <w:rStyle w:val="Hyperlink"/>
                <w:noProof/>
              </w:rPr>
              <w:t>Lysyl oxidase (LOX)</w:t>
            </w:r>
            <w:r>
              <w:rPr>
                <w:noProof/>
                <w:webHidden/>
              </w:rPr>
              <w:tab/>
            </w:r>
            <w:r>
              <w:rPr>
                <w:noProof/>
                <w:webHidden/>
              </w:rPr>
              <w:fldChar w:fldCharType="begin"/>
            </w:r>
            <w:r>
              <w:rPr>
                <w:noProof/>
                <w:webHidden/>
              </w:rPr>
              <w:instrText xml:space="preserve"> PAGEREF _Toc2450981 \h </w:instrText>
            </w:r>
            <w:r>
              <w:rPr>
                <w:noProof/>
                <w:webHidden/>
              </w:rPr>
            </w:r>
            <w:r>
              <w:rPr>
                <w:noProof/>
                <w:webHidden/>
              </w:rPr>
              <w:fldChar w:fldCharType="separate"/>
            </w:r>
            <w:r w:rsidR="00E6157A">
              <w:rPr>
                <w:noProof/>
                <w:webHidden/>
              </w:rPr>
              <w:t>13</w:t>
            </w:r>
            <w:r>
              <w:rPr>
                <w:noProof/>
                <w:webHidden/>
              </w:rPr>
              <w:fldChar w:fldCharType="end"/>
            </w:r>
          </w:hyperlink>
        </w:p>
        <w:p w14:paraId="01A4B492" w14:textId="2F2BD669"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82" w:history="1">
            <w:r w:rsidRPr="0042470B">
              <w:rPr>
                <w:rStyle w:val="Hyperlink"/>
                <w:noProof/>
              </w:rPr>
              <w:t>1.4</w:t>
            </w:r>
            <w:r>
              <w:rPr>
                <w:rFonts w:asciiTheme="minorHAnsi" w:eastAsiaTheme="minorEastAsia" w:hAnsiTheme="minorHAnsi" w:cstheme="minorBidi"/>
                <w:b w:val="0"/>
                <w:bCs w:val="0"/>
                <w:noProof/>
                <w:sz w:val="24"/>
                <w:szCs w:val="24"/>
              </w:rPr>
              <w:tab/>
            </w:r>
            <w:r w:rsidRPr="0042470B">
              <w:rPr>
                <w:rStyle w:val="Hyperlink"/>
                <w:noProof/>
              </w:rPr>
              <w:t>Methods to reduce cross-linked mediated contraction</w:t>
            </w:r>
            <w:r>
              <w:rPr>
                <w:noProof/>
                <w:webHidden/>
              </w:rPr>
              <w:tab/>
            </w:r>
            <w:r>
              <w:rPr>
                <w:noProof/>
                <w:webHidden/>
              </w:rPr>
              <w:fldChar w:fldCharType="begin"/>
            </w:r>
            <w:r>
              <w:rPr>
                <w:noProof/>
                <w:webHidden/>
              </w:rPr>
              <w:instrText xml:space="preserve"> PAGEREF _Toc2450982 \h </w:instrText>
            </w:r>
            <w:r>
              <w:rPr>
                <w:noProof/>
                <w:webHidden/>
              </w:rPr>
            </w:r>
            <w:r>
              <w:rPr>
                <w:noProof/>
                <w:webHidden/>
              </w:rPr>
              <w:fldChar w:fldCharType="separate"/>
            </w:r>
            <w:r w:rsidR="00E6157A">
              <w:rPr>
                <w:noProof/>
                <w:webHidden/>
              </w:rPr>
              <w:t>14</w:t>
            </w:r>
            <w:r>
              <w:rPr>
                <w:noProof/>
                <w:webHidden/>
              </w:rPr>
              <w:fldChar w:fldCharType="end"/>
            </w:r>
          </w:hyperlink>
        </w:p>
        <w:p w14:paraId="26AFE569" w14:textId="4197ADAE"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83" w:history="1">
            <w:r w:rsidRPr="0042470B">
              <w:rPr>
                <w:rStyle w:val="Hyperlink"/>
                <w:noProof/>
              </w:rPr>
              <w:t>1.4.1</w:t>
            </w:r>
            <w:r>
              <w:rPr>
                <w:rFonts w:asciiTheme="minorHAnsi" w:eastAsiaTheme="minorEastAsia" w:hAnsiTheme="minorHAnsi" w:cstheme="minorBidi"/>
                <w:noProof/>
                <w:sz w:val="24"/>
                <w:szCs w:val="24"/>
              </w:rPr>
              <w:tab/>
            </w:r>
            <w:r w:rsidRPr="0042470B">
              <w:rPr>
                <w:rStyle w:val="Hyperlink"/>
                <w:noProof/>
              </w:rPr>
              <w:t>Clinical studies targeting wound contraction</w:t>
            </w:r>
            <w:r>
              <w:rPr>
                <w:noProof/>
                <w:webHidden/>
              </w:rPr>
              <w:tab/>
            </w:r>
            <w:r>
              <w:rPr>
                <w:noProof/>
                <w:webHidden/>
              </w:rPr>
              <w:fldChar w:fldCharType="begin"/>
            </w:r>
            <w:r>
              <w:rPr>
                <w:noProof/>
                <w:webHidden/>
              </w:rPr>
              <w:instrText xml:space="preserve"> PAGEREF _Toc2450983 \h </w:instrText>
            </w:r>
            <w:r>
              <w:rPr>
                <w:noProof/>
                <w:webHidden/>
              </w:rPr>
            </w:r>
            <w:r>
              <w:rPr>
                <w:noProof/>
                <w:webHidden/>
              </w:rPr>
              <w:fldChar w:fldCharType="separate"/>
            </w:r>
            <w:r w:rsidR="00E6157A">
              <w:rPr>
                <w:noProof/>
                <w:webHidden/>
              </w:rPr>
              <w:t>17</w:t>
            </w:r>
            <w:r>
              <w:rPr>
                <w:noProof/>
                <w:webHidden/>
              </w:rPr>
              <w:fldChar w:fldCharType="end"/>
            </w:r>
          </w:hyperlink>
        </w:p>
        <w:p w14:paraId="4500B29B" w14:textId="4A427426"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84" w:history="1">
            <w:r w:rsidRPr="0042470B">
              <w:rPr>
                <w:rStyle w:val="Hyperlink"/>
                <w:noProof/>
              </w:rPr>
              <w:t>1.5</w:t>
            </w:r>
            <w:r>
              <w:rPr>
                <w:rFonts w:asciiTheme="minorHAnsi" w:eastAsiaTheme="minorEastAsia" w:hAnsiTheme="minorHAnsi" w:cstheme="minorBidi"/>
                <w:b w:val="0"/>
                <w:bCs w:val="0"/>
                <w:noProof/>
                <w:sz w:val="24"/>
                <w:szCs w:val="24"/>
              </w:rPr>
              <w:tab/>
            </w:r>
            <w:r w:rsidRPr="0042470B">
              <w:rPr>
                <w:rStyle w:val="Hyperlink"/>
                <w:noProof/>
              </w:rPr>
              <w:t>Topical drug delivery</w:t>
            </w:r>
            <w:r>
              <w:rPr>
                <w:noProof/>
                <w:webHidden/>
              </w:rPr>
              <w:tab/>
            </w:r>
            <w:r>
              <w:rPr>
                <w:noProof/>
                <w:webHidden/>
              </w:rPr>
              <w:fldChar w:fldCharType="begin"/>
            </w:r>
            <w:r>
              <w:rPr>
                <w:noProof/>
                <w:webHidden/>
              </w:rPr>
              <w:instrText xml:space="preserve"> PAGEREF _Toc2450984 \h </w:instrText>
            </w:r>
            <w:r>
              <w:rPr>
                <w:noProof/>
                <w:webHidden/>
              </w:rPr>
            </w:r>
            <w:r>
              <w:rPr>
                <w:noProof/>
                <w:webHidden/>
              </w:rPr>
              <w:fldChar w:fldCharType="separate"/>
            </w:r>
            <w:r w:rsidR="00E6157A">
              <w:rPr>
                <w:noProof/>
                <w:webHidden/>
              </w:rPr>
              <w:t>19</w:t>
            </w:r>
            <w:r>
              <w:rPr>
                <w:noProof/>
                <w:webHidden/>
              </w:rPr>
              <w:fldChar w:fldCharType="end"/>
            </w:r>
          </w:hyperlink>
        </w:p>
        <w:p w14:paraId="46D0B1E6" w14:textId="1B7D5CCE"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85" w:history="1">
            <w:r w:rsidRPr="0042470B">
              <w:rPr>
                <w:rStyle w:val="Hyperlink"/>
                <w:noProof/>
              </w:rPr>
              <w:t>1.5.1</w:t>
            </w:r>
            <w:r>
              <w:rPr>
                <w:rFonts w:asciiTheme="minorHAnsi" w:eastAsiaTheme="minorEastAsia" w:hAnsiTheme="minorHAnsi" w:cstheme="minorBidi"/>
                <w:noProof/>
                <w:sz w:val="24"/>
                <w:szCs w:val="24"/>
              </w:rPr>
              <w:tab/>
            </w:r>
            <w:r w:rsidRPr="0042470B">
              <w:rPr>
                <w:rStyle w:val="Hyperlink"/>
                <w:noProof/>
              </w:rPr>
              <w:t>Types of topical dosage forms</w:t>
            </w:r>
            <w:r>
              <w:rPr>
                <w:noProof/>
                <w:webHidden/>
              </w:rPr>
              <w:tab/>
            </w:r>
            <w:r>
              <w:rPr>
                <w:noProof/>
                <w:webHidden/>
              </w:rPr>
              <w:fldChar w:fldCharType="begin"/>
            </w:r>
            <w:r>
              <w:rPr>
                <w:noProof/>
                <w:webHidden/>
              </w:rPr>
              <w:instrText xml:space="preserve"> PAGEREF _Toc2450985 \h </w:instrText>
            </w:r>
            <w:r>
              <w:rPr>
                <w:noProof/>
                <w:webHidden/>
              </w:rPr>
            </w:r>
            <w:r>
              <w:rPr>
                <w:noProof/>
                <w:webHidden/>
              </w:rPr>
              <w:fldChar w:fldCharType="separate"/>
            </w:r>
            <w:r w:rsidR="00E6157A">
              <w:rPr>
                <w:noProof/>
                <w:webHidden/>
              </w:rPr>
              <w:t>21</w:t>
            </w:r>
            <w:r>
              <w:rPr>
                <w:noProof/>
                <w:webHidden/>
              </w:rPr>
              <w:fldChar w:fldCharType="end"/>
            </w:r>
          </w:hyperlink>
        </w:p>
        <w:p w14:paraId="4F458E95" w14:textId="3ABAF4AA"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86" w:history="1">
            <w:r w:rsidRPr="0042470B">
              <w:rPr>
                <w:rStyle w:val="Hyperlink"/>
                <w:noProof/>
              </w:rPr>
              <w:t>1.5.2</w:t>
            </w:r>
            <w:r>
              <w:rPr>
                <w:rFonts w:asciiTheme="minorHAnsi" w:eastAsiaTheme="minorEastAsia" w:hAnsiTheme="minorHAnsi" w:cstheme="minorBidi"/>
                <w:noProof/>
                <w:sz w:val="24"/>
                <w:szCs w:val="24"/>
              </w:rPr>
              <w:tab/>
            </w:r>
            <w:r w:rsidRPr="0042470B">
              <w:rPr>
                <w:rStyle w:val="Hyperlink"/>
                <w:noProof/>
              </w:rPr>
              <w:t xml:space="preserve">Topical delivery of </w:t>
            </w:r>
            <w:r w:rsidRPr="0042470B">
              <w:rPr>
                <w:rStyle w:val="Hyperlink"/>
                <w:noProof/>
              </w:rPr>
              <w:sym w:font="Symbol" w:char="F062"/>
            </w:r>
            <w:r w:rsidRPr="0042470B">
              <w:rPr>
                <w:rStyle w:val="Hyperlink"/>
                <w:noProof/>
              </w:rPr>
              <w:noBreakHyphen/>
              <w:t>aminopropionitrile</w:t>
            </w:r>
            <w:r>
              <w:rPr>
                <w:noProof/>
                <w:webHidden/>
              </w:rPr>
              <w:tab/>
            </w:r>
            <w:r>
              <w:rPr>
                <w:noProof/>
                <w:webHidden/>
              </w:rPr>
              <w:fldChar w:fldCharType="begin"/>
            </w:r>
            <w:r>
              <w:rPr>
                <w:noProof/>
                <w:webHidden/>
              </w:rPr>
              <w:instrText xml:space="preserve"> PAGEREF _Toc2450986 \h </w:instrText>
            </w:r>
            <w:r>
              <w:rPr>
                <w:noProof/>
                <w:webHidden/>
              </w:rPr>
            </w:r>
            <w:r>
              <w:rPr>
                <w:noProof/>
                <w:webHidden/>
              </w:rPr>
              <w:fldChar w:fldCharType="separate"/>
            </w:r>
            <w:r w:rsidR="00E6157A">
              <w:rPr>
                <w:noProof/>
                <w:webHidden/>
              </w:rPr>
              <w:t>22</w:t>
            </w:r>
            <w:r>
              <w:rPr>
                <w:noProof/>
                <w:webHidden/>
              </w:rPr>
              <w:fldChar w:fldCharType="end"/>
            </w:r>
          </w:hyperlink>
        </w:p>
        <w:p w14:paraId="3A7BD5A7" w14:textId="538F6573"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87" w:history="1">
            <w:r w:rsidRPr="0042470B">
              <w:rPr>
                <w:rStyle w:val="Hyperlink"/>
                <w:noProof/>
              </w:rPr>
              <w:t>1.6</w:t>
            </w:r>
            <w:r>
              <w:rPr>
                <w:rFonts w:asciiTheme="minorHAnsi" w:eastAsiaTheme="minorEastAsia" w:hAnsiTheme="minorHAnsi" w:cstheme="minorBidi"/>
                <w:b w:val="0"/>
                <w:bCs w:val="0"/>
                <w:noProof/>
                <w:sz w:val="24"/>
                <w:szCs w:val="24"/>
              </w:rPr>
              <w:tab/>
            </w:r>
            <w:r w:rsidRPr="0042470B">
              <w:rPr>
                <w:rStyle w:val="Hyperlink"/>
                <w:noProof/>
              </w:rPr>
              <w:t>Prodrugs</w:t>
            </w:r>
            <w:r>
              <w:rPr>
                <w:noProof/>
                <w:webHidden/>
              </w:rPr>
              <w:tab/>
            </w:r>
            <w:r>
              <w:rPr>
                <w:noProof/>
                <w:webHidden/>
              </w:rPr>
              <w:fldChar w:fldCharType="begin"/>
            </w:r>
            <w:r>
              <w:rPr>
                <w:noProof/>
                <w:webHidden/>
              </w:rPr>
              <w:instrText xml:space="preserve"> PAGEREF _Toc2450987 \h </w:instrText>
            </w:r>
            <w:r>
              <w:rPr>
                <w:noProof/>
                <w:webHidden/>
              </w:rPr>
            </w:r>
            <w:r>
              <w:rPr>
                <w:noProof/>
                <w:webHidden/>
              </w:rPr>
              <w:fldChar w:fldCharType="separate"/>
            </w:r>
            <w:r w:rsidR="00E6157A">
              <w:rPr>
                <w:noProof/>
                <w:webHidden/>
              </w:rPr>
              <w:t>26</w:t>
            </w:r>
            <w:r>
              <w:rPr>
                <w:noProof/>
                <w:webHidden/>
              </w:rPr>
              <w:fldChar w:fldCharType="end"/>
            </w:r>
          </w:hyperlink>
        </w:p>
        <w:p w14:paraId="3BC0343F" w14:textId="3F93F5DD"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88" w:history="1">
            <w:r w:rsidRPr="0042470B">
              <w:rPr>
                <w:rStyle w:val="Hyperlink"/>
                <w:noProof/>
              </w:rPr>
              <w:t>1.7</w:t>
            </w:r>
            <w:r>
              <w:rPr>
                <w:rFonts w:asciiTheme="minorHAnsi" w:eastAsiaTheme="minorEastAsia" w:hAnsiTheme="minorHAnsi" w:cstheme="minorBidi"/>
                <w:b w:val="0"/>
                <w:bCs w:val="0"/>
                <w:noProof/>
                <w:sz w:val="24"/>
                <w:szCs w:val="24"/>
              </w:rPr>
              <w:tab/>
            </w:r>
            <w:r w:rsidRPr="0042470B">
              <w:rPr>
                <w:rStyle w:val="Hyperlink"/>
                <w:noProof/>
              </w:rPr>
              <w:t>Aims</w:t>
            </w:r>
            <w:r>
              <w:rPr>
                <w:noProof/>
                <w:webHidden/>
              </w:rPr>
              <w:tab/>
            </w:r>
            <w:r>
              <w:rPr>
                <w:noProof/>
                <w:webHidden/>
              </w:rPr>
              <w:fldChar w:fldCharType="begin"/>
            </w:r>
            <w:r>
              <w:rPr>
                <w:noProof/>
                <w:webHidden/>
              </w:rPr>
              <w:instrText xml:space="preserve"> PAGEREF _Toc2450988 \h </w:instrText>
            </w:r>
            <w:r>
              <w:rPr>
                <w:noProof/>
                <w:webHidden/>
              </w:rPr>
            </w:r>
            <w:r>
              <w:rPr>
                <w:noProof/>
                <w:webHidden/>
              </w:rPr>
              <w:fldChar w:fldCharType="separate"/>
            </w:r>
            <w:r w:rsidR="00E6157A">
              <w:rPr>
                <w:noProof/>
                <w:webHidden/>
              </w:rPr>
              <w:t>29</w:t>
            </w:r>
            <w:r>
              <w:rPr>
                <w:noProof/>
                <w:webHidden/>
              </w:rPr>
              <w:fldChar w:fldCharType="end"/>
            </w:r>
          </w:hyperlink>
        </w:p>
        <w:p w14:paraId="57A120CA" w14:textId="41503EE6"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0989" w:history="1">
            <w:r w:rsidRPr="0042470B">
              <w:rPr>
                <w:rStyle w:val="Hyperlink"/>
                <w:noProof/>
              </w:rPr>
              <w:t>2</w:t>
            </w:r>
            <w:r>
              <w:rPr>
                <w:rFonts w:asciiTheme="minorHAnsi" w:eastAsiaTheme="minorEastAsia" w:hAnsiTheme="minorHAnsi" w:cstheme="minorBidi"/>
                <w:b w:val="0"/>
                <w:bCs w:val="0"/>
                <w:i w:val="0"/>
                <w:iCs w:val="0"/>
                <w:noProof/>
              </w:rPr>
              <w:tab/>
            </w:r>
            <w:r w:rsidRPr="0042470B">
              <w:rPr>
                <w:rStyle w:val="Hyperlink"/>
                <w:noProof/>
              </w:rPr>
              <w:t>Chapter Two: Synthesis of a ß</w:t>
            </w:r>
            <w:r w:rsidRPr="0042470B">
              <w:rPr>
                <w:rStyle w:val="Hyperlink"/>
                <w:noProof/>
              </w:rPr>
              <w:noBreakHyphen/>
              <w:t>aminopropionitrile prodrug</w:t>
            </w:r>
            <w:r>
              <w:rPr>
                <w:noProof/>
                <w:webHidden/>
              </w:rPr>
              <w:tab/>
            </w:r>
            <w:r>
              <w:rPr>
                <w:noProof/>
                <w:webHidden/>
              </w:rPr>
              <w:fldChar w:fldCharType="begin"/>
            </w:r>
            <w:r>
              <w:rPr>
                <w:noProof/>
                <w:webHidden/>
              </w:rPr>
              <w:instrText xml:space="preserve"> PAGEREF _Toc2450989 \h </w:instrText>
            </w:r>
            <w:r>
              <w:rPr>
                <w:noProof/>
                <w:webHidden/>
              </w:rPr>
            </w:r>
            <w:r>
              <w:rPr>
                <w:noProof/>
                <w:webHidden/>
              </w:rPr>
              <w:fldChar w:fldCharType="separate"/>
            </w:r>
            <w:r w:rsidR="00E6157A">
              <w:rPr>
                <w:noProof/>
                <w:webHidden/>
              </w:rPr>
              <w:t>37</w:t>
            </w:r>
            <w:r>
              <w:rPr>
                <w:noProof/>
                <w:webHidden/>
              </w:rPr>
              <w:fldChar w:fldCharType="end"/>
            </w:r>
          </w:hyperlink>
        </w:p>
        <w:p w14:paraId="5B73BF4C" w14:textId="486117A4"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90" w:history="1">
            <w:r w:rsidRPr="0042470B">
              <w:rPr>
                <w:rStyle w:val="Hyperlink"/>
                <w:noProof/>
              </w:rPr>
              <w:t>2.1</w:t>
            </w:r>
            <w:r>
              <w:rPr>
                <w:rFonts w:asciiTheme="minorHAnsi" w:eastAsiaTheme="minorEastAsia" w:hAnsiTheme="minorHAnsi" w:cstheme="minorBidi"/>
                <w:b w:val="0"/>
                <w:bCs w:val="0"/>
                <w:noProof/>
                <w:sz w:val="24"/>
                <w:szCs w:val="24"/>
              </w:rPr>
              <w:tab/>
            </w:r>
            <w:r w:rsidRPr="0042470B">
              <w:rPr>
                <w:rStyle w:val="Hyperlink"/>
                <w:noProof/>
              </w:rPr>
              <w:t>Introduction</w:t>
            </w:r>
            <w:r>
              <w:rPr>
                <w:noProof/>
                <w:webHidden/>
              </w:rPr>
              <w:tab/>
            </w:r>
            <w:r>
              <w:rPr>
                <w:noProof/>
                <w:webHidden/>
              </w:rPr>
              <w:fldChar w:fldCharType="begin"/>
            </w:r>
            <w:r>
              <w:rPr>
                <w:noProof/>
                <w:webHidden/>
              </w:rPr>
              <w:instrText xml:space="preserve"> PAGEREF _Toc2450990 \h </w:instrText>
            </w:r>
            <w:r>
              <w:rPr>
                <w:noProof/>
                <w:webHidden/>
              </w:rPr>
            </w:r>
            <w:r>
              <w:rPr>
                <w:noProof/>
                <w:webHidden/>
              </w:rPr>
              <w:fldChar w:fldCharType="separate"/>
            </w:r>
            <w:r w:rsidR="00E6157A">
              <w:rPr>
                <w:noProof/>
                <w:webHidden/>
              </w:rPr>
              <w:t>37</w:t>
            </w:r>
            <w:r>
              <w:rPr>
                <w:noProof/>
                <w:webHidden/>
              </w:rPr>
              <w:fldChar w:fldCharType="end"/>
            </w:r>
          </w:hyperlink>
        </w:p>
        <w:p w14:paraId="027E9F41" w14:textId="30504B99"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91" w:history="1">
            <w:r w:rsidRPr="0042470B">
              <w:rPr>
                <w:rStyle w:val="Hyperlink"/>
                <w:noProof/>
              </w:rPr>
              <w:t>2.2</w:t>
            </w:r>
            <w:r>
              <w:rPr>
                <w:rFonts w:asciiTheme="minorHAnsi" w:eastAsiaTheme="minorEastAsia" w:hAnsiTheme="minorHAnsi" w:cstheme="minorBidi"/>
                <w:b w:val="0"/>
                <w:bCs w:val="0"/>
                <w:noProof/>
                <w:sz w:val="24"/>
                <w:szCs w:val="24"/>
              </w:rPr>
              <w:tab/>
            </w:r>
            <w:r w:rsidRPr="0042470B">
              <w:rPr>
                <w:rStyle w:val="Hyperlink"/>
                <w:noProof/>
              </w:rPr>
              <w:t>Materials</w:t>
            </w:r>
            <w:r>
              <w:rPr>
                <w:noProof/>
                <w:webHidden/>
              </w:rPr>
              <w:tab/>
            </w:r>
            <w:r>
              <w:rPr>
                <w:noProof/>
                <w:webHidden/>
              </w:rPr>
              <w:fldChar w:fldCharType="begin"/>
            </w:r>
            <w:r>
              <w:rPr>
                <w:noProof/>
                <w:webHidden/>
              </w:rPr>
              <w:instrText xml:space="preserve"> PAGEREF _Toc2450991 \h </w:instrText>
            </w:r>
            <w:r>
              <w:rPr>
                <w:noProof/>
                <w:webHidden/>
              </w:rPr>
            </w:r>
            <w:r>
              <w:rPr>
                <w:noProof/>
                <w:webHidden/>
              </w:rPr>
              <w:fldChar w:fldCharType="separate"/>
            </w:r>
            <w:r w:rsidR="00E6157A">
              <w:rPr>
                <w:noProof/>
                <w:webHidden/>
              </w:rPr>
              <w:t>39</w:t>
            </w:r>
            <w:r>
              <w:rPr>
                <w:noProof/>
                <w:webHidden/>
              </w:rPr>
              <w:fldChar w:fldCharType="end"/>
            </w:r>
          </w:hyperlink>
        </w:p>
        <w:p w14:paraId="4EB02F85" w14:textId="6F3BCF7E"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92" w:history="1">
            <w:r w:rsidRPr="0042470B">
              <w:rPr>
                <w:rStyle w:val="Hyperlink"/>
                <w:noProof/>
              </w:rPr>
              <w:t>2.3</w:t>
            </w:r>
            <w:r>
              <w:rPr>
                <w:rFonts w:asciiTheme="minorHAnsi" w:eastAsiaTheme="minorEastAsia" w:hAnsiTheme="minorHAnsi" w:cstheme="minorBidi"/>
                <w:b w:val="0"/>
                <w:bCs w:val="0"/>
                <w:noProof/>
                <w:sz w:val="24"/>
                <w:szCs w:val="24"/>
              </w:rPr>
              <w:tab/>
            </w:r>
            <w:r w:rsidRPr="0042470B">
              <w:rPr>
                <w:rStyle w:val="Hyperlink"/>
                <w:noProof/>
              </w:rPr>
              <w:t>Methods</w:t>
            </w:r>
            <w:r>
              <w:rPr>
                <w:noProof/>
                <w:webHidden/>
              </w:rPr>
              <w:tab/>
            </w:r>
            <w:r>
              <w:rPr>
                <w:noProof/>
                <w:webHidden/>
              </w:rPr>
              <w:fldChar w:fldCharType="begin"/>
            </w:r>
            <w:r>
              <w:rPr>
                <w:noProof/>
                <w:webHidden/>
              </w:rPr>
              <w:instrText xml:space="preserve"> PAGEREF _Toc2450992 \h </w:instrText>
            </w:r>
            <w:r>
              <w:rPr>
                <w:noProof/>
                <w:webHidden/>
              </w:rPr>
            </w:r>
            <w:r>
              <w:rPr>
                <w:noProof/>
                <w:webHidden/>
              </w:rPr>
              <w:fldChar w:fldCharType="separate"/>
            </w:r>
            <w:r w:rsidR="00E6157A">
              <w:rPr>
                <w:noProof/>
                <w:webHidden/>
              </w:rPr>
              <w:t>39</w:t>
            </w:r>
            <w:r>
              <w:rPr>
                <w:noProof/>
                <w:webHidden/>
              </w:rPr>
              <w:fldChar w:fldCharType="end"/>
            </w:r>
          </w:hyperlink>
        </w:p>
        <w:p w14:paraId="581BCFEB" w14:textId="204BC8B1"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3" w:history="1">
            <w:r w:rsidRPr="0042470B">
              <w:rPr>
                <w:rStyle w:val="Hyperlink"/>
                <w:noProof/>
              </w:rPr>
              <w:t>2.3.1</w:t>
            </w:r>
            <w:r>
              <w:rPr>
                <w:rFonts w:asciiTheme="minorHAnsi" w:eastAsiaTheme="minorEastAsia" w:hAnsiTheme="minorHAnsi" w:cstheme="minorBidi"/>
                <w:noProof/>
                <w:sz w:val="24"/>
                <w:szCs w:val="24"/>
              </w:rPr>
              <w:tab/>
            </w:r>
            <w:r w:rsidRPr="0042470B">
              <w:rPr>
                <w:rStyle w:val="Hyperlink"/>
                <w:noProof/>
              </w:rPr>
              <w:t>Analytical Methods</w:t>
            </w:r>
            <w:r>
              <w:rPr>
                <w:noProof/>
                <w:webHidden/>
              </w:rPr>
              <w:tab/>
            </w:r>
            <w:r>
              <w:rPr>
                <w:noProof/>
                <w:webHidden/>
              </w:rPr>
              <w:fldChar w:fldCharType="begin"/>
            </w:r>
            <w:r>
              <w:rPr>
                <w:noProof/>
                <w:webHidden/>
              </w:rPr>
              <w:instrText xml:space="preserve"> PAGEREF _Toc2450993 \h </w:instrText>
            </w:r>
            <w:r>
              <w:rPr>
                <w:noProof/>
                <w:webHidden/>
              </w:rPr>
            </w:r>
            <w:r>
              <w:rPr>
                <w:noProof/>
                <w:webHidden/>
              </w:rPr>
              <w:fldChar w:fldCharType="separate"/>
            </w:r>
            <w:r w:rsidR="00E6157A">
              <w:rPr>
                <w:noProof/>
                <w:webHidden/>
              </w:rPr>
              <w:t>39</w:t>
            </w:r>
            <w:r>
              <w:rPr>
                <w:noProof/>
                <w:webHidden/>
              </w:rPr>
              <w:fldChar w:fldCharType="end"/>
            </w:r>
          </w:hyperlink>
        </w:p>
        <w:p w14:paraId="3E04499B" w14:textId="50BAC47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4" w:history="1">
            <w:r w:rsidRPr="0042470B">
              <w:rPr>
                <w:rStyle w:val="Hyperlink"/>
                <w:noProof/>
              </w:rPr>
              <w:t>2.3.2</w:t>
            </w:r>
            <w:r>
              <w:rPr>
                <w:rFonts w:asciiTheme="minorHAnsi" w:eastAsiaTheme="minorEastAsia" w:hAnsiTheme="minorHAnsi" w:cstheme="minorBidi"/>
                <w:noProof/>
                <w:sz w:val="24"/>
                <w:szCs w:val="24"/>
              </w:rPr>
              <w:tab/>
            </w:r>
            <w:r w:rsidRPr="0042470B">
              <w:rPr>
                <w:rStyle w:val="Hyperlink"/>
                <w:noProof/>
              </w:rPr>
              <w:t>Synthetic Methods</w:t>
            </w:r>
            <w:r>
              <w:rPr>
                <w:noProof/>
                <w:webHidden/>
              </w:rPr>
              <w:tab/>
            </w:r>
            <w:r>
              <w:rPr>
                <w:noProof/>
                <w:webHidden/>
              </w:rPr>
              <w:fldChar w:fldCharType="begin"/>
            </w:r>
            <w:r>
              <w:rPr>
                <w:noProof/>
                <w:webHidden/>
              </w:rPr>
              <w:instrText xml:space="preserve"> PAGEREF _Toc2450994 \h </w:instrText>
            </w:r>
            <w:r>
              <w:rPr>
                <w:noProof/>
                <w:webHidden/>
              </w:rPr>
            </w:r>
            <w:r>
              <w:rPr>
                <w:noProof/>
                <w:webHidden/>
              </w:rPr>
              <w:fldChar w:fldCharType="separate"/>
            </w:r>
            <w:r w:rsidR="00E6157A">
              <w:rPr>
                <w:noProof/>
                <w:webHidden/>
              </w:rPr>
              <w:t>42</w:t>
            </w:r>
            <w:r>
              <w:rPr>
                <w:noProof/>
                <w:webHidden/>
              </w:rPr>
              <w:fldChar w:fldCharType="end"/>
            </w:r>
          </w:hyperlink>
        </w:p>
        <w:p w14:paraId="458893FA" w14:textId="7863A702"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0995" w:history="1">
            <w:r w:rsidRPr="0042470B">
              <w:rPr>
                <w:rStyle w:val="Hyperlink"/>
                <w:noProof/>
              </w:rPr>
              <w:t>2.4</w:t>
            </w:r>
            <w:r>
              <w:rPr>
                <w:rFonts w:asciiTheme="minorHAnsi" w:eastAsiaTheme="minorEastAsia" w:hAnsiTheme="minorHAnsi" w:cstheme="minorBidi"/>
                <w:b w:val="0"/>
                <w:bCs w:val="0"/>
                <w:noProof/>
                <w:sz w:val="24"/>
                <w:szCs w:val="24"/>
              </w:rPr>
              <w:tab/>
            </w:r>
            <w:r w:rsidRPr="0042470B">
              <w:rPr>
                <w:rStyle w:val="Hyperlink"/>
                <w:noProof/>
              </w:rPr>
              <w:t>Results and Discussion</w:t>
            </w:r>
            <w:r>
              <w:rPr>
                <w:noProof/>
                <w:webHidden/>
              </w:rPr>
              <w:tab/>
            </w:r>
            <w:r>
              <w:rPr>
                <w:noProof/>
                <w:webHidden/>
              </w:rPr>
              <w:fldChar w:fldCharType="begin"/>
            </w:r>
            <w:r>
              <w:rPr>
                <w:noProof/>
                <w:webHidden/>
              </w:rPr>
              <w:instrText xml:space="preserve"> PAGEREF _Toc2450995 \h </w:instrText>
            </w:r>
            <w:r>
              <w:rPr>
                <w:noProof/>
                <w:webHidden/>
              </w:rPr>
            </w:r>
            <w:r>
              <w:rPr>
                <w:noProof/>
                <w:webHidden/>
              </w:rPr>
              <w:fldChar w:fldCharType="separate"/>
            </w:r>
            <w:r w:rsidR="00E6157A">
              <w:rPr>
                <w:noProof/>
                <w:webHidden/>
              </w:rPr>
              <w:t>46</w:t>
            </w:r>
            <w:r>
              <w:rPr>
                <w:noProof/>
                <w:webHidden/>
              </w:rPr>
              <w:fldChar w:fldCharType="end"/>
            </w:r>
          </w:hyperlink>
        </w:p>
        <w:p w14:paraId="23A1C167" w14:textId="1A7A0FC4"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6" w:history="1">
            <w:r w:rsidRPr="0042470B">
              <w:rPr>
                <w:rStyle w:val="Hyperlink"/>
                <w:noProof/>
              </w:rPr>
              <w:t>2.4.1</w:t>
            </w:r>
            <w:r>
              <w:rPr>
                <w:rFonts w:asciiTheme="minorHAnsi" w:eastAsiaTheme="minorEastAsia" w:hAnsiTheme="minorHAnsi" w:cstheme="minorBidi"/>
                <w:noProof/>
                <w:sz w:val="24"/>
                <w:szCs w:val="24"/>
              </w:rPr>
              <w:tab/>
            </w:r>
            <w:r w:rsidRPr="0042470B">
              <w:rPr>
                <w:rStyle w:val="Hyperlink"/>
                <w:noProof/>
              </w:rPr>
              <w:t>Screening conditions for imine synthesis</w:t>
            </w:r>
            <w:r>
              <w:rPr>
                <w:noProof/>
                <w:webHidden/>
              </w:rPr>
              <w:tab/>
            </w:r>
            <w:r>
              <w:rPr>
                <w:noProof/>
                <w:webHidden/>
              </w:rPr>
              <w:fldChar w:fldCharType="begin"/>
            </w:r>
            <w:r>
              <w:rPr>
                <w:noProof/>
                <w:webHidden/>
              </w:rPr>
              <w:instrText xml:space="preserve"> PAGEREF _Toc2450996 \h </w:instrText>
            </w:r>
            <w:r>
              <w:rPr>
                <w:noProof/>
                <w:webHidden/>
              </w:rPr>
            </w:r>
            <w:r>
              <w:rPr>
                <w:noProof/>
                <w:webHidden/>
              </w:rPr>
              <w:fldChar w:fldCharType="separate"/>
            </w:r>
            <w:r w:rsidR="00E6157A">
              <w:rPr>
                <w:noProof/>
                <w:webHidden/>
              </w:rPr>
              <w:t>47</w:t>
            </w:r>
            <w:r>
              <w:rPr>
                <w:noProof/>
                <w:webHidden/>
              </w:rPr>
              <w:fldChar w:fldCharType="end"/>
            </w:r>
          </w:hyperlink>
        </w:p>
        <w:p w14:paraId="0F854F42" w14:textId="4F3DDECE"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7" w:history="1">
            <w:r w:rsidRPr="0042470B">
              <w:rPr>
                <w:rStyle w:val="Hyperlink"/>
                <w:noProof/>
              </w:rPr>
              <w:t>2.4.2</w:t>
            </w:r>
            <w:r>
              <w:rPr>
                <w:rFonts w:asciiTheme="minorHAnsi" w:eastAsiaTheme="minorEastAsia" w:hAnsiTheme="minorHAnsi" w:cstheme="minorBidi"/>
                <w:noProof/>
                <w:sz w:val="24"/>
                <w:szCs w:val="24"/>
              </w:rPr>
              <w:tab/>
            </w:r>
            <w:r w:rsidRPr="0042470B">
              <w:rPr>
                <w:rStyle w:val="Hyperlink"/>
                <w:noProof/>
              </w:rPr>
              <w:t>Changing reaction parameters</w:t>
            </w:r>
            <w:r>
              <w:rPr>
                <w:noProof/>
                <w:webHidden/>
              </w:rPr>
              <w:tab/>
            </w:r>
            <w:r>
              <w:rPr>
                <w:noProof/>
                <w:webHidden/>
              </w:rPr>
              <w:fldChar w:fldCharType="begin"/>
            </w:r>
            <w:r>
              <w:rPr>
                <w:noProof/>
                <w:webHidden/>
              </w:rPr>
              <w:instrText xml:space="preserve"> PAGEREF _Toc2450997 \h </w:instrText>
            </w:r>
            <w:r>
              <w:rPr>
                <w:noProof/>
                <w:webHidden/>
              </w:rPr>
            </w:r>
            <w:r>
              <w:rPr>
                <w:noProof/>
                <w:webHidden/>
              </w:rPr>
              <w:fldChar w:fldCharType="separate"/>
            </w:r>
            <w:r w:rsidR="00E6157A">
              <w:rPr>
                <w:noProof/>
                <w:webHidden/>
              </w:rPr>
              <w:t>49</w:t>
            </w:r>
            <w:r>
              <w:rPr>
                <w:noProof/>
                <w:webHidden/>
              </w:rPr>
              <w:fldChar w:fldCharType="end"/>
            </w:r>
          </w:hyperlink>
        </w:p>
        <w:p w14:paraId="083E4B5B" w14:textId="001F2A03"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8" w:history="1">
            <w:r w:rsidRPr="0042470B">
              <w:rPr>
                <w:rStyle w:val="Hyperlink"/>
                <w:noProof/>
              </w:rPr>
              <w:t>2.4.3</w:t>
            </w:r>
            <w:r>
              <w:rPr>
                <w:rFonts w:asciiTheme="minorHAnsi" w:eastAsiaTheme="minorEastAsia" w:hAnsiTheme="minorHAnsi" w:cstheme="minorBidi"/>
                <w:noProof/>
                <w:sz w:val="24"/>
                <w:szCs w:val="24"/>
              </w:rPr>
              <w:tab/>
            </w:r>
            <w:r w:rsidRPr="0042470B">
              <w:rPr>
                <w:rStyle w:val="Hyperlink"/>
                <w:noProof/>
              </w:rPr>
              <w:t>Isolation of β-APN from the commercial fumarate salt</w:t>
            </w:r>
            <w:r>
              <w:rPr>
                <w:noProof/>
                <w:webHidden/>
              </w:rPr>
              <w:tab/>
            </w:r>
            <w:r>
              <w:rPr>
                <w:noProof/>
                <w:webHidden/>
              </w:rPr>
              <w:fldChar w:fldCharType="begin"/>
            </w:r>
            <w:r>
              <w:rPr>
                <w:noProof/>
                <w:webHidden/>
              </w:rPr>
              <w:instrText xml:space="preserve"> PAGEREF _Toc2450998 \h </w:instrText>
            </w:r>
            <w:r>
              <w:rPr>
                <w:noProof/>
                <w:webHidden/>
              </w:rPr>
            </w:r>
            <w:r>
              <w:rPr>
                <w:noProof/>
                <w:webHidden/>
              </w:rPr>
              <w:fldChar w:fldCharType="separate"/>
            </w:r>
            <w:r w:rsidR="00E6157A">
              <w:rPr>
                <w:noProof/>
                <w:webHidden/>
              </w:rPr>
              <w:t>49</w:t>
            </w:r>
            <w:r>
              <w:rPr>
                <w:noProof/>
                <w:webHidden/>
              </w:rPr>
              <w:fldChar w:fldCharType="end"/>
            </w:r>
          </w:hyperlink>
        </w:p>
        <w:p w14:paraId="58DD9442" w14:textId="52D6768C"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0999" w:history="1">
            <w:r w:rsidRPr="0042470B">
              <w:rPr>
                <w:rStyle w:val="Hyperlink"/>
                <w:noProof/>
              </w:rPr>
              <w:t>2.4.4</w:t>
            </w:r>
            <w:r>
              <w:rPr>
                <w:rFonts w:asciiTheme="minorHAnsi" w:eastAsiaTheme="minorEastAsia" w:hAnsiTheme="minorHAnsi" w:cstheme="minorBidi"/>
                <w:noProof/>
                <w:sz w:val="24"/>
                <w:szCs w:val="24"/>
              </w:rPr>
              <w:tab/>
            </w:r>
            <w:r w:rsidRPr="0042470B">
              <w:rPr>
                <w:rStyle w:val="Hyperlink"/>
                <w:noProof/>
              </w:rPr>
              <w:t>Isolation of imine by column chromatography</w:t>
            </w:r>
            <w:r>
              <w:rPr>
                <w:noProof/>
                <w:webHidden/>
              </w:rPr>
              <w:tab/>
            </w:r>
            <w:r>
              <w:rPr>
                <w:noProof/>
                <w:webHidden/>
              </w:rPr>
              <w:fldChar w:fldCharType="begin"/>
            </w:r>
            <w:r>
              <w:rPr>
                <w:noProof/>
                <w:webHidden/>
              </w:rPr>
              <w:instrText xml:space="preserve"> PAGEREF _Toc2450999 \h </w:instrText>
            </w:r>
            <w:r>
              <w:rPr>
                <w:noProof/>
                <w:webHidden/>
              </w:rPr>
            </w:r>
            <w:r>
              <w:rPr>
                <w:noProof/>
                <w:webHidden/>
              </w:rPr>
              <w:fldChar w:fldCharType="separate"/>
            </w:r>
            <w:r w:rsidR="00E6157A">
              <w:rPr>
                <w:noProof/>
                <w:webHidden/>
              </w:rPr>
              <w:t>50</w:t>
            </w:r>
            <w:r>
              <w:rPr>
                <w:noProof/>
                <w:webHidden/>
              </w:rPr>
              <w:fldChar w:fldCharType="end"/>
            </w:r>
          </w:hyperlink>
        </w:p>
        <w:p w14:paraId="478D9CA4" w14:textId="66812227"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00" w:history="1">
            <w:r w:rsidRPr="0042470B">
              <w:rPr>
                <w:rStyle w:val="Hyperlink"/>
                <w:noProof/>
              </w:rPr>
              <w:t>2.4.5</w:t>
            </w:r>
            <w:r>
              <w:rPr>
                <w:rFonts w:asciiTheme="minorHAnsi" w:eastAsiaTheme="minorEastAsia" w:hAnsiTheme="minorHAnsi" w:cstheme="minorBidi"/>
                <w:noProof/>
                <w:sz w:val="24"/>
                <w:szCs w:val="24"/>
              </w:rPr>
              <w:tab/>
            </w:r>
            <w:r w:rsidRPr="0042470B">
              <w:rPr>
                <w:rStyle w:val="Hyperlink"/>
                <w:noProof/>
              </w:rPr>
              <w:t>Imine synthesis by Dean-Stark distillation</w:t>
            </w:r>
            <w:r>
              <w:rPr>
                <w:noProof/>
                <w:webHidden/>
              </w:rPr>
              <w:tab/>
            </w:r>
            <w:r>
              <w:rPr>
                <w:noProof/>
                <w:webHidden/>
              </w:rPr>
              <w:fldChar w:fldCharType="begin"/>
            </w:r>
            <w:r>
              <w:rPr>
                <w:noProof/>
                <w:webHidden/>
              </w:rPr>
              <w:instrText xml:space="preserve"> PAGEREF _Toc2451000 \h </w:instrText>
            </w:r>
            <w:r>
              <w:rPr>
                <w:noProof/>
                <w:webHidden/>
              </w:rPr>
            </w:r>
            <w:r>
              <w:rPr>
                <w:noProof/>
                <w:webHidden/>
              </w:rPr>
              <w:fldChar w:fldCharType="separate"/>
            </w:r>
            <w:r w:rsidR="00E6157A">
              <w:rPr>
                <w:noProof/>
                <w:webHidden/>
              </w:rPr>
              <w:t>50</w:t>
            </w:r>
            <w:r>
              <w:rPr>
                <w:noProof/>
                <w:webHidden/>
              </w:rPr>
              <w:fldChar w:fldCharType="end"/>
            </w:r>
          </w:hyperlink>
        </w:p>
        <w:p w14:paraId="1EBF124D" w14:textId="6A05F4C3"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01" w:history="1">
            <w:r w:rsidRPr="0042470B">
              <w:rPr>
                <w:rStyle w:val="Hyperlink"/>
                <w:noProof/>
              </w:rPr>
              <w:t>2.4.6</w:t>
            </w:r>
            <w:r>
              <w:rPr>
                <w:rFonts w:asciiTheme="minorHAnsi" w:eastAsiaTheme="minorEastAsia" w:hAnsiTheme="minorHAnsi" w:cstheme="minorBidi"/>
                <w:noProof/>
                <w:sz w:val="24"/>
                <w:szCs w:val="24"/>
              </w:rPr>
              <w:tab/>
            </w:r>
            <w:r w:rsidRPr="0042470B">
              <w:rPr>
                <w:rStyle w:val="Hyperlink"/>
                <w:noProof/>
              </w:rPr>
              <w:t>Imine synthesis by rotary evaporation</w:t>
            </w:r>
            <w:r>
              <w:rPr>
                <w:noProof/>
                <w:webHidden/>
              </w:rPr>
              <w:tab/>
            </w:r>
            <w:r>
              <w:rPr>
                <w:noProof/>
                <w:webHidden/>
              </w:rPr>
              <w:fldChar w:fldCharType="begin"/>
            </w:r>
            <w:r>
              <w:rPr>
                <w:noProof/>
                <w:webHidden/>
              </w:rPr>
              <w:instrText xml:space="preserve"> PAGEREF _Toc2451001 \h </w:instrText>
            </w:r>
            <w:r>
              <w:rPr>
                <w:noProof/>
                <w:webHidden/>
              </w:rPr>
            </w:r>
            <w:r>
              <w:rPr>
                <w:noProof/>
                <w:webHidden/>
              </w:rPr>
              <w:fldChar w:fldCharType="separate"/>
            </w:r>
            <w:r w:rsidR="00E6157A">
              <w:rPr>
                <w:noProof/>
                <w:webHidden/>
              </w:rPr>
              <w:t>51</w:t>
            </w:r>
            <w:r>
              <w:rPr>
                <w:noProof/>
                <w:webHidden/>
              </w:rPr>
              <w:fldChar w:fldCharType="end"/>
            </w:r>
          </w:hyperlink>
        </w:p>
        <w:p w14:paraId="232DDBD5" w14:textId="6C1C49A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02" w:history="1">
            <w:r w:rsidRPr="0042470B">
              <w:rPr>
                <w:rStyle w:val="Hyperlink"/>
                <w:noProof/>
              </w:rPr>
              <w:t>2.4.7</w:t>
            </w:r>
            <w:r>
              <w:rPr>
                <w:rFonts w:asciiTheme="minorHAnsi" w:eastAsiaTheme="minorEastAsia" w:hAnsiTheme="minorHAnsi" w:cstheme="minorBidi"/>
                <w:noProof/>
                <w:sz w:val="24"/>
                <w:szCs w:val="24"/>
              </w:rPr>
              <w:tab/>
            </w:r>
            <w:r w:rsidRPr="0042470B">
              <w:rPr>
                <w:rStyle w:val="Hyperlink"/>
                <w:noProof/>
              </w:rPr>
              <w:t>Vacuum oven synthesis of imines</w:t>
            </w:r>
            <w:r>
              <w:rPr>
                <w:noProof/>
                <w:webHidden/>
              </w:rPr>
              <w:tab/>
            </w:r>
            <w:r>
              <w:rPr>
                <w:noProof/>
                <w:webHidden/>
              </w:rPr>
              <w:fldChar w:fldCharType="begin"/>
            </w:r>
            <w:r>
              <w:rPr>
                <w:noProof/>
                <w:webHidden/>
              </w:rPr>
              <w:instrText xml:space="preserve"> PAGEREF _Toc2451002 \h </w:instrText>
            </w:r>
            <w:r>
              <w:rPr>
                <w:noProof/>
                <w:webHidden/>
              </w:rPr>
            </w:r>
            <w:r>
              <w:rPr>
                <w:noProof/>
                <w:webHidden/>
              </w:rPr>
              <w:fldChar w:fldCharType="separate"/>
            </w:r>
            <w:r w:rsidR="00E6157A">
              <w:rPr>
                <w:noProof/>
                <w:webHidden/>
              </w:rPr>
              <w:t>51</w:t>
            </w:r>
            <w:r>
              <w:rPr>
                <w:noProof/>
                <w:webHidden/>
              </w:rPr>
              <w:fldChar w:fldCharType="end"/>
            </w:r>
          </w:hyperlink>
        </w:p>
        <w:p w14:paraId="31573546" w14:textId="4AABA0AD"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03" w:history="1">
            <w:r w:rsidRPr="0042470B">
              <w:rPr>
                <w:rStyle w:val="Hyperlink"/>
                <w:noProof/>
              </w:rPr>
              <w:t>2.4.8</w:t>
            </w:r>
            <w:r>
              <w:rPr>
                <w:rFonts w:asciiTheme="minorHAnsi" w:eastAsiaTheme="minorEastAsia" w:hAnsiTheme="minorHAnsi" w:cstheme="minorBidi"/>
                <w:noProof/>
                <w:sz w:val="24"/>
                <w:szCs w:val="24"/>
              </w:rPr>
              <w:tab/>
            </w:r>
            <w:r w:rsidRPr="0042470B">
              <w:rPr>
                <w:rStyle w:val="Hyperlink"/>
                <w:noProof/>
              </w:rPr>
              <w:t>Synthesis of imine from salicylaldehyde and β-APN</w:t>
            </w:r>
            <w:r>
              <w:rPr>
                <w:noProof/>
                <w:webHidden/>
              </w:rPr>
              <w:tab/>
            </w:r>
            <w:r>
              <w:rPr>
                <w:noProof/>
                <w:webHidden/>
              </w:rPr>
              <w:fldChar w:fldCharType="begin"/>
            </w:r>
            <w:r>
              <w:rPr>
                <w:noProof/>
                <w:webHidden/>
              </w:rPr>
              <w:instrText xml:space="preserve"> PAGEREF _Toc2451003 \h </w:instrText>
            </w:r>
            <w:r>
              <w:rPr>
                <w:noProof/>
                <w:webHidden/>
              </w:rPr>
            </w:r>
            <w:r>
              <w:rPr>
                <w:noProof/>
                <w:webHidden/>
              </w:rPr>
              <w:fldChar w:fldCharType="separate"/>
            </w:r>
            <w:r w:rsidR="00E6157A">
              <w:rPr>
                <w:noProof/>
                <w:webHidden/>
              </w:rPr>
              <w:t>52</w:t>
            </w:r>
            <w:r>
              <w:rPr>
                <w:noProof/>
                <w:webHidden/>
              </w:rPr>
              <w:fldChar w:fldCharType="end"/>
            </w:r>
          </w:hyperlink>
        </w:p>
        <w:p w14:paraId="79A38F6D" w14:textId="72A3BB86"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04" w:history="1">
            <w:r w:rsidRPr="0042470B">
              <w:rPr>
                <w:rStyle w:val="Hyperlink"/>
                <w:noProof/>
              </w:rPr>
              <w:t>2.4.9</w:t>
            </w:r>
            <w:r>
              <w:rPr>
                <w:rFonts w:asciiTheme="minorHAnsi" w:eastAsiaTheme="minorEastAsia" w:hAnsiTheme="minorHAnsi" w:cstheme="minorBidi"/>
                <w:noProof/>
                <w:sz w:val="24"/>
                <w:szCs w:val="24"/>
              </w:rPr>
              <w:tab/>
            </w:r>
            <w:r w:rsidRPr="0042470B">
              <w:rPr>
                <w:rStyle w:val="Hyperlink"/>
                <w:noProof/>
              </w:rPr>
              <w:t>Synthesis of salicylaldehyde derivatives imines</w:t>
            </w:r>
            <w:r>
              <w:rPr>
                <w:noProof/>
                <w:webHidden/>
              </w:rPr>
              <w:tab/>
            </w:r>
            <w:r>
              <w:rPr>
                <w:noProof/>
                <w:webHidden/>
              </w:rPr>
              <w:fldChar w:fldCharType="begin"/>
            </w:r>
            <w:r>
              <w:rPr>
                <w:noProof/>
                <w:webHidden/>
              </w:rPr>
              <w:instrText xml:space="preserve"> PAGEREF _Toc2451004 \h </w:instrText>
            </w:r>
            <w:r>
              <w:rPr>
                <w:noProof/>
                <w:webHidden/>
              </w:rPr>
            </w:r>
            <w:r>
              <w:rPr>
                <w:noProof/>
                <w:webHidden/>
              </w:rPr>
              <w:fldChar w:fldCharType="separate"/>
            </w:r>
            <w:r w:rsidR="00E6157A">
              <w:rPr>
                <w:noProof/>
                <w:webHidden/>
              </w:rPr>
              <w:t>53</w:t>
            </w:r>
            <w:r>
              <w:rPr>
                <w:noProof/>
                <w:webHidden/>
              </w:rPr>
              <w:fldChar w:fldCharType="end"/>
            </w:r>
          </w:hyperlink>
        </w:p>
        <w:p w14:paraId="12C23000" w14:textId="47E1A59C"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05" w:history="1">
            <w:r w:rsidRPr="0042470B">
              <w:rPr>
                <w:rStyle w:val="Hyperlink"/>
                <w:noProof/>
              </w:rPr>
              <w:t>2.4.10</w:t>
            </w:r>
            <w:r>
              <w:rPr>
                <w:rFonts w:asciiTheme="minorHAnsi" w:eastAsiaTheme="minorEastAsia" w:hAnsiTheme="minorHAnsi" w:cstheme="minorBidi"/>
                <w:noProof/>
                <w:sz w:val="24"/>
                <w:szCs w:val="24"/>
              </w:rPr>
              <w:tab/>
            </w:r>
            <w:r w:rsidRPr="0042470B">
              <w:rPr>
                <w:rStyle w:val="Hyperlink"/>
                <w:noProof/>
              </w:rPr>
              <w:t>Investigating the position of the aromatic hydroxyl group</w:t>
            </w:r>
            <w:r>
              <w:rPr>
                <w:noProof/>
                <w:webHidden/>
              </w:rPr>
              <w:tab/>
            </w:r>
            <w:r>
              <w:rPr>
                <w:noProof/>
                <w:webHidden/>
              </w:rPr>
              <w:fldChar w:fldCharType="begin"/>
            </w:r>
            <w:r>
              <w:rPr>
                <w:noProof/>
                <w:webHidden/>
              </w:rPr>
              <w:instrText xml:space="preserve"> PAGEREF _Toc2451005 \h </w:instrText>
            </w:r>
            <w:r>
              <w:rPr>
                <w:noProof/>
                <w:webHidden/>
              </w:rPr>
            </w:r>
            <w:r>
              <w:rPr>
                <w:noProof/>
                <w:webHidden/>
              </w:rPr>
              <w:fldChar w:fldCharType="separate"/>
            </w:r>
            <w:r w:rsidR="00E6157A">
              <w:rPr>
                <w:noProof/>
                <w:webHidden/>
              </w:rPr>
              <w:t>56</w:t>
            </w:r>
            <w:r>
              <w:rPr>
                <w:noProof/>
                <w:webHidden/>
              </w:rPr>
              <w:fldChar w:fldCharType="end"/>
            </w:r>
          </w:hyperlink>
        </w:p>
        <w:p w14:paraId="3EB83CF4" w14:textId="7A00B0D6"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06" w:history="1">
            <w:r w:rsidRPr="0042470B">
              <w:rPr>
                <w:rStyle w:val="Hyperlink"/>
                <w:noProof/>
              </w:rPr>
              <w:t>2.4.11</w:t>
            </w:r>
            <w:r>
              <w:rPr>
                <w:rFonts w:asciiTheme="minorHAnsi" w:eastAsiaTheme="minorEastAsia" w:hAnsiTheme="minorHAnsi" w:cstheme="minorBidi"/>
                <w:noProof/>
                <w:sz w:val="24"/>
                <w:szCs w:val="24"/>
              </w:rPr>
              <w:tab/>
            </w:r>
            <w:r w:rsidRPr="0042470B">
              <w:rPr>
                <w:rStyle w:val="Hyperlink"/>
                <w:noProof/>
              </w:rPr>
              <w:t>Investigating imine dissociation in aqueous and non-aqueous solvents</w:t>
            </w:r>
            <w:r>
              <w:rPr>
                <w:noProof/>
                <w:webHidden/>
              </w:rPr>
              <w:tab/>
            </w:r>
            <w:r>
              <w:rPr>
                <w:noProof/>
                <w:webHidden/>
              </w:rPr>
              <w:fldChar w:fldCharType="begin"/>
            </w:r>
            <w:r>
              <w:rPr>
                <w:noProof/>
                <w:webHidden/>
              </w:rPr>
              <w:instrText xml:space="preserve"> PAGEREF _Toc2451006 \h </w:instrText>
            </w:r>
            <w:r>
              <w:rPr>
                <w:noProof/>
                <w:webHidden/>
              </w:rPr>
            </w:r>
            <w:r>
              <w:rPr>
                <w:noProof/>
                <w:webHidden/>
              </w:rPr>
              <w:fldChar w:fldCharType="separate"/>
            </w:r>
            <w:r w:rsidR="00E6157A">
              <w:rPr>
                <w:noProof/>
                <w:webHidden/>
              </w:rPr>
              <w:t>59</w:t>
            </w:r>
            <w:r>
              <w:rPr>
                <w:noProof/>
                <w:webHidden/>
              </w:rPr>
              <w:fldChar w:fldCharType="end"/>
            </w:r>
          </w:hyperlink>
        </w:p>
        <w:p w14:paraId="3D072506" w14:textId="4673DF64"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07" w:history="1">
            <w:r w:rsidRPr="0042470B">
              <w:rPr>
                <w:rStyle w:val="Hyperlink"/>
                <w:noProof/>
              </w:rPr>
              <w:t>2.5</w:t>
            </w:r>
            <w:r>
              <w:rPr>
                <w:rFonts w:asciiTheme="minorHAnsi" w:eastAsiaTheme="minorEastAsia" w:hAnsiTheme="minorHAnsi" w:cstheme="minorBidi"/>
                <w:b w:val="0"/>
                <w:bCs w:val="0"/>
                <w:noProof/>
                <w:sz w:val="24"/>
                <w:szCs w:val="24"/>
              </w:rPr>
              <w:tab/>
            </w:r>
            <w:r w:rsidRPr="0042470B">
              <w:rPr>
                <w:rStyle w:val="Hyperlink"/>
                <w:noProof/>
              </w:rPr>
              <w:t>Conclusions</w:t>
            </w:r>
            <w:r>
              <w:rPr>
                <w:noProof/>
                <w:webHidden/>
              </w:rPr>
              <w:tab/>
            </w:r>
            <w:r>
              <w:rPr>
                <w:noProof/>
                <w:webHidden/>
              </w:rPr>
              <w:fldChar w:fldCharType="begin"/>
            </w:r>
            <w:r>
              <w:rPr>
                <w:noProof/>
                <w:webHidden/>
              </w:rPr>
              <w:instrText xml:space="preserve"> PAGEREF _Toc2451007 \h </w:instrText>
            </w:r>
            <w:r>
              <w:rPr>
                <w:noProof/>
                <w:webHidden/>
              </w:rPr>
            </w:r>
            <w:r>
              <w:rPr>
                <w:noProof/>
                <w:webHidden/>
              </w:rPr>
              <w:fldChar w:fldCharType="separate"/>
            </w:r>
            <w:r w:rsidR="00E6157A">
              <w:rPr>
                <w:noProof/>
                <w:webHidden/>
              </w:rPr>
              <w:t>66</w:t>
            </w:r>
            <w:r>
              <w:rPr>
                <w:noProof/>
                <w:webHidden/>
              </w:rPr>
              <w:fldChar w:fldCharType="end"/>
            </w:r>
          </w:hyperlink>
        </w:p>
        <w:p w14:paraId="56241C7D" w14:textId="51665141"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1008" w:history="1">
            <w:r w:rsidRPr="0042470B">
              <w:rPr>
                <w:rStyle w:val="Hyperlink"/>
                <w:noProof/>
              </w:rPr>
              <w:t>3</w:t>
            </w:r>
            <w:r>
              <w:rPr>
                <w:rFonts w:asciiTheme="minorHAnsi" w:eastAsiaTheme="minorEastAsia" w:hAnsiTheme="minorHAnsi" w:cstheme="minorBidi"/>
                <w:b w:val="0"/>
                <w:bCs w:val="0"/>
                <w:i w:val="0"/>
                <w:iCs w:val="0"/>
                <w:noProof/>
              </w:rPr>
              <w:tab/>
            </w:r>
            <w:r w:rsidRPr="0042470B">
              <w:rPr>
                <w:rStyle w:val="Hyperlink"/>
                <w:noProof/>
              </w:rPr>
              <w:t>Chapter Three: Effect of prodrugs on enzyme activity and cytotoxicity</w:t>
            </w:r>
            <w:r>
              <w:rPr>
                <w:noProof/>
                <w:webHidden/>
              </w:rPr>
              <w:tab/>
            </w:r>
            <w:r>
              <w:rPr>
                <w:noProof/>
                <w:webHidden/>
              </w:rPr>
              <w:fldChar w:fldCharType="begin"/>
            </w:r>
            <w:r>
              <w:rPr>
                <w:noProof/>
                <w:webHidden/>
              </w:rPr>
              <w:instrText xml:space="preserve"> PAGEREF _Toc2451008 \h </w:instrText>
            </w:r>
            <w:r>
              <w:rPr>
                <w:noProof/>
                <w:webHidden/>
              </w:rPr>
            </w:r>
            <w:r>
              <w:rPr>
                <w:noProof/>
                <w:webHidden/>
              </w:rPr>
              <w:fldChar w:fldCharType="separate"/>
            </w:r>
            <w:r w:rsidR="00E6157A">
              <w:rPr>
                <w:noProof/>
                <w:webHidden/>
              </w:rPr>
              <w:t>69</w:t>
            </w:r>
            <w:r>
              <w:rPr>
                <w:noProof/>
                <w:webHidden/>
              </w:rPr>
              <w:fldChar w:fldCharType="end"/>
            </w:r>
          </w:hyperlink>
        </w:p>
        <w:p w14:paraId="4265C1EC" w14:textId="2D449A4F"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09" w:history="1">
            <w:r w:rsidRPr="0042470B">
              <w:rPr>
                <w:rStyle w:val="Hyperlink"/>
                <w:noProof/>
              </w:rPr>
              <w:t>3.1</w:t>
            </w:r>
            <w:r>
              <w:rPr>
                <w:rFonts w:asciiTheme="minorHAnsi" w:eastAsiaTheme="minorEastAsia" w:hAnsiTheme="minorHAnsi" w:cstheme="minorBidi"/>
                <w:b w:val="0"/>
                <w:bCs w:val="0"/>
                <w:noProof/>
                <w:sz w:val="24"/>
                <w:szCs w:val="24"/>
              </w:rPr>
              <w:tab/>
            </w:r>
            <w:r w:rsidRPr="0042470B">
              <w:rPr>
                <w:rStyle w:val="Hyperlink"/>
                <w:noProof/>
              </w:rPr>
              <w:t>Introduction</w:t>
            </w:r>
            <w:r>
              <w:rPr>
                <w:noProof/>
                <w:webHidden/>
              </w:rPr>
              <w:tab/>
            </w:r>
            <w:r>
              <w:rPr>
                <w:noProof/>
                <w:webHidden/>
              </w:rPr>
              <w:fldChar w:fldCharType="begin"/>
            </w:r>
            <w:r>
              <w:rPr>
                <w:noProof/>
                <w:webHidden/>
              </w:rPr>
              <w:instrText xml:space="preserve"> PAGEREF _Toc2451009 \h </w:instrText>
            </w:r>
            <w:r>
              <w:rPr>
                <w:noProof/>
                <w:webHidden/>
              </w:rPr>
            </w:r>
            <w:r>
              <w:rPr>
                <w:noProof/>
                <w:webHidden/>
              </w:rPr>
              <w:fldChar w:fldCharType="separate"/>
            </w:r>
            <w:r w:rsidR="00E6157A">
              <w:rPr>
                <w:noProof/>
                <w:webHidden/>
              </w:rPr>
              <w:t>69</w:t>
            </w:r>
            <w:r>
              <w:rPr>
                <w:noProof/>
                <w:webHidden/>
              </w:rPr>
              <w:fldChar w:fldCharType="end"/>
            </w:r>
          </w:hyperlink>
        </w:p>
        <w:p w14:paraId="54CD64C2" w14:textId="300B24DF"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0" w:history="1">
            <w:r w:rsidRPr="0042470B">
              <w:rPr>
                <w:rStyle w:val="Hyperlink"/>
                <w:noProof/>
              </w:rPr>
              <w:t>3.1.1</w:t>
            </w:r>
            <w:r>
              <w:rPr>
                <w:rFonts w:asciiTheme="minorHAnsi" w:eastAsiaTheme="minorEastAsia" w:hAnsiTheme="minorHAnsi" w:cstheme="minorBidi"/>
                <w:noProof/>
                <w:sz w:val="24"/>
                <w:szCs w:val="24"/>
              </w:rPr>
              <w:tab/>
            </w:r>
            <w:r w:rsidRPr="0042470B">
              <w:rPr>
                <w:rStyle w:val="Hyperlink"/>
                <w:noProof/>
              </w:rPr>
              <w:t>Lysyl oxidase activity assays</w:t>
            </w:r>
            <w:r>
              <w:rPr>
                <w:noProof/>
                <w:webHidden/>
              </w:rPr>
              <w:tab/>
            </w:r>
            <w:r>
              <w:rPr>
                <w:noProof/>
                <w:webHidden/>
              </w:rPr>
              <w:fldChar w:fldCharType="begin"/>
            </w:r>
            <w:r>
              <w:rPr>
                <w:noProof/>
                <w:webHidden/>
              </w:rPr>
              <w:instrText xml:space="preserve"> PAGEREF _Toc2451010 \h </w:instrText>
            </w:r>
            <w:r>
              <w:rPr>
                <w:noProof/>
                <w:webHidden/>
              </w:rPr>
            </w:r>
            <w:r>
              <w:rPr>
                <w:noProof/>
                <w:webHidden/>
              </w:rPr>
              <w:fldChar w:fldCharType="separate"/>
            </w:r>
            <w:r w:rsidR="00E6157A">
              <w:rPr>
                <w:noProof/>
                <w:webHidden/>
              </w:rPr>
              <w:t>69</w:t>
            </w:r>
            <w:r>
              <w:rPr>
                <w:noProof/>
                <w:webHidden/>
              </w:rPr>
              <w:fldChar w:fldCharType="end"/>
            </w:r>
          </w:hyperlink>
        </w:p>
        <w:p w14:paraId="669F4123" w14:textId="2605E4C7"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1" w:history="1">
            <w:r w:rsidRPr="0042470B">
              <w:rPr>
                <w:rStyle w:val="Hyperlink"/>
                <w:noProof/>
              </w:rPr>
              <w:t>3.1.2</w:t>
            </w:r>
            <w:r>
              <w:rPr>
                <w:rFonts w:asciiTheme="minorHAnsi" w:eastAsiaTheme="minorEastAsia" w:hAnsiTheme="minorHAnsi" w:cstheme="minorBidi"/>
                <w:noProof/>
                <w:sz w:val="24"/>
                <w:szCs w:val="24"/>
              </w:rPr>
              <w:tab/>
            </w:r>
            <w:r w:rsidRPr="0042470B">
              <w:rPr>
                <w:rStyle w:val="Hyperlink"/>
                <w:noProof/>
              </w:rPr>
              <w:t>Cytotoxicity</w:t>
            </w:r>
            <w:r>
              <w:rPr>
                <w:noProof/>
                <w:webHidden/>
              </w:rPr>
              <w:tab/>
            </w:r>
            <w:r>
              <w:rPr>
                <w:noProof/>
                <w:webHidden/>
              </w:rPr>
              <w:fldChar w:fldCharType="begin"/>
            </w:r>
            <w:r>
              <w:rPr>
                <w:noProof/>
                <w:webHidden/>
              </w:rPr>
              <w:instrText xml:space="preserve"> PAGEREF _Toc2451011 \h </w:instrText>
            </w:r>
            <w:r>
              <w:rPr>
                <w:noProof/>
                <w:webHidden/>
              </w:rPr>
            </w:r>
            <w:r>
              <w:rPr>
                <w:noProof/>
                <w:webHidden/>
              </w:rPr>
              <w:fldChar w:fldCharType="separate"/>
            </w:r>
            <w:r w:rsidR="00E6157A">
              <w:rPr>
                <w:noProof/>
                <w:webHidden/>
              </w:rPr>
              <w:t>71</w:t>
            </w:r>
            <w:r>
              <w:rPr>
                <w:noProof/>
                <w:webHidden/>
              </w:rPr>
              <w:fldChar w:fldCharType="end"/>
            </w:r>
          </w:hyperlink>
        </w:p>
        <w:p w14:paraId="0692D3AE" w14:textId="1A76BEEC"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12" w:history="1">
            <w:r w:rsidRPr="0042470B">
              <w:rPr>
                <w:rStyle w:val="Hyperlink"/>
                <w:noProof/>
              </w:rPr>
              <w:t>3.2</w:t>
            </w:r>
            <w:r>
              <w:rPr>
                <w:rFonts w:asciiTheme="minorHAnsi" w:eastAsiaTheme="minorEastAsia" w:hAnsiTheme="minorHAnsi" w:cstheme="minorBidi"/>
                <w:b w:val="0"/>
                <w:bCs w:val="0"/>
                <w:noProof/>
                <w:sz w:val="24"/>
                <w:szCs w:val="24"/>
              </w:rPr>
              <w:tab/>
            </w:r>
            <w:r w:rsidRPr="0042470B">
              <w:rPr>
                <w:rStyle w:val="Hyperlink"/>
                <w:noProof/>
              </w:rPr>
              <w:t>Materials</w:t>
            </w:r>
            <w:r>
              <w:rPr>
                <w:noProof/>
                <w:webHidden/>
              </w:rPr>
              <w:tab/>
            </w:r>
            <w:r>
              <w:rPr>
                <w:noProof/>
                <w:webHidden/>
              </w:rPr>
              <w:fldChar w:fldCharType="begin"/>
            </w:r>
            <w:r>
              <w:rPr>
                <w:noProof/>
                <w:webHidden/>
              </w:rPr>
              <w:instrText xml:space="preserve"> PAGEREF _Toc2451012 \h </w:instrText>
            </w:r>
            <w:r>
              <w:rPr>
                <w:noProof/>
                <w:webHidden/>
              </w:rPr>
            </w:r>
            <w:r>
              <w:rPr>
                <w:noProof/>
                <w:webHidden/>
              </w:rPr>
              <w:fldChar w:fldCharType="separate"/>
            </w:r>
            <w:r w:rsidR="00E6157A">
              <w:rPr>
                <w:noProof/>
                <w:webHidden/>
              </w:rPr>
              <w:t>72</w:t>
            </w:r>
            <w:r>
              <w:rPr>
                <w:noProof/>
                <w:webHidden/>
              </w:rPr>
              <w:fldChar w:fldCharType="end"/>
            </w:r>
          </w:hyperlink>
        </w:p>
        <w:p w14:paraId="49CF6645" w14:textId="51222955"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13" w:history="1">
            <w:r w:rsidRPr="0042470B">
              <w:rPr>
                <w:rStyle w:val="Hyperlink"/>
                <w:rFonts w:eastAsia="Times New Roman"/>
                <w:noProof/>
                <w:lang w:eastAsia="en-GB"/>
              </w:rPr>
              <w:t>3.3</w:t>
            </w:r>
            <w:r>
              <w:rPr>
                <w:rFonts w:asciiTheme="minorHAnsi" w:eastAsiaTheme="minorEastAsia" w:hAnsiTheme="minorHAnsi" w:cstheme="minorBidi"/>
                <w:b w:val="0"/>
                <w:bCs w:val="0"/>
                <w:noProof/>
                <w:sz w:val="24"/>
                <w:szCs w:val="24"/>
              </w:rPr>
              <w:tab/>
            </w:r>
            <w:r w:rsidRPr="0042470B">
              <w:rPr>
                <w:rStyle w:val="Hyperlink"/>
                <w:rFonts w:eastAsia="Times New Roman"/>
                <w:noProof/>
                <w:lang w:eastAsia="en-GB"/>
              </w:rPr>
              <w:t>Methods</w:t>
            </w:r>
            <w:r>
              <w:rPr>
                <w:noProof/>
                <w:webHidden/>
              </w:rPr>
              <w:tab/>
            </w:r>
            <w:r>
              <w:rPr>
                <w:noProof/>
                <w:webHidden/>
              </w:rPr>
              <w:fldChar w:fldCharType="begin"/>
            </w:r>
            <w:r>
              <w:rPr>
                <w:noProof/>
                <w:webHidden/>
              </w:rPr>
              <w:instrText xml:space="preserve"> PAGEREF _Toc2451013 \h </w:instrText>
            </w:r>
            <w:r>
              <w:rPr>
                <w:noProof/>
                <w:webHidden/>
              </w:rPr>
            </w:r>
            <w:r>
              <w:rPr>
                <w:noProof/>
                <w:webHidden/>
              </w:rPr>
              <w:fldChar w:fldCharType="separate"/>
            </w:r>
            <w:r w:rsidR="00E6157A">
              <w:rPr>
                <w:noProof/>
                <w:webHidden/>
              </w:rPr>
              <w:t>73</w:t>
            </w:r>
            <w:r>
              <w:rPr>
                <w:noProof/>
                <w:webHidden/>
              </w:rPr>
              <w:fldChar w:fldCharType="end"/>
            </w:r>
          </w:hyperlink>
        </w:p>
        <w:p w14:paraId="3493376A" w14:textId="43D4A7BF"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4" w:history="1">
            <w:r w:rsidRPr="0042470B">
              <w:rPr>
                <w:rStyle w:val="Hyperlink"/>
                <w:rFonts w:eastAsia="Times New Roman"/>
                <w:noProof/>
                <w:lang w:eastAsia="en-GB"/>
              </w:rPr>
              <w:t>3.3.1</w:t>
            </w:r>
            <w:r>
              <w:rPr>
                <w:rFonts w:asciiTheme="minorHAnsi" w:eastAsiaTheme="minorEastAsia" w:hAnsiTheme="minorHAnsi" w:cstheme="minorBidi"/>
                <w:noProof/>
                <w:sz w:val="24"/>
                <w:szCs w:val="24"/>
              </w:rPr>
              <w:tab/>
            </w:r>
            <w:r w:rsidRPr="0042470B">
              <w:rPr>
                <w:rStyle w:val="Hyperlink"/>
                <w:rFonts w:eastAsia="Times New Roman"/>
                <w:noProof/>
                <w:lang w:eastAsia="en-GB"/>
              </w:rPr>
              <w:t>Isolation and culture of human epidermal keratinocytes</w:t>
            </w:r>
            <w:r>
              <w:rPr>
                <w:noProof/>
                <w:webHidden/>
              </w:rPr>
              <w:tab/>
            </w:r>
            <w:r>
              <w:rPr>
                <w:noProof/>
                <w:webHidden/>
              </w:rPr>
              <w:fldChar w:fldCharType="begin"/>
            </w:r>
            <w:r>
              <w:rPr>
                <w:noProof/>
                <w:webHidden/>
              </w:rPr>
              <w:instrText xml:space="preserve"> PAGEREF _Toc2451014 \h </w:instrText>
            </w:r>
            <w:r>
              <w:rPr>
                <w:noProof/>
                <w:webHidden/>
              </w:rPr>
            </w:r>
            <w:r>
              <w:rPr>
                <w:noProof/>
                <w:webHidden/>
              </w:rPr>
              <w:fldChar w:fldCharType="separate"/>
            </w:r>
            <w:r w:rsidR="00E6157A">
              <w:rPr>
                <w:noProof/>
                <w:webHidden/>
              </w:rPr>
              <w:t>73</w:t>
            </w:r>
            <w:r>
              <w:rPr>
                <w:noProof/>
                <w:webHidden/>
              </w:rPr>
              <w:fldChar w:fldCharType="end"/>
            </w:r>
          </w:hyperlink>
        </w:p>
        <w:p w14:paraId="0EC1A8E4" w14:textId="7C97E8A4"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5" w:history="1">
            <w:r w:rsidRPr="0042470B">
              <w:rPr>
                <w:rStyle w:val="Hyperlink"/>
                <w:rFonts w:eastAsia="Times New Roman"/>
                <w:noProof/>
                <w:lang w:eastAsia="en-GB"/>
              </w:rPr>
              <w:t>3.3.2</w:t>
            </w:r>
            <w:r>
              <w:rPr>
                <w:rFonts w:asciiTheme="minorHAnsi" w:eastAsiaTheme="minorEastAsia" w:hAnsiTheme="minorHAnsi" w:cstheme="minorBidi"/>
                <w:noProof/>
                <w:sz w:val="24"/>
                <w:szCs w:val="24"/>
              </w:rPr>
              <w:tab/>
            </w:r>
            <w:r w:rsidRPr="0042470B">
              <w:rPr>
                <w:rStyle w:val="Hyperlink"/>
                <w:rFonts w:eastAsia="Times New Roman"/>
                <w:noProof/>
                <w:lang w:eastAsia="en-GB"/>
              </w:rPr>
              <w:t>Isolation and culture of human dermal fibroblasts</w:t>
            </w:r>
            <w:r>
              <w:rPr>
                <w:noProof/>
                <w:webHidden/>
              </w:rPr>
              <w:tab/>
            </w:r>
            <w:r>
              <w:rPr>
                <w:noProof/>
                <w:webHidden/>
              </w:rPr>
              <w:fldChar w:fldCharType="begin"/>
            </w:r>
            <w:r>
              <w:rPr>
                <w:noProof/>
                <w:webHidden/>
              </w:rPr>
              <w:instrText xml:space="preserve"> PAGEREF _Toc2451015 \h </w:instrText>
            </w:r>
            <w:r>
              <w:rPr>
                <w:noProof/>
                <w:webHidden/>
              </w:rPr>
            </w:r>
            <w:r>
              <w:rPr>
                <w:noProof/>
                <w:webHidden/>
              </w:rPr>
              <w:fldChar w:fldCharType="separate"/>
            </w:r>
            <w:r w:rsidR="00E6157A">
              <w:rPr>
                <w:noProof/>
                <w:webHidden/>
              </w:rPr>
              <w:t>73</w:t>
            </w:r>
            <w:r>
              <w:rPr>
                <w:noProof/>
                <w:webHidden/>
              </w:rPr>
              <w:fldChar w:fldCharType="end"/>
            </w:r>
          </w:hyperlink>
        </w:p>
        <w:p w14:paraId="3678DBF7" w14:textId="1ECB66FD"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6" w:history="1">
            <w:r w:rsidRPr="0042470B">
              <w:rPr>
                <w:rStyle w:val="Hyperlink"/>
                <w:noProof/>
                <w:lang w:eastAsia="en-GB"/>
              </w:rPr>
              <w:t>3.3.3</w:t>
            </w:r>
            <w:r>
              <w:rPr>
                <w:rFonts w:asciiTheme="minorHAnsi" w:eastAsiaTheme="minorEastAsia" w:hAnsiTheme="minorHAnsi" w:cstheme="minorBidi"/>
                <w:noProof/>
                <w:sz w:val="24"/>
                <w:szCs w:val="24"/>
              </w:rPr>
              <w:tab/>
            </w:r>
            <w:r w:rsidRPr="0042470B">
              <w:rPr>
                <w:rStyle w:val="Hyperlink"/>
                <w:noProof/>
                <w:lang w:eastAsia="en-GB"/>
              </w:rPr>
              <w:t>Cell counting and viability assessment</w:t>
            </w:r>
            <w:r>
              <w:rPr>
                <w:noProof/>
                <w:webHidden/>
              </w:rPr>
              <w:tab/>
            </w:r>
            <w:r>
              <w:rPr>
                <w:noProof/>
                <w:webHidden/>
              </w:rPr>
              <w:fldChar w:fldCharType="begin"/>
            </w:r>
            <w:r>
              <w:rPr>
                <w:noProof/>
                <w:webHidden/>
              </w:rPr>
              <w:instrText xml:space="preserve"> PAGEREF _Toc2451016 \h </w:instrText>
            </w:r>
            <w:r>
              <w:rPr>
                <w:noProof/>
                <w:webHidden/>
              </w:rPr>
            </w:r>
            <w:r>
              <w:rPr>
                <w:noProof/>
                <w:webHidden/>
              </w:rPr>
              <w:fldChar w:fldCharType="separate"/>
            </w:r>
            <w:r w:rsidR="00E6157A">
              <w:rPr>
                <w:noProof/>
                <w:webHidden/>
              </w:rPr>
              <w:t>74</w:t>
            </w:r>
            <w:r>
              <w:rPr>
                <w:noProof/>
                <w:webHidden/>
              </w:rPr>
              <w:fldChar w:fldCharType="end"/>
            </w:r>
          </w:hyperlink>
        </w:p>
        <w:p w14:paraId="559B61DB" w14:textId="71C24727"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7" w:history="1">
            <w:r w:rsidRPr="0042470B">
              <w:rPr>
                <w:rStyle w:val="Hyperlink"/>
                <w:noProof/>
              </w:rPr>
              <w:t>3.3.4</w:t>
            </w:r>
            <w:r>
              <w:rPr>
                <w:rFonts w:asciiTheme="minorHAnsi" w:eastAsiaTheme="minorEastAsia" w:hAnsiTheme="minorHAnsi" w:cstheme="minorBidi"/>
                <w:noProof/>
                <w:sz w:val="24"/>
                <w:szCs w:val="24"/>
              </w:rPr>
              <w:tab/>
            </w:r>
            <w:r w:rsidRPr="0042470B">
              <w:rPr>
                <w:rStyle w:val="Hyperlink"/>
                <w:noProof/>
              </w:rPr>
              <w:t>Screening conditions for lysyl oxidase-like 2 activity assay</w:t>
            </w:r>
            <w:r>
              <w:rPr>
                <w:noProof/>
                <w:webHidden/>
              </w:rPr>
              <w:tab/>
            </w:r>
            <w:r>
              <w:rPr>
                <w:noProof/>
                <w:webHidden/>
              </w:rPr>
              <w:fldChar w:fldCharType="begin"/>
            </w:r>
            <w:r>
              <w:rPr>
                <w:noProof/>
                <w:webHidden/>
              </w:rPr>
              <w:instrText xml:space="preserve"> PAGEREF _Toc2451017 \h </w:instrText>
            </w:r>
            <w:r>
              <w:rPr>
                <w:noProof/>
                <w:webHidden/>
              </w:rPr>
            </w:r>
            <w:r>
              <w:rPr>
                <w:noProof/>
                <w:webHidden/>
              </w:rPr>
              <w:fldChar w:fldCharType="separate"/>
            </w:r>
            <w:r w:rsidR="00E6157A">
              <w:rPr>
                <w:noProof/>
                <w:webHidden/>
              </w:rPr>
              <w:t>74</w:t>
            </w:r>
            <w:r>
              <w:rPr>
                <w:noProof/>
                <w:webHidden/>
              </w:rPr>
              <w:fldChar w:fldCharType="end"/>
            </w:r>
          </w:hyperlink>
        </w:p>
        <w:p w14:paraId="4505E134" w14:textId="72A56B89"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8" w:history="1">
            <w:r w:rsidRPr="0042470B">
              <w:rPr>
                <w:rStyle w:val="Hyperlink"/>
                <w:noProof/>
              </w:rPr>
              <w:t>3.3.5</w:t>
            </w:r>
            <w:r>
              <w:rPr>
                <w:rFonts w:asciiTheme="minorHAnsi" w:eastAsiaTheme="minorEastAsia" w:hAnsiTheme="minorHAnsi" w:cstheme="minorBidi"/>
                <w:noProof/>
                <w:sz w:val="24"/>
                <w:szCs w:val="24"/>
              </w:rPr>
              <w:tab/>
            </w:r>
            <w:r w:rsidRPr="0042470B">
              <w:rPr>
                <w:rStyle w:val="Hyperlink"/>
                <w:noProof/>
              </w:rPr>
              <w:t>Ability of synthesised prodrugs to inhibit lysyl oxidase-like 2 activity</w:t>
            </w:r>
            <w:r>
              <w:rPr>
                <w:noProof/>
                <w:webHidden/>
              </w:rPr>
              <w:tab/>
            </w:r>
            <w:r>
              <w:rPr>
                <w:noProof/>
                <w:webHidden/>
              </w:rPr>
              <w:fldChar w:fldCharType="begin"/>
            </w:r>
            <w:r>
              <w:rPr>
                <w:noProof/>
                <w:webHidden/>
              </w:rPr>
              <w:instrText xml:space="preserve"> PAGEREF _Toc2451018 \h </w:instrText>
            </w:r>
            <w:r>
              <w:rPr>
                <w:noProof/>
                <w:webHidden/>
              </w:rPr>
            </w:r>
            <w:r>
              <w:rPr>
                <w:noProof/>
                <w:webHidden/>
              </w:rPr>
              <w:fldChar w:fldCharType="separate"/>
            </w:r>
            <w:r w:rsidR="00E6157A">
              <w:rPr>
                <w:noProof/>
                <w:webHidden/>
              </w:rPr>
              <w:t>75</w:t>
            </w:r>
            <w:r>
              <w:rPr>
                <w:noProof/>
                <w:webHidden/>
              </w:rPr>
              <w:fldChar w:fldCharType="end"/>
            </w:r>
          </w:hyperlink>
        </w:p>
        <w:p w14:paraId="0D9D6F25" w14:textId="6919527A"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19" w:history="1">
            <w:r w:rsidRPr="0042470B">
              <w:rPr>
                <w:rStyle w:val="Hyperlink"/>
                <w:noProof/>
              </w:rPr>
              <w:t>3.3.6</w:t>
            </w:r>
            <w:r>
              <w:rPr>
                <w:rFonts w:asciiTheme="minorHAnsi" w:eastAsiaTheme="minorEastAsia" w:hAnsiTheme="minorHAnsi" w:cstheme="minorBidi"/>
                <w:noProof/>
                <w:sz w:val="24"/>
                <w:szCs w:val="24"/>
              </w:rPr>
              <w:tab/>
            </w:r>
            <w:r w:rsidRPr="0042470B">
              <w:rPr>
                <w:rStyle w:val="Hyperlink"/>
                <w:noProof/>
              </w:rPr>
              <w:t xml:space="preserve">Ability of compound </w:t>
            </w:r>
            <w:r w:rsidRPr="0042470B">
              <w:rPr>
                <w:rStyle w:val="Hyperlink"/>
                <w:b/>
                <w:noProof/>
              </w:rPr>
              <w:t>1b</w:t>
            </w:r>
            <w:r w:rsidRPr="0042470B">
              <w:rPr>
                <w:rStyle w:val="Hyperlink"/>
                <w:noProof/>
              </w:rPr>
              <w:t xml:space="preserve"> to inhibit lysyl oxidase-like 2 activity</w:t>
            </w:r>
            <w:r>
              <w:rPr>
                <w:noProof/>
                <w:webHidden/>
              </w:rPr>
              <w:tab/>
            </w:r>
            <w:r>
              <w:rPr>
                <w:noProof/>
                <w:webHidden/>
              </w:rPr>
              <w:fldChar w:fldCharType="begin"/>
            </w:r>
            <w:r>
              <w:rPr>
                <w:noProof/>
                <w:webHidden/>
              </w:rPr>
              <w:instrText xml:space="preserve"> PAGEREF _Toc2451019 \h </w:instrText>
            </w:r>
            <w:r>
              <w:rPr>
                <w:noProof/>
                <w:webHidden/>
              </w:rPr>
            </w:r>
            <w:r>
              <w:rPr>
                <w:noProof/>
                <w:webHidden/>
              </w:rPr>
              <w:fldChar w:fldCharType="separate"/>
            </w:r>
            <w:r w:rsidR="00E6157A">
              <w:rPr>
                <w:noProof/>
                <w:webHidden/>
              </w:rPr>
              <w:t>76</w:t>
            </w:r>
            <w:r>
              <w:rPr>
                <w:noProof/>
                <w:webHidden/>
              </w:rPr>
              <w:fldChar w:fldCharType="end"/>
            </w:r>
          </w:hyperlink>
        </w:p>
        <w:p w14:paraId="6BBD9D74" w14:textId="79DF46CB"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0" w:history="1">
            <w:r w:rsidRPr="0042470B">
              <w:rPr>
                <w:rStyle w:val="Hyperlink"/>
                <w:noProof/>
              </w:rPr>
              <w:t>3.3.7</w:t>
            </w:r>
            <w:r>
              <w:rPr>
                <w:rFonts w:asciiTheme="minorHAnsi" w:eastAsiaTheme="minorEastAsia" w:hAnsiTheme="minorHAnsi" w:cstheme="minorBidi"/>
                <w:noProof/>
                <w:sz w:val="24"/>
                <w:szCs w:val="24"/>
              </w:rPr>
              <w:tab/>
            </w:r>
            <w:r w:rsidRPr="0042470B">
              <w:rPr>
                <w:rStyle w:val="Hyperlink"/>
                <w:noProof/>
              </w:rPr>
              <w:t>Cell density screen using the MTT assay</w:t>
            </w:r>
            <w:r>
              <w:rPr>
                <w:noProof/>
                <w:webHidden/>
              </w:rPr>
              <w:tab/>
            </w:r>
            <w:r>
              <w:rPr>
                <w:noProof/>
                <w:webHidden/>
              </w:rPr>
              <w:fldChar w:fldCharType="begin"/>
            </w:r>
            <w:r>
              <w:rPr>
                <w:noProof/>
                <w:webHidden/>
              </w:rPr>
              <w:instrText xml:space="preserve"> PAGEREF _Toc2451020 \h </w:instrText>
            </w:r>
            <w:r>
              <w:rPr>
                <w:noProof/>
                <w:webHidden/>
              </w:rPr>
            </w:r>
            <w:r>
              <w:rPr>
                <w:noProof/>
                <w:webHidden/>
              </w:rPr>
              <w:fldChar w:fldCharType="separate"/>
            </w:r>
            <w:r w:rsidR="00E6157A">
              <w:rPr>
                <w:noProof/>
                <w:webHidden/>
              </w:rPr>
              <w:t>76</w:t>
            </w:r>
            <w:r>
              <w:rPr>
                <w:noProof/>
                <w:webHidden/>
              </w:rPr>
              <w:fldChar w:fldCharType="end"/>
            </w:r>
          </w:hyperlink>
        </w:p>
        <w:p w14:paraId="644E6220" w14:textId="2E0E62DB"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1" w:history="1">
            <w:r w:rsidRPr="0042470B">
              <w:rPr>
                <w:rStyle w:val="Hyperlink"/>
                <w:noProof/>
                <w:lang w:eastAsia="en-GB"/>
              </w:rPr>
              <w:t>3.3.8</w:t>
            </w:r>
            <w:r>
              <w:rPr>
                <w:rFonts w:asciiTheme="minorHAnsi" w:eastAsiaTheme="minorEastAsia" w:hAnsiTheme="minorHAnsi" w:cstheme="minorBidi"/>
                <w:noProof/>
                <w:sz w:val="24"/>
                <w:szCs w:val="24"/>
              </w:rPr>
              <w:tab/>
            </w:r>
            <w:r w:rsidRPr="0042470B">
              <w:rPr>
                <w:rStyle w:val="Hyperlink"/>
                <w:rFonts w:eastAsia="Times New Roman"/>
                <w:noProof/>
                <w:lang w:eastAsia="en-GB"/>
              </w:rPr>
              <w:t>Cell density screen using the resazurin sodium salt assay</w:t>
            </w:r>
            <w:r>
              <w:rPr>
                <w:noProof/>
                <w:webHidden/>
              </w:rPr>
              <w:tab/>
            </w:r>
            <w:r>
              <w:rPr>
                <w:noProof/>
                <w:webHidden/>
              </w:rPr>
              <w:fldChar w:fldCharType="begin"/>
            </w:r>
            <w:r>
              <w:rPr>
                <w:noProof/>
                <w:webHidden/>
              </w:rPr>
              <w:instrText xml:space="preserve"> PAGEREF _Toc2451021 \h </w:instrText>
            </w:r>
            <w:r>
              <w:rPr>
                <w:noProof/>
                <w:webHidden/>
              </w:rPr>
            </w:r>
            <w:r>
              <w:rPr>
                <w:noProof/>
                <w:webHidden/>
              </w:rPr>
              <w:fldChar w:fldCharType="separate"/>
            </w:r>
            <w:r w:rsidR="00E6157A">
              <w:rPr>
                <w:noProof/>
                <w:webHidden/>
              </w:rPr>
              <w:t>76</w:t>
            </w:r>
            <w:r>
              <w:rPr>
                <w:noProof/>
                <w:webHidden/>
              </w:rPr>
              <w:fldChar w:fldCharType="end"/>
            </w:r>
          </w:hyperlink>
        </w:p>
        <w:p w14:paraId="2E17508D" w14:textId="23957B73"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2" w:history="1">
            <w:r w:rsidRPr="0042470B">
              <w:rPr>
                <w:rStyle w:val="Hyperlink"/>
                <w:noProof/>
              </w:rPr>
              <w:t>3.3.9</w:t>
            </w:r>
            <w:r>
              <w:rPr>
                <w:rFonts w:asciiTheme="minorHAnsi" w:eastAsiaTheme="minorEastAsia" w:hAnsiTheme="minorHAnsi" w:cstheme="minorBidi"/>
                <w:noProof/>
                <w:sz w:val="24"/>
                <w:szCs w:val="24"/>
              </w:rPr>
              <w:tab/>
            </w:r>
            <w:r w:rsidRPr="0042470B">
              <w:rPr>
                <w:rStyle w:val="Hyperlink"/>
                <w:noProof/>
              </w:rPr>
              <w:t>Effect of synthesised prodrugs on cell metabolic activity</w:t>
            </w:r>
            <w:r>
              <w:rPr>
                <w:noProof/>
                <w:webHidden/>
              </w:rPr>
              <w:tab/>
            </w:r>
            <w:r>
              <w:rPr>
                <w:noProof/>
                <w:webHidden/>
              </w:rPr>
              <w:fldChar w:fldCharType="begin"/>
            </w:r>
            <w:r>
              <w:rPr>
                <w:noProof/>
                <w:webHidden/>
              </w:rPr>
              <w:instrText xml:space="preserve"> PAGEREF _Toc2451022 \h </w:instrText>
            </w:r>
            <w:r>
              <w:rPr>
                <w:noProof/>
                <w:webHidden/>
              </w:rPr>
            </w:r>
            <w:r>
              <w:rPr>
                <w:noProof/>
                <w:webHidden/>
              </w:rPr>
              <w:fldChar w:fldCharType="separate"/>
            </w:r>
            <w:r w:rsidR="00E6157A">
              <w:rPr>
                <w:noProof/>
                <w:webHidden/>
              </w:rPr>
              <w:t>77</w:t>
            </w:r>
            <w:r>
              <w:rPr>
                <w:noProof/>
                <w:webHidden/>
              </w:rPr>
              <w:fldChar w:fldCharType="end"/>
            </w:r>
          </w:hyperlink>
        </w:p>
        <w:p w14:paraId="4F79EC6A" w14:textId="7B3A8BA4"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23" w:history="1">
            <w:r w:rsidRPr="0042470B">
              <w:rPr>
                <w:rStyle w:val="Hyperlink"/>
                <w:noProof/>
              </w:rPr>
              <w:t>3.3.10</w:t>
            </w:r>
            <w:r>
              <w:rPr>
                <w:rFonts w:asciiTheme="minorHAnsi" w:eastAsiaTheme="minorEastAsia" w:hAnsiTheme="minorHAnsi" w:cstheme="minorBidi"/>
                <w:noProof/>
                <w:sz w:val="24"/>
                <w:szCs w:val="24"/>
              </w:rPr>
              <w:tab/>
            </w:r>
            <w:r w:rsidRPr="0042470B">
              <w:rPr>
                <w:rStyle w:val="Hyperlink"/>
                <w:noProof/>
              </w:rPr>
              <w:t>Effect of synthesised prodrugs on cell membrane integrity</w:t>
            </w:r>
            <w:r>
              <w:rPr>
                <w:noProof/>
                <w:webHidden/>
              </w:rPr>
              <w:tab/>
            </w:r>
            <w:r>
              <w:rPr>
                <w:noProof/>
                <w:webHidden/>
              </w:rPr>
              <w:fldChar w:fldCharType="begin"/>
            </w:r>
            <w:r>
              <w:rPr>
                <w:noProof/>
                <w:webHidden/>
              </w:rPr>
              <w:instrText xml:space="preserve"> PAGEREF _Toc2451023 \h </w:instrText>
            </w:r>
            <w:r>
              <w:rPr>
                <w:noProof/>
                <w:webHidden/>
              </w:rPr>
            </w:r>
            <w:r>
              <w:rPr>
                <w:noProof/>
                <w:webHidden/>
              </w:rPr>
              <w:fldChar w:fldCharType="separate"/>
            </w:r>
            <w:r w:rsidR="00E6157A">
              <w:rPr>
                <w:noProof/>
                <w:webHidden/>
              </w:rPr>
              <w:t>77</w:t>
            </w:r>
            <w:r>
              <w:rPr>
                <w:noProof/>
                <w:webHidden/>
              </w:rPr>
              <w:fldChar w:fldCharType="end"/>
            </w:r>
          </w:hyperlink>
        </w:p>
        <w:p w14:paraId="136F8B62" w14:textId="36C3FC3C"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24" w:history="1">
            <w:r w:rsidRPr="0042470B">
              <w:rPr>
                <w:rStyle w:val="Hyperlink"/>
                <w:noProof/>
                <w:lang w:eastAsia="en-GB"/>
              </w:rPr>
              <w:t>3.3.11</w:t>
            </w:r>
            <w:r>
              <w:rPr>
                <w:rFonts w:asciiTheme="minorHAnsi" w:eastAsiaTheme="minorEastAsia" w:hAnsiTheme="minorHAnsi" w:cstheme="minorBidi"/>
                <w:noProof/>
                <w:sz w:val="24"/>
                <w:szCs w:val="24"/>
              </w:rPr>
              <w:tab/>
            </w:r>
            <w:r w:rsidRPr="0042470B">
              <w:rPr>
                <w:rStyle w:val="Hyperlink"/>
                <w:noProof/>
                <w:lang w:eastAsia="en-GB"/>
              </w:rPr>
              <w:t xml:space="preserve">Effect of prolonged treatment </w:t>
            </w:r>
            <w:r w:rsidRPr="0042470B">
              <w:rPr>
                <w:rStyle w:val="Hyperlink"/>
                <w:noProof/>
              </w:rPr>
              <w:t xml:space="preserve">with high concentrations </w:t>
            </w:r>
            <w:r w:rsidRPr="0042470B">
              <w:rPr>
                <w:rStyle w:val="Hyperlink"/>
                <w:noProof/>
                <w:lang w:eastAsia="en-GB"/>
              </w:rPr>
              <w:t>of synthesised prodrugs on the metabolic rate of cells</w:t>
            </w:r>
            <w:r>
              <w:rPr>
                <w:noProof/>
                <w:webHidden/>
              </w:rPr>
              <w:tab/>
            </w:r>
            <w:r>
              <w:rPr>
                <w:noProof/>
                <w:webHidden/>
              </w:rPr>
              <w:fldChar w:fldCharType="begin"/>
            </w:r>
            <w:r>
              <w:rPr>
                <w:noProof/>
                <w:webHidden/>
              </w:rPr>
              <w:instrText xml:space="preserve"> PAGEREF _Toc2451024 \h </w:instrText>
            </w:r>
            <w:r>
              <w:rPr>
                <w:noProof/>
                <w:webHidden/>
              </w:rPr>
            </w:r>
            <w:r>
              <w:rPr>
                <w:noProof/>
                <w:webHidden/>
              </w:rPr>
              <w:fldChar w:fldCharType="separate"/>
            </w:r>
            <w:r w:rsidR="00E6157A">
              <w:rPr>
                <w:noProof/>
                <w:webHidden/>
              </w:rPr>
              <w:t>78</w:t>
            </w:r>
            <w:r>
              <w:rPr>
                <w:noProof/>
                <w:webHidden/>
              </w:rPr>
              <w:fldChar w:fldCharType="end"/>
            </w:r>
          </w:hyperlink>
        </w:p>
        <w:p w14:paraId="3942DF28" w14:textId="6663C4F1"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25" w:history="1">
            <w:r w:rsidRPr="0042470B">
              <w:rPr>
                <w:rStyle w:val="Hyperlink"/>
                <w:noProof/>
              </w:rPr>
              <w:t>3.3.12</w:t>
            </w:r>
            <w:r>
              <w:rPr>
                <w:rFonts w:asciiTheme="minorHAnsi" w:eastAsiaTheme="minorEastAsia" w:hAnsiTheme="minorHAnsi" w:cstheme="minorBidi"/>
                <w:noProof/>
                <w:sz w:val="24"/>
                <w:szCs w:val="24"/>
              </w:rPr>
              <w:tab/>
            </w:r>
            <w:r w:rsidRPr="0042470B">
              <w:rPr>
                <w:rStyle w:val="Hyperlink"/>
                <w:noProof/>
                <w:lang w:eastAsia="en-GB"/>
              </w:rPr>
              <w:t xml:space="preserve">Effect of prolonged treatment </w:t>
            </w:r>
            <w:r w:rsidRPr="0042470B">
              <w:rPr>
                <w:rStyle w:val="Hyperlink"/>
                <w:noProof/>
              </w:rPr>
              <w:t xml:space="preserve">with high concentrations </w:t>
            </w:r>
            <w:r w:rsidRPr="0042470B">
              <w:rPr>
                <w:rStyle w:val="Hyperlink"/>
                <w:noProof/>
                <w:lang w:eastAsia="en-GB"/>
              </w:rPr>
              <w:t>of synthesised prodrugs on</w:t>
            </w:r>
            <w:r w:rsidRPr="0042470B">
              <w:rPr>
                <w:rStyle w:val="Hyperlink"/>
                <w:noProof/>
              </w:rPr>
              <w:t xml:space="preserve"> cell membrane integrity</w:t>
            </w:r>
            <w:r>
              <w:rPr>
                <w:noProof/>
                <w:webHidden/>
              </w:rPr>
              <w:tab/>
            </w:r>
            <w:r>
              <w:rPr>
                <w:noProof/>
                <w:webHidden/>
              </w:rPr>
              <w:fldChar w:fldCharType="begin"/>
            </w:r>
            <w:r>
              <w:rPr>
                <w:noProof/>
                <w:webHidden/>
              </w:rPr>
              <w:instrText xml:space="preserve"> PAGEREF _Toc2451025 \h </w:instrText>
            </w:r>
            <w:r>
              <w:rPr>
                <w:noProof/>
                <w:webHidden/>
              </w:rPr>
            </w:r>
            <w:r>
              <w:rPr>
                <w:noProof/>
                <w:webHidden/>
              </w:rPr>
              <w:fldChar w:fldCharType="separate"/>
            </w:r>
            <w:r w:rsidR="00E6157A">
              <w:rPr>
                <w:noProof/>
                <w:webHidden/>
              </w:rPr>
              <w:t>79</w:t>
            </w:r>
            <w:r>
              <w:rPr>
                <w:noProof/>
                <w:webHidden/>
              </w:rPr>
              <w:fldChar w:fldCharType="end"/>
            </w:r>
          </w:hyperlink>
        </w:p>
        <w:p w14:paraId="5577CFFB" w14:textId="0DDC9059"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26" w:history="1">
            <w:r w:rsidRPr="0042470B">
              <w:rPr>
                <w:rStyle w:val="Hyperlink"/>
                <w:noProof/>
              </w:rPr>
              <w:t>3.4</w:t>
            </w:r>
            <w:r>
              <w:rPr>
                <w:rFonts w:asciiTheme="minorHAnsi" w:eastAsiaTheme="minorEastAsia" w:hAnsiTheme="minorHAnsi" w:cstheme="minorBidi"/>
                <w:b w:val="0"/>
                <w:bCs w:val="0"/>
                <w:noProof/>
                <w:sz w:val="24"/>
                <w:szCs w:val="24"/>
              </w:rPr>
              <w:tab/>
            </w:r>
            <w:r w:rsidRPr="0042470B">
              <w:rPr>
                <w:rStyle w:val="Hyperlink"/>
                <w:noProof/>
              </w:rPr>
              <w:t>Results and Discussion</w:t>
            </w:r>
            <w:r>
              <w:rPr>
                <w:noProof/>
                <w:webHidden/>
              </w:rPr>
              <w:tab/>
            </w:r>
            <w:r>
              <w:rPr>
                <w:noProof/>
                <w:webHidden/>
              </w:rPr>
              <w:fldChar w:fldCharType="begin"/>
            </w:r>
            <w:r>
              <w:rPr>
                <w:noProof/>
                <w:webHidden/>
              </w:rPr>
              <w:instrText xml:space="preserve"> PAGEREF _Toc2451026 \h </w:instrText>
            </w:r>
            <w:r>
              <w:rPr>
                <w:noProof/>
                <w:webHidden/>
              </w:rPr>
            </w:r>
            <w:r>
              <w:rPr>
                <w:noProof/>
                <w:webHidden/>
              </w:rPr>
              <w:fldChar w:fldCharType="separate"/>
            </w:r>
            <w:r w:rsidR="00E6157A">
              <w:rPr>
                <w:noProof/>
                <w:webHidden/>
              </w:rPr>
              <w:t>79</w:t>
            </w:r>
            <w:r>
              <w:rPr>
                <w:noProof/>
                <w:webHidden/>
              </w:rPr>
              <w:fldChar w:fldCharType="end"/>
            </w:r>
          </w:hyperlink>
        </w:p>
        <w:p w14:paraId="7072B0D7" w14:textId="7CF223A6"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7" w:history="1">
            <w:r w:rsidRPr="0042470B">
              <w:rPr>
                <w:rStyle w:val="Hyperlink"/>
                <w:noProof/>
              </w:rPr>
              <w:t>3.4.1</w:t>
            </w:r>
            <w:r>
              <w:rPr>
                <w:rFonts w:asciiTheme="minorHAnsi" w:eastAsiaTheme="minorEastAsia" w:hAnsiTheme="minorHAnsi" w:cstheme="minorBidi"/>
                <w:noProof/>
                <w:sz w:val="24"/>
                <w:szCs w:val="24"/>
              </w:rPr>
              <w:tab/>
            </w:r>
            <w:r w:rsidRPr="0042470B">
              <w:rPr>
                <w:rStyle w:val="Hyperlink"/>
                <w:noProof/>
              </w:rPr>
              <w:t>Effect of incubation time on response in lysyl oxidase activity assay</w:t>
            </w:r>
            <w:r>
              <w:rPr>
                <w:noProof/>
                <w:webHidden/>
              </w:rPr>
              <w:tab/>
            </w:r>
            <w:r>
              <w:rPr>
                <w:noProof/>
                <w:webHidden/>
              </w:rPr>
              <w:fldChar w:fldCharType="begin"/>
            </w:r>
            <w:r>
              <w:rPr>
                <w:noProof/>
                <w:webHidden/>
              </w:rPr>
              <w:instrText xml:space="preserve"> PAGEREF _Toc2451027 \h </w:instrText>
            </w:r>
            <w:r>
              <w:rPr>
                <w:noProof/>
                <w:webHidden/>
              </w:rPr>
            </w:r>
            <w:r>
              <w:rPr>
                <w:noProof/>
                <w:webHidden/>
              </w:rPr>
              <w:fldChar w:fldCharType="separate"/>
            </w:r>
            <w:r w:rsidR="00E6157A">
              <w:rPr>
                <w:noProof/>
                <w:webHidden/>
              </w:rPr>
              <w:t>79</w:t>
            </w:r>
            <w:r>
              <w:rPr>
                <w:noProof/>
                <w:webHidden/>
              </w:rPr>
              <w:fldChar w:fldCharType="end"/>
            </w:r>
          </w:hyperlink>
        </w:p>
        <w:p w14:paraId="7AF70E14" w14:textId="0FAD23B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8" w:history="1">
            <w:r w:rsidRPr="0042470B">
              <w:rPr>
                <w:rStyle w:val="Hyperlink"/>
                <w:noProof/>
              </w:rPr>
              <w:t>3.4.2</w:t>
            </w:r>
            <w:r>
              <w:rPr>
                <w:rFonts w:asciiTheme="minorHAnsi" w:eastAsiaTheme="minorEastAsia" w:hAnsiTheme="minorHAnsi" w:cstheme="minorBidi"/>
                <w:noProof/>
                <w:sz w:val="24"/>
                <w:szCs w:val="24"/>
              </w:rPr>
              <w:tab/>
            </w:r>
            <w:r w:rsidRPr="0042470B">
              <w:rPr>
                <w:rStyle w:val="Hyperlink"/>
                <w:noProof/>
              </w:rPr>
              <w:t>Concentration of lysyl oxidase-like 2 required for inhibition assay</w:t>
            </w:r>
            <w:r>
              <w:rPr>
                <w:noProof/>
                <w:webHidden/>
              </w:rPr>
              <w:tab/>
            </w:r>
            <w:r>
              <w:rPr>
                <w:noProof/>
                <w:webHidden/>
              </w:rPr>
              <w:fldChar w:fldCharType="begin"/>
            </w:r>
            <w:r>
              <w:rPr>
                <w:noProof/>
                <w:webHidden/>
              </w:rPr>
              <w:instrText xml:space="preserve"> PAGEREF _Toc2451028 \h </w:instrText>
            </w:r>
            <w:r>
              <w:rPr>
                <w:noProof/>
                <w:webHidden/>
              </w:rPr>
            </w:r>
            <w:r>
              <w:rPr>
                <w:noProof/>
                <w:webHidden/>
              </w:rPr>
              <w:fldChar w:fldCharType="separate"/>
            </w:r>
            <w:r w:rsidR="00E6157A">
              <w:rPr>
                <w:noProof/>
                <w:webHidden/>
              </w:rPr>
              <w:t>80</w:t>
            </w:r>
            <w:r>
              <w:rPr>
                <w:noProof/>
                <w:webHidden/>
              </w:rPr>
              <w:fldChar w:fldCharType="end"/>
            </w:r>
          </w:hyperlink>
        </w:p>
        <w:p w14:paraId="72E41DB5" w14:textId="2125456B"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29" w:history="1">
            <w:r w:rsidRPr="0042470B">
              <w:rPr>
                <w:rStyle w:val="Hyperlink"/>
                <w:noProof/>
              </w:rPr>
              <w:t>3.4.3</w:t>
            </w:r>
            <w:r>
              <w:rPr>
                <w:rFonts w:asciiTheme="minorHAnsi" w:eastAsiaTheme="minorEastAsia" w:hAnsiTheme="minorHAnsi" w:cstheme="minorBidi"/>
                <w:noProof/>
                <w:sz w:val="24"/>
                <w:szCs w:val="24"/>
              </w:rPr>
              <w:tab/>
            </w:r>
            <w:r w:rsidRPr="0042470B">
              <w:rPr>
                <w:rStyle w:val="Hyperlink"/>
                <w:noProof/>
              </w:rPr>
              <w:t>Effect of synthesised prodrugs on lysyl oxidase-like 2 activity</w:t>
            </w:r>
            <w:r>
              <w:rPr>
                <w:noProof/>
                <w:webHidden/>
              </w:rPr>
              <w:tab/>
            </w:r>
            <w:r>
              <w:rPr>
                <w:noProof/>
                <w:webHidden/>
              </w:rPr>
              <w:fldChar w:fldCharType="begin"/>
            </w:r>
            <w:r>
              <w:rPr>
                <w:noProof/>
                <w:webHidden/>
              </w:rPr>
              <w:instrText xml:space="preserve"> PAGEREF _Toc2451029 \h </w:instrText>
            </w:r>
            <w:r>
              <w:rPr>
                <w:noProof/>
                <w:webHidden/>
              </w:rPr>
            </w:r>
            <w:r>
              <w:rPr>
                <w:noProof/>
                <w:webHidden/>
              </w:rPr>
              <w:fldChar w:fldCharType="separate"/>
            </w:r>
            <w:r w:rsidR="00E6157A">
              <w:rPr>
                <w:noProof/>
                <w:webHidden/>
              </w:rPr>
              <w:t>81</w:t>
            </w:r>
            <w:r>
              <w:rPr>
                <w:noProof/>
                <w:webHidden/>
              </w:rPr>
              <w:fldChar w:fldCharType="end"/>
            </w:r>
          </w:hyperlink>
        </w:p>
        <w:p w14:paraId="3454A01E" w14:textId="3F27DE10"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0" w:history="1">
            <w:r w:rsidRPr="0042470B">
              <w:rPr>
                <w:rStyle w:val="Hyperlink"/>
                <w:noProof/>
              </w:rPr>
              <w:t>3.4.4</w:t>
            </w:r>
            <w:r>
              <w:rPr>
                <w:rFonts w:asciiTheme="minorHAnsi" w:eastAsiaTheme="minorEastAsia" w:hAnsiTheme="minorHAnsi" w:cstheme="minorBidi"/>
                <w:noProof/>
                <w:sz w:val="24"/>
                <w:szCs w:val="24"/>
              </w:rPr>
              <w:tab/>
            </w:r>
            <w:r w:rsidRPr="0042470B">
              <w:rPr>
                <w:rStyle w:val="Hyperlink"/>
                <w:noProof/>
              </w:rPr>
              <w:t xml:space="preserve">Ability of compound </w:t>
            </w:r>
            <w:r w:rsidRPr="0042470B">
              <w:rPr>
                <w:rStyle w:val="Hyperlink"/>
                <w:b/>
                <w:noProof/>
              </w:rPr>
              <w:t>1b</w:t>
            </w:r>
            <w:r w:rsidRPr="0042470B">
              <w:rPr>
                <w:rStyle w:val="Hyperlink"/>
                <w:noProof/>
              </w:rPr>
              <w:t xml:space="preserve"> to inhibit lysyl oxidase-like 2 activity</w:t>
            </w:r>
            <w:r>
              <w:rPr>
                <w:noProof/>
                <w:webHidden/>
              </w:rPr>
              <w:tab/>
            </w:r>
            <w:r>
              <w:rPr>
                <w:noProof/>
                <w:webHidden/>
              </w:rPr>
              <w:fldChar w:fldCharType="begin"/>
            </w:r>
            <w:r>
              <w:rPr>
                <w:noProof/>
                <w:webHidden/>
              </w:rPr>
              <w:instrText xml:space="preserve"> PAGEREF _Toc2451030 \h </w:instrText>
            </w:r>
            <w:r>
              <w:rPr>
                <w:noProof/>
                <w:webHidden/>
              </w:rPr>
            </w:r>
            <w:r>
              <w:rPr>
                <w:noProof/>
                <w:webHidden/>
              </w:rPr>
              <w:fldChar w:fldCharType="separate"/>
            </w:r>
            <w:r w:rsidR="00E6157A">
              <w:rPr>
                <w:noProof/>
                <w:webHidden/>
              </w:rPr>
              <w:t>82</w:t>
            </w:r>
            <w:r>
              <w:rPr>
                <w:noProof/>
                <w:webHidden/>
              </w:rPr>
              <w:fldChar w:fldCharType="end"/>
            </w:r>
          </w:hyperlink>
        </w:p>
        <w:p w14:paraId="2D8F6003" w14:textId="572F2C84"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1" w:history="1">
            <w:r w:rsidRPr="0042470B">
              <w:rPr>
                <w:rStyle w:val="Hyperlink"/>
                <w:noProof/>
              </w:rPr>
              <w:t>3.4.5</w:t>
            </w:r>
            <w:r>
              <w:rPr>
                <w:rFonts w:asciiTheme="minorHAnsi" w:eastAsiaTheme="minorEastAsia" w:hAnsiTheme="minorHAnsi" w:cstheme="minorBidi"/>
                <w:noProof/>
                <w:sz w:val="24"/>
                <w:szCs w:val="24"/>
              </w:rPr>
              <w:tab/>
            </w:r>
            <w:r w:rsidRPr="0042470B">
              <w:rPr>
                <w:rStyle w:val="Hyperlink"/>
                <w:noProof/>
              </w:rPr>
              <w:t>Cytotoxicity</w:t>
            </w:r>
            <w:r>
              <w:rPr>
                <w:noProof/>
                <w:webHidden/>
              </w:rPr>
              <w:tab/>
            </w:r>
            <w:r>
              <w:rPr>
                <w:noProof/>
                <w:webHidden/>
              </w:rPr>
              <w:fldChar w:fldCharType="begin"/>
            </w:r>
            <w:r>
              <w:rPr>
                <w:noProof/>
                <w:webHidden/>
              </w:rPr>
              <w:instrText xml:space="preserve"> PAGEREF _Toc2451031 \h </w:instrText>
            </w:r>
            <w:r>
              <w:rPr>
                <w:noProof/>
                <w:webHidden/>
              </w:rPr>
            </w:r>
            <w:r>
              <w:rPr>
                <w:noProof/>
                <w:webHidden/>
              </w:rPr>
              <w:fldChar w:fldCharType="separate"/>
            </w:r>
            <w:r w:rsidR="00E6157A">
              <w:rPr>
                <w:noProof/>
                <w:webHidden/>
              </w:rPr>
              <w:t>84</w:t>
            </w:r>
            <w:r>
              <w:rPr>
                <w:noProof/>
                <w:webHidden/>
              </w:rPr>
              <w:fldChar w:fldCharType="end"/>
            </w:r>
          </w:hyperlink>
        </w:p>
        <w:p w14:paraId="70632702" w14:textId="6AA7B873"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2" w:history="1">
            <w:r w:rsidRPr="0042470B">
              <w:rPr>
                <w:rStyle w:val="Hyperlink"/>
                <w:noProof/>
              </w:rPr>
              <w:t>3.4.6</w:t>
            </w:r>
            <w:r>
              <w:rPr>
                <w:rFonts w:asciiTheme="minorHAnsi" w:eastAsiaTheme="minorEastAsia" w:hAnsiTheme="minorHAnsi" w:cstheme="minorBidi"/>
                <w:noProof/>
                <w:sz w:val="24"/>
                <w:szCs w:val="24"/>
              </w:rPr>
              <w:tab/>
            </w:r>
            <w:r w:rsidRPr="0042470B">
              <w:rPr>
                <w:rStyle w:val="Hyperlink"/>
                <w:noProof/>
              </w:rPr>
              <w:t>Cell density screen using the 3</w:t>
            </w:r>
            <w:r w:rsidRPr="0042470B">
              <w:rPr>
                <w:rStyle w:val="Hyperlink"/>
                <w:noProof/>
              </w:rPr>
              <w:noBreakHyphen/>
              <w:t>(4,5-dimethylthiazol-2-yl)-2,5-diphenyltetrazolium bromide (MTT) assay of cell metabolic activity</w:t>
            </w:r>
            <w:r>
              <w:rPr>
                <w:noProof/>
                <w:webHidden/>
              </w:rPr>
              <w:tab/>
            </w:r>
            <w:r>
              <w:rPr>
                <w:noProof/>
                <w:webHidden/>
              </w:rPr>
              <w:fldChar w:fldCharType="begin"/>
            </w:r>
            <w:r>
              <w:rPr>
                <w:noProof/>
                <w:webHidden/>
              </w:rPr>
              <w:instrText xml:space="preserve"> PAGEREF _Toc2451032 \h </w:instrText>
            </w:r>
            <w:r>
              <w:rPr>
                <w:noProof/>
                <w:webHidden/>
              </w:rPr>
            </w:r>
            <w:r>
              <w:rPr>
                <w:noProof/>
                <w:webHidden/>
              </w:rPr>
              <w:fldChar w:fldCharType="separate"/>
            </w:r>
            <w:r w:rsidR="00E6157A">
              <w:rPr>
                <w:noProof/>
                <w:webHidden/>
              </w:rPr>
              <w:t>84</w:t>
            </w:r>
            <w:r>
              <w:rPr>
                <w:noProof/>
                <w:webHidden/>
              </w:rPr>
              <w:fldChar w:fldCharType="end"/>
            </w:r>
          </w:hyperlink>
        </w:p>
        <w:p w14:paraId="26DC625A" w14:textId="46F0BE77"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3" w:history="1">
            <w:r w:rsidRPr="0042470B">
              <w:rPr>
                <w:rStyle w:val="Hyperlink"/>
                <w:rFonts w:eastAsia="Times New Roman" w:cs="Times New Roman"/>
                <w:noProof/>
                <w:lang w:eastAsia="en-GB"/>
              </w:rPr>
              <w:t>3.4.7</w:t>
            </w:r>
            <w:r>
              <w:rPr>
                <w:rFonts w:asciiTheme="minorHAnsi" w:eastAsiaTheme="minorEastAsia" w:hAnsiTheme="minorHAnsi" w:cstheme="minorBidi"/>
                <w:noProof/>
                <w:sz w:val="24"/>
                <w:szCs w:val="24"/>
              </w:rPr>
              <w:tab/>
            </w:r>
            <w:r w:rsidRPr="0042470B">
              <w:rPr>
                <w:rStyle w:val="Hyperlink"/>
                <w:rFonts w:eastAsia="Times New Roman"/>
                <w:noProof/>
                <w:lang w:eastAsia="en-GB"/>
              </w:rPr>
              <w:t>Cell density screen using the Resazurin Sodium Salt assay of cell metabolic activity</w:t>
            </w:r>
            <w:r>
              <w:rPr>
                <w:noProof/>
                <w:webHidden/>
              </w:rPr>
              <w:tab/>
            </w:r>
            <w:r>
              <w:rPr>
                <w:noProof/>
                <w:webHidden/>
              </w:rPr>
              <w:fldChar w:fldCharType="begin"/>
            </w:r>
            <w:r>
              <w:rPr>
                <w:noProof/>
                <w:webHidden/>
              </w:rPr>
              <w:instrText xml:space="preserve"> PAGEREF _Toc2451033 \h </w:instrText>
            </w:r>
            <w:r>
              <w:rPr>
                <w:noProof/>
                <w:webHidden/>
              </w:rPr>
            </w:r>
            <w:r>
              <w:rPr>
                <w:noProof/>
                <w:webHidden/>
              </w:rPr>
              <w:fldChar w:fldCharType="separate"/>
            </w:r>
            <w:r w:rsidR="00E6157A">
              <w:rPr>
                <w:noProof/>
                <w:webHidden/>
              </w:rPr>
              <w:t>85</w:t>
            </w:r>
            <w:r>
              <w:rPr>
                <w:noProof/>
                <w:webHidden/>
              </w:rPr>
              <w:fldChar w:fldCharType="end"/>
            </w:r>
          </w:hyperlink>
        </w:p>
        <w:p w14:paraId="6FB5DC73" w14:textId="32DC57D6"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4" w:history="1">
            <w:r w:rsidRPr="0042470B">
              <w:rPr>
                <w:rStyle w:val="Hyperlink"/>
                <w:noProof/>
                <w:lang w:eastAsia="en-GB"/>
              </w:rPr>
              <w:t>3.4.8</w:t>
            </w:r>
            <w:r>
              <w:rPr>
                <w:rFonts w:asciiTheme="minorHAnsi" w:eastAsiaTheme="minorEastAsia" w:hAnsiTheme="minorHAnsi" w:cstheme="minorBidi"/>
                <w:noProof/>
                <w:sz w:val="24"/>
                <w:szCs w:val="24"/>
              </w:rPr>
              <w:tab/>
            </w:r>
            <w:r w:rsidRPr="0042470B">
              <w:rPr>
                <w:rStyle w:val="Hyperlink"/>
                <w:noProof/>
                <w:lang w:eastAsia="en-GB"/>
              </w:rPr>
              <w:t>Investigating cell metabolic activity after treatment with synthesised prodrugs</w:t>
            </w:r>
            <w:r>
              <w:rPr>
                <w:noProof/>
                <w:webHidden/>
              </w:rPr>
              <w:tab/>
            </w:r>
            <w:r>
              <w:rPr>
                <w:noProof/>
                <w:webHidden/>
              </w:rPr>
              <w:fldChar w:fldCharType="begin"/>
            </w:r>
            <w:r>
              <w:rPr>
                <w:noProof/>
                <w:webHidden/>
              </w:rPr>
              <w:instrText xml:space="preserve"> PAGEREF _Toc2451034 \h </w:instrText>
            </w:r>
            <w:r>
              <w:rPr>
                <w:noProof/>
                <w:webHidden/>
              </w:rPr>
            </w:r>
            <w:r>
              <w:rPr>
                <w:noProof/>
                <w:webHidden/>
              </w:rPr>
              <w:fldChar w:fldCharType="separate"/>
            </w:r>
            <w:r w:rsidR="00E6157A">
              <w:rPr>
                <w:noProof/>
                <w:webHidden/>
              </w:rPr>
              <w:t>86</w:t>
            </w:r>
            <w:r>
              <w:rPr>
                <w:noProof/>
                <w:webHidden/>
              </w:rPr>
              <w:fldChar w:fldCharType="end"/>
            </w:r>
          </w:hyperlink>
        </w:p>
        <w:p w14:paraId="2ED72C1A" w14:textId="2672B7C1"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35" w:history="1">
            <w:r w:rsidRPr="0042470B">
              <w:rPr>
                <w:rStyle w:val="Hyperlink"/>
                <w:noProof/>
                <w:lang w:eastAsia="en-GB"/>
              </w:rPr>
              <w:t>3.4.9</w:t>
            </w:r>
            <w:r>
              <w:rPr>
                <w:rFonts w:asciiTheme="minorHAnsi" w:eastAsiaTheme="minorEastAsia" w:hAnsiTheme="minorHAnsi" w:cstheme="minorBidi"/>
                <w:noProof/>
                <w:sz w:val="24"/>
                <w:szCs w:val="24"/>
              </w:rPr>
              <w:tab/>
            </w:r>
            <w:r w:rsidRPr="0042470B">
              <w:rPr>
                <w:rStyle w:val="Hyperlink"/>
                <w:noProof/>
                <w:lang w:eastAsia="en-GB"/>
              </w:rPr>
              <w:t>Investigating cell membrane integrity after treatment with synthesised prodrugs</w:t>
            </w:r>
            <w:r>
              <w:rPr>
                <w:noProof/>
                <w:webHidden/>
              </w:rPr>
              <w:tab/>
            </w:r>
            <w:r>
              <w:rPr>
                <w:noProof/>
                <w:webHidden/>
              </w:rPr>
              <w:fldChar w:fldCharType="begin"/>
            </w:r>
            <w:r>
              <w:rPr>
                <w:noProof/>
                <w:webHidden/>
              </w:rPr>
              <w:instrText xml:space="preserve"> PAGEREF _Toc2451035 \h </w:instrText>
            </w:r>
            <w:r>
              <w:rPr>
                <w:noProof/>
                <w:webHidden/>
              </w:rPr>
            </w:r>
            <w:r>
              <w:rPr>
                <w:noProof/>
                <w:webHidden/>
              </w:rPr>
              <w:fldChar w:fldCharType="separate"/>
            </w:r>
            <w:r w:rsidR="00E6157A">
              <w:rPr>
                <w:noProof/>
                <w:webHidden/>
              </w:rPr>
              <w:t>89</w:t>
            </w:r>
            <w:r>
              <w:rPr>
                <w:noProof/>
                <w:webHidden/>
              </w:rPr>
              <w:fldChar w:fldCharType="end"/>
            </w:r>
          </w:hyperlink>
        </w:p>
        <w:p w14:paraId="0FC3B2E5" w14:textId="15EE2C25"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36" w:history="1">
            <w:r w:rsidRPr="0042470B">
              <w:rPr>
                <w:rStyle w:val="Hyperlink"/>
                <w:noProof/>
              </w:rPr>
              <w:t>3.4.10</w:t>
            </w:r>
            <w:r>
              <w:rPr>
                <w:rFonts w:asciiTheme="minorHAnsi" w:eastAsiaTheme="minorEastAsia" w:hAnsiTheme="minorHAnsi" w:cstheme="minorBidi"/>
                <w:noProof/>
                <w:sz w:val="24"/>
                <w:szCs w:val="24"/>
              </w:rPr>
              <w:tab/>
            </w:r>
            <w:r w:rsidRPr="0042470B">
              <w:rPr>
                <w:rStyle w:val="Hyperlink"/>
                <w:noProof/>
              </w:rPr>
              <w:t>Cytotoxicity of prodrugs at concentrations used in the 3D tissue-engineered model of human skin</w:t>
            </w:r>
            <w:r>
              <w:rPr>
                <w:noProof/>
                <w:webHidden/>
              </w:rPr>
              <w:tab/>
            </w:r>
            <w:r>
              <w:rPr>
                <w:noProof/>
                <w:webHidden/>
              </w:rPr>
              <w:fldChar w:fldCharType="begin"/>
            </w:r>
            <w:r>
              <w:rPr>
                <w:noProof/>
                <w:webHidden/>
              </w:rPr>
              <w:instrText xml:space="preserve"> PAGEREF _Toc2451036 \h </w:instrText>
            </w:r>
            <w:r>
              <w:rPr>
                <w:noProof/>
                <w:webHidden/>
              </w:rPr>
            </w:r>
            <w:r>
              <w:rPr>
                <w:noProof/>
                <w:webHidden/>
              </w:rPr>
              <w:fldChar w:fldCharType="separate"/>
            </w:r>
            <w:r w:rsidR="00E6157A">
              <w:rPr>
                <w:noProof/>
                <w:webHidden/>
              </w:rPr>
              <w:t>91</w:t>
            </w:r>
            <w:r>
              <w:rPr>
                <w:noProof/>
                <w:webHidden/>
              </w:rPr>
              <w:fldChar w:fldCharType="end"/>
            </w:r>
          </w:hyperlink>
        </w:p>
        <w:p w14:paraId="61B2BFAD" w14:textId="096150F6"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37" w:history="1">
            <w:r w:rsidRPr="0042470B">
              <w:rPr>
                <w:rStyle w:val="Hyperlink"/>
                <w:noProof/>
              </w:rPr>
              <w:t>3.4.11</w:t>
            </w:r>
            <w:r>
              <w:rPr>
                <w:rFonts w:asciiTheme="minorHAnsi" w:eastAsiaTheme="minorEastAsia" w:hAnsiTheme="minorHAnsi" w:cstheme="minorBidi"/>
                <w:noProof/>
                <w:sz w:val="24"/>
                <w:szCs w:val="24"/>
              </w:rPr>
              <w:tab/>
            </w:r>
            <w:r w:rsidRPr="0042470B">
              <w:rPr>
                <w:rStyle w:val="Hyperlink"/>
                <w:noProof/>
              </w:rPr>
              <w:t>Investigation of prodrugs on cell metabolic activity</w:t>
            </w:r>
            <w:r>
              <w:rPr>
                <w:noProof/>
                <w:webHidden/>
              </w:rPr>
              <w:tab/>
            </w:r>
            <w:r>
              <w:rPr>
                <w:noProof/>
                <w:webHidden/>
              </w:rPr>
              <w:fldChar w:fldCharType="begin"/>
            </w:r>
            <w:r>
              <w:rPr>
                <w:noProof/>
                <w:webHidden/>
              </w:rPr>
              <w:instrText xml:space="preserve"> PAGEREF _Toc2451037 \h </w:instrText>
            </w:r>
            <w:r>
              <w:rPr>
                <w:noProof/>
                <w:webHidden/>
              </w:rPr>
            </w:r>
            <w:r>
              <w:rPr>
                <w:noProof/>
                <w:webHidden/>
              </w:rPr>
              <w:fldChar w:fldCharType="separate"/>
            </w:r>
            <w:r w:rsidR="00E6157A">
              <w:rPr>
                <w:noProof/>
                <w:webHidden/>
              </w:rPr>
              <w:t>91</w:t>
            </w:r>
            <w:r>
              <w:rPr>
                <w:noProof/>
                <w:webHidden/>
              </w:rPr>
              <w:fldChar w:fldCharType="end"/>
            </w:r>
          </w:hyperlink>
        </w:p>
        <w:p w14:paraId="21702A70" w14:textId="3AC76A02"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38" w:history="1">
            <w:r w:rsidRPr="0042470B">
              <w:rPr>
                <w:rStyle w:val="Hyperlink"/>
                <w:noProof/>
              </w:rPr>
              <w:t>3.4.12</w:t>
            </w:r>
            <w:r>
              <w:rPr>
                <w:rFonts w:asciiTheme="minorHAnsi" w:eastAsiaTheme="minorEastAsia" w:hAnsiTheme="minorHAnsi" w:cstheme="minorBidi"/>
                <w:noProof/>
                <w:sz w:val="24"/>
                <w:szCs w:val="24"/>
              </w:rPr>
              <w:tab/>
            </w:r>
            <w:r w:rsidRPr="0042470B">
              <w:rPr>
                <w:rStyle w:val="Hyperlink"/>
                <w:noProof/>
              </w:rPr>
              <w:t>Investigation of prodrugs on cell membrane integrity</w:t>
            </w:r>
            <w:r>
              <w:rPr>
                <w:noProof/>
                <w:webHidden/>
              </w:rPr>
              <w:tab/>
            </w:r>
            <w:r>
              <w:rPr>
                <w:noProof/>
                <w:webHidden/>
              </w:rPr>
              <w:fldChar w:fldCharType="begin"/>
            </w:r>
            <w:r>
              <w:rPr>
                <w:noProof/>
                <w:webHidden/>
              </w:rPr>
              <w:instrText xml:space="preserve"> PAGEREF _Toc2451038 \h </w:instrText>
            </w:r>
            <w:r>
              <w:rPr>
                <w:noProof/>
                <w:webHidden/>
              </w:rPr>
            </w:r>
            <w:r>
              <w:rPr>
                <w:noProof/>
                <w:webHidden/>
              </w:rPr>
              <w:fldChar w:fldCharType="separate"/>
            </w:r>
            <w:r w:rsidR="00E6157A">
              <w:rPr>
                <w:noProof/>
                <w:webHidden/>
              </w:rPr>
              <w:t>92</w:t>
            </w:r>
            <w:r>
              <w:rPr>
                <w:noProof/>
                <w:webHidden/>
              </w:rPr>
              <w:fldChar w:fldCharType="end"/>
            </w:r>
          </w:hyperlink>
        </w:p>
        <w:p w14:paraId="6718D550" w14:textId="555F3702"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39" w:history="1">
            <w:r w:rsidRPr="0042470B">
              <w:rPr>
                <w:rStyle w:val="Hyperlink"/>
                <w:noProof/>
              </w:rPr>
              <w:t>3.5</w:t>
            </w:r>
            <w:r>
              <w:rPr>
                <w:rFonts w:asciiTheme="minorHAnsi" w:eastAsiaTheme="minorEastAsia" w:hAnsiTheme="minorHAnsi" w:cstheme="minorBidi"/>
                <w:b w:val="0"/>
                <w:bCs w:val="0"/>
                <w:noProof/>
                <w:sz w:val="24"/>
                <w:szCs w:val="24"/>
              </w:rPr>
              <w:tab/>
            </w:r>
            <w:r w:rsidRPr="0042470B">
              <w:rPr>
                <w:rStyle w:val="Hyperlink"/>
                <w:noProof/>
              </w:rPr>
              <w:t>Conclusions</w:t>
            </w:r>
            <w:r>
              <w:rPr>
                <w:noProof/>
                <w:webHidden/>
              </w:rPr>
              <w:tab/>
            </w:r>
            <w:r>
              <w:rPr>
                <w:noProof/>
                <w:webHidden/>
              </w:rPr>
              <w:fldChar w:fldCharType="begin"/>
            </w:r>
            <w:r>
              <w:rPr>
                <w:noProof/>
                <w:webHidden/>
              </w:rPr>
              <w:instrText xml:space="preserve"> PAGEREF _Toc2451039 \h </w:instrText>
            </w:r>
            <w:r>
              <w:rPr>
                <w:noProof/>
                <w:webHidden/>
              </w:rPr>
            </w:r>
            <w:r>
              <w:rPr>
                <w:noProof/>
                <w:webHidden/>
              </w:rPr>
              <w:fldChar w:fldCharType="separate"/>
            </w:r>
            <w:r w:rsidR="00E6157A">
              <w:rPr>
                <w:noProof/>
                <w:webHidden/>
              </w:rPr>
              <w:t>94</w:t>
            </w:r>
            <w:r>
              <w:rPr>
                <w:noProof/>
                <w:webHidden/>
              </w:rPr>
              <w:fldChar w:fldCharType="end"/>
            </w:r>
          </w:hyperlink>
        </w:p>
        <w:p w14:paraId="3EBC5AF8" w14:textId="3DA2D817"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1040" w:history="1">
            <w:r w:rsidRPr="0042470B">
              <w:rPr>
                <w:rStyle w:val="Hyperlink"/>
                <w:noProof/>
              </w:rPr>
              <w:t>4</w:t>
            </w:r>
            <w:r>
              <w:rPr>
                <w:rFonts w:asciiTheme="minorHAnsi" w:eastAsiaTheme="minorEastAsia" w:hAnsiTheme="minorHAnsi" w:cstheme="minorBidi"/>
                <w:b w:val="0"/>
                <w:bCs w:val="0"/>
                <w:i w:val="0"/>
                <w:iCs w:val="0"/>
                <w:noProof/>
              </w:rPr>
              <w:tab/>
            </w:r>
            <w:r w:rsidRPr="0042470B">
              <w:rPr>
                <w:rStyle w:val="Hyperlink"/>
                <w:noProof/>
              </w:rPr>
              <w:t>Chapter Four: Testing synthesised prodrugs in 3D models of contraction</w:t>
            </w:r>
            <w:r>
              <w:rPr>
                <w:noProof/>
                <w:webHidden/>
              </w:rPr>
              <w:tab/>
            </w:r>
            <w:r>
              <w:rPr>
                <w:noProof/>
                <w:webHidden/>
              </w:rPr>
              <w:fldChar w:fldCharType="begin"/>
            </w:r>
            <w:r>
              <w:rPr>
                <w:noProof/>
                <w:webHidden/>
              </w:rPr>
              <w:instrText xml:space="preserve"> PAGEREF _Toc2451040 \h </w:instrText>
            </w:r>
            <w:r>
              <w:rPr>
                <w:noProof/>
                <w:webHidden/>
              </w:rPr>
            </w:r>
            <w:r>
              <w:rPr>
                <w:noProof/>
                <w:webHidden/>
              </w:rPr>
              <w:fldChar w:fldCharType="separate"/>
            </w:r>
            <w:r w:rsidR="00E6157A">
              <w:rPr>
                <w:noProof/>
                <w:webHidden/>
              </w:rPr>
              <w:t>97</w:t>
            </w:r>
            <w:r>
              <w:rPr>
                <w:noProof/>
                <w:webHidden/>
              </w:rPr>
              <w:fldChar w:fldCharType="end"/>
            </w:r>
          </w:hyperlink>
        </w:p>
        <w:p w14:paraId="5AFAAE10" w14:textId="22F47452"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41" w:history="1">
            <w:r w:rsidRPr="0042470B">
              <w:rPr>
                <w:rStyle w:val="Hyperlink"/>
                <w:noProof/>
              </w:rPr>
              <w:t>4.1</w:t>
            </w:r>
            <w:r>
              <w:rPr>
                <w:rFonts w:asciiTheme="minorHAnsi" w:eastAsiaTheme="minorEastAsia" w:hAnsiTheme="minorHAnsi" w:cstheme="minorBidi"/>
                <w:b w:val="0"/>
                <w:bCs w:val="0"/>
                <w:noProof/>
                <w:sz w:val="24"/>
                <w:szCs w:val="24"/>
              </w:rPr>
              <w:tab/>
            </w:r>
            <w:r w:rsidRPr="0042470B">
              <w:rPr>
                <w:rStyle w:val="Hyperlink"/>
                <w:noProof/>
              </w:rPr>
              <w:t>Introduction</w:t>
            </w:r>
            <w:r>
              <w:rPr>
                <w:noProof/>
                <w:webHidden/>
              </w:rPr>
              <w:tab/>
            </w:r>
            <w:r>
              <w:rPr>
                <w:noProof/>
                <w:webHidden/>
              </w:rPr>
              <w:fldChar w:fldCharType="begin"/>
            </w:r>
            <w:r>
              <w:rPr>
                <w:noProof/>
                <w:webHidden/>
              </w:rPr>
              <w:instrText xml:space="preserve"> PAGEREF _Toc2451041 \h </w:instrText>
            </w:r>
            <w:r>
              <w:rPr>
                <w:noProof/>
                <w:webHidden/>
              </w:rPr>
            </w:r>
            <w:r>
              <w:rPr>
                <w:noProof/>
                <w:webHidden/>
              </w:rPr>
              <w:fldChar w:fldCharType="separate"/>
            </w:r>
            <w:r w:rsidR="00E6157A">
              <w:rPr>
                <w:noProof/>
                <w:webHidden/>
              </w:rPr>
              <w:t>97</w:t>
            </w:r>
            <w:r>
              <w:rPr>
                <w:noProof/>
                <w:webHidden/>
              </w:rPr>
              <w:fldChar w:fldCharType="end"/>
            </w:r>
          </w:hyperlink>
        </w:p>
        <w:p w14:paraId="5DF49113" w14:textId="20DBB8E9"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42" w:history="1">
            <w:r w:rsidRPr="0042470B">
              <w:rPr>
                <w:rStyle w:val="Hyperlink"/>
                <w:noProof/>
              </w:rPr>
              <w:t>4.2</w:t>
            </w:r>
            <w:r>
              <w:rPr>
                <w:rFonts w:asciiTheme="minorHAnsi" w:eastAsiaTheme="minorEastAsia" w:hAnsiTheme="minorHAnsi" w:cstheme="minorBidi"/>
                <w:b w:val="0"/>
                <w:bCs w:val="0"/>
                <w:noProof/>
                <w:sz w:val="24"/>
                <w:szCs w:val="24"/>
              </w:rPr>
              <w:tab/>
            </w:r>
            <w:r w:rsidRPr="0042470B">
              <w:rPr>
                <w:rStyle w:val="Hyperlink"/>
                <w:noProof/>
              </w:rPr>
              <w:t>Materials</w:t>
            </w:r>
            <w:r>
              <w:rPr>
                <w:noProof/>
                <w:webHidden/>
              </w:rPr>
              <w:tab/>
            </w:r>
            <w:r>
              <w:rPr>
                <w:noProof/>
                <w:webHidden/>
              </w:rPr>
              <w:fldChar w:fldCharType="begin"/>
            </w:r>
            <w:r>
              <w:rPr>
                <w:noProof/>
                <w:webHidden/>
              </w:rPr>
              <w:instrText xml:space="preserve"> PAGEREF _Toc2451042 \h </w:instrText>
            </w:r>
            <w:r>
              <w:rPr>
                <w:noProof/>
                <w:webHidden/>
              </w:rPr>
            </w:r>
            <w:r>
              <w:rPr>
                <w:noProof/>
                <w:webHidden/>
              </w:rPr>
              <w:fldChar w:fldCharType="separate"/>
            </w:r>
            <w:r w:rsidR="00E6157A">
              <w:rPr>
                <w:noProof/>
                <w:webHidden/>
              </w:rPr>
              <w:t>101</w:t>
            </w:r>
            <w:r>
              <w:rPr>
                <w:noProof/>
                <w:webHidden/>
              </w:rPr>
              <w:fldChar w:fldCharType="end"/>
            </w:r>
          </w:hyperlink>
        </w:p>
        <w:p w14:paraId="0A6E6A03" w14:textId="5BB9AC11"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43" w:history="1">
            <w:r w:rsidRPr="0042470B">
              <w:rPr>
                <w:rStyle w:val="Hyperlink"/>
                <w:noProof/>
              </w:rPr>
              <w:t>4.3</w:t>
            </w:r>
            <w:r>
              <w:rPr>
                <w:rFonts w:asciiTheme="minorHAnsi" w:eastAsiaTheme="minorEastAsia" w:hAnsiTheme="minorHAnsi" w:cstheme="minorBidi"/>
                <w:b w:val="0"/>
                <w:bCs w:val="0"/>
                <w:noProof/>
                <w:sz w:val="24"/>
                <w:szCs w:val="24"/>
              </w:rPr>
              <w:tab/>
            </w:r>
            <w:r w:rsidRPr="0042470B">
              <w:rPr>
                <w:rStyle w:val="Hyperlink"/>
                <w:noProof/>
              </w:rPr>
              <w:t>Methods</w:t>
            </w:r>
            <w:r>
              <w:rPr>
                <w:noProof/>
                <w:webHidden/>
              </w:rPr>
              <w:tab/>
            </w:r>
            <w:r>
              <w:rPr>
                <w:noProof/>
                <w:webHidden/>
              </w:rPr>
              <w:fldChar w:fldCharType="begin"/>
            </w:r>
            <w:r>
              <w:rPr>
                <w:noProof/>
                <w:webHidden/>
              </w:rPr>
              <w:instrText xml:space="preserve"> PAGEREF _Toc2451043 \h </w:instrText>
            </w:r>
            <w:r>
              <w:rPr>
                <w:noProof/>
                <w:webHidden/>
              </w:rPr>
            </w:r>
            <w:r>
              <w:rPr>
                <w:noProof/>
                <w:webHidden/>
              </w:rPr>
              <w:fldChar w:fldCharType="separate"/>
            </w:r>
            <w:r w:rsidR="00E6157A">
              <w:rPr>
                <w:noProof/>
                <w:webHidden/>
              </w:rPr>
              <w:t>101</w:t>
            </w:r>
            <w:r>
              <w:rPr>
                <w:noProof/>
                <w:webHidden/>
              </w:rPr>
              <w:fldChar w:fldCharType="end"/>
            </w:r>
          </w:hyperlink>
        </w:p>
        <w:p w14:paraId="48E59BFA" w14:textId="25CCC248"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4" w:history="1">
            <w:r w:rsidRPr="0042470B">
              <w:rPr>
                <w:rStyle w:val="Hyperlink"/>
                <w:noProof/>
                <w:lang w:eastAsia="en-GB"/>
              </w:rPr>
              <w:t>4.3.1</w:t>
            </w:r>
            <w:r>
              <w:rPr>
                <w:rFonts w:asciiTheme="minorHAnsi" w:eastAsiaTheme="minorEastAsia" w:hAnsiTheme="minorHAnsi" w:cstheme="minorBidi"/>
                <w:noProof/>
                <w:sz w:val="24"/>
                <w:szCs w:val="24"/>
              </w:rPr>
              <w:tab/>
            </w:r>
            <w:r w:rsidRPr="0042470B">
              <w:rPr>
                <w:rStyle w:val="Hyperlink"/>
                <w:noProof/>
                <w:lang w:eastAsia="en-GB"/>
              </w:rPr>
              <w:t>Cell culture media</w:t>
            </w:r>
            <w:r>
              <w:rPr>
                <w:noProof/>
                <w:webHidden/>
              </w:rPr>
              <w:tab/>
            </w:r>
            <w:r>
              <w:rPr>
                <w:noProof/>
                <w:webHidden/>
              </w:rPr>
              <w:fldChar w:fldCharType="begin"/>
            </w:r>
            <w:r>
              <w:rPr>
                <w:noProof/>
                <w:webHidden/>
              </w:rPr>
              <w:instrText xml:space="preserve"> PAGEREF _Toc2451044 \h </w:instrText>
            </w:r>
            <w:r>
              <w:rPr>
                <w:noProof/>
                <w:webHidden/>
              </w:rPr>
            </w:r>
            <w:r>
              <w:rPr>
                <w:noProof/>
                <w:webHidden/>
              </w:rPr>
              <w:fldChar w:fldCharType="separate"/>
            </w:r>
            <w:r w:rsidR="00E6157A">
              <w:rPr>
                <w:noProof/>
                <w:webHidden/>
              </w:rPr>
              <w:t>101</w:t>
            </w:r>
            <w:r>
              <w:rPr>
                <w:noProof/>
                <w:webHidden/>
              </w:rPr>
              <w:fldChar w:fldCharType="end"/>
            </w:r>
          </w:hyperlink>
        </w:p>
        <w:p w14:paraId="2B9DAA13" w14:textId="09D1AA2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5" w:history="1">
            <w:r w:rsidRPr="0042470B">
              <w:rPr>
                <w:rStyle w:val="Hyperlink"/>
                <w:noProof/>
              </w:rPr>
              <w:t>4.3.2</w:t>
            </w:r>
            <w:r>
              <w:rPr>
                <w:rFonts w:asciiTheme="minorHAnsi" w:eastAsiaTheme="minorEastAsia" w:hAnsiTheme="minorHAnsi" w:cstheme="minorBidi"/>
                <w:noProof/>
                <w:sz w:val="24"/>
                <w:szCs w:val="24"/>
              </w:rPr>
              <w:tab/>
            </w:r>
            <w:r w:rsidRPr="0042470B">
              <w:rPr>
                <w:rStyle w:val="Hyperlink"/>
                <w:noProof/>
              </w:rPr>
              <w:t>Preparation of de-epidermised dermis (DED) from donor skin</w:t>
            </w:r>
            <w:r>
              <w:rPr>
                <w:noProof/>
                <w:webHidden/>
              </w:rPr>
              <w:tab/>
            </w:r>
            <w:r>
              <w:rPr>
                <w:noProof/>
                <w:webHidden/>
              </w:rPr>
              <w:fldChar w:fldCharType="begin"/>
            </w:r>
            <w:r>
              <w:rPr>
                <w:noProof/>
                <w:webHidden/>
              </w:rPr>
              <w:instrText xml:space="preserve"> PAGEREF _Toc2451045 \h </w:instrText>
            </w:r>
            <w:r>
              <w:rPr>
                <w:noProof/>
                <w:webHidden/>
              </w:rPr>
            </w:r>
            <w:r>
              <w:rPr>
                <w:noProof/>
                <w:webHidden/>
              </w:rPr>
              <w:fldChar w:fldCharType="separate"/>
            </w:r>
            <w:r w:rsidR="00E6157A">
              <w:rPr>
                <w:noProof/>
                <w:webHidden/>
              </w:rPr>
              <w:t>102</w:t>
            </w:r>
            <w:r>
              <w:rPr>
                <w:noProof/>
                <w:webHidden/>
              </w:rPr>
              <w:fldChar w:fldCharType="end"/>
            </w:r>
          </w:hyperlink>
        </w:p>
        <w:p w14:paraId="5A927617" w14:textId="79EBE2A5"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6" w:history="1">
            <w:r w:rsidRPr="0042470B">
              <w:rPr>
                <w:rStyle w:val="Hyperlink"/>
                <w:noProof/>
              </w:rPr>
              <w:t>4.3.3</w:t>
            </w:r>
            <w:r>
              <w:rPr>
                <w:rFonts w:asciiTheme="minorHAnsi" w:eastAsiaTheme="minorEastAsia" w:hAnsiTheme="minorHAnsi" w:cstheme="minorBidi"/>
                <w:noProof/>
                <w:sz w:val="24"/>
                <w:szCs w:val="24"/>
              </w:rPr>
              <w:tab/>
            </w:r>
            <w:r w:rsidRPr="0042470B">
              <w:rPr>
                <w:rStyle w:val="Hyperlink"/>
                <w:noProof/>
              </w:rPr>
              <w:t>Preparation of DED from Euroskin</w:t>
            </w:r>
            <w:r>
              <w:rPr>
                <w:noProof/>
                <w:webHidden/>
              </w:rPr>
              <w:tab/>
            </w:r>
            <w:r>
              <w:rPr>
                <w:noProof/>
                <w:webHidden/>
              </w:rPr>
              <w:fldChar w:fldCharType="begin"/>
            </w:r>
            <w:r>
              <w:rPr>
                <w:noProof/>
                <w:webHidden/>
              </w:rPr>
              <w:instrText xml:space="preserve"> PAGEREF _Toc2451046 \h </w:instrText>
            </w:r>
            <w:r>
              <w:rPr>
                <w:noProof/>
                <w:webHidden/>
              </w:rPr>
            </w:r>
            <w:r>
              <w:rPr>
                <w:noProof/>
                <w:webHidden/>
              </w:rPr>
              <w:fldChar w:fldCharType="separate"/>
            </w:r>
            <w:r w:rsidR="00E6157A">
              <w:rPr>
                <w:noProof/>
                <w:webHidden/>
              </w:rPr>
              <w:t>102</w:t>
            </w:r>
            <w:r>
              <w:rPr>
                <w:noProof/>
                <w:webHidden/>
              </w:rPr>
              <w:fldChar w:fldCharType="end"/>
            </w:r>
          </w:hyperlink>
        </w:p>
        <w:p w14:paraId="3FC92C5E" w14:textId="10ECD01F"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7" w:history="1">
            <w:r w:rsidRPr="0042470B">
              <w:rPr>
                <w:rStyle w:val="Hyperlink"/>
                <w:noProof/>
                <w:lang w:eastAsia="en-GB"/>
              </w:rPr>
              <w:t>4.3.4</w:t>
            </w:r>
            <w:r>
              <w:rPr>
                <w:rFonts w:asciiTheme="minorHAnsi" w:eastAsiaTheme="minorEastAsia" w:hAnsiTheme="minorHAnsi" w:cstheme="minorBidi"/>
                <w:noProof/>
                <w:sz w:val="24"/>
                <w:szCs w:val="24"/>
              </w:rPr>
              <w:tab/>
            </w:r>
            <w:r w:rsidRPr="0042470B">
              <w:rPr>
                <w:rStyle w:val="Hyperlink"/>
                <w:noProof/>
                <w:lang w:eastAsia="en-GB"/>
              </w:rPr>
              <w:t>Thickness measurement of de-epidermised dermis (DED)</w:t>
            </w:r>
            <w:r>
              <w:rPr>
                <w:noProof/>
                <w:webHidden/>
              </w:rPr>
              <w:tab/>
            </w:r>
            <w:r>
              <w:rPr>
                <w:noProof/>
                <w:webHidden/>
              </w:rPr>
              <w:fldChar w:fldCharType="begin"/>
            </w:r>
            <w:r>
              <w:rPr>
                <w:noProof/>
                <w:webHidden/>
              </w:rPr>
              <w:instrText xml:space="preserve"> PAGEREF _Toc2451047 \h </w:instrText>
            </w:r>
            <w:r>
              <w:rPr>
                <w:noProof/>
                <w:webHidden/>
              </w:rPr>
            </w:r>
            <w:r>
              <w:rPr>
                <w:noProof/>
                <w:webHidden/>
              </w:rPr>
              <w:fldChar w:fldCharType="separate"/>
            </w:r>
            <w:r w:rsidR="00E6157A">
              <w:rPr>
                <w:noProof/>
                <w:webHidden/>
              </w:rPr>
              <w:t>103</w:t>
            </w:r>
            <w:r>
              <w:rPr>
                <w:noProof/>
                <w:webHidden/>
              </w:rPr>
              <w:fldChar w:fldCharType="end"/>
            </w:r>
          </w:hyperlink>
        </w:p>
        <w:p w14:paraId="23B7EE16" w14:textId="52F70CFA"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8" w:history="1">
            <w:r w:rsidRPr="0042470B">
              <w:rPr>
                <w:rStyle w:val="Hyperlink"/>
                <w:noProof/>
              </w:rPr>
              <w:t>4.3.5</w:t>
            </w:r>
            <w:r>
              <w:rPr>
                <w:rFonts w:asciiTheme="minorHAnsi" w:eastAsiaTheme="minorEastAsia" w:hAnsiTheme="minorHAnsi" w:cstheme="minorBidi"/>
                <w:noProof/>
                <w:sz w:val="24"/>
                <w:szCs w:val="24"/>
              </w:rPr>
              <w:tab/>
            </w:r>
            <w:r w:rsidRPr="0042470B">
              <w:rPr>
                <w:rStyle w:val="Hyperlink"/>
                <w:noProof/>
              </w:rPr>
              <w:t>Production of tissue-engineered composites of human skin</w:t>
            </w:r>
            <w:r>
              <w:rPr>
                <w:noProof/>
                <w:webHidden/>
              </w:rPr>
              <w:tab/>
            </w:r>
            <w:r>
              <w:rPr>
                <w:noProof/>
                <w:webHidden/>
              </w:rPr>
              <w:fldChar w:fldCharType="begin"/>
            </w:r>
            <w:r>
              <w:rPr>
                <w:noProof/>
                <w:webHidden/>
              </w:rPr>
              <w:instrText xml:space="preserve"> PAGEREF _Toc2451048 \h </w:instrText>
            </w:r>
            <w:r>
              <w:rPr>
                <w:noProof/>
                <w:webHidden/>
              </w:rPr>
            </w:r>
            <w:r>
              <w:rPr>
                <w:noProof/>
                <w:webHidden/>
              </w:rPr>
              <w:fldChar w:fldCharType="separate"/>
            </w:r>
            <w:r w:rsidR="00E6157A">
              <w:rPr>
                <w:noProof/>
                <w:webHidden/>
              </w:rPr>
              <w:t>103</w:t>
            </w:r>
            <w:r>
              <w:rPr>
                <w:noProof/>
                <w:webHidden/>
              </w:rPr>
              <w:fldChar w:fldCharType="end"/>
            </w:r>
          </w:hyperlink>
        </w:p>
        <w:p w14:paraId="623596F6" w14:textId="7326DE46"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49" w:history="1">
            <w:r w:rsidRPr="0042470B">
              <w:rPr>
                <w:rStyle w:val="Hyperlink"/>
                <w:noProof/>
                <w:lang w:eastAsia="en-GB"/>
              </w:rPr>
              <w:t>4.3.6</w:t>
            </w:r>
            <w:r>
              <w:rPr>
                <w:rFonts w:asciiTheme="minorHAnsi" w:eastAsiaTheme="minorEastAsia" w:hAnsiTheme="minorHAnsi" w:cstheme="minorBidi"/>
                <w:noProof/>
                <w:sz w:val="24"/>
                <w:szCs w:val="24"/>
              </w:rPr>
              <w:tab/>
            </w:r>
            <w:r w:rsidRPr="0042470B">
              <w:rPr>
                <w:rStyle w:val="Hyperlink"/>
                <w:noProof/>
                <w:lang w:eastAsia="en-GB"/>
              </w:rPr>
              <w:t>Measurement of composite size</w:t>
            </w:r>
            <w:r>
              <w:rPr>
                <w:noProof/>
                <w:webHidden/>
              </w:rPr>
              <w:tab/>
            </w:r>
            <w:r>
              <w:rPr>
                <w:noProof/>
                <w:webHidden/>
              </w:rPr>
              <w:fldChar w:fldCharType="begin"/>
            </w:r>
            <w:r>
              <w:rPr>
                <w:noProof/>
                <w:webHidden/>
              </w:rPr>
              <w:instrText xml:space="preserve"> PAGEREF _Toc2451049 \h </w:instrText>
            </w:r>
            <w:r>
              <w:rPr>
                <w:noProof/>
                <w:webHidden/>
              </w:rPr>
            </w:r>
            <w:r>
              <w:rPr>
                <w:noProof/>
                <w:webHidden/>
              </w:rPr>
              <w:fldChar w:fldCharType="separate"/>
            </w:r>
            <w:r w:rsidR="00E6157A">
              <w:rPr>
                <w:noProof/>
                <w:webHidden/>
              </w:rPr>
              <w:t>104</w:t>
            </w:r>
            <w:r>
              <w:rPr>
                <w:noProof/>
                <w:webHidden/>
              </w:rPr>
              <w:fldChar w:fldCharType="end"/>
            </w:r>
          </w:hyperlink>
        </w:p>
        <w:p w14:paraId="3CED3475" w14:textId="2D2CE999"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50" w:history="1">
            <w:r w:rsidRPr="0042470B">
              <w:rPr>
                <w:rStyle w:val="Hyperlink"/>
                <w:noProof/>
              </w:rPr>
              <w:t>4.3.7</w:t>
            </w:r>
            <w:r>
              <w:rPr>
                <w:rFonts w:asciiTheme="minorHAnsi" w:eastAsiaTheme="minorEastAsia" w:hAnsiTheme="minorHAnsi" w:cstheme="minorBidi"/>
                <w:noProof/>
                <w:sz w:val="24"/>
                <w:szCs w:val="24"/>
              </w:rPr>
              <w:tab/>
            </w:r>
            <w:r w:rsidRPr="0042470B">
              <w:rPr>
                <w:rStyle w:val="Hyperlink"/>
                <w:noProof/>
              </w:rPr>
              <w:t xml:space="preserve">Tissue-engineered composites of human skin dosed with </w:t>
            </w:r>
            <w:r w:rsidRPr="0042470B">
              <w:rPr>
                <w:rStyle w:val="Hyperlink"/>
                <w:noProof/>
              </w:rPr>
              <w:sym w:font="Symbol" w:char="F062"/>
            </w:r>
            <w:r w:rsidRPr="0042470B">
              <w:rPr>
                <w:rStyle w:val="Hyperlink"/>
                <w:noProof/>
              </w:rPr>
              <w:noBreakHyphen/>
              <w:t>APN</w:t>
            </w:r>
            <w:r>
              <w:rPr>
                <w:noProof/>
                <w:webHidden/>
              </w:rPr>
              <w:tab/>
            </w:r>
            <w:r>
              <w:rPr>
                <w:noProof/>
                <w:webHidden/>
              </w:rPr>
              <w:fldChar w:fldCharType="begin"/>
            </w:r>
            <w:r>
              <w:rPr>
                <w:noProof/>
                <w:webHidden/>
              </w:rPr>
              <w:instrText xml:space="preserve"> PAGEREF _Toc2451050 \h </w:instrText>
            </w:r>
            <w:r>
              <w:rPr>
                <w:noProof/>
                <w:webHidden/>
              </w:rPr>
            </w:r>
            <w:r>
              <w:rPr>
                <w:noProof/>
                <w:webHidden/>
              </w:rPr>
              <w:fldChar w:fldCharType="separate"/>
            </w:r>
            <w:r w:rsidR="00E6157A">
              <w:rPr>
                <w:noProof/>
                <w:webHidden/>
              </w:rPr>
              <w:t>104</w:t>
            </w:r>
            <w:r>
              <w:rPr>
                <w:noProof/>
                <w:webHidden/>
              </w:rPr>
              <w:fldChar w:fldCharType="end"/>
            </w:r>
          </w:hyperlink>
        </w:p>
        <w:p w14:paraId="73024537" w14:textId="39EC0B14"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51" w:history="1">
            <w:r w:rsidRPr="0042470B">
              <w:rPr>
                <w:rStyle w:val="Hyperlink"/>
                <w:noProof/>
              </w:rPr>
              <w:t>4.3.8</w:t>
            </w:r>
            <w:r>
              <w:rPr>
                <w:rFonts w:asciiTheme="minorHAnsi" w:eastAsiaTheme="minorEastAsia" w:hAnsiTheme="minorHAnsi" w:cstheme="minorBidi"/>
                <w:noProof/>
                <w:sz w:val="24"/>
                <w:szCs w:val="24"/>
              </w:rPr>
              <w:tab/>
            </w:r>
            <w:r w:rsidRPr="0042470B">
              <w:rPr>
                <w:rStyle w:val="Hyperlink"/>
                <w:noProof/>
              </w:rPr>
              <w:t>Histology</w:t>
            </w:r>
            <w:r>
              <w:rPr>
                <w:noProof/>
                <w:webHidden/>
              </w:rPr>
              <w:tab/>
            </w:r>
            <w:r>
              <w:rPr>
                <w:noProof/>
                <w:webHidden/>
              </w:rPr>
              <w:fldChar w:fldCharType="begin"/>
            </w:r>
            <w:r>
              <w:rPr>
                <w:noProof/>
                <w:webHidden/>
              </w:rPr>
              <w:instrText xml:space="preserve"> PAGEREF _Toc2451051 \h </w:instrText>
            </w:r>
            <w:r>
              <w:rPr>
                <w:noProof/>
                <w:webHidden/>
              </w:rPr>
            </w:r>
            <w:r>
              <w:rPr>
                <w:noProof/>
                <w:webHidden/>
              </w:rPr>
              <w:fldChar w:fldCharType="separate"/>
            </w:r>
            <w:r w:rsidR="00E6157A">
              <w:rPr>
                <w:noProof/>
                <w:webHidden/>
              </w:rPr>
              <w:t>104</w:t>
            </w:r>
            <w:r>
              <w:rPr>
                <w:noProof/>
                <w:webHidden/>
              </w:rPr>
              <w:fldChar w:fldCharType="end"/>
            </w:r>
          </w:hyperlink>
        </w:p>
        <w:p w14:paraId="39265195" w14:textId="39ADE153"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52" w:history="1">
            <w:r w:rsidRPr="0042470B">
              <w:rPr>
                <w:rStyle w:val="Hyperlink"/>
                <w:noProof/>
              </w:rPr>
              <w:t>4.3.9</w:t>
            </w:r>
            <w:r>
              <w:rPr>
                <w:rFonts w:asciiTheme="minorHAnsi" w:eastAsiaTheme="minorEastAsia" w:hAnsiTheme="minorHAnsi" w:cstheme="minorBidi"/>
                <w:noProof/>
                <w:sz w:val="24"/>
                <w:szCs w:val="24"/>
              </w:rPr>
              <w:tab/>
            </w:r>
            <w:r w:rsidRPr="0042470B">
              <w:rPr>
                <w:rStyle w:val="Hyperlink"/>
                <w:noProof/>
              </w:rPr>
              <w:t>Haematoxylin &amp; eosin (H&amp;E) staining</w:t>
            </w:r>
            <w:r>
              <w:rPr>
                <w:noProof/>
                <w:webHidden/>
              </w:rPr>
              <w:tab/>
            </w:r>
            <w:r>
              <w:rPr>
                <w:noProof/>
                <w:webHidden/>
              </w:rPr>
              <w:fldChar w:fldCharType="begin"/>
            </w:r>
            <w:r>
              <w:rPr>
                <w:noProof/>
                <w:webHidden/>
              </w:rPr>
              <w:instrText xml:space="preserve"> PAGEREF _Toc2451052 \h </w:instrText>
            </w:r>
            <w:r>
              <w:rPr>
                <w:noProof/>
                <w:webHidden/>
              </w:rPr>
            </w:r>
            <w:r>
              <w:rPr>
                <w:noProof/>
                <w:webHidden/>
              </w:rPr>
              <w:fldChar w:fldCharType="separate"/>
            </w:r>
            <w:r w:rsidR="00E6157A">
              <w:rPr>
                <w:noProof/>
                <w:webHidden/>
              </w:rPr>
              <w:t>105</w:t>
            </w:r>
            <w:r>
              <w:rPr>
                <w:noProof/>
                <w:webHidden/>
              </w:rPr>
              <w:fldChar w:fldCharType="end"/>
            </w:r>
          </w:hyperlink>
        </w:p>
        <w:p w14:paraId="0E148BB0" w14:textId="386E5764"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53" w:history="1">
            <w:r w:rsidRPr="0042470B">
              <w:rPr>
                <w:rStyle w:val="Hyperlink"/>
                <w:noProof/>
              </w:rPr>
              <w:t>4.3.10</w:t>
            </w:r>
            <w:r>
              <w:rPr>
                <w:rFonts w:asciiTheme="minorHAnsi" w:eastAsiaTheme="minorEastAsia" w:hAnsiTheme="minorHAnsi" w:cstheme="minorBidi"/>
                <w:noProof/>
                <w:sz w:val="24"/>
                <w:szCs w:val="24"/>
              </w:rPr>
              <w:tab/>
            </w:r>
            <w:r w:rsidRPr="0042470B">
              <w:rPr>
                <w:rStyle w:val="Hyperlink"/>
                <w:noProof/>
              </w:rPr>
              <w:t>Sodium hydroxide titration of collagen gels</w:t>
            </w:r>
            <w:r>
              <w:rPr>
                <w:noProof/>
                <w:webHidden/>
              </w:rPr>
              <w:tab/>
            </w:r>
            <w:r>
              <w:rPr>
                <w:noProof/>
                <w:webHidden/>
              </w:rPr>
              <w:fldChar w:fldCharType="begin"/>
            </w:r>
            <w:r>
              <w:rPr>
                <w:noProof/>
                <w:webHidden/>
              </w:rPr>
              <w:instrText xml:space="preserve"> PAGEREF _Toc2451053 \h </w:instrText>
            </w:r>
            <w:r>
              <w:rPr>
                <w:noProof/>
                <w:webHidden/>
              </w:rPr>
            </w:r>
            <w:r>
              <w:rPr>
                <w:noProof/>
                <w:webHidden/>
              </w:rPr>
              <w:fldChar w:fldCharType="separate"/>
            </w:r>
            <w:r w:rsidR="00E6157A">
              <w:rPr>
                <w:noProof/>
                <w:webHidden/>
              </w:rPr>
              <w:t>106</w:t>
            </w:r>
            <w:r>
              <w:rPr>
                <w:noProof/>
                <w:webHidden/>
              </w:rPr>
              <w:fldChar w:fldCharType="end"/>
            </w:r>
          </w:hyperlink>
        </w:p>
        <w:p w14:paraId="453F8826" w14:textId="426440B8"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54" w:history="1">
            <w:r w:rsidRPr="0042470B">
              <w:rPr>
                <w:rStyle w:val="Hyperlink"/>
                <w:noProof/>
              </w:rPr>
              <w:t>4.3.11</w:t>
            </w:r>
            <w:r>
              <w:rPr>
                <w:rFonts w:asciiTheme="minorHAnsi" w:eastAsiaTheme="minorEastAsia" w:hAnsiTheme="minorHAnsi" w:cstheme="minorBidi"/>
                <w:noProof/>
                <w:sz w:val="24"/>
                <w:szCs w:val="24"/>
              </w:rPr>
              <w:tab/>
            </w:r>
            <w:r w:rsidRPr="0042470B">
              <w:rPr>
                <w:rStyle w:val="Hyperlink"/>
                <w:noProof/>
              </w:rPr>
              <w:t>Collagen gel cell density screen</w:t>
            </w:r>
            <w:r>
              <w:rPr>
                <w:noProof/>
                <w:webHidden/>
              </w:rPr>
              <w:tab/>
            </w:r>
            <w:r>
              <w:rPr>
                <w:noProof/>
                <w:webHidden/>
              </w:rPr>
              <w:fldChar w:fldCharType="begin"/>
            </w:r>
            <w:r>
              <w:rPr>
                <w:noProof/>
                <w:webHidden/>
              </w:rPr>
              <w:instrText xml:space="preserve"> PAGEREF _Toc2451054 \h </w:instrText>
            </w:r>
            <w:r>
              <w:rPr>
                <w:noProof/>
                <w:webHidden/>
              </w:rPr>
            </w:r>
            <w:r>
              <w:rPr>
                <w:noProof/>
                <w:webHidden/>
              </w:rPr>
              <w:fldChar w:fldCharType="separate"/>
            </w:r>
            <w:r w:rsidR="00E6157A">
              <w:rPr>
                <w:noProof/>
                <w:webHidden/>
              </w:rPr>
              <w:t>107</w:t>
            </w:r>
            <w:r>
              <w:rPr>
                <w:noProof/>
                <w:webHidden/>
              </w:rPr>
              <w:fldChar w:fldCharType="end"/>
            </w:r>
          </w:hyperlink>
        </w:p>
        <w:p w14:paraId="3156EFE6" w14:textId="5AB81F8F"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55" w:history="1">
            <w:r w:rsidRPr="0042470B">
              <w:rPr>
                <w:rStyle w:val="Hyperlink"/>
                <w:noProof/>
              </w:rPr>
              <w:t>4.3.12</w:t>
            </w:r>
            <w:r>
              <w:rPr>
                <w:rFonts w:asciiTheme="minorHAnsi" w:eastAsiaTheme="minorEastAsia" w:hAnsiTheme="minorHAnsi" w:cstheme="minorBidi"/>
                <w:noProof/>
                <w:sz w:val="24"/>
                <w:szCs w:val="24"/>
              </w:rPr>
              <w:tab/>
            </w:r>
            <w:r w:rsidRPr="0042470B">
              <w:rPr>
                <w:rStyle w:val="Hyperlink"/>
                <w:noProof/>
              </w:rPr>
              <w:t xml:space="preserve">Collagen gels dosed with </w:t>
            </w:r>
            <w:r w:rsidRPr="0042470B">
              <w:rPr>
                <w:rStyle w:val="Hyperlink"/>
                <w:noProof/>
              </w:rPr>
              <w:sym w:font="Symbol" w:char="F062"/>
            </w:r>
            <w:r w:rsidRPr="0042470B">
              <w:rPr>
                <w:rStyle w:val="Hyperlink"/>
                <w:noProof/>
              </w:rPr>
              <w:noBreakHyphen/>
              <w:t>APN</w:t>
            </w:r>
            <w:r>
              <w:rPr>
                <w:noProof/>
                <w:webHidden/>
              </w:rPr>
              <w:tab/>
            </w:r>
            <w:r>
              <w:rPr>
                <w:noProof/>
                <w:webHidden/>
              </w:rPr>
              <w:fldChar w:fldCharType="begin"/>
            </w:r>
            <w:r>
              <w:rPr>
                <w:noProof/>
                <w:webHidden/>
              </w:rPr>
              <w:instrText xml:space="preserve"> PAGEREF _Toc2451055 \h </w:instrText>
            </w:r>
            <w:r>
              <w:rPr>
                <w:noProof/>
                <w:webHidden/>
              </w:rPr>
            </w:r>
            <w:r>
              <w:rPr>
                <w:noProof/>
                <w:webHidden/>
              </w:rPr>
              <w:fldChar w:fldCharType="separate"/>
            </w:r>
            <w:r w:rsidR="00E6157A">
              <w:rPr>
                <w:noProof/>
                <w:webHidden/>
              </w:rPr>
              <w:t>107</w:t>
            </w:r>
            <w:r>
              <w:rPr>
                <w:noProof/>
                <w:webHidden/>
              </w:rPr>
              <w:fldChar w:fldCharType="end"/>
            </w:r>
          </w:hyperlink>
        </w:p>
        <w:p w14:paraId="6F3E1914" w14:textId="58AA6CE6"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56" w:history="1">
            <w:r w:rsidRPr="0042470B">
              <w:rPr>
                <w:rStyle w:val="Hyperlink"/>
                <w:noProof/>
              </w:rPr>
              <w:t>4.3.13</w:t>
            </w:r>
            <w:r>
              <w:rPr>
                <w:rFonts w:asciiTheme="minorHAnsi" w:eastAsiaTheme="minorEastAsia" w:hAnsiTheme="minorHAnsi" w:cstheme="minorBidi"/>
                <w:noProof/>
                <w:sz w:val="24"/>
                <w:szCs w:val="24"/>
              </w:rPr>
              <w:tab/>
            </w:r>
            <w:r w:rsidRPr="0042470B">
              <w:rPr>
                <w:rStyle w:val="Hyperlink"/>
                <w:noProof/>
              </w:rPr>
              <w:t xml:space="preserve">Collagen gels dosed with compound </w:t>
            </w:r>
            <w:r w:rsidRPr="0042470B">
              <w:rPr>
                <w:rStyle w:val="Hyperlink"/>
                <w:b/>
                <w:noProof/>
              </w:rPr>
              <w:t>1b</w:t>
            </w:r>
            <w:r>
              <w:rPr>
                <w:noProof/>
                <w:webHidden/>
              </w:rPr>
              <w:tab/>
            </w:r>
            <w:r>
              <w:rPr>
                <w:noProof/>
                <w:webHidden/>
              </w:rPr>
              <w:fldChar w:fldCharType="begin"/>
            </w:r>
            <w:r>
              <w:rPr>
                <w:noProof/>
                <w:webHidden/>
              </w:rPr>
              <w:instrText xml:space="preserve"> PAGEREF _Toc2451056 \h </w:instrText>
            </w:r>
            <w:r>
              <w:rPr>
                <w:noProof/>
                <w:webHidden/>
              </w:rPr>
            </w:r>
            <w:r>
              <w:rPr>
                <w:noProof/>
                <w:webHidden/>
              </w:rPr>
              <w:fldChar w:fldCharType="separate"/>
            </w:r>
            <w:r w:rsidR="00E6157A">
              <w:rPr>
                <w:noProof/>
                <w:webHidden/>
              </w:rPr>
              <w:t>108</w:t>
            </w:r>
            <w:r>
              <w:rPr>
                <w:noProof/>
                <w:webHidden/>
              </w:rPr>
              <w:fldChar w:fldCharType="end"/>
            </w:r>
          </w:hyperlink>
        </w:p>
        <w:p w14:paraId="3C54FBE4" w14:textId="043C349C" w:rsidR="00322955" w:rsidRDefault="00322955">
          <w:pPr>
            <w:pStyle w:val="TOC3"/>
            <w:tabs>
              <w:tab w:val="left" w:pos="1440"/>
              <w:tab w:val="right" w:leader="dot" w:pos="8182"/>
            </w:tabs>
            <w:rPr>
              <w:rFonts w:asciiTheme="minorHAnsi" w:eastAsiaTheme="minorEastAsia" w:hAnsiTheme="minorHAnsi" w:cstheme="minorBidi"/>
              <w:noProof/>
              <w:sz w:val="24"/>
              <w:szCs w:val="24"/>
            </w:rPr>
          </w:pPr>
          <w:hyperlink w:anchor="_Toc2451057" w:history="1">
            <w:r w:rsidRPr="0042470B">
              <w:rPr>
                <w:rStyle w:val="Hyperlink"/>
                <w:noProof/>
              </w:rPr>
              <w:t>4.3.14</w:t>
            </w:r>
            <w:r>
              <w:rPr>
                <w:rFonts w:asciiTheme="minorHAnsi" w:eastAsiaTheme="minorEastAsia" w:hAnsiTheme="minorHAnsi" w:cstheme="minorBidi"/>
                <w:noProof/>
                <w:sz w:val="24"/>
                <w:szCs w:val="24"/>
              </w:rPr>
              <w:tab/>
            </w:r>
            <w:r w:rsidRPr="0042470B">
              <w:rPr>
                <w:rStyle w:val="Hyperlink"/>
                <w:noProof/>
              </w:rPr>
              <w:t>Resazurin assay of metabolic activity on collagen I gels</w:t>
            </w:r>
            <w:r>
              <w:rPr>
                <w:noProof/>
                <w:webHidden/>
              </w:rPr>
              <w:tab/>
            </w:r>
            <w:r>
              <w:rPr>
                <w:noProof/>
                <w:webHidden/>
              </w:rPr>
              <w:fldChar w:fldCharType="begin"/>
            </w:r>
            <w:r>
              <w:rPr>
                <w:noProof/>
                <w:webHidden/>
              </w:rPr>
              <w:instrText xml:space="preserve"> PAGEREF _Toc2451057 \h </w:instrText>
            </w:r>
            <w:r>
              <w:rPr>
                <w:noProof/>
                <w:webHidden/>
              </w:rPr>
            </w:r>
            <w:r>
              <w:rPr>
                <w:noProof/>
                <w:webHidden/>
              </w:rPr>
              <w:fldChar w:fldCharType="separate"/>
            </w:r>
            <w:r w:rsidR="00E6157A">
              <w:rPr>
                <w:noProof/>
                <w:webHidden/>
              </w:rPr>
              <w:t>108</w:t>
            </w:r>
            <w:r>
              <w:rPr>
                <w:noProof/>
                <w:webHidden/>
              </w:rPr>
              <w:fldChar w:fldCharType="end"/>
            </w:r>
          </w:hyperlink>
        </w:p>
        <w:p w14:paraId="23503BC3" w14:textId="63D45B37"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58" w:history="1">
            <w:r w:rsidRPr="0042470B">
              <w:rPr>
                <w:rStyle w:val="Hyperlink"/>
                <w:noProof/>
              </w:rPr>
              <w:t>4.4</w:t>
            </w:r>
            <w:r>
              <w:rPr>
                <w:rFonts w:asciiTheme="minorHAnsi" w:eastAsiaTheme="minorEastAsia" w:hAnsiTheme="minorHAnsi" w:cstheme="minorBidi"/>
                <w:b w:val="0"/>
                <w:bCs w:val="0"/>
                <w:noProof/>
                <w:sz w:val="24"/>
                <w:szCs w:val="24"/>
              </w:rPr>
              <w:tab/>
            </w:r>
            <w:r w:rsidRPr="0042470B">
              <w:rPr>
                <w:rStyle w:val="Hyperlink"/>
                <w:noProof/>
              </w:rPr>
              <w:t>Results and Discussion</w:t>
            </w:r>
            <w:r>
              <w:rPr>
                <w:noProof/>
                <w:webHidden/>
              </w:rPr>
              <w:tab/>
            </w:r>
            <w:r>
              <w:rPr>
                <w:noProof/>
                <w:webHidden/>
              </w:rPr>
              <w:fldChar w:fldCharType="begin"/>
            </w:r>
            <w:r>
              <w:rPr>
                <w:noProof/>
                <w:webHidden/>
              </w:rPr>
              <w:instrText xml:space="preserve"> PAGEREF _Toc2451058 \h </w:instrText>
            </w:r>
            <w:r>
              <w:rPr>
                <w:noProof/>
                <w:webHidden/>
              </w:rPr>
            </w:r>
            <w:r>
              <w:rPr>
                <w:noProof/>
                <w:webHidden/>
              </w:rPr>
              <w:fldChar w:fldCharType="separate"/>
            </w:r>
            <w:r w:rsidR="00E6157A">
              <w:rPr>
                <w:noProof/>
                <w:webHidden/>
              </w:rPr>
              <w:t>109</w:t>
            </w:r>
            <w:r>
              <w:rPr>
                <w:noProof/>
                <w:webHidden/>
              </w:rPr>
              <w:fldChar w:fldCharType="end"/>
            </w:r>
          </w:hyperlink>
        </w:p>
        <w:p w14:paraId="58116AD3" w14:textId="259C64C0"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59" w:history="1">
            <w:r w:rsidRPr="0042470B">
              <w:rPr>
                <w:rStyle w:val="Hyperlink"/>
                <w:noProof/>
              </w:rPr>
              <w:t>4.4.1</w:t>
            </w:r>
            <w:r>
              <w:rPr>
                <w:rFonts w:asciiTheme="minorHAnsi" w:eastAsiaTheme="minorEastAsia" w:hAnsiTheme="minorHAnsi" w:cstheme="minorBidi"/>
                <w:noProof/>
                <w:sz w:val="24"/>
                <w:szCs w:val="24"/>
              </w:rPr>
              <w:tab/>
            </w:r>
            <w:r w:rsidRPr="0042470B">
              <w:rPr>
                <w:rStyle w:val="Hyperlink"/>
                <w:noProof/>
              </w:rPr>
              <w:t>Contraction of tissue-engineered skin (TES) composites</w:t>
            </w:r>
            <w:r>
              <w:rPr>
                <w:noProof/>
                <w:webHidden/>
              </w:rPr>
              <w:tab/>
            </w:r>
            <w:r>
              <w:rPr>
                <w:noProof/>
                <w:webHidden/>
              </w:rPr>
              <w:fldChar w:fldCharType="begin"/>
            </w:r>
            <w:r>
              <w:rPr>
                <w:noProof/>
                <w:webHidden/>
              </w:rPr>
              <w:instrText xml:space="preserve"> PAGEREF _Toc2451059 \h </w:instrText>
            </w:r>
            <w:r>
              <w:rPr>
                <w:noProof/>
                <w:webHidden/>
              </w:rPr>
            </w:r>
            <w:r>
              <w:rPr>
                <w:noProof/>
                <w:webHidden/>
              </w:rPr>
              <w:fldChar w:fldCharType="separate"/>
            </w:r>
            <w:r w:rsidR="00E6157A">
              <w:rPr>
                <w:noProof/>
                <w:webHidden/>
              </w:rPr>
              <w:t>110</w:t>
            </w:r>
            <w:r>
              <w:rPr>
                <w:noProof/>
                <w:webHidden/>
              </w:rPr>
              <w:fldChar w:fldCharType="end"/>
            </w:r>
          </w:hyperlink>
        </w:p>
        <w:p w14:paraId="2F3C0954" w14:textId="3D501DFF"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60" w:history="1">
            <w:r w:rsidRPr="0042470B">
              <w:rPr>
                <w:rStyle w:val="Hyperlink"/>
                <w:noProof/>
              </w:rPr>
              <w:t>4.4.2</w:t>
            </w:r>
            <w:r>
              <w:rPr>
                <w:rFonts w:asciiTheme="minorHAnsi" w:eastAsiaTheme="minorEastAsia" w:hAnsiTheme="minorHAnsi" w:cstheme="minorBidi"/>
                <w:noProof/>
                <w:sz w:val="24"/>
                <w:szCs w:val="24"/>
              </w:rPr>
              <w:tab/>
            </w:r>
            <w:r w:rsidRPr="0042470B">
              <w:rPr>
                <w:rStyle w:val="Hyperlink"/>
                <w:noProof/>
              </w:rPr>
              <w:t>Discussion of TES composite model of contraction</w:t>
            </w:r>
            <w:r>
              <w:rPr>
                <w:noProof/>
                <w:webHidden/>
              </w:rPr>
              <w:tab/>
            </w:r>
            <w:r>
              <w:rPr>
                <w:noProof/>
                <w:webHidden/>
              </w:rPr>
              <w:fldChar w:fldCharType="begin"/>
            </w:r>
            <w:r>
              <w:rPr>
                <w:noProof/>
                <w:webHidden/>
              </w:rPr>
              <w:instrText xml:space="preserve"> PAGEREF _Toc2451060 \h </w:instrText>
            </w:r>
            <w:r>
              <w:rPr>
                <w:noProof/>
                <w:webHidden/>
              </w:rPr>
            </w:r>
            <w:r>
              <w:rPr>
                <w:noProof/>
                <w:webHidden/>
              </w:rPr>
              <w:fldChar w:fldCharType="separate"/>
            </w:r>
            <w:r w:rsidR="00E6157A">
              <w:rPr>
                <w:noProof/>
                <w:webHidden/>
              </w:rPr>
              <w:t>119</w:t>
            </w:r>
            <w:r>
              <w:rPr>
                <w:noProof/>
                <w:webHidden/>
              </w:rPr>
              <w:fldChar w:fldCharType="end"/>
            </w:r>
          </w:hyperlink>
        </w:p>
        <w:p w14:paraId="2D3EABD7" w14:textId="7EF99C5E" w:rsidR="00322955" w:rsidRDefault="00322955">
          <w:pPr>
            <w:pStyle w:val="TOC3"/>
            <w:tabs>
              <w:tab w:val="left" w:pos="1200"/>
              <w:tab w:val="right" w:leader="dot" w:pos="8182"/>
            </w:tabs>
            <w:rPr>
              <w:rFonts w:asciiTheme="minorHAnsi" w:eastAsiaTheme="minorEastAsia" w:hAnsiTheme="minorHAnsi" w:cstheme="minorBidi"/>
              <w:noProof/>
              <w:sz w:val="24"/>
              <w:szCs w:val="24"/>
            </w:rPr>
          </w:pPr>
          <w:hyperlink w:anchor="_Toc2451061" w:history="1">
            <w:r w:rsidRPr="0042470B">
              <w:rPr>
                <w:rStyle w:val="Hyperlink"/>
                <w:noProof/>
              </w:rPr>
              <w:t>4.4.3</w:t>
            </w:r>
            <w:r>
              <w:rPr>
                <w:rFonts w:asciiTheme="minorHAnsi" w:eastAsiaTheme="minorEastAsia" w:hAnsiTheme="minorHAnsi" w:cstheme="minorBidi"/>
                <w:noProof/>
                <w:sz w:val="24"/>
                <w:szCs w:val="24"/>
              </w:rPr>
              <w:tab/>
            </w:r>
            <w:r w:rsidRPr="0042470B">
              <w:rPr>
                <w:rStyle w:val="Hyperlink"/>
                <w:noProof/>
              </w:rPr>
              <w:t>Collagen gels as a model of contraction</w:t>
            </w:r>
            <w:r>
              <w:rPr>
                <w:noProof/>
                <w:webHidden/>
              </w:rPr>
              <w:tab/>
            </w:r>
            <w:r>
              <w:rPr>
                <w:noProof/>
                <w:webHidden/>
              </w:rPr>
              <w:fldChar w:fldCharType="begin"/>
            </w:r>
            <w:r>
              <w:rPr>
                <w:noProof/>
                <w:webHidden/>
              </w:rPr>
              <w:instrText xml:space="preserve"> PAGEREF _Toc2451061 \h </w:instrText>
            </w:r>
            <w:r>
              <w:rPr>
                <w:noProof/>
                <w:webHidden/>
              </w:rPr>
            </w:r>
            <w:r>
              <w:rPr>
                <w:noProof/>
                <w:webHidden/>
              </w:rPr>
              <w:fldChar w:fldCharType="separate"/>
            </w:r>
            <w:r w:rsidR="00E6157A">
              <w:rPr>
                <w:noProof/>
                <w:webHidden/>
              </w:rPr>
              <w:t>121</w:t>
            </w:r>
            <w:r>
              <w:rPr>
                <w:noProof/>
                <w:webHidden/>
              </w:rPr>
              <w:fldChar w:fldCharType="end"/>
            </w:r>
          </w:hyperlink>
        </w:p>
        <w:p w14:paraId="58532627" w14:textId="5499A841" w:rsidR="00322955" w:rsidRDefault="00322955">
          <w:pPr>
            <w:pStyle w:val="TOC2"/>
            <w:tabs>
              <w:tab w:val="left" w:pos="960"/>
              <w:tab w:val="right" w:leader="dot" w:pos="8182"/>
            </w:tabs>
            <w:rPr>
              <w:rFonts w:asciiTheme="minorHAnsi" w:eastAsiaTheme="minorEastAsia" w:hAnsiTheme="minorHAnsi" w:cstheme="minorBidi"/>
              <w:b w:val="0"/>
              <w:bCs w:val="0"/>
              <w:noProof/>
              <w:sz w:val="24"/>
              <w:szCs w:val="24"/>
            </w:rPr>
          </w:pPr>
          <w:hyperlink w:anchor="_Toc2451062" w:history="1">
            <w:r w:rsidRPr="0042470B">
              <w:rPr>
                <w:rStyle w:val="Hyperlink"/>
                <w:noProof/>
              </w:rPr>
              <w:t>4.5</w:t>
            </w:r>
            <w:r>
              <w:rPr>
                <w:rFonts w:asciiTheme="minorHAnsi" w:eastAsiaTheme="minorEastAsia" w:hAnsiTheme="minorHAnsi" w:cstheme="minorBidi"/>
                <w:b w:val="0"/>
                <w:bCs w:val="0"/>
                <w:noProof/>
                <w:sz w:val="24"/>
                <w:szCs w:val="24"/>
              </w:rPr>
              <w:tab/>
            </w:r>
            <w:r w:rsidRPr="0042470B">
              <w:rPr>
                <w:rStyle w:val="Hyperlink"/>
                <w:noProof/>
              </w:rPr>
              <w:t>Conclusions</w:t>
            </w:r>
            <w:r>
              <w:rPr>
                <w:noProof/>
                <w:webHidden/>
              </w:rPr>
              <w:tab/>
            </w:r>
            <w:r>
              <w:rPr>
                <w:noProof/>
                <w:webHidden/>
              </w:rPr>
              <w:fldChar w:fldCharType="begin"/>
            </w:r>
            <w:r>
              <w:rPr>
                <w:noProof/>
                <w:webHidden/>
              </w:rPr>
              <w:instrText xml:space="preserve"> PAGEREF _Toc2451062 \h </w:instrText>
            </w:r>
            <w:r>
              <w:rPr>
                <w:noProof/>
                <w:webHidden/>
              </w:rPr>
            </w:r>
            <w:r>
              <w:rPr>
                <w:noProof/>
                <w:webHidden/>
              </w:rPr>
              <w:fldChar w:fldCharType="separate"/>
            </w:r>
            <w:r w:rsidR="00E6157A">
              <w:rPr>
                <w:noProof/>
                <w:webHidden/>
              </w:rPr>
              <w:t>126</w:t>
            </w:r>
            <w:r>
              <w:rPr>
                <w:noProof/>
                <w:webHidden/>
              </w:rPr>
              <w:fldChar w:fldCharType="end"/>
            </w:r>
          </w:hyperlink>
        </w:p>
        <w:p w14:paraId="08EB9836" w14:textId="05D6AF5F"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1063" w:history="1">
            <w:r w:rsidRPr="0042470B">
              <w:rPr>
                <w:rStyle w:val="Hyperlink"/>
                <w:noProof/>
              </w:rPr>
              <w:t>5</w:t>
            </w:r>
            <w:r>
              <w:rPr>
                <w:rFonts w:asciiTheme="minorHAnsi" w:eastAsiaTheme="minorEastAsia" w:hAnsiTheme="minorHAnsi" w:cstheme="minorBidi"/>
                <w:b w:val="0"/>
                <w:bCs w:val="0"/>
                <w:i w:val="0"/>
                <w:iCs w:val="0"/>
                <w:noProof/>
              </w:rPr>
              <w:tab/>
            </w:r>
            <w:r w:rsidRPr="0042470B">
              <w:rPr>
                <w:rStyle w:val="Hyperlink"/>
                <w:noProof/>
              </w:rPr>
              <w:t>Chapter Five: Conclusions and future work</w:t>
            </w:r>
            <w:r>
              <w:rPr>
                <w:noProof/>
                <w:webHidden/>
              </w:rPr>
              <w:tab/>
            </w:r>
            <w:r>
              <w:rPr>
                <w:noProof/>
                <w:webHidden/>
              </w:rPr>
              <w:fldChar w:fldCharType="begin"/>
            </w:r>
            <w:r>
              <w:rPr>
                <w:noProof/>
                <w:webHidden/>
              </w:rPr>
              <w:instrText xml:space="preserve"> PAGEREF _Toc2451063 \h </w:instrText>
            </w:r>
            <w:r>
              <w:rPr>
                <w:noProof/>
                <w:webHidden/>
              </w:rPr>
            </w:r>
            <w:r>
              <w:rPr>
                <w:noProof/>
                <w:webHidden/>
              </w:rPr>
              <w:fldChar w:fldCharType="separate"/>
            </w:r>
            <w:r w:rsidR="00E6157A">
              <w:rPr>
                <w:noProof/>
                <w:webHidden/>
              </w:rPr>
              <w:t>129</w:t>
            </w:r>
            <w:r>
              <w:rPr>
                <w:noProof/>
                <w:webHidden/>
              </w:rPr>
              <w:fldChar w:fldCharType="end"/>
            </w:r>
          </w:hyperlink>
        </w:p>
        <w:p w14:paraId="513B14A0" w14:textId="1A8286B6" w:rsidR="00322955" w:rsidRDefault="00322955">
          <w:pPr>
            <w:pStyle w:val="TOC1"/>
            <w:tabs>
              <w:tab w:val="left" w:pos="480"/>
              <w:tab w:val="right" w:leader="dot" w:pos="8182"/>
            </w:tabs>
            <w:rPr>
              <w:rFonts w:asciiTheme="minorHAnsi" w:eastAsiaTheme="minorEastAsia" w:hAnsiTheme="minorHAnsi" w:cstheme="minorBidi"/>
              <w:b w:val="0"/>
              <w:bCs w:val="0"/>
              <w:i w:val="0"/>
              <w:iCs w:val="0"/>
              <w:noProof/>
            </w:rPr>
          </w:pPr>
          <w:hyperlink w:anchor="_Toc2451064" w:history="1">
            <w:r w:rsidRPr="0042470B">
              <w:rPr>
                <w:rStyle w:val="Hyperlink"/>
                <w:noProof/>
              </w:rPr>
              <w:t>6</w:t>
            </w:r>
            <w:r>
              <w:rPr>
                <w:rFonts w:asciiTheme="minorHAnsi" w:eastAsiaTheme="minorEastAsia" w:hAnsiTheme="minorHAnsi" w:cstheme="minorBidi"/>
                <w:b w:val="0"/>
                <w:bCs w:val="0"/>
                <w:i w:val="0"/>
                <w:iCs w:val="0"/>
                <w:noProof/>
              </w:rPr>
              <w:tab/>
            </w:r>
            <w:r w:rsidRPr="0042470B">
              <w:rPr>
                <w:rStyle w:val="Hyperlink"/>
                <w:noProof/>
              </w:rPr>
              <w:t>References</w:t>
            </w:r>
            <w:r>
              <w:rPr>
                <w:noProof/>
                <w:webHidden/>
              </w:rPr>
              <w:tab/>
            </w:r>
            <w:r>
              <w:rPr>
                <w:noProof/>
                <w:webHidden/>
              </w:rPr>
              <w:fldChar w:fldCharType="begin"/>
            </w:r>
            <w:r>
              <w:rPr>
                <w:noProof/>
                <w:webHidden/>
              </w:rPr>
              <w:instrText xml:space="preserve"> PAGEREF _Toc2451064 \h </w:instrText>
            </w:r>
            <w:r>
              <w:rPr>
                <w:noProof/>
                <w:webHidden/>
              </w:rPr>
            </w:r>
            <w:r>
              <w:rPr>
                <w:noProof/>
                <w:webHidden/>
              </w:rPr>
              <w:fldChar w:fldCharType="separate"/>
            </w:r>
            <w:r w:rsidR="00E6157A">
              <w:rPr>
                <w:noProof/>
                <w:webHidden/>
              </w:rPr>
              <w:t>135</w:t>
            </w:r>
            <w:r>
              <w:rPr>
                <w:noProof/>
                <w:webHidden/>
              </w:rPr>
              <w:fldChar w:fldCharType="end"/>
            </w:r>
          </w:hyperlink>
        </w:p>
        <w:p w14:paraId="62932320" w14:textId="12AE79DD"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1065" w:history="1">
            <w:r w:rsidRPr="0042470B">
              <w:rPr>
                <w:rStyle w:val="Hyperlink"/>
                <w:rFonts w:cs="Times New Roman"/>
                <w:noProof/>
              </w:rPr>
              <w:t>Appendix One</w:t>
            </w:r>
            <w:r>
              <w:rPr>
                <w:noProof/>
                <w:webHidden/>
              </w:rPr>
              <w:tab/>
            </w:r>
            <w:r>
              <w:rPr>
                <w:noProof/>
                <w:webHidden/>
              </w:rPr>
              <w:fldChar w:fldCharType="begin"/>
            </w:r>
            <w:r>
              <w:rPr>
                <w:noProof/>
                <w:webHidden/>
              </w:rPr>
              <w:instrText xml:space="preserve"> PAGEREF _Toc2451065 \h </w:instrText>
            </w:r>
            <w:r>
              <w:rPr>
                <w:noProof/>
                <w:webHidden/>
              </w:rPr>
            </w:r>
            <w:r>
              <w:rPr>
                <w:noProof/>
                <w:webHidden/>
              </w:rPr>
              <w:fldChar w:fldCharType="separate"/>
            </w:r>
            <w:r w:rsidR="00E6157A">
              <w:rPr>
                <w:noProof/>
                <w:webHidden/>
              </w:rPr>
              <w:t>147</w:t>
            </w:r>
            <w:r>
              <w:rPr>
                <w:noProof/>
                <w:webHidden/>
              </w:rPr>
              <w:fldChar w:fldCharType="end"/>
            </w:r>
          </w:hyperlink>
        </w:p>
        <w:p w14:paraId="41B77D22" w14:textId="09971379" w:rsidR="00322955" w:rsidRDefault="00322955">
          <w:pPr>
            <w:pStyle w:val="TOC1"/>
            <w:tabs>
              <w:tab w:val="right" w:leader="dot" w:pos="8182"/>
            </w:tabs>
            <w:rPr>
              <w:rFonts w:asciiTheme="minorHAnsi" w:eastAsiaTheme="minorEastAsia" w:hAnsiTheme="minorHAnsi" w:cstheme="minorBidi"/>
              <w:b w:val="0"/>
              <w:bCs w:val="0"/>
              <w:i w:val="0"/>
              <w:iCs w:val="0"/>
              <w:noProof/>
            </w:rPr>
          </w:pPr>
          <w:hyperlink w:anchor="_Toc2451066" w:history="1">
            <w:r w:rsidRPr="0042470B">
              <w:rPr>
                <w:rStyle w:val="Hyperlink"/>
                <w:noProof/>
              </w:rPr>
              <w:t>Appendix Two</w:t>
            </w:r>
            <w:r>
              <w:rPr>
                <w:noProof/>
                <w:webHidden/>
              </w:rPr>
              <w:tab/>
            </w:r>
            <w:r>
              <w:rPr>
                <w:noProof/>
                <w:webHidden/>
              </w:rPr>
              <w:fldChar w:fldCharType="begin"/>
            </w:r>
            <w:r>
              <w:rPr>
                <w:noProof/>
                <w:webHidden/>
              </w:rPr>
              <w:instrText xml:space="preserve"> PAGEREF _Toc2451066 \h </w:instrText>
            </w:r>
            <w:r>
              <w:rPr>
                <w:noProof/>
                <w:webHidden/>
              </w:rPr>
            </w:r>
            <w:r>
              <w:rPr>
                <w:noProof/>
                <w:webHidden/>
              </w:rPr>
              <w:fldChar w:fldCharType="separate"/>
            </w:r>
            <w:r w:rsidR="00E6157A">
              <w:rPr>
                <w:noProof/>
                <w:webHidden/>
              </w:rPr>
              <w:t>157</w:t>
            </w:r>
            <w:r>
              <w:rPr>
                <w:noProof/>
                <w:webHidden/>
              </w:rPr>
              <w:fldChar w:fldCharType="end"/>
            </w:r>
          </w:hyperlink>
        </w:p>
        <w:p w14:paraId="524A2291" w14:textId="55E28596" w:rsidR="00E8374D" w:rsidRDefault="009F15DC" w:rsidP="000E596B">
          <w:r>
            <w:rPr>
              <w:rFonts w:cstheme="minorHAnsi"/>
              <w:i/>
              <w:iCs/>
            </w:rPr>
            <w:fldChar w:fldCharType="end"/>
          </w:r>
        </w:p>
      </w:sdtContent>
    </w:sdt>
    <w:p w14:paraId="6FE4D137" w14:textId="1B91D2AC" w:rsidR="00E8374D" w:rsidRPr="0013095E" w:rsidRDefault="00E8374D" w:rsidP="000E596B">
      <w:pPr>
        <w:pStyle w:val="TOC3"/>
        <w:ind w:left="426" w:firstLine="54"/>
      </w:pPr>
    </w:p>
    <w:p w14:paraId="4987C6C5" w14:textId="77777777" w:rsidR="00C0076B" w:rsidRDefault="00311816" w:rsidP="009A585B">
      <w:pPr>
        <w:pStyle w:val="Heading3"/>
        <w:sectPr w:rsidR="00C0076B" w:rsidSect="00C0076B">
          <w:pgSz w:w="11900" w:h="16840"/>
          <w:pgMar w:top="1440" w:right="1440" w:bottom="1440" w:left="2268" w:header="720" w:footer="720" w:gutter="0"/>
          <w:pgNumType w:fmt="lowerRoman" w:start="2"/>
          <w:cols w:space="720"/>
          <w:docGrid w:linePitch="360"/>
        </w:sectPr>
      </w:pPr>
      <w:r>
        <w:br w:type="page"/>
      </w:r>
    </w:p>
    <w:p w14:paraId="34880CC1" w14:textId="6094DBE9" w:rsidR="003D132C" w:rsidRPr="00B63ECD" w:rsidRDefault="000E596B" w:rsidP="00B63ECD">
      <w:pPr>
        <w:pStyle w:val="Heading1"/>
        <w:numPr>
          <w:ilvl w:val="0"/>
          <w:numId w:val="42"/>
        </w:numPr>
      </w:pPr>
      <w:bookmarkStart w:id="7" w:name="_Toc2450967"/>
      <w:r>
        <w:lastRenderedPageBreak/>
        <w:t xml:space="preserve">Chapter One: </w:t>
      </w:r>
      <w:r w:rsidR="003D132C" w:rsidRPr="00B63ECD">
        <w:t>Introduction</w:t>
      </w:r>
      <w:bookmarkEnd w:id="7"/>
    </w:p>
    <w:p w14:paraId="2B2A1575" w14:textId="4EDDF836" w:rsidR="009A585B" w:rsidRPr="003D132C" w:rsidRDefault="009A585B" w:rsidP="003D132C">
      <w:pPr>
        <w:pStyle w:val="Heading2"/>
      </w:pPr>
      <w:bookmarkStart w:id="8" w:name="_Toc2450968"/>
      <w:r w:rsidRPr="003D132C">
        <w:t>Burns</w:t>
      </w:r>
      <w:bookmarkEnd w:id="8"/>
    </w:p>
    <w:p w14:paraId="0885F02A" w14:textId="5AAE6375" w:rsidR="009A585B" w:rsidRPr="00006019" w:rsidRDefault="009A585B" w:rsidP="009A585B">
      <w:pPr>
        <w:pStyle w:val="Heading3"/>
      </w:pPr>
      <w:bookmarkStart w:id="9" w:name="_Toc320882495"/>
      <w:bookmarkStart w:id="10" w:name="_Toc2450969"/>
      <w:r w:rsidRPr="00006019">
        <w:t xml:space="preserve">Burn </w:t>
      </w:r>
      <w:r w:rsidR="009352BF">
        <w:t>p</w:t>
      </w:r>
      <w:r w:rsidRPr="00006019">
        <w:t>hysiology</w:t>
      </w:r>
      <w:bookmarkEnd w:id="9"/>
      <w:bookmarkEnd w:id="10"/>
    </w:p>
    <w:p w14:paraId="155B39C0" w14:textId="77777777" w:rsidR="009A585B" w:rsidRPr="00831353" w:rsidRDefault="009A585B" w:rsidP="009A585B">
      <w:pPr>
        <w:rPr>
          <w:color w:val="FF0000"/>
        </w:rPr>
      </w:pPr>
      <w:r w:rsidRPr="00400680">
        <w:rPr>
          <w:color w:val="000000" w:themeColor="text1"/>
        </w:rPr>
        <w:t xml:space="preserve">Burn injuries are a </w:t>
      </w:r>
      <w:r>
        <w:rPr>
          <w:color w:val="000000" w:themeColor="text1"/>
        </w:rPr>
        <w:t>devastating form of trauma that</w:t>
      </w:r>
      <w:r w:rsidRPr="00400680">
        <w:rPr>
          <w:color w:val="000000" w:themeColor="text1"/>
        </w:rPr>
        <w:t xml:space="preserve"> can arise from multiple sources, including heat, flames, chemicals and sunlight.</w:t>
      </w:r>
      <w:r w:rsidRPr="00400680">
        <w:rPr>
          <w:color w:val="000000" w:themeColor="text1"/>
        </w:rPr>
        <w:fldChar w:fldCharType="begin" w:fldLock="1"/>
      </w:r>
      <w:r>
        <w:rPr>
          <w:color w:val="000000" w:themeColor="text1"/>
        </w:rPr>
        <w:instrText>ADDIN CSL_CITATION {"citationItems":[{"id":"ITEM-1","itemData":{"DOI":"10.1111/j.1600-0625.2010.01105.x","ISBN":"1600-0625 (Electronic)\\r0906-6705 (Linking)","ISSN":"09066705","PMID":"20629737","abstract":"Burn injury is a complex traumatic event with various local and systemic effects, affecting several organ systems beyond the skin. The pathophysiology of the burn patient shows the full spectrum of the complexity of inflammatory response reactions. In the acute phase, inflammation mechanism may have negative effects because of capillary leak, the propagation of inhalation injury and the development of multiple organ failure. Attempts to mediate these processes remain a central subject of burn care research. Conversely, inflammation is a necessary prologue and component in the later-stage processes of wound healing. In this review, we are attempting to present the current science of burn wound pathophysiology and wound healing. We also describe the evolution of innovative strategies for burn management.","author":[{"dropping-particle":"","family":"Evers","given":"Lars H.","non-dropping-particle":"","parse-names":false,"suffix":""},{"dropping-particle":"","family":"Bhavsar","given":"Dhaval","non-dropping-particle":"","parse-names":false,"suffix":""},{"dropping-particle":"","family":"Mailänder","given":"Peter","non-dropping-particle":"","parse-names":false,"suffix":""}],"container-title":"Experimental Dermatology","id":"ITEM-1","issue":"9","issued":{"date-parts":[["2010"]]},"page":"777-783","title":"The biology of burn injury","type":"article","volume":"19"},"uris":["http://www.mendeley.com/documents/?uuid=7d93d043-297d-4799-8ab5-1d064da056ff"]}],"mendeley":{"formattedCitation":"&lt;sup&gt;1&lt;/sup&gt;","plainTextFormattedCitation":"1","previouslyFormattedCitation":"&lt;sup&gt;1&lt;/sup&gt;"},"properties":{"noteIndex":0},"schema":"https://github.com/citation-style-language/schema/raw/master/csl-citation.json"}</w:instrText>
      </w:r>
      <w:r w:rsidRPr="00400680">
        <w:rPr>
          <w:color w:val="000000" w:themeColor="text1"/>
        </w:rPr>
        <w:fldChar w:fldCharType="separate"/>
      </w:r>
      <w:r w:rsidRPr="00400680">
        <w:rPr>
          <w:noProof/>
          <w:color w:val="000000" w:themeColor="text1"/>
          <w:vertAlign w:val="superscript"/>
        </w:rPr>
        <w:t>1</w:t>
      </w:r>
      <w:r w:rsidRPr="00400680">
        <w:rPr>
          <w:color w:val="000000" w:themeColor="text1"/>
        </w:rPr>
        <w:fldChar w:fldCharType="end"/>
      </w:r>
      <w:r w:rsidRPr="00400680">
        <w:rPr>
          <w:color w:val="000000" w:themeColor="text1"/>
        </w:rPr>
        <w:t xml:space="preserve"> Patients suffering from burn injuries range from infants, with scalds being the most common burn injury for children under 5 </w:t>
      </w:r>
      <w:r w:rsidRPr="00F66D3B">
        <w:rPr>
          <w:color w:val="000000" w:themeColor="text1"/>
        </w:rPr>
        <w:t>years of age,</w:t>
      </w:r>
      <w:r w:rsidRPr="00F66D3B">
        <w:rPr>
          <w:color w:val="000000" w:themeColor="text1"/>
        </w:rPr>
        <w:fldChar w:fldCharType="begin" w:fldLock="1"/>
      </w:r>
      <w:r>
        <w:rPr>
          <w:color w:val="000000" w:themeColor="text1"/>
        </w:rPr>
        <w:instrText>ADDIN CSL_CITATION {"citationItems":[{"id":"ITEM-1","itemData":{"DOI":"10.1136/archdischild-2013-304991","ISBN":"03051862","ISSN":"1468-2044","PMID":"24492796","abstract":"OBJECTIVE: To describe the characteristics of childhood burns and scalds, mechanisms and agents to inform prevention.\\n\\nMETHODS: Prospective multicentred cross-sectional study of children (&lt;16 years) with unintentional burns/scalds from five Emergency Departments (ED), a burns assessment unit and three regional children's Burns Units. Data collected: site, severity, distribution of the burn/scald, age, motor development of the child, agent and mechanism of the injury. Comparative analysis for children &lt;5 and 5-16 years.\\n\\nRESULTS: Of 1215 children, 58% (709) had scalds, 32% (390) contact burns and 116 burns from other causes, 17.6% (214/1215) were admitted to hospital and the remaining treated in ED or burns assessment centre. 72% (878) were &lt;5 years, peak prevalence in 1-year-olds. Commonest scald agent (&lt;5 years) was a cup/mug of hot beverage 55% (305/554), and commonest mechanism was a pull-down injury 48% (66/554). In 5-16-year-olds, scalds were from hot water 50% (78/155) and spill injuries 76% (118/155). Scalds affected the front of the body in 96% (680/709): predominantly to the face, arms and upper trunk in &lt;5-year-olds, older children had scalds to the lower trunk, legs and hands. Contact burns (&lt;5 years) were from touching 81% (224/277) hot items in the home, predominant agents: hair straighteners or irons 42% (117/277), oven hobs 27% (76/277), 5-16-year-olds sustained more outdoor injuries 46% (52/113). 67% (262/390) of all contact burns affected the hands.\\n\\nCONCLUSIONS: Scalds to infants and toddlers who pull hot beverages over themselves or sustain burns from touching irons, hair straighteners or oven hobs are a high priority for targeted prevention.","author":[{"dropping-particle":"","family":"Kemp","given":"A M","non-dropping-particle":"","parse-names":false,"suffix":""},{"dropping-particle":"","family":"Jones","given":"S","non-dropping-particle":"","parse-names":false,"suffix":""},{"dropping-particle":"","family":"Lawson","given":"Z","non-dropping-particle":"","parse-names":false,"suffix":""},{"dropping-particle":"","family":"Maguire","given":"S A","non-dropping-particle":"","parse-names":false,"suffix":""}],"container-title":"Archives of disease in childhood","id":"ITEM-1","issue":"4","issued":{"date-parts":[["2014"]]},"page":"316-21","title":"Patterns of burns and scalds in children.","type":"article-journal","volume":"99"},"uris":["http://www.mendeley.com/documents/?uuid=88b251c9-820d-4366-ab65-32e61e49e115"]}],"mendeley":{"formattedCitation":"&lt;sup&gt;2&lt;/sup&gt;","plainTextFormattedCitation":"2","previouslyFormattedCitation":"&lt;sup&gt;2&lt;/sup&gt;"},"properties":{"noteIndex":0},"schema":"https://github.com/citation-style-language/schema/raw/master/csl-citation.json"}</w:instrText>
      </w:r>
      <w:r w:rsidRPr="00F66D3B">
        <w:rPr>
          <w:color w:val="000000" w:themeColor="text1"/>
        </w:rPr>
        <w:fldChar w:fldCharType="separate"/>
      </w:r>
      <w:r w:rsidRPr="00F66D3B">
        <w:rPr>
          <w:noProof/>
          <w:color w:val="000000" w:themeColor="text1"/>
          <w:vertAlign w:val="superscript"/>
        </w:rPr>
        <w:t>2</w:t>
      </w:r>
      <w:r w:rsidRPr="00F66D3B">
        <w:rPr>
          <w:color w:val="000000" w:themeColor="text1"/>
        </w:rPr>
        <w:fldChar w:fldCharType="end"/>
      </w:r>
      <w:r w:rsidRPr="00F66D3B">
        <w:rPr>
          <w:color w:val="000000" w:themeColor="text1"/>
        </w:rPr>
        <w:t xml:space="preserve"> to adults, where the major causes are fire and flammable liquids.</w:t>
      </w:r>
      <w:r w:rsidRPr="00F66D3B">
        <w:rPr>
          <w:color w:val="000000" w:themeColor="text1"/>
        </w:rPr>
        <w:fldChar w:fldCharType="begin" w:fldLock="1"/>
      </w:r>
      <w:r>
        <w:rPr>
          <w:color w:val="000000" w:themeColor="text1"/>
        </w:rPr>
        <w:instrText>ADDIN CSL_CITATION {"citationItems":[{"id":"ITEM-1","itemData":{"DOI":"10.1111/j.1600-0625.2010.01105.x","ISBN":"1600-0625 (Electronic)\\r0906-6705 (Linking)","ISSN":"09066705","PMID":"20629737","abstract":"Burn injury is a complex traumatic event with various local and systemic effects, affecting several organ systems beyond the skin. The pathophysiology of the burn patient shows the full spectrum of the complexity of inflammatory response reactions. In the acute phase, inflammation mechanism may have negative effects because of capillary leak, the propagation of inhalation injury and the development of multiple organ failure. Attempts to mediate these processes remain a central subject of burn care research. Conversely, inflammation is a necessary prologue and component in the later-stage processes of wound healing. In this review, we are attempting to present the current science of burn wound pathophysiology and wound healing. We also describe the evolution of innovative strategies for burn management.","author":[{"dropping-particle":"","family":"Evers","given":"Lars H.","non-dropping-particle":"","parse-names":false,"suffix":""},{"dropping-particle":"","family":"Bhavsar","given":"Dhaval","non-dropping-particle":"","parse-names":false,"suffix":""},{"dropping-particle":"","family":"Mailänder","given":"Peter","non-dropping-particle":"","parse-names":false,"suffix":""}],"container-title":"Experimental Dermatology","id":"ITEM-1","issue":"9","issued":{"date-parts":[["2010"]]},"page":"777-783","title":"The biology of burn injury","type":"article","volume":"19"},"uris":["http://www.mendeley.com/documents/?uuid=7d93d043-297d-4799-8ab5-1d064da056ff"]}],"mendeley":{"formattedCitation":"&lt;sup&gt;1&lt;/sup&gt;","plainTextFormattedCitation":"1","previouslyFormattedCitation":"&lt;sup&gt;1&lt;/sup&gt;"},"properties":{"noteIndex":0},"schema":"https://github.com/citation-style-language/schema/raw/master/csl-citation.json"}</w:instrText>
      </w:r>
      <w:r w:rsidRPr="00F66D3B">
        <w:rPr>
          <w:color w:val="000000" w:themeColor="text1"/>
        </w:rPr>
        <w:fldChar w:fldCharType="separate"/>
      </w:r>
      <w:r w:rsidRPr="00F66D3B">
        <w:rPr>
          <w:noProof/>
          <w:color w:val="000000" w:themeColor="text1"/>
          <w:vertAlign w:val="superscript"/>
        </w:rPr>
        <w:t>1</w:t>
      </w:r>
      <w:r w:rsidRPr="00F66D3B">
        <w:rPr>
          <w:color w:val="000000" w:themeColor="text1"/>
        </w:rPr>
        <w:fldChar w:fldCharType="end"/>
      </w:r>
      <w:r>
        <w:rPr>
          <w:color w:val="000000" w:themeColor="text1"/>
        </w:rPr>
        <w:t xml:space="preserve"> T</w:t>
      </w:r>
      <w:r w:rsidRPr="00F66D3B">
        <w:rPr>
          <w:color w:val="000000" w:themeColor="text1"/>
        </w:rPr>
        <w:t>he general incidence of burns has de</w:t>
      </w:r>
      <w:r>
        <w:rPr>
          <w:color w:val="000000" w:themeColor="text1"/>
        </w:rPr>
        <w:t xml:space="preserve">creased in the developed world </w:t>
      </w:r>
      <w:r w:rsidRPr="00F66D3B">
        <w:rPr>
          <w:color w:val="000000" w:themeColor="text1"/>
        </w:rPr>
        <w:t>due to increased education in fire pre</w:t>
      </w:r>
      <w:r>
        <w:rPr>
          <w:color w:val="000000" w:themeColor="text1"/>
        </w:rPr>
        <w:t xml:space="preserve">vention and safety precautions. However, </w:t>
      </w:r>
      <w:r w:rsidRPr="00F66D3B">
        <w:rPr>
          <w:color w:val="000000" w:themeColor="text1"/>
        </w:rPr>
        <w:t xml:space="preserve">burns remain a major contributor to emergency cases worldwide.  </w:t>
      </w:r>
    </w:p>
    <w:p w14:paraId="67C340F5" w14:textId="66AC1BF7" w:rsidR="009A585B" w:rsidRPr="00EB72FD" w:rsidRDefault="009A585B" w:rsidP="009A585B">
      <w:pPr>
        <w:rPr>
          <w:color w:val="FF0000"/>
        </w:rPr>
      </w:pPr>
      <w:r>
        <w:rPr>
          <w:color w:val="000000" w:themeColor="text1"/>
        </w:rPr>
        <w:t>The severity of a burn has a significant influence on the treatment, healing time and patient outlook. Burn injuries are classified by the depth of the injury, as well as the area affected, described as a percentage of the patie</w:t>
      </w:r>
      <w:r w:rsidR="003B6CBD">
        <w:rPr>
          <w:color w:val="000000" w:themeColor="text1"/>
        </w:rPr>
        <w:t>nt’s total body surface area (% </w:t>
      </w:r>
      <w:r>
        <w:rPr>
          <w:color w:val="000000" w:themeColor="text1"/>
        </w:rPr>
        <w:t xml:space="preserve">TBSA). </w:t>
      </w:r>
      <w:r w:rsidRPr="00417B98">
        <w:rPr>
          <w:color w:val="000000" w:themeColor="text1"/>
        </w:rPr>
        <w:t>The notation of first-, second-, third- and fourth-degree burns was previously used to describe the depth of a burn, with greater numbers indicating a more severe injury.</w:t>
      </w:r>
      <w:r w:rsidRPr="00417B98">
        <w:rPr>
          <w:color w:val="000000" w:themeColor="text1"/>
        </w:rPr>
        <w:fldChar w:fldCharType="begin" w:fldLock="1"/>
      </w:r>
      <w:r>
        <w:rPr>
          <w:color w:val="000000" w:themeColor="text1"/>
        </w:rPr>
        <w:instrText>ADDIN CSL_CITATION {"citationItems":[{"id":"ITEM-1","itemData":{"DOI":"10.1016/j.burns.2012.02.029","ISSN":"1879-1409","PMID":"22683140","abstract":"Deep second-degree burns (DSDb) involve all epidermis layers, including the basal laminae. In general, DSDb heals with extensive areas of scarring. Platelet-rich plasma (PRP) is a source of growth factors, obtained by centrifugation and addition of thrombin and calcium, resulting in a gel. The objective of this study was to monitor the healing of DSDb by sequential biopsies after PRP treatment and evaluating by a scanning electron microscopy. Also, characterize bacterial profile and PRP antibacterial effect in horses' burns. Four horses were placed into two groups, G1 and G2, with the groups receiving 1 and 2 treatments of PRP, respectively. Control groups (Gc1 and Gc2) were treated with saline solution. DSDb were made by infliction of hot iron after epidermis dissection. Biopsies were performed 5, 15, 25 and 40 days after PRP treatment, and swab collections were performed 30 days after PRP treatment. At d25, G1 showed a higher amount of fibrils compared with Gc1, and the organization of G2 was similar to that of uninjured tissue. At d40, G1 resembled intact tissue and G2 showed dense tissue. All groups had bacterial contamination but no infection. PRP accelerated repair, induced fibroses and probably provided antibacterial activity in horses with DSDb.","author":[{"dropping-particle":"","family":"Maciel","given":"Felipe B","non-dropping-particle":"","parse-names":false,"suffix":""},{"dropping-particle":"","family":"DeRossi","given":"Rafael","non-dropping-particle":"","parse-names":false,"suffix":""},{"dropping-particle":"","family":"Módolo","given":"Tiago J C","non-dropping-particle":"","parse-names":false,"suffix":""},{"dropping-particle":"","family":"Pagliosa","given":"Ronaldo C","non-dropping-particle":"","parse-names":false,"suffix":""},{"dropping-particle":"","family":"Leal","given":"Cássia R J","non-dropping-particle":"","parse-names":false,"suffix":""},{"dropping-particle":"","family":"Delben","given":"Angela A S T","non-dropping-particle":"","parse-names":false,"suffix":""}],"container-title":"Burns : journal of the International Society for Burn Injuries","id":"ITEM-1","issue":"7","issued":{"date-parts":[["2012"]]},"page":"1058-65","title":"Scanning electron microscopy and microbiological evaluation of equine burn wound repair after platelet-rich plasma gel treatment.","type":"article-journal","volume":"38"},"uris":["http://www.mendeley.com/documents/?uuid=f0ea5271-8f92-43a3-93eb-9aa2218eaab4"]}],"mendeley":{"formattedCitation":"&lt;sup&gt;3&lt;/sup&gt;","plainTextFormattedCitation":"3","previouslyFormattedCitation":"&lt;sup&gt;3&lt;/sup&gt;"},"properties":{"noteIndex":0},"schema":"https://github.com/citation-style-language/schema/raw/master/csl-citation.json"}</w:instrText>
      </w:r>
      <w:r w:rsidRPr="00417B98">
        <w:rPr>
          <w:color w:val="000000" w:themeColor="text1"/>
        </w:rPr>
        <w:fldChar w:fldCharType="separate"/>
      </w:r>
      <w:r w:rsidRPr="00050FD8">
        <w:rPr>
          <w:noProof/>
          <w:color w:val="000000" w:themeColor="text1"/>
          <w:vertAlign w:val="superscript"/>
        </w:rPr>
        <w:t>3</w:t>
      </w:r>
      <w:r w:rsidRPr="00417B98">
        <w:rPr>
          <w:color w:val="000000" w:themeColor="text1"/>
        </w:rPr>
        <w:fldChar w:fldCharType="end"/>
      </w:r>
      <w:r w:rsidRPr="00417B98">
        <w:rPr>
          <w:color w:val="000000" w:themeColor="text1"/>
        </w:rPr>
        <w:t xml:space="preserve"> </w:t>
      </w:r>
      <w:r w:rsidRPr="0093079C">
        <w:rPr>
          <w:color w:val="000000" w:themeColor="text1"/>
        </w:rPr>
        <w:t xml:space="preserve">Currently, the type </w:t>
      </w:r>
      <w:r>
        <w:t xml:space="preserve">of burn is more commonly described in relation to the physiology of the skin, therefore the classification of superficial (epidermal), superficial-dermal, deep-dermal and full thickness, is </w:t>
      </w:r>
      <w:r w:rsidRPr="00EB72FD">
        <w:rPr>
          <w:color w:val="000000" w:themeColor="text1"/>
        </w:rPr>
        <w:t>used (</w:t>
      </w:r>
      <w:r w:rsidRPr="00EB72FD">
        <w:rPr>
          <w:color w:val="000000" w:themeColor="text1"/>
        </w:rPr>
        <w:fldChar w:fldCharType="begin"/>
      </w:r>
      <w:r w:rsidRPr="00EB72FD">
        <w:rPr>
          <w:color w:val="000000" w:themeColor="text1"/>
        </w:rPr>
        <w:instrText xml:space="preserve"> REF _Ref524614750 \h </w:instrText>
      </w:r>
      <w:r w:rsidRPr="00EB72FD">
        <w:rPr>
          <w:color w:val="000000" w:themeColor="text1"/>
        </w:rPr>
      </w:r>
      <w:r w:rsidRPr="00EB72FD">
        <w:rPr>
          <w:color w:val="000000" w:themeColor="text1"/>
        </w:rPr>
        <w:fldChar w:fldCharType="separate"/>
      </w:r>
      <w:r w:rsidR="00E6157A" w:rsidRPr="009D71E0">
        <w:t xml:space="preserve">Figure </w:t>
      </w:r>
      <w:r w:rsidR="00E6157A">
        <w:rPr>
          <w:noProof/>
        </w:rPr>
        <w:t>1</w:t>
      </w:r>
      <w:r w:rsidR="00E6157A">
        <w:t>.</w:t>
      </w:r>
      <w:r w:rsidR="00E6157A">
        <w:rPr>
          <w:noProof/>
        </w:rPr>
        <w:t>1</w:t>
      </w:r>
      <w:r w:rsidRPr="00EB72FD">
        <w:rPr>
          <w:color w:val="000000" w:themeColor="text1"/>
        </w:rPr>
        <w:fldChar w:fldCharType="end"/>
      </w:r>
      <w:r w:rsidRPr="00EB72FD">
        <w:rPr>
          <w:color w:val="000000" w:themeColor="text1"/>
        </w:rPr>
        <w:t>).</w:t>
      </w:r>
      <w:r w:rsidRPr="00EB72FD">
        <w:rPr>
          <w:color w:val="000000" w:themeColor="text1"/>
        </w:rPr>
        <w:fldChar w:fldCharType="begin" w:fldLock="1"/>
      </w:r>
      <w:r>
        <w:rPr>
          <w:color w:val="000000" w:themeColor="text1"/>
        </w:rPr>
        <w:instrText>ADDIN CSL_CITATION {"citationItems":[{"id":"ITEM-1","itemData":{"DOI":"10.1136/bmj.332.7542.649","ISBN":"0727916955","ISSN":"1756-1833","PMID":"16543335","abstract":"About 250 000 people are burnt each year in the United Kingdom. Of these, almost 112 000 attend an accident and emergency department and about 210 die of their injuries. At least 250 000 others attend their general practitioner for treatment of their injury. A burn results in loss of epidermal integrity of the skin; this article discusses the aetiology and management of various types of burn injury.","author":[{"dropping-particle":"","family":"Benson","given":"Alex","non-dropping-particle":"","parse-names":false,"suffix":""},{"dropping-particle":"","family":"Dickson","given":"William A","non-dropping-particle":"","parse-names":false,"suffix":""},{"dropping-particle":"","family":"Boyce","given":"Dean E","non-dropping-particle":"","parse-names":false,"suffix":""}],"container-title":"Bmj","id":"ITEM-1","issue":"240 V","issued":{"date-parts":[["2006"]]},"page":"649-652","title":"Mechanisms of burn Burn assessment Classification of burn depth Management of burn injuries","type":"article-journal","volume":"332"},"uris":["http://www.mendeley.com/documents/?uuid=af876713-fce9-4f13-886e-df50cec59b70"]}],"mendeley":{"formattedCitation":"&lt;sup&gt;4&lt;/sup&gt;","plainTextFormattedCitation":"4","previouslyFormattedCitation":"&lt;sup&gt;4&lt;/sup&gt;"},"properties":{"noteIndex":0},"schema":"https://github.com/citation-style-language/schema/raw/master/csl-citation.json"}</w:instrText>
      </w:r>
      <w:r w:rsidRPr="00EB72FD">
        <w:rPr>
          <w:color w:val="000000" w:themeColor="text1"/>
        </w:rPr>
        <w:fldChar w:fldCharType="separate"/>
      </w:r>
      <w:r w:rsidRPr="00EB72FD">
        <w:rPr>
          <w:noProof/>
          <w:color w:val="000000" w:themeColor="text1"/>
          <w:vertAlign w:val="superscript"/>
        </w:rPr>
        <w:t>4</w:t>
      </w:r>
      <w:r w:rsidRPr="00EB72FD">
        <w:rPr>
          <w:color w:val="000000" w:themeColor="text1"/>
        </w:rPr>
        <w:fldChar w:fldCharType="end"/>
      </w:r>
      <w:r>
        <w:t xml:space="preserve"> </w:t>
      </w:r>
      <w:r w:rsidRPr="00C417F3">
        <w:rPr>
          <w:color w:val="000000" w:themeColor="text1"/>
        </w:rPr>
        <w:t>In superficial</w:t>
      </w:r>
      <w:r>
        <w:t>/ epidermal (first degree) burns, such as sunburn, damage occurs only to the epidermis and the wound usually heals in several days with little or no scarring. Superficial-dermal (second degree) burns damage the epidermis and the upper dermal layer, often producing painful blisters and resulting in some permanent scarring.</w:t>
      </w:r>
      <w:r>
        <w:fldChar w:fldCharType="begin" w:fldLock="1"/>
      </w:r>
      <w:r>
        <w:instrText>ADDIN CSL_CITATION {"citationItems":[{"id":"ITEM-1","itemData":{"DOI":"10.1098/rsif.2009.0403","ISBN":"1742-5662 (Electronic)\\r1742-5662 (Linking)","ISSN":"17425662","PMID":"19864266","abstract":"Situations where normal autografts cannot be used to replace damaged skin often lead to a greater risk of mortality, prolonged hospital stay and increased expenditure for the National Health Service. There is a substantial need for tissue-engineered skin bioconstructs and research is active in this field. Significant progress has been made over the years in the development and clinical use of bioengineered components of the various skin layers. Off-the-shelf availability of such constructs, or production of sufficient quantities of biological materials to aid rapid wound closure, are often the only means to help patients with major skin loss. The aim of this review is to describe those materials already commercially available for clinical use as well as to give a short insight to those under development. It seeks to provide skin scientists/tissue engineers with the information required to not only develop in vitro models of skin, but to move closer to achieving the ultimate goal of an off-the-shelf, complete full-thickness skin replacement.","author":[{"dropping-particle":"V.","family":"Shevchenko","given":"Rostislav","non-dropping-particle":"","parse-names":false,"suffix":""},{"dropping-particle":"","family":"James","given":"Stuart L.","non-dropping-particle":"","parse-names":false,"suffix":""},{"dropping-particle":"","family":"James","given":"S. Elizabeth","non-dropping-particle":"","parse-names":false,"suffix":""}],"container-title":"Journal of the Royal Society Interface","id":"ITEM-1","issue":"43","issued":{"date-parts":[["2010"]]},"page":"229-258","title":"A review of tissue-engineered skin bioconstructs available for skin reconstruction","type":"article-journal","volume":"7"},"uris":["http://www.mendeley.com/documents/?uuid=ba3997cc-79a8-40bc-916a-3ff794c74a5f"]}],"mendeley":{"formattedCitation":"&lt;sup&gt;5&lt;/sup&gt;","plainTextFormattedCitation":"5","previouslyFormattedCitation":"&lt;sup&gt;5&lt;/sup&gt;"},"properties":{"noteIndex":0},"schema":"https://github.com/citation-style-language/schema/raw/master/csl-citation.json"}</w:instrText>
      </w:r>
      <w:r>
        <w:fldChar w:fldCharType="separate"/>
      </w:r>
      <w:r w:rsidRPr="00630FDE">
        <w:rPr>
          <w:noProof/>
          <w:vertAlign w:val="superscript"/>
        </w:rPr>
        <w:t>5</w:t>
      </w:r>
      <w:r>
        <w:fldChar w:fldCharType="end"/>
      </w:r>
      <w:r>
        <w:t xml:space="preserve"> Deep-dermal (third degree) burns penetrate the full dermis </w:t>
      </w:r>
      <w:r w:rsidRPr="00676D76">
        <w:t>and include destruction of hair follicles and sweat glands.</w:t>
      </w:r>
      <w:r>
        <w:t xml:space="preserve"> These burns can sometimes be less painful than partial thickness injuries due to the destruction of nerve endings. Full thickness (fourth degree) </w:t>
      </w:r>
      <w:r w:rsidRPr="00676D76">
        <w:t>burns</w:t>
      </w:r>
      <w:r>
        <w:t xml:space="preserve"> are the most severe type of burn injury as they</w:t>
      </w:r>
      <w:r w:rsidRPr="00676D76">
        <w:t xml:space="preserve"> destroy bone and muscular tissue as w</w:t>
      </w:r>
      <w:r>
        <w:t>ell as the full skin thickness.</w:t>
      </w:r>
      <w:r>
        <w:fldChar w:fldCharType="begin" w:fldLock="1"/>
      </w:r>
      <w:r>
        <w:instrText>ADDIN CSL_CITATION {"citationItems":[{"id":"ITEM-1","itemData":{"ISSN":"11211539","PMID":"23233828","abstract":"The term \"fourth-degree burn\" is not very often found in the literature because it is often associated with lethal injury. These injuries are characterized by exposure of viable tissue such as tendon or bone and are associated with challenging wound closure. The goal of reconstruction is to provide adequate soft tissue coverage and restoration of function. Several treatment modalities have been used to serve this purpose. We present four male patients with fourth-degree burns of the extremities, treated with negative pressure wound therapy. The patients' age ranged from 15 to 49 yr (mean, 28 yr). The total body surface area burned ranged from 3 to 60% (mean, 34.25%). Negative pressure wound therapy was applied for 16-30 days (mean, 23.75 days). Three split-thickness skin grafts and one bipedicled local flap were performed. Wound closure was completed in 28 to 50 days. The results were satisfactory for both physicians and patients. Our longest follow-up was three years. The results achieved in this group of patients revealed the negative pressure wound therapy was a reliable alternative method in the treatment of fourthdegree burns.","author":[{"dropping-particle":"","family":"Sahin","given":"I.","non-dropping-particle":"","parse-names":false,"suffix":""},{"dropping-particle":"","family":"Eski","given":"M.","non-dropping-particle":"","parse-names":false,"suffix":""},{"dropping-particle":"","family":"Acikel","given":"C.","non-dropping-particle":"","parse-names":false,"suffix":""},{"dropping-particle":"","family":"Kapaj","given":"R.","non-dropping-particle":"","parse-names":false,"suffix":""},{"dropping-particle":"","family":"Alhan","given":"D.","non-dropping-particle":"","parse-names":false,"suffix":""},{"dropping-particle":"","family":"Isik","given":"S.","non-dropping-particle":"","parse-names":false,"suffix":""}],"container-title":"Annals of Burns and Fire Disasters","id":"ITEM-1","issue":"2","issued":{"date-parts":[["2012"]]},"page":"92-97","title":"The role of negative pressure wound therapy in the treatment of fourth-degree burns. trends and new horizons","type":"article-journal","volume":"25"},"uris":["http://www.mendeley.com/documents/?uuid=fc51ce34-64f1-4fb8-8368-5ab94700359e"]}],"mendeley":{"formattedCitation":"&lt;sup&gt;6&lt;/sup&gt;","plainTextFormattedCitation":"6","previouslyFormattedCitation":"&lt;sup&gt;6&lt;/sup&gt;"},"properties":{"noteIndex":0},"schema":"https://github.com/citation-style-language/schema/raw/master/csl-citation.json"}</w:instrText>
      </w:r>
      <w:r>
        <w:fldChar w:fldCharType="separate"/>
      </w:r>
      <w:r w:rsidRPr="00630FDE">
        <w:rPr>
          <w:noProof/>
          <w:vertAlign w:val="superscript"/>
        </w:rPr>
        <w:t>6</w:t>
      </w:r>
      <w:r>
        <w:fldChar w:fldCharType="end"/>
      </w:r>
      <w:r>
        <w:t xml:space="preserve"> Whilst superficial and superficial-dermal wounds can heal spontaneously, deep-dermal and full thickness wounds often require surgical intervention in order to heal successfully.</w:t>
      </w:r>
      <w:r>
        <w:rPr>
          <w:color w:val="FF0000"/>
        </w:rPr>
        <w:t xml:space="preserve"> </w:t>
      </w:r>
    </w:p>
    <w:p w14:paraId="489FD869" w14:textId="65D43EB9" w:rsidR="009A585B" w:rsidRDefault="001868CE" w:rsidP="009A585B">
      <w:pPr>
        <w:keepNext/>
        <w:jc w:val="center"/>
      </w:pPr>
      <w:r>
        <w:rPr>
          <w:noProof/>
        </w:rPr>
        <w:lastRenderedPageBreak/>
        <w:drawing>
          <wp:inline distT="0" distB="0" distL="0" distR="0" wp14:anchorId="1A77318D" wp14:editId="3E4CA70C">
            <wp:extent cx="5201920" cy="3004185"/>
            <wp:effectExtent l="0" t="0" r="508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urn through skin_2.png"/>
                    <pic:cNvPicPr/>
                  </pic:nvPicPr>
                  <pic:blipFill>
                    <a:blip r:embed="rId13">
                      <a:extLst>
                        <a:ext uri="{28A0092B-C50C-407E-A947-70E740481C1C}">
                          <a14:useLocalDpi xmlns:a14="http://schemas.microsoft.com/office/drawing/2010/main" val="0"/>
                        </a:ext>
                      </a:extLst>
                    </a:blip>
                    <a:stretch>
                      <a:fillRect/>
                    </a:stretch>
                  </pic:blipFill>
                  <pic:spPr>
                    <a:xfrm>
                      <a:off x="0" y="0"/>
                      <a:ext cx="5201920" cy="3004185"/>
                    </a:xfrm>
                    <a:prstGeom prst="rect">
                      <a:avLst/>
                    </a:prstGeom>
                  </pic:spPr>
                </pic:pic>
              </a:graphicData>
            </a:graphic>
          </wp:inline>
        </w:drawing>
      </w:r>
    </w:p>
    <w:p w14:paraId="373E1314" w14:textId="4B230067" w:rsidR="009A585B" w:rsidRPr="009D71E0" w:rsidRDefault="009A585B" w:rsidP="009D71E0">
      <w:pPr>
        <w:pStyle w:val="Caption"/>
        <w:jc w:val="both"/>
        <w:rPr>
          <w:b w:val="0"/>
        </w:rPr>
      </w:pPr>
      <w:bookmarkStart w:id="11" w:name="_Ref524614750"/>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w:t>
      </w:r>
      <w:r w:rsidR="00BE21E4">
        <w:rPr>
          <w:noProof/>
        </w:rPr>
        <w:fldChar w:fldCharType="end"/>
      </w:r>
      <w:bookmarkEnd w:id="11"/>
      <w:r w:rsidRPr="009D71E0">
        <w:rPr>
          <w:b w:val="0"/>
        </w:rPr>
        <w:t>. Classification of cutaneous burns injuries</w:t>
      </w:r>
      <w:r w:rsidR="009D71E0">
        <w:rPr>
          <w:b w:val="0"/>
        </w:rPr>
        <w:t>, ranging from superficial, superficial dermal, deep dermal and full thickness.</w:t>
      </w:r>
      <w:r w:rsidRPr="009D71E0">
        <w:rPr>
          <w:b w:val="0"/>
        </w:rPr>
        <w:fldChar w:fldCharType="begin" w:fldLock="1"/>
      </w:r>
      <w:r w:rsidRPr="009D71E0">
        <w:rPr>
          <w:b w:val="0"/>
        </w:rPr>
        <w:instrText>ADDIN CSL_CITATION {"citationItems":[{"id":"ITEM-1","itemData":{"DOI":"10.1136/bmj.329.7457.101","ISBN":"1756-1833 (Electronic)\\r0959-535X (Linking)","ISSN":"14685833","PMID":"15242917","abstract":"Assessment of burn area tends to be done badly, even by those who are expert at it. There are three commonly used methods of estimating burn area, and each has a role in different scenarios. When calculating burn area, erythema should not be included. This may take a few hours to fade, so some overestimation is inevitable if the burn is estimated acutely. Wallace rule of nines Palmar surface —The surface area of a patient's palm (including fingers) is roughly 0.8% of total body surface area. Palmar surface are can be used to estimate relatively small burns (&lt; 15% of total surface area) or very large burns (&gt; 85%, when unburnt skin is counted). For medium sized burns, it is inaccurate. Wallace rule of nines —This is a good, quick way of estimating medium to large burns in adults. The body is divided into areas of 9%, and the total burn area can be calculated. It is not accurate in children. Lund and Browder chart —This chart, if used correctly, is the most accurate method. It compensates for the variation in body shape with age and therefore can give an accurate assessment of burns area in children. It is important that all of the burn is exposed and assessed. During assessment, the environment should be kept warm, and small segments of skin exposed sequentially to reduce heat loss. Pigmented skin can be difficult to assess, and in such cases it may be necessary to remove all the loose epidermal layers to calculate burn size. Fluid losses from the injury must be replaced to maintain homoeostasis. There is no ideal resuscitation regimen, and many are in use. All the fluid formulas are only guidelines, and their success relies on adjusting the amount of resuscitation fluid against monitored physiological parameters. The main …","author":[{"dropping-particle":"","family":"Hettiaratchy","given":"Shehan","non-dropping-particle":"","parse-names":false,"suffix":""},{"dropping-particle":"","family":"Papini","given":"Remo","non-dropping-particle":"","parse-names":false,"suffix":""}],"container-title":"Bmj","id":"ITEM-1","issue":"7457","issued":{"date-parts":[["2004"]]},"page":"101-103","title":"Initial management of a major burn: II-assessment and resuscitation","type":"article-journal","volume":"329"},"uris":["http://www.mendeley.com/documents/?uuid=f8ae2664-182f-4f93-8453-8fa59526f1ac"]}],"mendeley":{"formattedCitation":"&lt;sup&gt;7&lt;/sup&gt;","plainTextFormattedCitation":"7","previouslyFormattedCitation":"&lt;sup&gt;7&lt;/sup&gt;"},"properties":{"noteIndex":0},"schema":"https://github.com/citation-style-language/schema/raw/master/csl-citation.json"}</w:instrText>
      </w:r>
      <w:r w:rsidRPr="009D71E0">
        <w:rPr>
          <w:b w:val="0"/>
        </w:rPr>
        <w:fldChar w:fldCharType="separate"/>
      </w:r>
      <w:r w:rsidRPr="009D71E0">
        <w:rPr>
          <w:b w:val="0"/>
          <w:i/>
          <w:noProof/>
          <w:vertAlign w:val="superscript"/>
        </w:rPr>
        <w:t>7</w:t>
      </w:r>
      <w:r w:rsidRPr="009D71E0">
        <w:rPr>
          <w:b w:val="0"/>
        </w:rPr>
        <w:fldChar w:fldCharType="end"/>
      </w:r>
      <w:r w:rsidRPr="009D71E0">
        <w:rPr>
          <w:b w:val="0"/>
        </w:rPr>
        <w:t xml:space="preserve"> </w:t>
      </w:r>
      <w:r w:rsidR="009B106D">
        <w:rPr>
          <w:b w:val="0"/>
        </w:rPr>
        <w:t>Grey area indicates destruction of skin.</w:t>
      </w:r>
    </w:p>
    <w:p w14:paraId="636EC56C" w14:textId="621A7AF0" w:rsidR="009A585B" w:rsidRDefault="009A585B" w:rsidP="009A585B">
      <w:pPr>
        <w:rPr>
          <w:color w:val="000000" w:themeColor="text1"/>
        </w:rPr>
      </w:pPr>
      <w:r>
        <w:t xml:space="preserve">The measurement of burn depth is critical to patient care as it influences the </w:t>
      </w:r>
      <w:r w:rsidRPr="00C417F3">
        <w:rPr>
          <w:color w:val="000000" w:themeColor="text1"/>
        </w:rPr>
        <w:t>patient prognosis and the resulting course of treatment. For example, burn depth can be used to estimate the expected time period for healing. It has been shown that burns that take longer than 21 days to heal are at risk from developing hypertrophic scars.</w:t>
      </w:r>
      <w:r w:rsidRPr="00C417F3">
        <w:rPr>
          <w:color w:val="000000" w:themeColor="text1"/>
        </w:rPr>
        <w:fldChar w:fldCharType="begin" w:fldLock="1"/>
      </w:r>
      <w:r>
        <w:rPr>
          <w:color w:val="000000" w:themeColor="text1"/>
        </w:rPr>
        <w:instrText>ADDIN CSL_CITATION {"citationItems":[{"id":"ITEM-1","itemData":{"DOI":"10.1097/00005373-198310000-00009","ISBN":"2163-0755","ISSN":"0022-5282","PMID":"6632013","abstract":"A major problem in patients surviving thermal injury is the development of hypertrophic burn scars. The current study was performed to determine the factors associated with an increased risk of the development of hypertrophic burn scars. Fifty-nine children (mean age, 3 years; mean TBSA, 14%) and 41 adults (mean age, 37; mean TBSA, 21%) followed from 9 to 18 months formed the study group. The location as well as time required for the burns to heal were recorded in addition to the age and race of the patients. Sixty-three (26%) of the 245 burn areas, in these 100 patients, became hypertrophic. No correlation between patient age and the development of wound problems was found. Blacks had more wound problems than others, if the burn wound took longer than 10 to 14 days to heal. The most important indicator of whether wound problems would occur, in our series, was the time required for the burn to heal. If the burn wound healed between 14 and 21 days then one third of the anatomic sites became hypertrophic; if the burn wound healed after 21 days then 78% of the burn sites developed hypertrophic scars. Based upon these results we have developed a selective, individualized protocol for the use of prophylactic pressure therapy in patients with spontaneously healing burn wounds.","author":[{"dropping-particle":"","family":"Deitch","given":"E A","non-dropping-particle":"","parse-names":false,"suffix":""},{"dropping-particle":"","family":"Wheelahan","given":"T M","non-dropping-particle":"","parse-names":false,"suffix":""},{"dropping-particle":"","family":"Rose","given":"M P","non-dropping-particle":"","parse-names":false,"suffix":""},{"dropping-particle":"","family":"Clothier","given":"J","non-dropping-particle":"","parse-names":false,"suffix":""},{"dropping-particle":"","family":"Cotter","given":"J","non-dropping-particle":"","parse-names":false,"suffix":""}],"container-title":"The Journal of trauma","id":"ITEM-1","issue":"10","issued":{"date-parts":[["1983"]]},"page":"895-898","title":"Hypertrophic burn scars: analysis of variables.","type":"article-journal","volume":"23"},"uris":["http://www.mendeley.com/documents/?uuid=d89ce1ed-e60d-4c11-b884-483481198b6c"]}],"mendeley":{"formattedCitation":"&lt;sup&gt;8&lt;/sup&gt;","plainTextFormattedCitation":"8","previouslyFormattedCitation":"&lt;sup&gt;8&lt;/sup&gt;"},"properties":{"noteIndex":0},"schema":"https://github.com/citation-style-language/schema/raw/master/csl-citation.json"}</w:instrText>
      </w:r>
      <w:r w:rsidRPr="00C417F3">
        <w:rPr>
          <w:color w:val="000000" w:themeColor="text1"/>
        </w:rPr>
        <w:fldChar w:fldCharType="separate"/>
      </w:r>
      <w:r w:rsidRPr="00F86D8D">
        <w:rPr>
          <w:noProof/>
          <w:color w:val="000000" w:themeColor="text1"/>
          <w:vertAlign w:val="superscript"/>
        </w:rPr>
        <w:t>8</w:t>
      </w:r>
      <w:r w:rsidRPr="00C417F3">
        <w:rPr>
          <w:color w:val="000000" w:themeColor="text1"/>
        </w:rPr>
        <w:fldChar w:fldCharType="end"/>
      </w:r>
      <w:r>
        <w:rPr>
          <w:color w:val="000000" w:themeColor="text1"/>
        </w:rPr>
        <w:t xml:space="preserve"> These result from an overproduction of collagen in response to a traumatic injury and </w:t>
      </w:r>
      <w:r w:rsidR="009B106D">
        <w:rPr>
          <w:color w:val="000000" w:themeColor="text1"/>
        </w:rPr>
        <w:t xml:space="preserve">become </w:t>
      </w:r>
      <w:r>
        <w:rPr>
          <w:color w:val="000000" w:themeColor="text1"/>
        </w:rPr>
        <w:t>hard, raised scars that can be painful and itchy.</w:t>
      </w:r>
      <w:r>
        <w:rPr>
          <w:color w:val="000000" w:themeColor="text1"/>
        </w:rPr>
        <w:fldChar w:fldCharType="begin" w:fldLock="1"/>
      </w:r>
      <w:r>
        <w:rPr>
          <w:color w:val="000000" w:themeColor="text1"/>
        </w:rPr>
        <w:instrText>ADDIN CSL_CITATION {"citationItems":[{"id":"ITEM-1","itemData":{"DOI":"10.1016/S0140-6736(16)31406-4","ISBN":"01406736","ISSN":"1474547X","PMID":"27707499","abstract":"Improvements in acute burn care have enabled patients to survive massive burns that would have once been fatal. Now up to 70% of patients develop hypertrophic scars after burns. The functional and psychosocial sequelae remain a major rehabilitative challenge, decreasing quality of life and delaying reintegration into society. Approaches to optimise healing potential of burn wounds use targeted wound care and surgery to minimise the development of hypertrophic scarring. Such approaches often fail, and modulation of the established scar is continued although the optimal indication, timing, and combination of therapies have yet to be established. The need for novel treatments is paramount, and future efforts to improve outcomes and quality of life should include optimisation of wound healing to attenuate or prevent hypertrophic scarring, well-designed trials to confirm treatment efficacy, and further elucidation of molecular mechanisms to allow development of new preventive and therapeutic strategies.","author":[{"dropping-particle":"","family":"Finnerty","given":"Celeste C.","non-dropping-particle":"","parse-names":false,"suffix":""},{"dropping-particle":"","family":"Jeschke","given":"Marc G.","non-dropping-particle":"","parse-names":false,"suffix":""},{"dropping-particle":"","family":"Branski","given":"Ludwik K.","non-dropping-particle":"","parse-names":false,"suffix":""},{"dropping-particle":"","family":"Barret","given":"Juan P.","non-dropping-particle":"","parse-names":false,"suffix":""},{"dropping-particle":"","family":"Dziewulski","given":"Peter","non-dropping-particle":"","parse-names":false,"suffix":""},{"dropping-particle":"","family":"Herndon","given":"David N.","non-dropping-particle":"","parse-names":false,"suffix":""}],"container-title":"The Lancet","id":"ITEM-1","issued":{"date-parts":[["2016"]]},"page":"1427-1436","publisher":"Elsevier Ltd","title":"Hypertrophic scarring: the greatest unmet challenge after burn injury","type":"article-journal","volume":"388"},"uris":["http://www.mendeley.com/documents/?uuid=9052f85f-08c4-4657-a9e4-32c7de28ecd1"]}],"mendeley":{"formattedCitation":"&lt;sup&gt;9&lt;/sup&gt;","plainTextFormattedCitation":"9","previouslyFormattedCitation":"&lt;sup&gt;9&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9</w:t>
      </w:r>
      <w:r>
        <w:rPr>
          <w:color w:val="000000" w:themeColor="text1"/>
        </w:rPr>
        <w:fldChar w:fldCharType="end"/>
      </w:r>
    </w:p>
    <w:p w14:paraId="2B98B44D" w14:textId="77777777" w:rsidR="009A585B" w:rsidRPr="009452E4" w:rsidRDefault="009A585B" w:rsidP="009A585B">
      <w:pPr>
        <w:rPr>
          <w:color w:val="000000" w:themeColor="text1"/>
        </w:rPr>
      </w:pPr>
      <w:r>
        <w:rPr>
          <w:color w:val="000000" w:themeColor="text1"/>
        </w:rPr>
        <w:t xml:space="preserve">Measuring burn depth can be difficult since it is rarely uniform across the whole injury </w:t>
      </w:r>
      <w:r>
        <w:t>and the extent of the damage is often not apparent on primary inspection. Frequently, visual clinical assessment is used to determine burn depth since it is low cost, requires little equipment and can be performed immediately.</w:t>
      </w:r>
      <w:r>
        <w:fldChar w:fldCharType="begin" w:fldLock="1"/>
      </w:r>
      <w:r>
        <w:instrText>ADDIN CSL_CITATION {"citationItems":[{"id":"ITEM-1","itemData":{"ISBN":"1554-0766","ISSN":"1554-0766","PMID":"16921415","abstract":"OBJECTIVE: Burn wound depth is a significant determinant of patient treatment and morbidity. While superficial partial-thickness burns generally heal by re-epithelialization with minimal scarring, deeper wounds can form hypertrophic or contracted scars, often requiring surgical excision and grafting to prevent a suboptimal result. In addition, without timely intervention, more superficial burn wounds can convert to deeper wounds. As such, the rapid and accurate assessment of burn wound depth is a priority in treating burn-injured patients. The object of this article is to review current research on modalities useful in the assessment of burn wound depth with emphasis on the relative costs and benefits of each technique. METHODS: PubMed and Cochrane computerized databases were used for data retrieval, using the search terms \"burns,\" \"burn wounds,\" \"burn depth,\" \"burn depth measurement,\" and \"burn depth progression.\" In addition, bibliographic references from prior reviews of burn depth were reviewed. All peer-reviewed, English-language articles relevant to the topic of burn depth measurement were reviewed, including those focusing on animal and human populations. Where appropriate, conclusions drawn from review articles and expert analyses were included. RESULTS: Although bedside evaluation remains the most common modality of diagnosing the depth of burn wounds, recent technological advances have broadened the scope of depth assessment modalities available to clinicians. Other depth assessment techniques include biopsy and histology, and perfusion measurements techniques such as thermography, vital dyes, indocyanine green video angiography, and laser Doppler techniques. CONCLUSION: Of the depth assessment modalities currently used in clinical practice, LDI and ICG video angiography offer the best data-supported estimates of accuracy. Until the future of new modalities unfolds, a combination of clinical evaluation and another modality--thermography, biopsy, or, ideally, ICG video angiography or LDI--is advised to best assess the depth of acute burn wounds.","author":[{"dropping-particle":"","family":"Devgan","given":"Lara","non-dropping-particle":"","parse-names":false,"suffix":""},{"dropping-particle":"","family":"Bhat","given":"Satyanarayan","non-dropping-particle":"","parse-names":false,"suffix":""},{"dropping-particle":"","family":"Aylward","given":"S","non-dropping-particle":"","parse-names":false,"suffix":""},{"dropping-particle":"","family":"Spence","given":"Robert J","non-dropping-particle":"","parse-names":false,"suffix":""}],"container-title":"Journal of burns and wounds","id":"ITEM-1","issued":{"date-parts":[["2006"]]},"page":"e2","title":"Modalities for the assessment of burn wound depth.","type":"article-journal","volume":"5"},"uris":["http://www.mendeley.com/documents/?uuid=7a4dbe6a-ee90-42a3-b311-dd2310983fec"]}],"mendeley":{"formattedCitation":"&lt;sup&gt;10&lt;/sup&gt;","plainTextFormattedCitation":"10","previouslyFormattedCitation":"&lt;sup&gt;10&lt;/sup&gt;"},"properties":{"noteIndex":0},"schema":"https://github.com/citation-style-language/schema/raw/master/csl-citation.json"}</w:instrText>
      </w:r>
      <w:r>
        <w:fldChar w:fldCharType="separate"/>
      </w:r>
      <w:r w:rsidRPr="00E8189C">
        <w:rPr>
          <w:noProof/>
          <w:vertAlign w:val="superscript"/>
        </w:rPr>
        <w:t>10</w:t>
      </w:r>
      <w:r>
        <w:fldChar w:fldCharType="end"/>
      </w:r>
      <w:r>
        <w:t xml:space="preserve"> However, there is commonly some variation between different clinician’s assessments, as well as a general trend for over-estimation of burn depth.</w:t>
      </w:r>
      <w:r>
        <w:fldChar w:fldCharType="begin" w:fldLock="1"/>
      </w:r>
      <w:r>
        <w:instrText>ADDIN CSL_CITATION {"citationItems":[{"id":"ITEM-1","itemData":{"DOI":"10.1016/0305-4179(93)90004-R","ISSN":"03054179","PMID":"8292231","abstract":"A new medical instrument is presented that produces a doppler blood flow image from a laser beam in a raster pattern and the results of a pilot study which shows this technique to be highly accurate in assessing burn depth is described.","author":[{"dropping-particle":"","family":"Niazi","given":"Z. B M","non-dropping-particle":"","parse-names":false,"suffix":""},{"dropping-particle":"","family":"Essex","given":"T. J H","non-dropping-particle":"","parse-names":false,"suffix":""},{"dropping-particle":"","family":"Papini","given":"R.","non-dropping-particle":"","parse-names":false,"suffix":""},{"dropping-particle":"","family":"Scott","given":"D.","non-dropping-particle":"","parse-names":false,"suffix":""},{"dropping-particle":"","family":"McLean","given":"N. R.","non-dropping-particle":"","parse-names":false,"suffix":""},{"dropping-particle":"","family":"Black","given":"M. J M","non-dropping-particle":"","parse-names":false,"suffix":""}],"container-title":"Burns","id":"ITEM-1","issue":"6","issued":{"date-parts":[["1993"]]},"page":"485-489","title":"New laser doppler scanner, a valuable adjunct in burn depth assessment","type":"article-journal","volume":"19"},"uris":["http://www.mendeley.com/documents/?uuid=a72051f1-c25f-40d4-8ac7-6acc9d87ff0a"]}],"mendeley":{"formattedCitation":"&lt;sup&gt;11&lt;/sup&gt;","plainTextFormattedCitation":"11","previouslyFormattedCitation":"&lt;sup&gt;11&lt;/sup&gt;"},"properties":{"noteIndex":0},"schema":"https://github.com/citation-style-language/schema/raw/master/csl-citation.json"}</w:instrText>
      </w:r>
      <w:r>
        <w:fldChar w:fldCharType="separate"/>
      </w:r>
      <w:r w:rsidRPr="00E8189C">
        <w:rPr>
          <w:noProof/>
          <w:vertAlign w:val="superscript"/>
        </w:rPr>
        <w:t>11</w:t>
      </w:r>
      <w:r>
        <w:fldChar w:fldCharType="end"/>
      </w:r>
      <w:r>
        <w:t xml:space="preserve"> Alternative techniques include biopsies of the injury site, thermal imaging and ultra sound.</w:t>
      </w:r>
      <w:r>
        <w:fldChar w:fldCharType="begin" w:fldLock="1"/>
      </w:r>
      <w:r>
        <w:instrText>ADDIN CSL_CITATION {"citationItems":[{"id":"ITEM-1","itemData":{"abstract":"Despite the plethora of technologic advances, the most common technique for diagnosing burn depth remains the clinical assessment of an experienced burn surgeon. It is clear that this assessment is accurate for very deep and very shallow burns. But since clinical judgment is not precise in telling whether a dermal burn will heal in 3 weeks, efforts to develop a burn depth indicator are certainly warranted to accurately determine which dermal burns to excise and graft. This review summarizes the considerable literature in which a variety of techniques to determine burn depth have been used.","author":[{"dropping-particle":"","family":"Heimbach","given":"David","non-dropping-particle":"","parse-names":false,"suffix":""},{"dropping-particle":"","family":"Grube","given":"Baiba","non-dropping-particle":"","parse-names":false,"suffix":""},{"dropping-particle":"","family":"Marvin","given":"Janet","non-dropping-particle":"","parse-names":false,"suffix":""}],"container-title":"World Journal of Surgery","id":"ITEM-1","issued":{"date-parts":[["1992"]]},"page":"10-15","title":"Burn Depth : A Review","type":"article-journal","volume":"16"},"uris":["http://www.mendeley.com/documents/?uuid=912e6b50-8aa0-4daf-8cf5-0c3168be6dda"]}],"mendeley":{"formattedCitation":"&lt;sup&gt;12&lt;/sup&gt;","plainTextFormattedCitation":"12","previouslyFormattedCitation":"&lt;sup&gt;12&lt;/sup&gt;"},"properties":{"noteIndex":0},"schema":"https://github.com/citation-style-language/schema/raw/master/csl-citation.json"}</w:instrText>
      </w:r>
      <w:r>
        <w:fldChar w:fldCharType="separate"/>
      </w:r>
      <w:r w:rsidRPr="00E8189C">
        <w:rPr>
          <w:noProof/>
          <w:vertAlign w:val="superscript"/>
        </w:rPr>
        <w:t>12</w:t>
      </w:r>
      <w:r>
        <w:fldChar w:fldCharType="end"/>
      </w:r>
      <w:r>
        <w:t xml:space="preserve"> </w:t>
      </w:r>
      <w:r w:rsidRPr="007937AC">
        <w:t>Laser Doppler Imaging (LDI)</w:t>
      </w:r>
      <w:r>
        <w:t>,</w:t>
      </w:r>
      <w:r w:rsidRPr="007937AC">
        <w:t xml:space="preserve"> has been shown to accurately as</w:t>
      </w:r>
      <w:r>
        <w:t>sess blood flow at a burn</w:t>
      </w:r>
      <w:r w:rsidRPr="007937AC">
        <w:t xml:space="preserve"> site and consequently provide a very good </w:t>
      </w:r>
      <w:r>
        <w:t>estimation</w:t>
      </w:r>
      <w:r w:rsidRPr="007937AC">
        <w:t xml:space="preserve"> </w:t>
      </w:r>
      <w:r>
        <w:t>of burn depth</w:t>
      </w:r>
      <w:r w:rsidRPr="007937AC">
        <w:t>,</w:t>
      </w:r>
      <w:r w:rsidRPr="007937AC">
        <w:fldChar w:fldCharType="begin" w:fldLock="1"/>
      </w:r>
      <w:r>
        <w:instrText>ADDIN CSL_CITATION {"citationItems":[{"id":"ITEM-1","itemData":{"DOI":"10.1016/S0305-4179(01)00021-3","ISBN":"0305-4179 (Print)\\r0305-4179 (Linking)","ISSN":"03054179","PMID":"11525849","abstract":"Laser Doppler perfusion imaging (LDPI), is a further development in laser Doppler flowmetry (LDF). Its advantage is that it enables assessment of microvascular blood flow in a predefined skin area rather than, as for LDF, in one place. In many ways this method seems to be more promising than LDF in the assessment of burn wounds. However, several methodological issues that are inherent in the LDPI technique, and are relevant for the assessment of burn depth, must be clarified. These include the effect of scanning distance, curvature of the tissue, thickness of topical wound dressings, and pathophysiological effects of skin colour, blisters, and wound fluids. Furthermore, we soon realised that to examine the perfusion image generated by LDPI adequately the process of analysis was appreciably improved by the simultaneous use of digital photography. In the present investigation we used both in vitro and in vivo models and also examined burned patients, and found that the listed factors all significantly affected the LDPI output signal. However, if these factors are known to the examiner, most of them can be adjusted for. If the technique is further improved by minimizing such effects and by reducing the practical difficulties of applying it to a burned patient in the burns unit, the technique may find uses in everyday clinical decision-making. Copyright © 2001 Elsevier Science Ltd and ISBI.","author":[{"dropping-particle":"","family":"Droog","given":"E. J.","non-dropping-particle":"","parse-names":false,"suffix":""},{"dropping-particle":"","family":"Steenbergen","given":"W.","non-dropping-particle":"","parse-names":false,"suffix":""},{"dropping-particle":"","family":"Sjöberg","given":"F.","non-dropping-particle":"","parse-names":false,"suffix":""}],"container-title":"Burns","id":"ITEM-1","issue":"6","issued":{"date-parts":[["2001"]]},"page":"561-568","title":"Measurement of depth of burns by laser Doppler perfusion imaging","type":"article-journal","volume":"27"},"uris":["http://www.mendeley.com/documents/?uuid=d735d0aa-f328-476b-ad18-c3d665a89f7e"]}],"mendeley":{"formattedCitation":"&lt;sup&gt;13&lt;/sup&gt;","plainTextFormattedCitation":"13","previouslyFormattedCitation":"&lt;sup&gt;13&lt;/sup&gt;"},"properties":{"noteIndex":0},"schema":"https://github.com/citation-style-language/schema/raw/master/csl-citation.json"}</w:instrText>
      </w:r>
      <w:r w:rsidRPr="007937AC">
        <w:fldChar w:fldCharType="separate"/>
      </w:r>
      <w:r w:rsidRPr="00E8189C">
        <w:rPr>
          <w:noProof/>
          <w:vertAlign w:val="superscript"/>
        </w:rPr>
        <w:t>13</w:t>
      </w:r>
      <w:r w:rsidRPr="007937AC">
        <w:fldChar w:fldCharType="end"/>
      </w:r>
      <w:r w:rsidRPr="007937AC">
        <w:t xml:space="preserve"> to the extent where burns </w:t>
      </w:r>
      <w:r>
        <w:t xml:space="preserve">that are </w:t>
      </w:r>
      <w:r w:rsidRPr="007937AC">
        <w:t xml:space="preserve">likely to heal in </w:t>
      </w:r>
      <w:r>
        <w:t xml:space="preserve">less than, or more than, </w:t>
      </w:r>
      <w:r w:rsidRPr="007937AC">
        <w:t>21 days can be distinguished.</w:t>
      </w:r>
      <w:r>
        <w:fldChar w:fldCharType="begin" w:fldLock="1"/>
      </w:r>
      <w:r>
        <w:instrText>ADDIN CSL_CITATION {"citationItems":[{"id":"ITEM-1","itemData":{"DOI":"10.1016/j.burns.2008.01.009","ISBN":"0305-4179 (Print)\\r0305-4179","ISSN":"03054179","PMID":"18511202","abstract":"The depth of a burn wound and/or its healing potential are the most important determinants of the therapeutic management and of the residual morbidity or scarring. Traditionally, burn surgeons divide burns into superficial which heal by rapid re-epithelialization with minimal scarring and deep burns requiring surgical therapy. Clinical assessment remains the most frequent technique to measure the depth of a burn wound although this has been shown to be accurate in only 60-75% of the cases, even when carried out by an experienced burn surgeon. In this article we review all current modalities useful to provide an objective assessment of the burn wound depth, from simple clinical evaluation to biopsy and histology and to various perfusion measurement techniques such as thermography, vital dyes, video angiography, video microscopy, and laser Doppler techniques. The different needs according to the different diagnostic situations are considered. It is concluded that for the initial emergency assessment, the use of telemetry and simple burn photographs are the best option, that for research purposes a wide range of different techniques can be used but that, most importantly, for the actual treatment decisions, laser Doppler imaging is the only technique that has been shown to accurately predict wound outcome with a large weight of evidence. Moreover this technique has been approved for burn depth assessment by regulatory bodies including the FDA. ?? 2008 Elsevier Ltd and ISBI.","author":[{"dropping-particle":"","family":"Monstrey","given":"Stan","non-dropping-particle":"","parse-names":false,"suffix":""},{"dropping-particle":"","family":"Hoeksema","given":"Henk","non-dropping-particle":"","parse-names":false,"suffix":""},{"dropping-particle":"","family":"Verbelen","given":"Jos","non-dropping-particle":"","parse-names":false,"suffix":""},{"dropping-particle":"","family":"Pirayesh","given":"Ali","non-dropping-particle":"","parse-names":false,"suffix":""},{"dropping-particle":"","family":"Blondeel","given":"Phillip","non-dropping-particle":"","parse-names":false,"suffix":""}],"container-title":"Burns","id":"ITEM-1","issue":"6","issued":{"date-parts":[["2008"]]},"page":"761-769","title":"Assessment of burn depth and burn wound healing potential","type":"article","volume":"34"},"uris":["http://www.mendeley.com/documents/?uuid=f41614ae-fe6c-428a-9429-bf056de99d10"]}],"mendeley":{"formattedCitation":"&lt;sup&gt;14&lt;/sup&gt;","plainTextFormattedCitation":"14","previouslyFormattedCitation":"&lt;sup&gt;14&lt;/sup&gt;"},"properties":{"noteIndex":0},"schema":"https://github.com/citation-style-language/schema/raw/master/csl-citation.json"}</w:instrText>
      </w:r>
      <w:r>
        <w:fldChar w:fldCharType="separate"/>
      </w:r>
      <w:r w:rsidRPr="00E8189C">
        <w:rPr>
          <w:noProof/>
          <w:vertAlign w:val="superscript"/>
        </w:rPr>
        <w:t>14</w:t>
      </w:r>
      <w:r>
        <w:fldChar w:fldCharType="end"/>
      </w:r>
      <w:r>
        <w:t xml:space="preserve"> </w:t>
      </w:r>
    </w:p>
    <w:p w14:paraId="1C49AF50" w14:textId="77777777" w:rsidR="009A585B" w:rsidRPr="002E3FC4" w:rsidRDefault="009A585B" w:rsidP="009A585B">
      <w:r>
        <w:rPr>
          <w:color w:val="000000" w:themeColor="text1"/>
        </w:rPr>
        <w:t xml:space="preserve">Burn injuries lead to the destruction of the body’s protective barriers, such as the skin and the lining of the airways. </w:t>
      </w:r>
      <w:r>
        <w:t xml:space="preserve">Skin performs fundamental physiological roles including regulating body temperature, maintaining body fluid levels and providing a barrier to </w:t>
      </w:r>
      <w:r>
        <w:lastRenderedPageBreak/>
        <w:t>contaminants and bacteria.</w:t>
      </w:r>
      <w:r>
        <w:fldChar w:fldCharType="begin" w:fldLock="1"/>
      </w:r>
      <w:r>
        <w:instrText>ADDIN CSL_CITATION {"citationItems":[{"id":"ITEM-1","itemData":{"DOI":"10.1146/annurev.med.51.1.231","ISBN":"0066-4219","ISSN":"0066-4219","PMID":"10774462","abstract":"The skin is a complex organ that is difficult to replace when it is irreversibly damaged by burns, trauma, or disease. Although autologous skin transplantation remains the most common form of treatment in patients with significant skin loss, there are now a number of commercially available products that can be used to replace the skin temporarily or permanently. Here we describe several such products under the rubric \"artificial skin,\" focusing on two types of technology that have been applied to the problem of permanent skin replacement.","author":[{"dropping-particle":"","family":"Schulz","given":"J T","non-dropping-particle":"","parse-names":false,"suffix":""},{"dropping-particle":"","family":"Tompkins","given":"R G","non-dropping-particle":"","parse-names":false,"suffix":""},{"dropping-particle":"","family":"Burke","given":"J F","non-dropping-particle":"","parse-names":false,"suffix":""}],"container-title":"Annual review of medicine","id":"ITEM-1","issued":{"date-parts":[["2000"]]},"page":"231-244","title":"Artificial skin.","type":"article-journal","volume":"51"},"uris":["http://www.mendeley.com/documents/?uuid=0a2e657f-86a4-45c3-baf6-dfd4953dc63e"]}],"mendeley":{"formattedCitation":"&lt;sup&gt;15&lt;/sup&gt;","plainTextFormattedCitation":"15","previouslyFormattedCitation":"&lt;sup&gt;15&lt;/sup&gt;"},"properties":{"noteIndex":0},"schema":"https://github.com/citation-style-language/schema/raw/master/csl-citation.json"}</w:instrText>
      </w:r>
      <w:r>
        <w:fldChar w:fldCharType="separate"/>
      </w:r>
      <w:r w:rsidRPr="00E8189C">
        <w:rPr>
          <w:noProof/>
          <w:vertAlign w:val="superscript"/>
        </w:rPr>
        <w:t>15</w:t>
      </w:r>
      <w:r>
        <w:fldChar w:fldCharType="end"/>
      </w:r>
      <w:r>
        <w:t xml:space="preserve"> </w:t>
      </w:r>
      <w:r>
        <w:rPr>
          <w:color w:val="000000" w:themeColor="text1"/>
        </w:rPr>
        <w:t xml:space="preserve">As a result, </w:t>
      </w:r>
      <w:r>
        <w:t>multiple co-morbidities can develop due to the loss of barrier function. A major complication associated with large burns is</w:t>
      </w:r>
      <w:r w:rsidRPr="002A57A3">
        <w:t xml:space="preserve"> </w:t>
      </w:r>
      <w:r>
        <w:t>hypovolemic shock, resulting from extensive water and blood loss. The implementation of fluid resuscitation strategies has been key to reducing further morbidity in burn patients from hypovolemic shock.</w:t>
      </w:r>
      <w:r>
        <w:fldChar w:fldCharType="begin" w:fldLock="1"/>
      </w:r>
      <w:r>
        <w:instrText>ADDIN CSL_CITATION {"citationItems":[{"id":"ITEM-1","itemData":{"DOI":"10.1111/j.1445-2197.2006.03641.x","ISBN":"1445-1433 (Print)\\r1445-1433 (Linking)","ISSN":"14451433","PMID":"16483293","abstract":"BACKGROUND: The Parkland formula is established as the \"gold standard\" for initial fluid resuscitation for major burns. The purpose of this study was to review our fluid resuscitation practice for major burns to determine whether anecdotal observations of significant variations from the Parkland formula were wide spread and whether any difference could be used as a basis for a revision of fluid resuscitation in major burns. METHODS: A retrospective review of 127 presentations to The Alfred Burns Unit with total body surface area (TBSA) affected &gt; or =15% was conducted. A retrospective review of the resuscitation data from these patients was compared with the Parkland formula as well as other studies. RESULTS: A total of 49 patients with complete data on fluid administration and uncomplicated burns were included in the analysis. Significantly larger volumes of fluid (5.58 mL/kg per %TBSA) were given to these patients in the first 24 h than predicted by the Parkland formula. Mean arterial pressure, pulse rate and urine output were at satisfactory levels. Clinically evident complications from fluid administration were minimal. Mortality was similar to that in other centres. CONCLUSION: Fluid resuscitation volumes significantly higher than those predicted by the Parkland formula were given, without adverse consequences. This retrospective review supports a prospective, multicentre, randomized, controlled study comparing this study with the Parkland formula, resulting in a better guide to initial fluid resuscitation in major burns.","author":[{"dropping-particle":"","family":"Mitra","given":"Biswadev","non-dropping-particle":"","parse-names":false,"suffix":""},{"dropping-particle":"","family":"Fitzgerald","given":"Mark","non-dropping-particle":"","parse-names":false,"suffix":""},{"dropping-particle":"","family":"Cameron","given":"Peter","non-dropping-particle":"","parse-names":false,"suffix":""},{"dropping-particle":"","family":"Cleland","given":"Heather","non-dropping-particle":"","parse-names":false,"suffix":""}],"container-title":"ANZ Journal of Surgery","id":"ITEM-1","issue":"1-2","issued":{"date-parts":[["2006"]]},"page":"35-38","title":"Fluid resuscitation in major burns","type":"article","volume":"76"},"uris":["http://www.mendeley.com/documents/?uuid=f062635e-b5d3-4637-99bb-7d94686dcccf"]}],"mendeley":{"formattedCitation":"&lt;sup&gt;16&lt;/sup&gt;","plainTextFormattedCitation":"16","previouslyFormattedCitation":"&lt;sup&gt;16&lt;/sup&gt;"},"properties":{"noteIndex":0},"schema":"https://github.com/citation-style-language/schema/raw/master/csl-citation.json"}</w:instrText>
      </w:r>
      <w:r>
        <w:fldChar w:fldCharType="separate"/>
      </w:r>
      <w:r w:rsidRPr="00E8189C">
        <w:rPr>
          <w:noProof/>
          <w:vertAlign w:val="superscript"/>
        </w:rPr>
        <w:t>16</w:t>
      </w:r>
      <w:r>
        <w:fldChar w:fldCharType="end"/>
      </w:r>
      <w:r>
        <w:t xml:space="preserve"> Additional complications associated with burn patients include inhalation injury</w:t>
      </w:r>
      <w:r>
        <w:fldChar w:fldCharType="begin" w:fldLock="1"/>
      </w:r>
      <w:r>
        <w:instrText>ADDIN CSL_CITATION {"citationItems":[{"id":"ITEM-1","itemData":{"DOI":"10.1097/00132586-199812000-00011","ISBN":"0028-4793 (Print)\\n0028-4793 (Linking)","ISSN":"0039-6206","PMID":"9449729","abstract":"BACKGROUND: Over the past 20 years, there has been remarkable improvement in the chances of survival of patients treated in burn centers. A simple, accurate system for objectively estimating the probability of death would be useful in counseling patients and making medical decisions. METHODS: We conducted a retrospective review of all 1665 patients with acute burn injuries admitted from 1990 to 1994 to Massachusetts General Hospital and the Shriners Burns Institute in Boston. Using logistic-regression analysis, we developed probability estimates for the prediction of mortality based on a minimal set of well-defined variables. The resulting mortality formula was used to determine whether changes in mortality have occurred since 1984, and it was tested prospectively on all 530 patients with acute burn injuries admitted in 1995 or 1996. RESULTS: Of the 1665 patients (mean [+/-SD] age, 21+/-20 years; mean burn size, 14+/-20 percent of body-surface area), 1598 (96 percent) lived to discharge. The mean length of stay was 21+/-29 days. Three risk factors for death were identified: age greater than 60 years, more than 40 percent of body-surface area burned, and inhalation injury. The mortality formula we developed predicts 0.3 percent, 3 percent, 33 percent, or approximately 90 percent mortality, depending on whether zero, one, two, or three risk factors are present. The results of the prospective test of the formula were similar. A large increase in the proportion of patients who chose not to be resuscitated complicated comparisons of mortality over time. CONCLUSIONS: The probability of mortality after burns is low and can be predicted soon after injury on the basis of simple, objective clinical criteria.","author":[{"dropping-particle":"","family":"Ryan","given":"C M","non-dropping-particle":"","parse-names":false,"suffix":""},{"dropping-particle":"","family":"Schoenfeld","given":"D A","non-dropping-particle":"","parse-names":false,"suffix":""},{"dropping-particle":"","family":"Thorpe","given":"W P","non-dropping-particle":"","parse-names":false,"suffix":""},{"dropping-particle":"","family":"Sheridan","given":"R L","non-dropping-particle":"","parse-names":false,"suffix":""},{"dropping-particle":"","family":"Cassem","given":"E H","non-dropping-particle":"","parse-names":false,"suffix":""},{"dropping-particle":"","family":"Tompkins","given":"R G","non-dropping-particle":"","parse-names":false,"suffix":""}],"container-title":"The New England journal of medicine","id":"ITEM-1","issue":"6","issued":{"date-parts":[["1998"]]},"page":"362-366","title":"Objective estimates of the probability of death from burn injuries.","type":"article-journal","volume":"338"},"uris":["http://www.mendeley.com/documents/?uuid=0046bd07-5568-4bd1-b7a0-96d5f005a99e"]}],"mendeley":{"formattedCitation":"&lt;sup&gt;17&lt;/sup&gt;","plainTextFormattedCitation":"17","previouslyFormattedCitation":"&lt;sup&gt;17&lt;/sup&gt;"},"properties":{"noteIndex":0},"schema":"https://github.com/citation-style-language/schema/raw/master/csl-citation.json"}</w:instrText>
      </w:r>
      <w:r>
        <w:fldChar w:fldCharType="separate"/>
      </w:r>
      <w:r w:rsidRPr="00E8189C">
        <w:rPr>
          <w:noProof/>
          <w:vertAlign w:val="superscript"/>
        </w:rPr>
        <w:t>17</w:t>
      </w:r>
      <w:r>
        <w:fldChar w:fldCharType="end"/>
      </w:r>
      <w:r>
        <w:t xml:space="preserve"> and the onset of infection, which can lead to life threatening complications such as sepsis.</w:t>
      </w:r>
      <w:r>
        <w:fldChar w:fldCharType="begin" w:fldLock="1"/>
      </w:r>
      <w:r>
        <w:instrText>ADDIN CSL_CITATION {"citationItems":[{"id":"ITEM-1","itemData":{"DOI":"10.1128/CMR.19.2.403-434.2006","ISSN":"08938512","PMID":"16614255","abstract":"Burns are one of the most common and devastating forms of trauma. Patients with serious thermal injury require immediate specialized care in order to minimize morbidity and mortality. Significant thermal injuries induce a state of immunosuppression that predisposes burn patients to infectious complications. A current summary of the classifications of burn wound infections, including their diagnosis, treatment, and prevention, is given. Early excision of the eschar has substantially decreased the incidence of invasive burn wound infection and secondary sepsis, but most deaths in severely burn-injured patients are still due to burn wound sepsis or complications due to inhalation injury. Burn patients are also at risk for developing sepsis secondary to pneumonia, catheter-related infections, and suppurative thrombophlebitis. The introduction of silver-impregnated devices (e.g., central lines and Foley urinary catheters) may reduce the incidence of nosocomial infections due to prolonged placement of these devices. Improved outcomes for severely burned patients have been attributed to medical advances in fluid resuscitation, nutritional support, pulmonary and burn wound care, and infection control practices.","author":[{"dropping-particle":"","family":"Church","given":"Deirdre","non-dropping-particle":"","parse-names":false,"suffix":""},{"dropping-particle":"","family":"Elsayed","given":"Sameer","non-dropping-particle":"","parse-names":false,"suffix":""},{"dropping-particle":"","family":"Reid","given":"Owen","non-dropping-particle":"","parse-names":false,"suffix":""},{"dropping-particle":"","family":"Winston","given":"Brent","non-dropping-particle":"","parse-names":false,"suffix":""},{"dropping-particle":"","family":"Lindsay","given":"Robert","non-dropping-particle":"","parse-names":false,"suffix":""}],"container-title":"Clinical Microbiology Reviews","id":"ITEM-1","issue":"2","issued":{"date-parts":[["2006"]]},"page":"403-434","title":"Burn wound infections","type":"article","volume":"19"},"uris":["http://www.mendeley.com/documents/?uuid=6a16020c-4601-4c5a-9ba1-4fe62216e950"]}],"mendeley":{"formattedCitation":"&lt;sup&gt;18&lt;/sup&gt;","plainTextFormattedCitation":"18","previouslyFormattedCitation":"&lt;sup&gt;18&lt;/sup&gt;"},"properties":{"noteIndex":0},"schema":"https://github.com/citation-style-language/schema/raw/master/csl-citation.json"}</w:instrText>
      </w:r>
      <w:r>
        <w:fldChar w:fldCharType="separate"/>
      </w:r>
      <w:r w:rsidRPr="00E8189C">
        <w:rPr>
          <w:noProof/>
          <w:vertAlign w:val="superscript"/>
        </w:rPr>
        <w:t>18</w:t>
      </w:r>
      <w:r>
        <w:fldChar w:fldCharType="end"/>
      </w:r>
      <w:r>
        <w:t xml:space="preserve"> </w:t>
      </w:r>
      <w:r w:rsidRPr="002E3FC4">
        <w:rPr>
          <w:color w:val="000000" w:themeColor="text1"/>
        </w:rPr>
        <w:t>Over the past few decades, medical advancements in burn care have led to a significant increase in the number of patients surviving major burn injuries.</w:t>
      </w:r>
      <w:r w:rsidRPr="002E3FC4">
        <w:rPr>
          <w:color w:val="000000" w:themeColor="text1"/>
        </w:rPr>
        <w:fldChar w:fldCharType="begin" w:fldLock="1"/>
      </w:r>
      <w:r>
        <w:rPr>
          <w:color w:val="000000" w:themeColor="text1"/>
        </w:rPr>
        <w:instrText>ADDIN CSL_CITATION {"citationItems":[{"id":"ITEM-1","itemData":{"DOI":"10.1097/00000658-195403000-00002","ISBN":"0003-4932 (Print)\r0003-4932","ISSN":"00034932","PMID":"13149070","abstract":"Images: Fig. 6.:","author":[{"dropping-particle":"","family":"BULL","given":"J. P.","non-dropping-particle":"","parse-names":false,"suffix":""},{"dropping-particle":"","family":"FISHER","given":"A. J.","non-dropping-particle":"","parse-names":false,"suffix":""}],"container-title":"Annals of surgery","id":"ITEM-1","issue":"3","issued":{"date-parts":[["1954"]]},"page":"269-274","title":"A study of mortality in a burns unit: a revised estimate","type":"article-journal","volume":"139"},"uris":["http://www.mendeley.com/documents/?uuid=9d9fe893-343e-4906-bdea-def67b5d981c"]}],"mendeley":{"formattedCitation":"&lt;sup&gt;19&lt;/sup&gt;","plainTextFormattedCitation":"19","previouslyFormattedCitation":"&lt;sup&gt;19&lt;/sup&gt;"},"properties":{"noteIndex":0},"schema":"https://github.com/citation-style-language/schema/raw/master/csl-citation.json"}</w:instrText>
      </w:r>
      <w:r w:rsidRPr="002E3FC4">
        <w:rPr>
          <w:color w:val="000000" w:themeColor="text1"/>
        </w:rPr>
        <w:fldChar w:fldCharType="separate"/>
      </w:r>
      <w:r w:rsidRPr="00E8189C">
        <w:rPr>
          <w:noProof/>
          <w:color w:val="000000" w:themeColor="text1"/>
          <w:vertAlign w:val="superscript"/>
        </w:rPr>
        <w:t>19</w:t>
      </w:r>
      <w:r w:rsidRPr="002E3FC4">
        <w:rPr>
          <w:color w:val="000000" w:themeColor="text1"/>
        </w:rPr>
        <w:fldChar w:fldCharType="end"/>
      </w:r>
      <w:r w:rsidRPr="002E3FC4">
        <w:rPr>
          <w:color w:val="000000" w:themeColor="text1"/>
          <w:vertAlign w:val="superscript"/>
        </w:rPr>
        <w:t>,</w:t>
      </w:r>
      <w:r w:rsidRPr="002E3FC4">
        <w:rPr>
          <w:color w:val="000000" w:themeColor="text1"/>
        </w:rPr>
        <w:fldChar w:fldCharType="begin" w:fldLock="1"/>
      </w:r>
      <w:r>
        <w:rPr>
          <w:color w:val="000000" w:themeColor="text1"/>
        </w:rPr>
        <w:instrText>ADDIN CSL_CITATION {"citationItems":[{"id":"ITEM-1","itemData":{"DOI":"10.1016/S0140-6736(13)61093-4","ISBN":"1474-547X (Electronic) 0140-6736 (Linking)","ISSN":"1474547X","PMID":"24034453","abstract":"Outcomes of patients with burns have improved substantially over the past two decades. Findings from a 2012 study in The Lancet showed that a burn size of more than 60% total body surface area burned (an increase from 40% a decade ago) is associated with risks and mortality. Similar data have been obtained in adults and elderly people who have been severely burned. We discuss recent and future developments in burn care to improve outcomes of children.","author":[{"dropping-particle":"","family":"Jeschke","given":"Marc G.","non-dropping-particle":"","parse-names":false,"suffix":""},{"dropping-particle":"","family":"Herndon","given":"David N.","non-dropping-particle":"","parse-names":false,"suffix":""}],"container-title":"The Lancet","id":"ITEM-1","issue":"9923","issued":{"date-parts":[["2014"]]},"page":"1168-1178","publisher":"Elsevier Ltd","title":"Burns in children: Standard and new treatments","type":"article-journal","volume":"383"},"uris":["http://www.mendeley.com/documents/?uuid=e7c4777a-a324-44a3-9c61-c9d43ae1e3e8"]}],"mendeley":{"formattedCitation":"&lt;sup&gt;20&lt;/sup&gt;","plainTextFormattedCitation":"20","previouslyFormattedCitation":"&lt;sup&gt;20&lt;/sup&gt;"},"properties":{"noteIndex":0},"schema":"https://github.com/citation-style-language/schema/raw/master/csl-citation.json"}</w:instrText>
      </w:r>
      <w:r w:rsidRPr="002E3FC4">
        <w:rPr>
          <w:color w:val="000000" w:themeColor="text1"/>
        </w:rPr>
        <w:fldChar w:fldCharType="separate"/>
      </w:r>
      <w:r w:rsidRPr="00E8189C">
        <w:rPr>
          <w:noProof/>
          <w:color w:val="000000" w:themeColor="text1"/>
          <w:vertAlign w:val="superscript"/>
        </w:rPr>
        <w:t>20</w:t>
      </w:r>
      <w:r w:rsidRPr="002E3FC4">
        <w:rPr>
          <w:color w:val="000000" w:themeColor="text1"/>
        </w:rPr>
        <w:fldChar w:fldCharType="end"/>
      </w:r>
      <w:r w:rsidRPr="002E3FC4">
        <w:rPr>
          <w:color w:val="000000" w:themeColor="text1"/>
        </w:rPr>
        <w:t xml:space="preserve"> As a result, there is a greater focus on the long-term outcomes for the patient, including renewed skin function, aesthetics and retaining full limb mobility. </w:t>
      </w:r>
    </w:p>
    <w:p w14:paraId="51D75286" w14:textId="19C90439" w:rsidR="009A585B" w:rsidRDefault="009A585B" w:rsidP="009A585B">
      <w:pPr>
        <w:pStyle w:val="Heading3"/>
      </w:pPr>
      <w:bookmarkStart w:id="12" w:name="_Toc305048953"/>
      <w:bookmarkStart w:id="13" w:name="_Toc320882496"/>
      <w:bookmarkStart w:id="14" w:name="_Toc2450970"/>
      <w:r>
        <w:t xml:space="preserve">Burn </w:t>
      </w:r>
      <w:r w:rsidR="009352BF">
        <w:t>w</w:t>
      </w:r>
      <w:r>
        <w:t xml:space="preserve">ound </w:t>
      </w:r>
      <w:r w:rsidR="009352BF">
        <w:t>h</w:t>
      </w:r>
      <w:r>
        <w:t>ealing</w:t>
      </w:r>
      <w:bookmarkEnd w:id="12"/>
      <w:bookmarkEnd w:id="13"/>
      <w:bookmarkEnd w:id="14"/>
    </w:p>
    <w:p w14:paraId="4C85BCF0" w14:textId="7EDD68B0" w:rsidR="009A585B" w:rsidRPr="002E3FC4" w:rsidRDefault="009A585B" w:rsidP="009A585B">
      <w:pPr>
        <w:rPr>
          <w:color w:val="000000" w:themeColor="text1"/>
        </w:rPr>
      </w:pPr>
      <w:r w:rsidRPr="002E3FC4">
        <w:rPr>
          <w:color w:val="000000" w:themeColor="text1"/>
        </w:rPr>
        <w:t xml:space="preserve">To heal, burn wounds must progress through the healing cycle; a series of </w:t>
      </w:r>
      <w:r>
        <w:rPr>
          <w:color w:val="000000" w:themeColor="text1"/>
        </w:rPr>
        <w:t>dynamic</w:t>
      </w:r>
      <w:r w:rsidRPr="002E3FC4">
        <w:rPr>
          <w:color w:val="000000" w:themeColor="text1"/>
        </w:rPr>
        <w:t xml:space="preserve"> stages involving multiple biochemical cascades.</w:t>
      </w:r>
      <w:r w:rsidRPr="002E3FC4">
        <w:rPr>
          <w:color w:val="000000" w:themeColor="text1"/>
        </w:rPr>
        <w:fldChar w:fldCharType="begin" w:fldLock="1"/>
      </w:r>
      <w:r>
        <w:rPr>
          <w:color w:val="000000" w:themeColor="text1"/>
        </w:rPr>
        <w:instrText>ADDIN CSL_CITATION {"citationItems":[{"id":"ITEM-1","itemData":{"DOI":"10.1016/S0039-6109(05)70566-1","ISBN":"0039-6109","ISSN":"0039-6109","PMID":"9194878","abstract":"Wound healing is a complex process involving different biologic and immunologic systems. Despite improvements in diagnostics and therapy, wound failures remain a clinical problem. The approach to a nonhealed wound is an interdisciplinary challenge that should not be underestimated. Better understanding of the complex wound-healing cascade helps our approach to wound healing and its possible failure. Manipulations of the involved immunologic features offer future therapeutic strategies.","author":[{"dropping-particle":"","family":"Witte","given":"M B","non-dropping-particle":"","parse-names":false,"suffix":""},{"dropping-particle":"","family":"Barbul","given":"A","non-dropping-particle":"","parse-names":false,"suffix":""}],"container-title":"The Surgical clinics of North America","id":"ITEM-1","issue":"3","issued":{"date-parts":[["1997"]]},"page":"509-528","title":"General principles of wound healing.","type":"article-journal","volume":"77"},"uris":["http://www.mendeley.com/documents/?uuid=786286cf-eaad-49ca-b721-6d5011839a15"]}],"mendeley":{"formattedCitation":"&lt;sup&gt;21&lt;/sup&gt;","plainTextFormattedCitation":"21","previouslyFormattedCitation":"&lt;sup&gt;21&lt;/sup&gt;"},"properties":{"noteIndex":0},"schema":"https://github.com/citation-style-language/schema/raw/master/csl-citation.json"}</w:instrText>
      </w:r>
      <w:r w:rsidRPr="002E3FC4">
        <w:rPr>
          <w:color w:val="000000" w:themeColor="text1"/>
        </w:rPr>
        <w:fldChar w:fldCharType="separate"/>
      </w:r>
      <w:r w:rsidRPr="00E8189C">
        <w:rPr>
          <w:noProof/>
          <w:color w:val="000000" w:themeColor="text1"/>
          <w:vertAlign w:val="superscript"/>
        </w:rPr>
        <w:t>21</w:t>
      </w:r>
      <w:r w:rsidRPr="002E3FC4">
        <w:rPr>
          <w:color w:val="000000" w:themeColor="text1"/>
        </w:rPr>
        <w:fldChar w:fldCharType="end"/>
      </w:r>
      <w:r w:rsidRPr="002E3FC4">
        <w:rPr>
          <w:color w:val="000000" w:themeColor="text1"/>
        </w:rPr>
        <w:t xml:space="preserve"> Typically, four stages of </w:t>
      </w:r>
      <w:r>
        <w:rPr>
          <w:color w:val="000000" w:themeColor="text1"/>
        </w:rPr>
        <w:t xml:space="preserve">wound </w:t>
      </w:r>
      <w:r w:rsidRPr="002E3FC4">
        <w:rPr>
          <w:color w:val="000000" w:themeColor="text1"/>
        </w:rPr>
        <w:t xml:space="preserve">healing are identified; </w:t>
      </w:r>
      <w:r>
        <w:rPr>
          <w:color w:val="000000" w:themeColor="text1"/>
        </w:rPr>
        <w:t>haemostasis, inflammation</w:t>
      </w:r>
      <w:r w:rsidRPr="002E3FC4">
        <w:rPr>
          <w:color w:val="000000" w:themeColor="text1"/>
        </w:rPr>
        <w:t>, proliferation and remodelling.</w:t>
      </w:r>
      <w:r w:rsidRPr="002E3FC4">
        <w:rPr>
          <w:color w:val="000000" w:themeColor="text1"/>
        </w:rPr>
        <w:fldChar w:fldCharType="begin" w:fldLock="1"/>
      </w:r>
      <w:r>
        <w:rPr>
          <w:color w:val="000000" w:themeColor="text1"/>
        </w:rPr>
        <w:instrText>ADDIN CSL_CITATION {"citationItems":[{"id":"ITEM-1","itemData":{"DOI":"10.1016/j.mpsur.2010.05.007","ISSN":"02639319","abstract":"Wound healing is a complicated process, dependent on the patient's underlying health and nutritional status and also upon the clinician's ability to recognize stages of wound healing. For appropriate management, an understanding of the basic physiology of wound healing is necessary.","author":[{"dropping-particle":"","family":"Beldon","given":"Pauline","non-dropping-particle":"","parse-names":false,"suffix":""}],"container-title":"Surgery","id":"ITEM-1","issue":"9","issued":{"date-parts":[["2010"]]},"page":"409-412","title":"Basic science of wound healing","type":"article-journal","volume":"28"},"uris":["http://www.mendeley.com/documents/?uuid=783e46b2-6aee-4c87-bf33-065a9225d60f"]}],"mendeley":{"formattedCitation":"&lt;sup&gt;22&lt;/sup&gt;","plainTextFormattedCitation":"22","previouslyFormattedCitation":"&lt;sup&gt;22&lt;/sup&gt;"},"properties":{"noteIndex":0},"schema":"https://github.com/citation-style-language/schema/raw/master/csl-citation.json"}</w:instrText>
      </w:r>
      <w:r w:rsidRPr="002E3FC4">
        <w:rPr>
          <w:color w:val="000000" w:themeColor="text1"/>
        </w:rPr>
        <w:fldChar w:fldCharType="separate"/>
      </w:r>
      <w:r w:rsidRPr="00E8189C">
        <w:rPr>
          <w:noProof/>
          <w:color w:val="000000" w:themeColor="text1"/>
          <w:vertAlign w:val="superscript"/>
        </w:rPr>
        <w:t>22</w:t>
      </w:r>
      <w:r w:rsidRPr="002E3FC4">
        <w:rPr>
          <w:color w:val="000000" w:themeColor="text1"/>
        </w:rPr>
        <w:fldChar w:fldCharType="end"/>
      </w:r>
      <w:r w:rsidRPr="009D1CA8">
        <w:rPr>
          <w:color w:val="000000" w:themeColor="text1"/>
          <w:vertAlign w:val="superscript"/>
        </w:rPr>
        <w:t>,</w:t>
      </w:r>
      <w:r>
        <w:rPr>
          <w:color w:val="000000" w:themeColor="text1"/>
        </w:rPr>
        <w:fldChar w:fldCharType="begin" w:fldLock="1"/>
      </w:r>
      <w:r>
        <w:rPr>
          <w:color w:val="000000" w:themeColor="text1"/>
        </w:rPr>
        <w:instrText>ADDIN CSL_CITATION {"citationItems":[{"id":"ITEM-1","itemData":{"ISSN":"0300-0605","PMID":"19930861","abstract":"Wound healing remains a challenging clinical problem and correct, efficient wound management is essential. Much effort has been focused on wound care with an emphasis on new therapeutic approaches and the development of technologies for acute and chronic wound management. Wound healing involves multiple cell populations, the extracellular matrix and the action of soluble mediators such as growth factors and cytokines. Although the process of healing is continuous, it may be arbitrarily divided into four phases: (i) coagulation and haemostasis; (ii) inflammation; (iii) proliferation; and (iv) wound remodelling with scar tissue formation. The correct approach to wound management may effectively influence the clinical outcome. This review discusses wound classification, the physiology of the wound healing process and the methods used in wound management.","author":[{"dropping-particle":"","family":"Velnar","given":"Tomaz","non-dropping-particle":"","parse-names":false,"suffix":""},{"dropping-particle":"","family":"Bailey","given":"T","non-dropping-particle":"","parse-names":false,"suffix":""},{"dropping-particle":"","family":"Smrkolj","given":"V","non-dropping-particle":"","parse-names":false,"suffix":""}],"container-title":"The Journal of international medical research","id":"ITEM-1","issue":"5","issued":{"date-parts":[["2009"]]},"page":"1528-42","title":"The wound healing process: an overview of the cellular and molecular mechanisms.","type":"article-journal","volume":"37"},"uris":["http://www.mendeley.com/documents/?uuid=10c01a9b-8ca7-4192-9ebf-4bb428a474b6"]}],"mendeley":{"formattedCitation":"&lt;sup&gt;23&lt;/sup&gt;","plainTextFormattedCitation":"23","previouslyFormattedCitation":"&lt;sup&gt;23&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23</w:t>
      </w:r>
      <w:r>
        <w:rPr>
          <w:color w:val="000000" w:themeColor="text1"/>
        </w:rPr>
        <w:fldChar w:fldCharType="end"/>
      </w:r>
      <w:r w:rsidRPr="002E3FC4">
        <w:rPr>
          <w:color w:val="000000" w:themeColor="text1"/>
        </w:rPr>
        <w:t xml:space="preserve"> </w:t>
      </w:r>
      <w:r>
        <w:rPr>
          <w:color w:val="000000" w:themeColor="text1"/>
        </w:rPr>
        <w:t>(</w:t>
      </w:r>
      <w:r>
        <w:rPr>
          <w:color w:val="FF0000"/>
        </w:rPr>
        <w:fldChar w:fldCharType="begin"/>
      </w:r>
      <w:r>
        <w:rPr>
          <w:color w:val="000000" w:themeColor="text1"/>
        </w:rPr>
        <w:instrText xml:space="preserve"> REF _Ref524615353 \h </w:instrText>
      </w:r>
      <w:r>
        <w:rPr>
          <w:color w:val="FF0000"/>
        </w:rPr>
      </w:r>
      <w:r>
        <w:rPr>
          <w:color w:val="FF0000"/>
        </w:rPr>
        <w:fldChar w:fldCharType="separate"/>
      </w:r>
      <w:r w:rsidR="00E6157A" w:rsidRPr="009D71E0">
        <w:t xml:space="preserve">Figure </w:t>
      </w:r>
      <w:r w:rsidR="00E6157A">
        <w:rPr>
          <w:noProof/>
        </w:rPr>
        <w:t>1</w:t>
      </w:r>
      <w:r w:rsidR="00E6157A">
        <w:t>.</w:t>
      </w:r>
      <w:r w:rsidR="00E6157A">
        <w:rPr>
          <w:noProof/>
        </w:rPr>
        <w:t>2</w:t>
      </w:r>
      <w:r>
        <w:rPr>
          <w:color w:val="FF0000"/>
        </w:rPr>
        <w:fldChar w:fldCharType="end"/>
      </w:r>
      <w:r>
        <w:rPr>
          <w:color w:val="000000" w:themeColor="text1"/>
        </w:rPr>
        <w:t>).</w:t>
      </w:r>
    </w:p>
    <w:p w14:paraId="41AE305C" w14:textId="77777777" w:rsidR="009A585B" w:rsidRDefault="009A585B" w:rsidP="009A585B">
      <w:r>
        <w:t>Wound healing begins immediately after injury; haemostasis is initiated, performing two key roles. First, a fibrin clot is formed due to the aggregation of platelets and fibrin at the site of injury,</w:t>
      </w:r>
      <w:r>
        <w:fldChar w:fldCharType="begin" w:fldLock="1"/>
      </w:r>
      <w:r>
        <w:instrText>ADDIN CSL_CITATION {"citationItems":[{"id":"ITEM-1","itemData":{"DOI":"10.1016/j.clindermatol.2006.09.007","ISBN":"0738-081X","ISSN":"0738081X","PMID":"17276196","abstract":"Wound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Dermatology","id":"ITEM-1","issue":"1","issued":{"date-parts":[["2007"]]},"page":"9-18","title":"Pathophysiology of acute wound healing","type":"article-journal","volume":"25"},"uris":["http://www.mendeley.com/documents/?uuid=bf44378e-a76a-4514-9e6d-d20272ef893f"]}],"mendeley":{"formattedCitation":"&lt;sup&gt;24&lt;/sup&gt;","plainTextFormattedCitation":"24","previouslyFormattedCitation":"&lt;sup&gt;24&lt;/sup&gt;"},"properties":{"noteIndex":0},"schema":"https://github.com/citation-style-language/schema/raw/master/csl-citation.json"}</w:instrText>
      </w:r>
      <w:r>
        <w:fldChar w:fldCharType="separate"/>
      </w:r>
      <w:r w:rsidRPr="00E8189C">
        <w:rPr>
          <w:noProof/>
          <w:vertAlign w:val="superscript"/>
        </w:rPr>
        <w:t>24</w:t>
      </w:r>
      <w:r>
        <w:fldChar w:fldCharType="end"/>
      </w:r>
      <w:r>
        <w:t xml:space="preserve"> providing a temporary cover to the wound. Second, haemostasis triggers the coagulation cascade from the release of cytokines and growth factors from platelets, causing blood to clot.</w:t>
      </w:r>
      <w:r>
        <w:fldChar w:fldCharType="begin" w:fldLock="1"/>
      </w:r>
      <w:r>
        <w:instrText>ADDIN CSL_CITATION {"citationItems":[{"id":"ITEM-1","itemData":{"DOI":"10.1053/nbin.2001.23176","ISBN":"1527-7941 U6 - ctx_ver=Z39.88-2004&amp;ctx_enc=info%3Aofi%2Fenc%3AUTF-8&amp;rfr_id=info:sid/summon.serialssolutions.com&amp;rft_val_fmt=info:ofi/fmt:kev:mtx:journal&amp;rft.genre=article&amp;rft.atitle=Physiology+of+wound+healing&amp;rft.jtitle=Advances+in+skin+%26+wound+care&amp;rft.au=Hunt%2C+T+K&amp;rft.au=Hopf%2C+H&amp;rft.au=Hussain%2C+Z&amp;rft.date=2000-05-01&amp;rft.issn=1527-7941&amp;rft.volume=13&amp;rft.issue=2 Suppl&amp;rft.spage=6&amp;rft_id=info:pmid/11074996&amp;rft.externalDocID=11074996 U7 - Journal Article U8 - FETCH-LOGICAL-p446-5187fb6b99","ISSN":"15273369","PMID":"11074996","abstract":"Despite the emphasis placed on skin care, hospitalized infants often experience injury to their skin. Although skin injuries vary, they have a common innate mechanism for repair and healing. Wound healing is a physiologic process that involves a series of sequential yet overlapping stages. The first stage, hemostasis, occurs immediately at the time of injury. During hemostasis, a provisional matrix seals the injury site and initiates the process of wound healing. The second stage, inflammation, is triggered by a variety of mediators released from injured tissue cells and capillaries, activated platelets and their cytokines, and the by-products of hemostasis. During the third stage, the wound surface is covered with new skin and vascular and structural integrity are restored as granulation tissue fills the defect. The final stage, remodeling, is responsible for maturation of the granulation tissue into mature connective tissue and/or scar. A thorough understanding of wound healing physiology is an important prerequisite to providing care that optimizes wound healing and prevents unnecessary complications. Many of the current wound care practices are based on tradition rather than scientific knowledge. As the interface between the infant and the environment, nurses are in an ideal position to evaluate the soundness of these wound care practices. Physiologic-based care strategies to enhance wound healing are proposed. Copyright ?? 2001 by W.B. Saunders Company. ?? 2001 W.B. Saunders Company. All rights reserved.","author":[{"dropping-particle":"","family":"Strodtbeck","given":"Frances","non-dropping-particle":"","parse-names":false,"suffix":""}],"container-title":"Newborn and Infant Nursing Reviews","id":"ITEM-1","issue":"1","issued":{"date-parts":[["2001"]]},"page":"43-52","title":"Physiology of wound healing","type":"article-journal","volume":"1"},"uris":["http://www.mendeley.com/documents/?uuid=31cc4750-b844-4b71-8242-c72963baa06d"]}],"mendeley":{"formattedCitation":"&lt;sup&gt;25&lt;/sup&gt;","plainTextFormattedCitation":"25","previouslyFormattedCitation":"&lt;sup&gt;25&lt;/sup&gt;"},"properties":{"noteIndex":0},"schema":"https://github.com/citation-style-language/schema/raw/master/csl-citation.json"}</w:instrText>
      </w:r>
      <w:r>
        <w:fldChar w:fldCharType="separate"/>
      </w:r>
      <w:r w:rsidRPr="00E8189C">
        <w:rPr>
          <w:noProof/>
          <w:vertAlign w:val="superscript"/>
        </w:rPr>
        <w:t>25</w:t>
      </w:r>
      <w:r>
        <w:fldChar w:fldCharType="end"/>
      </w:r>
      <w:r>
        <w:t xml:space="preserve"> Once initial bleeding has been stemmed, several chemotactic factors trigger the inflammatory stage of healing. Inflammatory cells such as neutrophils and monocytes flood to the wound area and attempt to </w:t>
      </w:r>
      <w:r w:rsidRPr="0038703C">
        <w:t>rid the wound of cell debris and bacteria</w:t>
      </w:r>
      <w:r>
        <w:t>.</w:t>
      </w:r>
      <w:r>
        <w:fldChar w:fldCharType="begin" w:fldLock="1"/>
      </w:r>
      <w:r>
        <w:instrText>ADDIN CSL_CITATION {"citationItems":[{"id":"ITEM-1","itemData":{"DOI":"10.1016/S0278-2391(99)90311-7","ISBN":"0094-1298 (Print)\r0094-1298","ISSN":"02782391","PMID":"9696896","abstract":"The human response to injury involves the coordinated interplay of a variety of physiologic processes that result in a healed wound. In a highly reproducible manner, hemostasis is achieved, inflammation is induced, mesenchymal cells migrate into the wounded area and proliferate, revascularization occurs, epithelial continuity is re-established, collagen and other matrix components are synthesized, wound contraction occurs, and the wound remodels itself. These various functions involved in the healing process are all orchestrated by cytokines and other mediators of cellular function.","author":[{"dropping-particle":"","family":"Lawrence","given":"W T","non-dropping-particle":"","parse-names":false,"suffix":""}],"container-title":"Clinics in plastic surgery","id":"ITEM-1","issue":"3","issued":{"date-parts":[["1998"]]},"page":"321-340","title":"Physiology of the acute wound.","type":"article-journal","volume":"25"},"uris":["http://www.mendeley.com/documents/?uuid=431f1d2f-87cd-4d85-8cd6-5c91a03a7c91"]}],"mendeley":{"formattedCitation":"&lt;sup&gt;26&lt;/sup&gt;","plainTextFormattedCitation":"26","previouslyFormattedCitation":"&lt;sup&gt;26&lt;/sup&gt;"},"properties":{"noteIndex":0},"schema":"https://github.com/citation-style-language/schema/raw/master/csl-citation.json"}</w:instrText>
      </w:r>
      <w:r>
        <w:fldChar w:fldCharType="separate"/>
      </w:r>
      <w:r w:rsidRPr="00E8189C">
        <w:rPr>
          <w:noProof/>
          <w:vertAlign w:val="superscript"/>
        </w:rPr>
        <w:t>26</w:t>
      </w:r>
      <w:r>
        <w:fldChar w:fldCharType="end"/>
      </w:r>
      <w:r>
        <w:t xml:space="preserve"> As the inflammatory stage progresses, the abundance of neutrophils decreases and are instead replaced by macrophages. Macrophages are essential for the transition from inflammatory to proliferation by performing phagocytosis to ensure the wound is free from contaminants and by releasing chemotactic agents that initiate fibroblast migration to the wound.</w:t>
      </w:r>
      <w:r>
        <w:fldChar w:fldCharType="begin" w:fldLock="1"/>
      </w:r>
      <w:r>
        <w:instrText>ADDIN CSL_CITATION {"citationItems":[{"id":"ITEM-1","itemData":{"DOI":"10.1053/nbin.2001.23176","ISBN":"1527-7941 U6 - ctx_ver=Z39.88-2004&amp;ctx_enc=info%3Aofi%2Fenc%3AUTF-8&amp;rfr_id=info:sid/summon.serialssolutions.com&amp;rft_val_fmt=info:ofi/fmt:kev:mtx:journal&amp;rft.genre=article&amp;rft.atitle=Physiology+of+wound+healing&amp;rft.jtitle=Advances+in+skin+%26+wound+care&amp;rft.au=Hunt%2C+T+K&amp;rft.au=Hopf%2C+H&amp;rft.au=Hussain%2C+Z&amp;rft.date=2000-05-01&amp;rft.issn=1527-7941&amp;rft.volume=13&amp;rft.issue=2 Suppl&amp;rft.spage=6&amp;rft_id=info:pmid/11074996&amp;rft.externalDocID=11074996 U7 - Journal Article U8 - FETCH-LOGICAL-p446-5187fb6b99","ISSN":"15273369","PMID":"11074996","abstract":"Despite the emphasis placed on skin care, hospitalized infants often experience injury to their skin. Although skin injuries vary, they have a common innate mechanism for repair and healing. Wound healing is a physiologic process that involves a series of sequential yet overlapping stages. The first stage, hemostasis, occurs immediately at the time of injury. During hemostasis, a provisional matrix seals the injury site and initiates the process of wound healing. The second stage, inflammation, is triggered by a variety of mediators released from injured tissue cells and capillaries, activated platelets and their cytokines, and the by-products of hemostasis. During the third stage, the wound surface is covered with new skin and vascular and structural integrity are restored as granulation tissue fills the defect. The final stage, remodeling, is responsible for maturation of the granulation tissue into mature connective tissue and/or scar. A thorough understanding of wound healing physiology is an important prerequisite to providing care that optimizes wound healing and prevents unnecessary complications. Many of the current wound care practices are based on tradition rather than scientific knowledge. As the interface between the infant and the environment, nurses are in an ideal position to evaluate the soundness of these wound care practices. Physiologic-based care strategies to enhance wound healing are proposed. Copyright ?? 2001 by W.B. Saunders Company. ?? 2001 W.B. Saunders Company. All rights reserved.","author":[{"dropping-particle":"","family":"Strodtbeck","given":"Frances","non-dropping-particle":"","parse-names":false,"suffix":""}],"container-title":"Newborn and Infant Nursing Reviews","id":"ITEM-1","issue":"1","issued":{"date-parts":[["2001"]]},"page":"43-52","title":"Physiology of wound healing","type":"article-journal","volume":"1"},"uris":["http://www.mendeley.com/documents/?uuid=31cc4750-b844-4b71-8242-c72963baa06d"]}],"mendeley":{"formattedCitation":"&lt;sup&gt;25&lt;/sup&gt;","plainTextFormattedCitation":"25","previouslyFormattedCitation":"&lt;sup&gt;25&lt;/sup&gt;"},"properties":{"noteIndex":0},"schema":"https://github.com/citation-style-language/schema/raw/master/csl-citation.json"}</w:instrText>
      </w:r>
      <w:r>
        <w:fldChar w:fldCharType="separate"/>
      </w:r>
      <w:r w:rsidRPr="00E8189C">
        <w:rPr>
          <w:noProof/>
          <w:vertAlign w:val="superscript"/>
        </w:rPr>
        <w:t>25</w:t>
      </w:r>
      <w:r>
        <w:fldChar w:fldCharType="end"/>
      </w:r>
      <w:r>
        <w:t xml:space="preserve"> </w:t>
      </w:r>
    </w:p>
    <w:p w14:paraId="528205D9" w14:textId="77777777" w:rsidR="009A585B" w:rsidRDefault="009A585B" w:rsidP="009A585B">
      <w:pPr>
        <w:jc w:val="center"/>
      </w:pPr>
      <w:r>
        <w:rPr>
          <w:noProof/>
        </w:rPr>
        <w:lastRenderedPageBreak/>
        <w:drawing>
          <wp:inline distT="0" distB="0" distL="0" distR="0" wp14:anchorId="391ED3B0" wp14:editId="74EA0100">
            <wp:extent cx="5184700" cy="319461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und healing fig.png"/>
                    <pic:cNvPicPr/>
                  </pic:nvPicPr>
                  <pic:blipFill>
                    <a:blip r:embed="rId14">
                      <a:extLst>
                        <a:ext uri="{28A0092B-C50C-407E-A947-70E740481C1C}">
                          <a14:useLocalDpi xmlns:a14="http://schemas.microsoft.com/office/drawing/2010/main" val="0"/>
                        </a:ext>
                      </a:extLst>
                    </a:blip>
                    <a:stretch>
                      <a:fillRect/>
                    </a:stretch>
                  </pic:blipFill>
                  <pic:spPr>
                    <a:xfrm>
                      <a:off x="0" y="0"/>
                      <a:ext cx="5202840" cy="3205790"/>
                    </a:xfrm>
                    <a:prstGeom prst="rect">
                      <a:avLst/>
                    </a:prstGeom>
                  </pic:spPr>
                </pic:pic>
              </a:graphicData>
            </a:graphic>
          </wp:inline>
        </w:drawing>
      </w:r>
    </w:p>
    <w:p w14:paraId="4F7FF646" w14:textId="23B30DDB" w:rsidR="00782435" w:rsidRPr="009D71E0" w:rsidRDefault="009A585B" w:rsidP="00B63ECD">
      <w:pPr>
        <w:pStyle w:val="Caption"/>
        <w:rPr>
          <w:b w:val="0"/>
          <w:sz w:val="22"/>
        </w:rPr>
      </w:pPr>
      <w:bookmarkStart w:id="15" w:name="_Ref524615353"/>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2</w:t>
      </w:r>
      <w:r w:rsidR="00BE21E4">
        <w:rPr>
          <w:noProof/>
        </w:rPr>
        <w:fldChar w:fldCharType="end"/>
      </w:r>
      <w:bookmarkEnd w:id="15"/>
      <w:r w:rsidRPr="009D71E0">
        <w:t>.</w:t>
      </w:r>
      <w:r w:rsidRPr="009D71E0">
        <w:rPr>
          <w:b w:val="0"/>
        </w:rPr>
        <w:t xml:space="preserve"> Phases of wound healing, diagram adapted from Physiology, Biochemistry and Molecular Biology of the skin</w:t>
      </w:r>
      <w:r w:rsidR="009D71E0">
        <w:rPr>
          <w:b w:val="0"/>
        </w:rPr>
        <w:t>.</w:t>
      </w:r>
      <w:r w:rsidRPr="009D71E0">
        <w:rPr>
          <w:b w:val="0"/>
        </w:rPr>
        <w:fldChar w:fldCharType="begin" w:fldLock="1"/>
      </w:r>
      <w:r w:rsidRPr="009D71E0">
        <w:rPr>
          <w:b w:val="0"/>
        </w:rPr>
        <w:instrText>ADDIN CSL_CITATION {"citationItems":[{"id":"ITEM-1","itemData":{"edition":"Second","editor":[{"dropping-particle":"","family":"Goldsmith","given":"Lowell A","non-dropping-particle":"","parse-names":false,"suffix":""}],"id":"ITEM-1","issued":{"date-parts":[["1991"]]},"number-of-pages":"577","publisher":"Oxford University Press","title":"Physiology, Biochemistry and Molecular Biology of the Skin","type":"book"},"uris":["http://www.mendeley.com/documents/?uuid=a6b45930-b4ac-4c7c-9b32-daaa6dc11db6"]}],"mendeley":{"formattedCitation":"&lt;sup&gt;27&lt;/sup&gt;","plainTextFormattedCitation":"27","previouslyFormattedCitation":"&lt;sup&gt;27&lt;/sup&gt;"},"properties":{"noteIndex":0},"schema":"https://github.com/citation-style-language/schema/raw/master/csl-citation.json"}</w:instrText>
      </w:r>
      <w:r w:rsidRPr="009D71E0">
        <w:rPr>
          <w:b w:val="0"/>
        </w:rPr>
        <w:fldChar w:fldCharType="separate"/>
      </w:r>
      <w:r w:rsidRPr="009D71E0">
        <w:rPr>
          <w:b w:val="0"/>
          <w:i/>
          <w:noProof/>
          <w:vertAlign w:val="superscript"/>
        </w:rPr>
        <w:t>27</w:t>
      </w:r>
      <w:r w:rsidRPr="009D71E0">
        <w:rPr>
          <w:b w:val="0"/>
        </w:rPr>
        <w:fldChar w:fldCharType="end"/>
      </w:r>
    </w:p>
    <w:p w14:paraId="38EF190D" w14:textId="560F80AA" w:rsidR="009A585B" w:rsidRPr="00782435" w:rsidRDefault="009A585B" w:rsidP="00782435">
      <w:pPr>
        <w:rPr>
          <w:sz w:val="22"/>
        </w:rPr>
      </w:pPr>
      <w:r>
        <w:t xml:space="preserve">During </w:t>
      </w:r>
      <w:r w:rsidR="009352BF">
        <w:t xml:space="preserve">the </w:t>
      </w:r>
      <w:r>
        <w:t>proliferation</w:t>
      </w:r>
      <w:r w:rsidR="009352BF">
        <w:t xml:space="preserve"> stage of wound healing</w:t>
      </w:r>
      <w:r>
        <w:t xml:space="preserve">, fibroblasts deposit collagen </w:t>
      </w:r>
      <w:r w:rsidRPr="0038703C">
        <w:t>at th</w:t>
      </w:r>
      <w:r>
        <w:t>e wound bed</w:t>
      </w:r>
      <w:r w:rsidRPr="0038703C">
        <w:t xml:space="preserve"> and new granulation tissue fills the wound area.</w:t>
      </w:r>
      <w:r>
        <w:fldChar w:fldCharType="begin" w:fldLock="1"/>
      </w:r>
      <w:r>
        <w:instrText>ADDIN CSL_CITATION {"citationItems":[{"id":"ITEM-1","itemData":{"DOI":"10.1016/j.clindermatol.2006.09.007","ISBN":"0738-081X","ISSN":"0738081X","PMID":"17276196","abstract":"Wound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Dermatology","id":"ITEM-1","issue":"1","issued":{"date-parts":[["2007"]]},"page":"9-18","title":"Pathophysiology of acute wound healing","type":"article-journal","volume":"25"},"uris":["http://www.mendeley.com/documents/?uuid=bf44378e-a76a-4514-9e6d-d20272ef893f"]}],"mendeley":{"formattedCitation":"&lt;sup&gt;24&lt;/sup&gt;","plainTextFormattedCitation":"24","previouslyFormattedCitation":"&lt;sup&gt;24&lt;/sup&gt;"},"properties":{"noteIndex":0},"schema":"https://github.com/citation-style-language/schema/raw/master/csl-citation.json"}</w:instrText>
      </w:r>
      <w:r>
        <w:fldChar w:fldCharType="separate"/>
      </w:r>
      <w:r w:rsidRPr="00E8189C">
        <w:rPr>
          <w:noProof/>
          <w:vertAlign w:val="superscript"/>
        </w:rPr>
        <w:t>24</w:t>
      </w:r>
      <w:r>
        <w:fldChar w:fldCharType="end"/>
      </w:r>
      <w:r w:rsidRPr="0038703C">
        <w:t xml:space="preserve"> </w:t>
      </w:r>
      <w:r>
        <w:t>At the same time, angiogenesis occurs, increasing vascularisation of the healing wound. R</w:t>
      </w:r>
      <w:r w:rsidRPr="0038703C">
        <w:t xml:space="preserve">e-epithelialisation </w:t>
      </w:r>
      <w:r>
        <w:t>is initiated, prompting keratinocytes to migrate a</w:t>
      </w:r>
      <w:r w:rsidRPr="0038703C">
        <w:t>cross the wound surface</w:t>
      </w:r>
      <w:r>
        <w:t xml:space="preserve"> from the edges of the wound</w:t>
      </w:r>
      <w:r w:rsidRPr="0038703C">
        <w:t xml:space="preserve">, </w:t>
      </w:r>
      <w:r>
        <w:t>providing a protective barrier</w:t>
      </w:r>
      <w:r w:rsidRPr="0038703C">
        <w:t>.</w:t>
      </w:r>
      <w:r>
        <w:fldChar w:fldCharType="begin" w:fldLock="1"/>
      </w:r>
      <w:r>
        <w:instrText>ADDIN CSL_CITATION {"citationItems":[{"id":"ITEM-1","itemData":{"DOI":"10.1053/nbin.2001.23176","ISBN":"1527-7941 U6 - ctx_ver=Z39.88-2004&amp;ctx_enc=info%3Aofi%2Fenc%3AUTF-8&amp;rfr_id=info:sid/summon.serialssolutions.com&amp;rft_val_fmt=info:ofi/fmt:kev:mtx:journal&amp;rft.genre=article&amp;rft.atitle=Physiology+of+wound+healing&amp;rft.jtitle=Advances+in+skin+%26+wound+care&amp;rft.au=Hunt%2C+T+K&amp;rft.au=Hopf%2C+H&amp;rft.au=Hussain%2C+Z&amp;rft.date=2000-05-01&amp;rft.issn=1527-7941&amp;rft.volume=13&amp;rft.issue=2 Suppl&amp;rft.spage=6&amp;rft_id=info:pmid/11074996&amp;rft.externalDocID=11074996 U7 - Journal Article U8 - FETCH-LOGICAL-p446-5187fb6b99","ISSN":"15273369","PMID":"11074996","abstract":"Despite the emphasis placed on skin care, hospitalized infants often experience injury to their skin. Although skin injuries vary, they have a common innate mechanism for repair and healing. Wound healing is a physiologic process that involves a series of sequential yet overlapping stages. The first stage, hemostasis, occurs immediately at the time of injury. During hemostasis, a provisional matrix seals the injury site and initiates the process of wound healing. The second stage, inflammation, is triggered by a variety of mediators released from injured tissue cells and capillaries, activated platelets and their cytokines, and the by-products of hemostasis. During the third stage, the wound surface is covered with new skin and vascular and structural integrity are restored as granulation tissue fills the defect. The final stage, remodeling, is responsible for maturation of the granulation tissue into mature connective tissue and/or scar. A thorough understanding of wound healing physiology is an important prerequisite to providing care that optimizes wound healing and prevents unnecessary complications. Many of the current wound care practices are based on tradition rather than scientific knowledge. As the interface between the infant and the environment, nurses are in an ideal position to evaluate the soundness of these wound care practices. Physiologic-based care strategies to enhance wound healing are proposed. Copyright ?? 2001 by W.B. Saunders Company. ?? 2001 W.B. Saunders Company. All rights reserved.","author":[{"dropping-particle":"","family":"Strodtbeck","given":"Frances","non-dropping-particle":"","parse-names":false,"suffix":""}],"container-title":"Newborn and Infant Nursing Reviews","id":"ITEM-1","issue":"1","issued":{"date-parts":[["2001"]]},"page":"43-52","title":"Physiology of wound healing","type":"article-journal","volume":"1"},"uris":["http://www.mendeley.com/documents/?uuid=31cc4750-b844-4b71-8242-c72963baa06d"]}],"mendeley":{"formattedCitation":"&lt;sup&gt;25&lt;/sup&gt;","plainTextFormattedCitation":"25","previouslyFormattedCitation":"&lt;sup&gt;25&lt;/sup&gt;"},"properties":{"noteIndex":0},"schema":"https://github.com/citation-style-language/schema/raw/master/csl-citation.json"}</w:instrText>
      </w:r>
      <w:r>
        <w:fldChar w:fldCharType="separate"/>
      </w:r>
      <w:r w:rsidRPr="00E8189C">
        <w:rPr>
          <w:noProof/>
          <w:vertAlign w:val="superscript"/>
        </w:rPr>
        <w:t>25</w:t>
      </w:r>
      <w:r>
        <w:fldChar w:fldCharType="end"/>
      </w:r>
      <w:r w:rsidRPr="0038703C">
        <w:t xml:space="preserve"> </w:t>
      </w:r>
      <w:r>
        <w:t>In order to progress the closure of the wound, contraction occurs, where the edges of the wound are brought together.</w:t>
      </w:r>
      <w:r>
        <w:fldChar w:fldCharType="begin" w:fldLock="1"/>
      </w:r>
      <w:r>
        <w:instrText>ADDIN CSL_CITATION {"citationItems":[{"id":"ITEM-1","itemData":{"DOI":"10.12968/jowc.2013.22.8.407","ISBN":"0969-0700 (Print)\\n0969-0700 (Linking)","ISSN":"0969-0700","PMID":"23924840","abstract":"Fibroblasts are critical in supporting normal wound healing, involved in key processes such as breaking down the fibrin clot, creating new extra cellular matrix (ECM) and collagen structures to support the other cells associated with effective wound healing, as well as contracting the wound. This article explores and summarises the research evidence on the role of fibroblasts, their origins and activation, and how they navigate the wound bed, as well as how their activity leads to wound contraction. This article also explores the local conditions at the wound site, which activate, regulate and ultimately reduce the fibroblast activity as the skin's integrity returns on healing.","author":[{"dropping-particle":"","family":"Bainbridge","given":"P","non-dropping-particle":"","parse-names":false,"suffix":""}],"container-title":"Journal of Wound Care","id":"ITEM-1","issue":"8","issued":{"date-parts":[["2013"]]},"page":"407-412","title":"Wound healing and the role of fibroblasts","type":"article-journal","volume":"22"},"uris":["http://www.mendeley.com/documents/?uuid=7d5c96e0-965c-423e-8ff6-7d64076d23c9"]}],"mendeley":{"formattedCitation":"&lt;sup&gt;28&lt;/sup&gt;","plainTextFormattedCitation":"28","previouslyFormattedCitation":"&lt;sup&gt;28&lt;/sup&gt;"},"properties":{"noteIndex":0},"schema":"https://github.com/citation-style-language/schema/raw/master/csl-citation.json"}</w:instrText>
      </w:r>
      <w:r>
        <w:fldChar w:fldCharType="separate"/>
      </w:r>
      <w:r w:rsidRPr="00E8189C">
        <w:rPr>
          <w:noProof/>
          <w:vertAlign w:val="superscript"/>
        </w:rPr>
        <w:t>28</w:t>
      </w:r>
      <w:r>
        <w:fldChar w:fldCharType="end"/>
      </w:r>
      <w:r>
        <w:t xml:space="preserve"> During remodelling, collagen type III that was deposited during the proliferation stage is degraded and collagen type I synthesis is increased.</w:t>
      </w:r>
      <w:r>
        <w:fldChar w:fldCharType="begin" w:fldLock="1"/>
      </w:r>
      <w:r>
        <w:instrText>ADDIN CSL_CITATION {"citationItems":[{"id":"ITEM-1","itemData":{"DOI":"10.1067/j.cpsurg.2008.10.004","ISBN":"0011-3840","ISSN":"1535-6337","PMID":"11452260","author":[{"dropping-particle":"","family":"Robson","given":"M C","non-dropping-particle":"","parse-names":false,"suffix":""},{"dropping-particle":"","family":"Steed","given":"D L","non-dropping-particle":"","parse-names":false,"suffix":""},{"dropping-particle":"","family":"Franz","given":"M G","non-dropping-particle":"","parse-names":false,"suffix":""}],"container-title":"Current problems in surgery","id":"ITEM-1","issue":"2","issued":{"date-parts":[["2001"]]},"page":"72-140","title":"Wound healing: biologic features and approaches to maximize healing trajectories.","type":"article-journal","volume":"38"},"uris":["http://www.mendeley.com/documents/?uuid=219f93df-4505-44a8-93d9-5de85f7cdff4"]}],"mendeley":{"formattedCitation":"&lt;sup&gt;29&lt;/sup&gt;","plainTextFormattedCitation":"29","previouslyFormattedCitation":"&lt;sup&gt;29&lt;/sup&gt;"},"properties":{"noteIndex":0},"schema":"https://github.com/citation-style-language/schema/raw/master/csl-citation.json"}</w:instrText>
      </w:r>
      <w:r>
        <w:fldChar w:fldCharType="separate"/>
      </w:r>
      <w:r w:rsidRPr="00E8189C">
        <w:rPr>
          <w:noProof/>
          <w:vertAlign w:val="superscript"/>
        </w:rPr>
        <w:t>29</w:t>
      </w:r>
      <w:r>
        <w:fldChar w:fldCharType="end"/>
      </w:r>
      <w:r>
        <w:t xml:space="preserve"> The new collagen fibres are cross-linked and orientated in parallel to the wound surface, ultimately leading to the formation of a scar. The remodelling phase of healing can last for several years after injury and aims to restore the structural integrity of the skin. However, full tissue restoration is unlikely, with the new scar tissue having impaired function compared to unwounded tissue, such as a lack of sweat glands.</w:t>
      </w:r>
      <w:r>
        <w:fldChar w:fldCharType="begin" w:fldLock="1"/>
      </w:r>
      <w:r>
        <w:instrText>ADDIN CSL_CITATION {"citationItems":[{"id":"ITEM-1","itemData":{"abstract":"Cosmetic, functional, and structural sequelae of scarring are innumerable, and measures exist to optimize and ultimately minimize these sequelae. To evaluate the innumerable methods available to decrease the cosmetic, functional, and structural repercussions of scarring, pubMed search of the English literature with key words scar, scar revision, scar prevention, scar treatment, scar remodeling, cicatrix, cicatrix treatment, and cicatrix remodeling was done. Original articles and reviews were examined and included. Seventy-nine manuscripts were reviewed. Techniques, comparisons, and results were reviewed and tabulated. Overall, though topical modalities are easier to use and are usually more attractive to the patient, the surgical approaches still prove to be superior and more reliable. However, advances in topical medications for scar modification are on the rise and a change towards medical treatment of scars may emerge as the next best approach. Comparison studies of the innumerable specific modalities for scar revision and prevention are impossible. Standardization of techniques is lacking. Scarring, the body's natural response to a wound, can create many adverse effects. At this point, the practice of sound, surgical fundamentals still trump the most advanced preventative methods and revision techniques. Advances in medical approaches are available, however, to assist the scarring process, which even the most advanced surgical fundamentals will ultimately lead to. Whether through newer topical therapies, light treatment, or classical surgical intervention, our treatment armamentarium of scars has expanded and will allow us to maximize scar prevention and to minimize scar morbidity.","author":[{"dropping-particle":"","family":"Kerwin","given":"Leonard Y","non-dropping-particle":"","parse-names":false,"suffix":""},{"dropping-particle":"","family":"Kader","given":"Abdel","non-dropping-particle":"","parse-names":false,"suffix":""},{"dropping-particle":"","family":"Tal","given":"El","non-dropping-particle":"","parse-names":false,"suffix":""},{"dropping-particle":"","family":"Stiff","given":"Mark A","non-dropping-particle":"","parse-names":false,"suffix":""},{"dropping-particle":"","family":"Fakhouri","given":"Tarek M","non-dropping-particle":"","parse-names":false,"suffix":""}],"id":"ITEM-1","issued":{"date-parts":[["2014"]]},"page":"922-936","title":"Scar prevention and remodeling: a review of the medical, surgical, topical and light treatment approaches","type":"article-journal"},"uris":["http://www.mendeley.com/documents/?uuid=b284e327-fc6a-49d5-9ff2-44fb6bc07e9a"]}],"mendeley":{"formattedCitation":"&lt;sup&gt;30&lt;/sup&gt;","plainTextFormattedCitation":"30","previouslyFormattedCitation":"&lt;sup&gt;30&lt;/sup&gt;"},"properties":{"noteIndex":0},"schema":"https://github.com/citation-style-language/schema/raw/master/csl-citation.json"}</w:instrText>
      </w:r>
      <w:r>
        <w:fldChar w:fldCharType="separate"/>
      </w:r>
      <w:r w:rsidRPr="00E8189C">
        <w:rPr>
          <w:noProof/>
          <w:vertAlign w:val="superscript"/>
        </w:rPr>
        <w:t>30</w:t>
      </w:r>
      <w:r>
        <w:fldChar w:fldCharType="end"/>
      </w:r>
      <w:r w:rsidRPr="003223B6">
        <w:rPr>
          <w:vertAlign w:val="superscript"/>
        </w:rPr>
        <w:t>,</w:t>
      </w:r>
      <w:r>
        <w:fldChar w:fldCharType="begin" w:fldLock="1"/>
      </w:r>
      <w:r>
        <w:instrText>ADDIN CSL_CITATION {"citationItems":[{"id":"ITEM-1","itemData":{"DOI":"10.1016/j.jcyt.2014.10.016","ISSN":"14772566","PMID":"25533933","abstract":"Stem cells are the seeds of tissue repair and regeneration and a promising source for novel therapies. The skin of patients with an extensive deep burn injury is repaired by a hypertrophic scar without regeneration of sweat glands and therefore loses the function of perspiration. Stem cell therapy provides the possibility of sweat gland regeneration. In particular, recent studies have reported the reprogramming of mesenchymal stromal cells into sweat gland-like (SGL) cells. We present an overview of recent researches into sweat gland regeneration with stem cells. Difficulties of sweat gland regeneration after deep burns have been elaborated. The advantage and disadvantage of several stem cell types in sweat gland regeneration have been discussed. Additionally, the possible mechanisms for reprogramming stem cells to SGL cells are summarized. A brief discussion on clinical application of stem cell-derived SGL cells is also presented. This review may possibly provide some implications for sweat gland regeneration.","author":[{"dropping-particle":"","family":"Zhang","given":"Cuiping","non-dropping-particle":"","parse-names":false,"suffix":""},{"dropping-particle":"","family":"Chen","given":"Yan","non-dropping-particle":"","parse-names":false,"suffix":""},{"dropping-particle":"","family":"Fu","given":"Xiaobing","non-dropping-particle":"","parse-names":false,"suffix":""}],"container-title":"Cytotherapy","id":"ITEM-1","issue":"5","issued":{"date-parts":[["2015"]]},"page":"526-535","publisher":"Elsevier Inc","title":"Sweat gland regeneration after burn injury: Is stem cell therapy a new hope?","type":"article-journal","volume":"17"},"uris":["http://www.mendeley.com/documents/?uuid=5d248694-caba-4d7b-86d7-866e21646ee0"]}],"mendeley":{"formattedCitation":"&lt;sup&gt;31&lt;/sup&gt;","plainTextFormattedCitation":"31","previouslyFormattedCitation":"&lt;sup&gt;31&lt;/sup&gt;"},"properties":{"noteIndex":0},"schema":"https://github.com/citation-style-language/schema/raw/master/csl-citation.json"}</w:instrText>
      </w:r>
      <w:r>
        <w:fldChar w:fldCharType="separate"/>
      </w:r>
      <w:r w:rsidRPr="00E8189C">
        <w:rPr>
          <w:noProof/>
          <w:vertAlign w:val="superscript"/>
        </w:rPr>
        <w:t>31</w:t>
      </w:r>
      <w:r>
        <w:fldChar w:fldCharType="end"/>
      </w:r>
      <w:r>
        <w:t xml:space="preserve"> </w:t>
      </w:r>
      <w:r w:rsidRPr="00C065BE">
        <w:rPr>
          <w:color w:val="000000" w:themeColor="text1"/>
        </w:rPr>
        <w:t>The timeline for healing depends largely on the type and depth of wound as well as the individual patient’s health, for example, healing is often slower in patients suffering from</w:t>
      </w:r>
      <w:r>
        <w:rPr>
          <w:color w:val="000000" w:themeColor="text1"/>
        </w:rPr>
        <w:t xml:space="preserve"> co-morbidities such as</w:t>
      </w:r>
      <w:r w:rsidRPr="00C065BE">
        <w:rPr>
          <w:color w:val="000000" w:themeColor="text1"/>
        </w:rPr>
        <w:t xml:space="preserve"> diabetes.</w:t>
      </w:r>
      <w:r w:rsidRPr="00C065BE">
        <w:rPr>
          <w:color w:val="000000" w:themeColor="text1"/>
        </w:rPr>
        <w:fldChar w:fldCharType="begin" w:fldLock="1"/>
      </w:r>
      <w:r>
        <w:rPr>
          <w:color w:val="000000" w:themeColor="text1"/>
        </w:rPr>
        <w:instrText>ADDIN CSL_CITATION {"citationItems":[{"id":"ITEM-1","itemData":{"DOI":"10.1016/S0002-9610(98)00184-6","ISBN":"0002-9610 (Print)","ISSN":"00029610","PMID":"9777971","abstract":"Chronic wounds will often heal in a short period of time if factors that inhibit wound healing are identified and managed. Recombinant growth factor therapy may provide an added stimulus to healing in certain types of chronic wounds. However, there remains no substitute for a physiologic environment conducive to tissue repair and regeneration, without which the efficacy of growth factor therapy is questionable. Some of the most commonly encountered and clinically significant impediments to wound healing include wound hypoxia, infection, presence of debris and necrotic tissue, use of anti- inflammatory medications, a diet deficient in vitamins or minerals, or general nutritional deficiencies, tumors, environmental factors, and metabolic disorders, such as diabetes mellitus. Treatment of chronic wounds should be directed against the main etiologic factors responsible for the wound. Moreover, factors that may impede healing must be identified and, if possible, corrected, for healing to occur.","author":[{"dropping-particle":"","family":"Stadelmann","given":"Wayne K.","non-dropping-particle":"","parse-names":false,"suffix":""},{"dropping-particle":"","family":"Digenis","given":"Alexander G.","non-dropping-particle":"","parse-names":false,"suffix":""},{"dropping-particle":"","family":"Tobin","given":"Gordon R.","non-dropping-particle":"","parse-names":false,"suffix":""}],"container-title":"American Journal of Surgery","id":"ITEM-1","issue":"2 A","issued":{"date-parts":[["1998"]]},"title":"Impediments to wound healing","type":"article-journal","volume":"176"},"uris":["http://www.mendeley.com/documents/?uuid=c027937b-fab2-430d-a6d1-1972f9d10251"]}],"mendeley":{"formattedCitation":"&lt;sup&gt;32&lt;/sup&gt;","plainTextFormattedCitation":"32","previouslyFormattedCitation":"&lt;sup&gt;32&lt;/sup&gt;"},"properties":{"noteIndex":0},"schema":"https://github.com/citation-style-language/schema/raw/master/csl-citation.json"}</w:instrText>
      </w:r>
      <w:r w:rsidRPr="00C065BE">
        <w:rPr>
          <w:color w:val="000000" w:themeColor="text1"/>
        </w:rPr>
        <w:fldChar w:fldCharType="separate"/>
      </w:r>
      <w:r w:rsidRPr="00E8189C">
        <w:rPr>
          <w:noProof/>
          <w:color w:val="000000" w:themeColor="text1"/>
          <w:vertAlign w:val="superscript"/>
        </w:rPr>
        <w:t>32</w:t>
      </w:r>
      <w:r w:rsidRPr="00C065BE">
        <w:rPr>
          <w:color w:val="000000" w:themeColor="text1"/>
        </w:rPr>
        <w:fldChar w:fldCharType="end"/>
      </w:r>
      <w:r>
        <w:t xml:space="preserve"> Any break in the wound healing cycle can lead to stalled healing and the development of a chronic wound.</w:t>
      </w:r>
      <w:bookmarkStart w:id="16" w:name="_Toc305048954"/>
      <w:bookmarkStart w:id="17" w:name="_Toc320882497"/>
      <w:r>
        <w:fldChar w:fldCharType="begin" w:fldLock="1"/>
      </w:r>
      <w:r>
        <w:instrText>ADDIN CSL_CITATION {"citationItems":[{"id":"ITEM-1","itemData":{"DOI":"10.1016/j.mpsur.2010.05.007","ISSN":"02639319","abstract":"Wound healing is a complicated process, dependent on the patient's underlying health and nutritional status and also upon the clinician's ability to recognize stages of wound healing. For appropriate management, an understanding of the basic physiology of wound healing is necessary.","author":[{"dropping-particle":"","family":"Beldon","given":"Pauline","non-dropping-particle":"","parse-names":false,"suffix":""}],"container-title":"Surgery","id":"ITEM-1","issue":"9","issued":{"date-parts":[["2010"]]},"page":"409-412","title":"Basic science of wound healing","type":"article-journal","volume":"28"},"uris":["http://www.mendeley.com/documents/?uuid=783e46b2-6aee-4c87-bf33-065a9225d60f"]}],"mendeley":{"formattedCitation":"&lt;sup&gt;22&lt;/sup&gt;","plainTextFormattedCitation":"22","previouslyFormattedCitation":"&lt;sup&gt;22&lt;/sup&gt;"},"properties":{"noteIndex":0},"schema":"https://github.com/citation-style-language/schema/raw/master/csl-citation.json"}</w:instrText>
      </w:r>
      <w:r>
        <w:fldChar w:fldCharType="separate"/>
      </w:r>
      <w:r w:rsidRPr="00E8189C">
        <w:rPr>
          <w:noProof/>
          <w:vertAlign w:val="superscript"/>
        </w:rPr>
        <w:t>22</w:t>
      </w:r>
      <w:r>
        <w:fldChar w:fldCharType="end"/>
      </w:r>
    </w:p>
    <w:p w14:paraId="47A0DF9D" w14:textId="77777777" w:rsidR="009A585B" w:rsidRDefault="009A585B" w:rsidP="009A585B">
      <w:pPr>
        <w:pStyle w:val="Heading3"/>
      </w:pPr>
      <w:bookmarkStart w:id="18" w:name="_Toc2450971"/>
      <w:r w:rsidRPr="00A837AD">
        <w:lastRenderedPageBreak/>
        <w:t>Burn wound treatment regimes</w:t>
      </w:r>
      <w:bookmarkEnd w:id="16"/>
      <w:bookmarkEnd w:id="17"/>
      <w:bookmarkEnd w:id="18"/>
    </w:p>
    <w:p w14:paraId="01AF665A" w14:textId="77777777" w:rsidR="009A585B" w:rsidRPr="00EC358E" w:rsidRDefault="009A585B" w:rsidP="009A585B">
      <w:pPr>
        <w:rPr>
          <w:color w:val="000000" w:themeColor="text1"/>
        </w:rPr>
      </w:pPr>
      <w:r w:rsidRPr="00670EC0">
        <w:rPr>
          <w:color w:val="000000" w:themeColor="text1"/>
        </w:rPr>
        <w:t xml:space="preserve">Initial burn </w:t>
      </w:r>
      <w:r>
        <w:rPr>
          <w:color w:val="000000" w:themeColor="text1"/>
        </w:rPr>
        <w:t xml:space="preserve">treatment has to address the primary concerns of thermal injury, such as inhalation injury, shock and </w:t>
      </w:r>
      <w:r w:rsidRPr="00670EC0">
        <w:rPr>
          <w:color w:val="000000" w:themeColor="text1"/>
        </w:rPr>
        <w:t>fluid loss. Following this, the key aim is to close the wound to the environment. In superficial and superficial</w:t>
      </w:r>
      <w:r>
        <w:rPr>
          <w:color w:val="000000" w:themeColor="text1"/>
        </w:rPr>
        <w:t>-dermal</w:t>
      </w:r>
      <w:r w:rsidRPr="00670EC0">
        <w:rPr>
          <w:color w:val="000000" w:themeColor="text1"/>
        </w:rPr>
        <w:t xml:space="preserve"> burns, viable cells are </w:t>
      </w:r>
      <w:r>
        <w:rPr>
          <w:color w:val="000000" w:themeColor="text1"/>
        </w:rPr>
        <w:t xml:space="preserve">often </w:t>
      </w:r>
      <w:r w:rsidRPr="00670EC0">
        <w:rPr>
          <w:color w:val="000000" w:themeColor="text1"/>
        </w:rPr>
        <w:t>still present in the wound bed, therefore healing can occur spontaneously. As a result, therapeutic measures may include debriding the area of debris and dead tis</w:t>
      </w:r>
      <w:r>
        <w:rPr>
          <w:color w:val="000000" w:themeColor="text1"/>
        </w:rPr>
        <w:t xml:space="preserve">sue and covering the wound with </w:t>
      </w:r>
      <w:r w:rsidRPr="00670EC0">
        <w:rPr>
          <w:color w:val="000000" w:themeColor="text1"/>
        </w:rPr>
        <w:t>dressings</w:t>
      </w:r>
      <w:r>
        <w:rPr>
          <w:color w:val="000000" w:themeColor="text1"/>
        </w:rPr>
        <w:t xml:space="preserve"> (often containing an antimicrobial)</w:t>
      </w:r>
      <w:r w:rsidRPr="00670EC0">
        <w:rPr>
          <w:color w:val="000000" w:themeColor="text1"/>
        </w:rPr>
        <w:t xml:space="preserve">. </w:t>
      </w:r>
      <w:r>
        <w:t xml:space="preserve">In deep-dermal and full-thickness wounds, the extent of tissue damage can result in a lack of viable cells, such as fibroblasts and keratinocytes, to perform spontaneous healing. In addition, if the burn covers a large surface area, the body is unable to regenerate enough tissue to close the entire wound. Therefore, skin grafting, or the use of dermal substitutes, is considered necessary for healing. </w:t>
      </w:r>
    </w:p>
    <w:p w14:paraId="40F635C8" w14:textId="77777777" w:rsidR="009A585B" w:rsidRDefault="009A585B" w:rsidP="009A585B">
      <w:r>
        <w:t>Autologous skin grafts are the gold standard of care in extensive burn injuries. These are portions of the patient’s own skin, harvested from a healthy donor site on the body. Ideally, graft donor sites should have similar pigmentation and texture to the intended site of transplant, to give the resultant graft optimum aesthetic results. Split-thickness skin grafts (STSG)</w:t>
      </w:r>
      <w:r w:rsidRPr="00966300">
        <w:t xml:space="preserve"> </w:t>
      </w:r>
      <w:r>
        <w:t>contain the epidermis and a portion of the dermis, whilst full-thickness skin grafts (FTSG) contain the full dermal layer. The thickness of the graft and the amount of dermis it contains are directly related to the likelihood of graft survival and graft contracture.</w:t>
      </w:r>
      <w:r>
        <w:fldChar w:fldCharType="begin" w:fldLock="1"/>
      </w:r>
      <w:r>
        <w:instrText>ADDIN CSL_CITATION {"citationItems":[{"id":"ITEM-1","itemData":{"DOI":"10.1016/S0007-1226(69)80053-6","ISSN":"00071226","PMID":"4891590","author":[{"dropping-particle":"V","family":"Corps","given":"B","non-dropping-particle":"","parse-names":false,"suffix":""}],"container-title":"British journal of plastic surgery","id":"ITEM-1","issue":"2","issued":{"date-parts":[["1969"]]},"page":"125-133","title":"The effect of graft thickness, donor site and graft bed on graft shrinkage in the hooded rat.","type":"article-journal","volume":"22"},"uris":["http://www.mendeley.com/documents/?uuid=d9d9b55d-9135-4cc8-a2f9-d57037aad80d"]}],"mendeley":{"formattedCitation":"&lt;sup&gt;33&lt;/sup&gt;","plainTextFormattedCitation":"33","previouslyFormattedCitation":"&lt;sup&gt;33&lt;/sup&gt;"},"properties":{"noteIndex":0},"schema":"https://github.com/citation-style-language/schema/raw/master/csl-citation.json"}</w:instrText>
      </w:r>
      <w:r>
        <w:fldChar w:fldCharType="separate"/>
      </w:r>
      <w:r w:rsidRPr="00E8189C">
        <w:rPr>
          <w:noProof/>
          <w:vertAlign w:val="superscript"/>
        </w:rPr>
        <w:t>33</w:t>
      </w:r>
      <w:r>
        <w:fldChar w:fldCharType="end"/>
      </w:r>
      <w:r w:rsidRPr="00396A4C">
        <w:rPr>
          <w:vertAlign w:val="superscript"/>
        </w:rPr>
        <w:t>,</w:t>
      </w:r>
      <w:r>
        <w:fldChar w:fldCharType="begin" w:fldLock="1"/>
      </w:r>
      <w:r>
        <w:instrText>ADDIN CSL_CITATION {"citationItems":[{"id":"ITEM-1","itemData":{"DOI":"10.1097/GOX.0000000000000426","ISBN":"0000000000000","ISSN":"2169-7574","author":[{"dropping-particle":"","family":"Chan","given":"Rodney K.","non-dropping-particle":"","parse-names":false,"suffix":""},{"dropping-particle":"","family":"Rose","given":"Lloyd F.","non-dropping-particle":"","parse-names":false,"suffix":""},{"dropping-particle":"","family":"Wu","given":"Jesse C.","non-dropping-particle":"","parse-names":false,"suffix":""},{"dropping-particle":"","family":"Tucker","given":"David I.","non-dropping-particle":"","parse-names":false,"suffix":""},{"dropping-particle":"","family":"Chan","given":"Maren M.","non-dropping-particle":"","parse-names":false,"suffix":""},{"dropping-particle":"","family":"Christy","given":"Robert J.","non-dropping-particle":"","parse-names":false,"suffix":""},{"dropping-particle":"","family":"Hale","given":"Robert G.","non-dropping-particle":"","parse-names":false,"suffix":""},{"dropping-particle":"","family":"Leung","given":"Kai P.","non-dropping-particle":"","parse-names":false,"suffix":""}],"container-title":"Plastic and Reconstructive Surgery - Global Open","id":"ITEM-1","issue":"7","issued":{"date-parts":[["2015"]]},"page":"e468","title":"Autologous Graft Thickness Affects Scar Contraction and Quality in a Porcine Excisional Wound Model","type":"article-journal","volume":"3"},"uris":["http://www.mendeley.com/documents/?uuid=d0076161-13f7-4eff-88cc-fb59d3838758"]}],"mendeley":{"formattedCitation":"&lt;sup&gt;34&lt;/sup&gt;","plainTextFormattedCitation":"34","previouslyFormattedCitation":"&lt;sup&gt;34&lt;/sup&gt;"},"properties":{"noteIndex":0},"schema":"https://github.com/citation-style-language/schema/raw/master/csl-citation.json"}</w:instrText>
      </w:r>
      <w:r>
        <w:fldChar w:fldCharType="separate"/>
      </w:r>
      <w:r w:rsidRPr="00E8189C">
        <w:rPr>
          <w:noProof/>
          <w:vertAlign w:val="superscript"/>
        </w:rPr>
        <w:t>34</w:t>
      </w:r>
      <w:r>
        <w:fldChar w:fldCharType="end"/>
      </w:r>
      <w:r>
        <w:t xml:space="preserve"> Whilst FTSG can give superior results over STSG, only small areas of FTSG can be isolated at any time. On the other hand, STSG use a much thinner portion of the skin, therefore larger areas can be harvested. Donor sites for STSG can regenerate more quickly, allowing subsequent grafts to be taken from the same site at more frequent intervals. However, the use of autologous skin grafts in patients with extensive injuries is often unfeasible due to the lack of viable donor sites. Furthermore, the risk of additional scarring and contracture of the graft highlights the need for alternative skin replacement therapies to be examined. </w:t>
      </w:r>
    </w:p>
    <w:p w14:paraId="4079FE25" w14:textId="77777777" w:rsidR="009A585B" w:rsidRDefault="009A585B" w:rsidP="009A585B">
      <w:r w:rsidRPr="009A585B">
        <w:rPr>
          <w:rStyle w:val="Hyperlink"/>
          <w:color w:val="000000" w:themeColor="text1"/>
          <w:u w:val="none"/>
        </w:rPr>
        <w:t xml:space="preserve">As an alternative to skin grafts, cultured epithelial autografts (CEA) of keratinocytes can be prepared from the patient’s own cells and grown to produce an epidermal layer to cover a wound. </w:t>
      </w:r>
      <w:r w:rsidRPr="009A585B">
        <w:t>Studies</w:t>
      </w:r>
      <w:r>
        <w:t xml:space="preserve"> have shown success in covering large burns with CEA, however the time taken to produce a confluent sheet of cells for the transplanted epidermis is lengthy, highlighting a major drawback of this technique.</w:t>
      </w:r>
      <w:r>
        <w:fldChar w:fldCharType="begin" w:fldLock="1"/>
      </w:r>
      <w:r>
        <w:instrText>ADDIN CSL_CITATION {"citationItems":[{"id":"ITEM-1","itemData":{"DOI":"10.1097/00006534-199108000-00079","ISSN":"0032-1052","PMID":"2357130","abstract":"Seven patients with a mean burn size of 69.6% total body-surface area underwent skin grafting with autologous cultured epidermis. They were compared with a historical group of 18 controls, with a mean burn size of 60%, who underwent grafting with conventional meshed split-thickness autograft. There were no statistically significant differences between the two groups in length of hospital stay, total number of surgical operations, or cost. There were no deaths and two major complications in the cultured epidermis group; there were six deaths and 11 major complications in the historical control group. Because of this encouraging early experience, a prospective, randomized study is now in order to evaluate this technology.","author":[{"dropping-particle":"","family":"Munster","given":"A M","non-dropping-particle":"","parse-names":false,"suffix":""},{"dropping-particle":"","family":"Weiner","given":"S H","non-dropping-particle":"","parse-names":false,"suffix":""},{"dropping-particle":"","family":"Spence","given":"R J","non-dropping-particle":"","parse-names":false,"suffix":""}],"container-title":"Annals of surgery","id":"ITEM-1","issue":"6","issued":{"date-parts":[["1990"]]},"page":"676-679; discussion 679-680","title":"Cultured epidermis for the coverage of massive burn wounds. A single center experience.","type":"article-journal","volume":"211"},"uris":["http://www.mendeley.com/documents/?uuid=c3a4d48e-0e90-46b3-a2d4-cab53d4043ab"]}],"mendeley":{"formattedCitation":"&lt;sup&gt;35&lt;/sup&gt;","plainTextFormattedCitation":"35","previouslyFormattedCitation":"&lt;sup&gt;35&lt;/sup&gt;"},"properties":{"noteIndex":0},"schema":"https://github.com/citation-style-language/schema/raw/master/csl-citation.json"}</w:instrText>
      </w:r>
      <w:r>
        <w:fldChar w:fldCharType="separate"/>
      </w:r>
      <w:r w:rsidRPr="00E8189C">
        <w:rPr>
          <w:noProof/>
          <w:vertAlign w:val="superscript"/>
        </w:rPr>
        <w:t>35</w:t>
      </w:r>
      <w:r>
        <w:fldChar w:fldCharType="end"/>
      </w:r>
      <w:r>
        <w:t xml:space="preserve"> Allogenic keratinocytes can be pre-prepared and stored at -80</w:t>
      </w:r>
      <w:r>
        <w:rPr>
          <w:rFonts w:ascii="Cambria" w:hAnsi="Cambria"/>
        </w:rPr>
        <w:t>°</w:t>
      </w:r>
      <w:r>
        <w:t xml:space="preserve">C, allowing them to be ready for </w:t>
      </w:r>
      <w:r>
        <w:lastRenderedPageBreak/>
        <w:t>transplant without the lengthy cell culture period. However, the use of allogenic keratinocytes carries the risk of disease transmission.</w:t>
      </w:r>
    </w:p>
    <w:p w14:paraId="23179CAC" w14:textId="401F1F6F" w:rsidR="009A585B" w:rsidRDefault="009A585B" w:rsidP="009A585B">
      <w:r>
        <w:t>In extensive burns covering a large body surface area, the use of synthetic skin replacements and graft enhancers has shown some promise. Both temporary and permanent skin replacement therapies of biological and synthetic origin have been developed in order to address this clinical need. Temporary synthetic skin substitutes remove the potential for disease transmission and provide protection to the wound whilst more permanent methods of wound closure can be prepared. Commercially available examples include Biobrane</w:t>
      </w:r>
      <w:r>
        <w:rPr>
          <w:rFonts w:ascii="Cambria" w:hAnsi="Cambria"/>
        </w:rPr>
        <w:t>™</w:t>
      </w:r>
      <w:r>
        <w:t>, Transcyte</w:t>
      </w:r>
      <w:r>
        <w:rPr>
          <w:rFonts w:ascii="Cambria" w:hAnsi="Cambria"/>
        </w:rPr>
        <w:t>™</w:t>
      </w:r>
      <w:r>
        <w:t xml:space="preserve"> and Apilgraf</w:t>
      </w:r>
      <w:r>
        <w:sym w:font="Symbol" w:char="F0D2"/>
      </w:r>
      <w:r>
        <w:t xml:space="preserve">. Permanent skin substitutes </w:t>
      </w:r>
      <w:r w:rsidRPr="001A6AD3">
        <w:t>replace lost skin in patients with</w:t>
      </w:r>
      <w:r w:rsidR="009B106D">
        <w:t xml:space="preserve"> high %</w:t>
      </w:r>
      <w:r w:rsidRPr="001A6AD3">
        <w:t xml:space="preserve"> TBSA</w:t>
      </w:r>
      <w:r>
        <w:t>,</w:t>
      </w:r>
      <w:r w:rsidRPr="001A6AD3">
        <w:t xml:space="preserve"> or severe, deep burns. </w:t>
      </w:r>
      <w:r>
        <w:t xml:space="preserve">A study by Demircan </w:t>
      </w:r>
      <w:r w:rsidRPr="006F6C27">
        <w:rPr>
          <w:i/>
        </w:rPr>
        <w:t>et al</w:t>
      </w:r>
      <w:r>
        <w:t>. reported the use of a collagen-elastin matrix to serve as a scaffold under split-thickness skin grafts in children with severe facial burns.</w:t>
      </w:r>
      <w:r>
        <w:fldChar w:fldCharType="begin" w:fldLock="1"/>
      </w:r>
      <w:r>
        <w:instrText>ADDIN CSL_CITATION {"citationItems":[{"id":"ITEM-1","itemData":{"DOI":"10.1016/j.burns.2015.01.007","ISSN":"0305-4179","author":[{"dropping-particle":"","family":"Demircan","given":"Mehmet","non-dropping-particle":"","parse-names":false,"suffix":""},{"dropping-particle":"","family":"Cicek","given":"Tugrul","non-dropping-particle":"","parse-names":false,"suffix":""},{"dropping-particle":"","family":"Yetis","given":"Muhammed Ikbal","non-dropping-particle":"","parse-names":false,"suffix":""}],"container-title":"Burns","id":"ITEM-1","issued":{"date-parts":[["2015"]]},"page":"1-7","publisher":"Elsevier Ltd and International Society of Burns Injuries","title":"Preliminary results in single-step wound closure procedure of full-thickness facial burns in children by using the collagen – elastin matrix and review of pediatric facial burns §","type":"article-journal"},"uris":["http://www.mendeley.com/documents/?uuid=b617ba2e-9cc8-4707-b615-c6a65e44fb1e"]}],"mendeley":{"formattedCitation":"&lt;sup&gt;36&lt;/sup&gt;","plainTextFormattedCitation":"36","previouslyFormattedCitation":"&lt;sup&gt;36&lt;/sup&gt;"},"properties":{"noteIndex":0},"schema":"https://github.com/citation-style-language/schema/raw/master/csl-citation.json"}</w:instrText>
      </w:r>
      <w:r>
        <w:fldChar w:fldCharType="separate"/>
      </w:r>
      <w:r w:rsidRPr="00E8189C">
        <w:rPr>
          <w:noProof/>
          <w:vertAlign w:val="superscript"/>
        </w:rPr>
        <w:t>36</w:t>
      </w:r>
      <w:r>
        <w:fldChar w:fldCharType="end"/>
      </w:r>
      <w:r>
        <w:t xml:space="preserve"> Graft survival was successful in all 15 patients who received the collagen-elastin matrix scaffold,</w:t>
      </w:r>
      <w:r w:rsidRPr="00966300">
        <w:t xml:space="preserve"> </w:t>
      </w:r>
      <w:r>
        <w:t xml:space="preserve">with only two patients requiring further operations for graft remodelling. </w:t>
      </w:r>
      <w:r w:rsidRPr="001A6AD3">
        <w:t>Integra</w:t>
      </w:r>
      <w:r>
        <w:rPr>
          <w:rFonts w:ascii="Cambria" w:hAnsi="Cambria"/>
        </w:rPr>
        <w:t>®</w:t>
      </w:r>
      <w:r w:rsidRPr="001A6AD3">
        <w:t xml:space="preserve"> is a permanent dermal replacement medium consisting of two layers; a bovine derived dermal analogue of collagen</w:t>
      </w:r>
      <w:r>
        <w:t xml:space="preserve"> and </w:t>
      </w:r>
      <w:r w:rsidRPr="00C700CC">
        <w:t>shark chondroitin-6-sulfate</w:t>
      </w:r>
      <w:r>
        <w:t xml:space="preserve">, </w:t>
      </w:r>
      <w:r w:rsidRPr="001A6AD3">
        <w:t>with a silicone layer as a temporary epidermis. It is the most widely used skin substitute in burn patients</w:t>
      </w:r>
      <w:r>
        <w:fldChar w:fldCharType="begin" w:fldLock="1"/>
      </w:r>
      <w:r>
        <w:instrText>ADDIN CSL_CITATION {"citationItems":[{"id":"ITEM-1","itemData":{"DOI":"10.1054/hips.2002.3800","ISBN":"0007-1226 (Print)\\r0007-1226 (Linking)","ISSN":"0007-1226","PMID":"12041969","abstract":"The role of artificial skin substitutes in burn surgery and the treatment of chronic wounds is constantly evolving. New products are regularly being produced and approved for clinical use. Studies on existing products clarify their efficacy and effectiveness in different clinical scenarios. This review is aimed at busy clinicians in order to bring them up to date with the latest developments in the field of artificial skin substitutes. It examines the components, structure, performance and comparative costs of the main commercial skin substitutes, and reviews briefly technologies under development that have not yet become widely available.","author":[{"dropping-particle":"","family":"Jones","given":"I","non-dropping-particle":"","parse-names":false,"suffix":""},{"dropping-particle":"","family":"Currie","given":"L","non-dropping-particle":"","parse-names":false,"suffix":""},{"dropping-particle":"","family":"Martin","given":"R","non-dropping-particle":"","parse-names":false,"suffix":""}],"container-title":"British journal of plastic surgery","id":"ITEM-1","issue":"3","issued":{"date-parts":[["2002"]]},"page":"185-193","title":"A guide to biological skin substitutes.","type":"article-journal","volume":"55"},"uris":["http://www.mendeley.com/documents/?uuid=6a3767e0-c1d8-43cf-a0df-6c1633f79718"]}],"mendeley":{"formattedCitation":"&lt;sup&gt;37&lt;/sup&gt;","plainTextFormattedCitation":"37","previouslyFormattedCitation":"&lt;sup&gt;37&lt;/sup&gt;"},"properties":{"noteIndex":0},"schema":"https://github.com/citation-style-language/schema/raw/master/csl-citation.json"}</w:instrText>
      </w:r>
      <w:r>
        <w:fldChar w:fldCharType="separate"/>
      </w:r>
      <w:r w:rsidRPr="00E8189C">
        <w:rPr>
          <w:noProof/>
          <w:vertAlign w:val="superscript"/>
        </w:rPr>
        <w:t>37</w:t>
      </w:r>
      <w:r>
        <w:fldChar w:fldCharType="end"/>
      </w:r>
      <w:r>
        <w:t xml:space="preserve"> and has been used for wound closure and treatment of hypertrophic and contracted scars. After surgical placement on a freshly excised wound, the dermal portion of Integra</w:t>
      </w:r>
      <w:r w:rsidRPr="00ED54F1">
        <w:t>® undergoes biointegration with the patient’s own cells over a period of approximately 3-4 weeks. After biointegration,</w:t>
      </w:r>
      <w:r w:rsidRPr="00966300">
        <w:rPr>
          <w:color w:val="000000" w:themeColor="text1"/>
        </w:rPr>
        <w:t xml:space="preserve"> the temporary silicone layer is removed and replaced with an autologous split-thickness skin graft.</w:t>
      </w:r>
      <w:r w:rsidRPr="00966300">
        <w:rPr>
          <w:color w:val="000000" w:themeColor="text1"/>
        </w:rPr>
        <w:fldChar w:fldCharType="begin" w:fldLock="1"/>
      </w:r>
      <w:r>
        <w:rPr>
          <w:color w:val="000000" w:themeColor="text1"/>
        </w:rPr>
        <w:instrText>ADDIN CSL_CITATION {"citationItems":[{"id":"ITEM-1","itemData":{"DOI":"10.1097/00006534-198212000-00092","ISBN":"0003-4932 (Print)\\n0003-4932 (Linking)","ISSN":"0032-1052","PMID":"6792993","abstract":"A bilayer artificial skin composed of a temporary Silastic epidermis and a porous collagen-chondroitn 6-sulfate fibrillar dermis, which is not removed, has been used to physiologically close up to 60% of the body surface following prompt excision of burn wounds in ten patients whose total burn size covered 50--95% body surface area (BSA). Following grafting, the dermal portion is populated with fibroblasts and vessels from the wound bed. The anatomic structure of the artificial dermis resembles normal dermis and serves as a template for the synthesis of new connective tissue and the formation of a \"neodermis,\" while it is slowly biodegraded. This artificial skin has physiologically closed excised burn wounds for periods of time up to 46 days before the Silastic epidermis was removed. At the time of election when donor sites are ready for reharvesting, the Silastic epidermis is removed from the vascularized artificial dermis and replaced with 0.004 autoepidermal graft in sheet or meshed form. Clinical and histologic experience in a relatively short follow-up period (2--16 months) indicates that \"neodermis\" retains some of the anatomic characteristics and behavior of normal dermis, thus promising improvement in the functional and cosmetic results, as well as providing physiologic function as a skin substitute. The artificial skin is easily sterilized and stored at room temperature, capable of large scale production, and immediately available for grafting, indicating its potential for easy and relatively economic use in the burn patient.","author":[{"dropping-particle":"","family":"Burke","given":"J F","non-dropping-particle":"","parse-names":false,"suffix":""},{"dropping-particle":"V","family":"Yannas","given":"I","non-dropping-particle":"","parse-names":false,"suffix":""},{"dropping-particle":"","family":"Quinby","given":"W C","non-dropping-particle":"","parse-names":false,"suffix":""},{"dropping-particle":"","family":"Bondoc","given":"C C","non-dropping-particle":"","parse-names":false,"suffix":""},{"dropping-particle":"","family":"Jung","given":"W K","non-dropping-particle":"","parse-names":false,"suffix":""}],"container-title":"Annals of surgery","id":"ITEM-1","issue":"4","issued":{"date-parts":[["1981"]]},"page":"413-428","title":"Successful use of a physiologically acceptable artificial skin in the treatment of extensive burn injury.","type":"article-journal","volume":"194"},"uris":["http://www.mendeley.com/documents/?uuid=ce7f0631-3df4-4594-8bec-375ad6c3f4e3"]}],"mendeley":{"formattedCitation":"&lt;sup&gt;38&lt;/sup&gt;","plainTextFormattedCitation":"38","previouslyFormattedCitation":"&lt;sup&gt;38&lt;/sup&gt;"},"properties":{"noteIndex":0},"schema":"https://github.com/citation-style-language/schema/raw/master/csl-citation.json"}</w:instrText>
      </w:r>
      <w:r w:rsidRPr="00966300">
        <w:rPr>
          <w:color w:val="000000" w:themeColor="text1"/>
        </w:rPr>
        <w:fldChar w:fldCharType="separate"/>
      </w:r>
      <w:r w:rsidRPr="00E8189C">
        <w:rPr>
          <w:noProof/>
          <w:color w:val="000000" w:themeColor="text1"/>
          <w:vertAlign w:val="superscript"/>
        </w:rPr>
        <w:t>38</w:t>
      </w:r>
      <w:r w:rsidRPr="00966300">
        <w:rPr>
          <w:color w:val="000000" w:themeColor="text1"/>
        </w:rPr>
        <w:fldChar w:fldCharType="end"/>
      </w:r>
      <w:r w:rsidRPr="00966300">
        <w:rPr>
          <w:color w:val="000000" w:themeColor="text1"/>
        </w:rPr>
        <w:t xml:space="preserve"> An early clinical study of 17 burn patients treated with Integra® </w:t>
      </w:r>
      <w:r>
        <w:rPr>
          <w:color w:val="000000" w:themeColor="text1"/>
        </w:rPr>
        <w:t>reported</w:t>
      </w:r>
      <w:r w:rsidRPr="00966300">
        <w:rPr>
          <w:color w:val="000000" w:themeColor="text1"/>
        </w:rPr>
        <w:t xml:space="preserve"> generally positive functional and cosmetic outcomes</w:t>
      </w:r>
      <w:r>
        <w:rPr>
          <w:color w:val="000000" w:themeColor="text1"/>
        </w:rPr>
        <w:t xml:space="preserve">, with </w:t>
      </w:r>
      <w:r w:rsidRPr="00966300">
        <w:rPr>
          <w:color w:val="000000" w:themeColor="text1"/>
        </w:rPr>
        <w:t xml:space="preserve">seroma and haematoma formation </w:t>
      </w:r>
      <w:r>
        <w:rPr>
          <w:color w:val="000000" w:themeColor="text1"/>
        </w:rPr>
        <w:t xml:space="preserve">found </w:t>
      </w:r>
      <w:r w:rsidRPr="00966300">
        <w:rPr>
          <w:color w:val="000000" w:themeColor="text1"/>
        </w:rPr>
        <w:t>in</w:t>
      </w:r>
      <w:r>
        <w:rPr>
          <w:color w:val="000000" w:themeColor="text1"/>
        </w:rPr>
        <w:t xml:space="preserve"> only</w:t>
      </w:r>
      <w:r w:rsidRPr="00966300">
        <w:rPr>
          <w:color w:val="000000" w:themeColor="text1"/>
        </w:rPr>
        <w:t xml:space="preserve"> 3 patients.</w:t>
      </w:r>
      <w:r w:rsidRPr="00966300">
        <w:rPr>
          <w:color w:val="000000" w:themeColor="text1"/>
        </w:rPr>
        <w:fldChar w:fldCharType="begin" w:fldLock="1"/>
      </w:r>
      <w:r>
        <w:rPr>
          <w:color w:val="000000" w:themeColor="text1"/>
        </w:rPr>
        <w:instrText>ADDIN CSL_CITATION {"citationItems":[{"id":"ITEM-1","itemData":{"DOI":"10.1016/j.burns.2009.02.023","ISBN":"1879-1409 (Electronic)\\r0305-4179 (Linking)","ISSN":"03054179","PMID":"19477602","abstract":"Integra Artificial Skin®, a biosynthetic dermal template, is well established in acute burn surgery. The aim of the study was to determine the role of Integra in the surgical treatment of postburn scars in a younger population. Between March 1998 and November 2004, 17 patients (n = 17; mean age = 13.15 years) underwent complete excision of hypertrophic scars or keloids (1-4% TBSA; extremities = 47%, head/neck = 35%, trunk = 18%) with subsequent implantation of Integra for defect closure. Split thickness skin grafting (STSG) of the Integra-derived neodermis was performed 3 weeks after the first operation. Scar excision and primary Integra implantation was successful in all but one patient (94%) who (6%) needed reimplantation once. Integra's mean take rate was 99.7% for all primarily successful patients. Complications occurred in three patients (18%), including minor problems without long-term consequences in 12% (seroma formation), and major problems in 6% (hematoma formation). Take rate of STSG ranged from 50% to 100% (mean 94%). Functional and cosmetic long-term outcome showed results scored \"excellent\" in 53%, \"good\" in 36%, and \"fair\" in 11%. Comparison of pre- and postoperative findings revealed a significant functional improvement in all and a considerable cosmetic improvement in all but two patients. These results suggest that Integra is a valid new treatment modality for extensive burn scar revision in younger patients. © 2009 Elsevier Ltd and ISBI.","author":[{"dropping-particle":"","family":"Stiefel","given":"Dorothea","non-dropping-particle":"","parse-names":false,"suffix":""},{"dropping-particle":"","family":"Schiestl","given":"Clemens","non-dropping-particle":"","parse-names":false,"suffix":""},{"dropping-particle":"","family":"Meuli","given":"Martin","non-dropping-particle":"","parse-names":false,"suffix":""}],"container-title":"Burns","id":"ITEM-1","issue":"1","issued":{"date-parts":[["2010"]]},"page":"114-120","title":"Integra Artificial Skin® for burn scar revision in adolescents and children","type":"article-journal","volume":"36"},"uris":["http://www.mendeley.com/documents/?uuid=a6b96408-8b40-498e-a3d6-2642ae6c9c35"]}],"mendeley":{"formattedCitation":"&lt;sup&gt;39&lt;/sup&gt;","plainTextFormattedCitation":"39","previouslyFormattedCitation":"&lt;sup&gt;39&lt;/sup&gt;"},"properties":{"noteIndex":0},"schema":"https://github.com/citation-style-language/schema/raw/master/csl-citation.json"}</w:instrText>
      </w:r>
      <w:r w:rsidRPr="00966300">
        <w:rPr>
          <w:color w:val="000000" w:themeColor="text1"/>
        </w:rPr>
        <w:fldChar w:fldCharType="separate"/>
      </w:r>
      <w:r w:rsidRPr="00E8189C">
        <w:rPr>
          <w:noProof/>
          <w:color w:val="000000" w:themeColor="text1"/>
          <w:vertAlign w:val="superscript"/>
        </w:rPr>
        <w:t>39</w:t>
      </w:r>
      <w:r w:rsidRPr="00966300">
        <w:rPr>
          <w:color w:val="000000" w:themeColor="text1"/>
        </w:rPr>
        <w:fldChar w:fldCharType="end"/>
      </w:r>
      <w:r w:rsidRPr="00966300">
        <w:rPr>
          <w:color w:val="000000" w:themeColor="text1"/>
        </w:rPr>
        <w:t xml:space="preserve"> A</w:t>
      </w:r>
      <w:r>
        <w:rPr>
          <w:color w:val="000000" w:themeColor="text1"/>
        </w:rPr>
        <w:t>n additional</w:t>
      </w:r>
      <w:r w:rsidRPr="00966300">
        <w:rPr>
          <w:color w:val="000000" w:themeColor="text1"/>
        </w:rPr>
        <w:t xml:space="preserve"> study </w:t>
      </w:r>
      <w:r w:rsidRPr="00ED54F1">
        <w:t>of 12 patients undergoing breast reconstruction after thermal injury in childhood reported 100</w:t>
      </w:r>
      <w:r>
        <w:t> </w:t>
      </w:r>
      <w:r w:rsidRPr="00ED54F1">
        <w:t>% take of Integra®</w:t>
      </w:r>
      <w:r>
        <w:t>,</w:t>
      </w:r>
      <w:r w:rsidRPr="00ED54F1">
        <w:t xml:space="preserve"> as well as no clinically-relevant contractures of the </w:t>
      </w:r>
      <w:r w:rsidRPr="00966300">
        <w:rPr>
          <w:color w:val="000000" w:themeColor="text1"/>
        </w:rPr>
        <w:t>wounds.</w:t>
      </w:r>
      <w:r w:rsidRPr="00966300">
        <w:rPr>
          <w:color w:val="000000" w:themeColor="text1"/>
        </w:rPr>
        <w:fldChar w:fldCharType="begin" w:fldLock="1"/>
      </w:r>
      <w:r>
        <w:rPr>
          <w:color w:val="000000" w:themeColor="text1"/>
        </w:rPr>
        <w:instrText>ADDIN CSL_CITATION {"citationItems":[{"id":"ITEM-1","itemData":{"DOI":"10.1016/S0007-1226(03)00101-2","ISBN":"0007-1226 (Print)\\n0007-1226 (Linking)","ISSN":"00071226","PMID":"12859921","abstract":"Reconstruction of the burned breast poses several clinical challenges, since scarring can adversely affect the development, contour and positioning of the breast as well as the cosmetic appearance of the skin surface. Conventional management entails contracture release and thick split-thickness skin grafting. We investigated an alternative approach employing dermal regeneration template (Integra) for breast reconstruction in 12 consecutive patients who had suffered anterior chest wall burns in childhood. Integra is a bilayer material consisting of a collagen and chondroitin-6-sulfate dermal regeneration template and a temporary silicone epidermal layer. Portions of the scar contracture preventing the breast from assuming the desired shape and position were excised. Unmeshed Integra sheets were applied to the wound bed immediately following excision. Sufficient vascularization of the forming neodermis occurred within 28 days on average to enable removal of the silicone layer and placement of unmeshed 0.005 in. epidermal autografts. Upon histological examination one month postoperatively, naturally-formed collagen fibres were observed in the dermal regeneration template. By one year, host collagen had typically completely replaced the Integra matrix, and elastic fibres were evident throughout the neodermis. Durable improvements in breast contour and shape were attained in all patients, and clinically-relevant recontracture of the graft site did not occur within the follow-up period. A statistically significant improvement of 6.0 (95% CI, 5.0-6.5) in Vancouver Scar Scale score was demonstrated at one year. A very high level of satisfaction in the outcome of reconstruction was expressed by 92% of the patients. Grafting with Integra provides an effective and well-tolerated alter-native to thick split-thickness grafting for breast reconstruction. Chief advantages are the availability of a biocompatible material in unlimited quantity that can be tailored to the particular wound site and the avoidance of a deep donor site wound with attendant potential for infection, scarring and permanent pigment changes. © 2003 The British Association of Plastic Surgeons. Published by Elsevier Science Ltd. All rights reserved.","author":[{"dropping-particle":"","family":"Palao","given":"Ricardo","non-dropping-particle":"","parse-names":false,"suffix":""},{"dropping-particle":"","family":"Gómez","given":"Pablo Angel","non-dropping-particle":"","parse-names":false,"suffix":""},{"dropping-particle":"","family":"Huguet","given":"Pere","non-dropping-particle":"","parse-names":false,"suffix":""}],"container-title":"British Journal of Plastic Surgery","id":"ITEM-1","issue":"3","issued":{"date-parts":[["2003"]]},"page":"252-259","title":"Burned breast reconstructive surgery with integra dermal regeneration template","type":"article-journal","volume":"56"},"uris":["http://www.mendeley.com/documents/?uuid=33a3af21-e883-43ca-87fa-1b5119e4771b"]}],"mendeley":{"formattedCitation":"&lt;sup&gt;40&lt;/sup&gt;","plainTextFormattedCitation":"40","previouslyFormattedCitation":"&lt;sup&gt;40&lt;/sup&gt;"},"properties":{"noteIndex":0},"schema":"https://github.com/citation-style-language/schema/raw/master/csl-citation.json"}</w:instrText>
      </w:r>
      <w:r w:rsidRPr="00966300">
        <w:rPr>
          <w:color w:val="000000" w:themeColor="text1"/>
        </w:rPr>
        <w:fldChar w:fldCharType="separate"/>
      </w:r>
      <w:r w:rsidRPr="00E8189C">
        <w:rPr>
          <w:noProof/>
          <w:color w:val="000000" w:themeColor="text1"/>
          <w:vertAlign w:val="superscript"/>
        </w:rPr>
        <w:t>40</w:t>
      </w:r>
      <w:r w:rsidRPr="00966300">
        <w:rPr>
          <w:color w:val="000000" w:themeColor="text1"/>
        </w:rPr>
        <w:fldChar w:fldCharType="end"/>
      </w:r>
      <w:r w:rsidRPr="00966300">
        <w:rPr>
          <w:color w:val="000000" w:themeColor="text1"/>
        </w:rPr>
        <w:t xml:space="preserve"> The high </w:t>
      </w:r>
      <w:r w:rsidRPr="00ED54F1">
        <w:t>cost of Integra® is a major drawback</w:t>
      </w:r>
      <w:r w:rsidR="009352BF">
        <w:t>, limiting</w:t>
      </w:r>
      <w:r w:rsidRPr="00ED54F1">
        <w:t xml:space="preserve"> the widespread use of this therapy.</w:t>
      </w:r>
      <w:r>
        <w:rPr>
          <w:rFonts w:ascii="Cambria" w:hAnsi="Cambria"/>
        </w:rPr>
        <w:t xml:space="preserve"> </w:t>
      </w:r>
    </w:p>
    <w:p w14:paraId="5BE2340C" w14:textId="77777777" w:rsidR="009A585B" w:rsidRPr="00DA4912" w:rsidRDefault="009A585B" w:rsidP="005837C4">
      <w:pPr>
        <w:pStyle w:val="Heading2"/>
        <w:ind w:left="567" w:hanging="567"/>
      </w:pPr>
      <w:bookmarkStart w:id="19" w:name="_Toc2450972"/>
      <w:r>
        <w:t>Post-burn contractures</w:t>
      </w:r>
      <w:bookmarkEnd w:id="19"/>
    </w:p>
    <w:p w14:paraId="0FF387BB" w14:textId="300589CF" w:rsidR="009A585B" w:rsidRPr="00321295" w:rsidRDefault="009A585B" w:rsidP="009A585B">
      <w:r>
        <w:t>Scar contracture is the progressive tightening of a scar after a wound has closed (</w:t>
      </w:r>
      <w:r>
        <w:fldChar w:fldCharType="begin"/>
      </w:r>
      <w:r>
        <w:instrText xml:space="preserve"> REF _Ref524616848 \h </w:instrText>
      </w:r>
      <w:r>
        <w:fldChar w:fldCharType="separate"/>
      </w:r>
      <w:r w:rsidR="00E6157A" w:rsidRPr="009D71E0">
        <w:t xml:space="preserve">Figure </w:t>
      </w:r>
      <w:r w:rsidR="00E6157A">
        <w:rPr>
          <w:noProof/>
        </w:rPr>
        <w:t>1</w:t>
      </w:r>
      <w:r w:rsidR="00E6157A">
        <w:t>.</w:t>
      </w:r>
      <w:r w:rsidR="00E6157A">
        <w:rPr>
          <w:noProof/>
        </w:rPr>
        <w:t>3</w:t>
      </w:r>
      <w:r>
        <w:fldChar w:fldCharType="end"/>
      </w:r>
      <w:r>
        <w:t>). Contracture is a common occurrence in post-burn scars, with a recent study reporting contractures in 33 % of adult burn patients.</w:t>
      </w:r>
      <w:r>
        <w:fldChar w:fldCharType="begin" w:fldLock="1"/>
      </w:r>
      <w:r>
        <w:instrText>ADDIN CSL_CITATION {"citationItems":[{"id":"ITEM-1","itemData":{"DOI":"10.1097/BCR.0000000000000380","ISBN":"0000000000000","ISSN":"15590488","PMID":"27380122","abstract":"As the overall survival rate for burn injury has improved, increased emphasis is placed on postburn morbidity and the optimization of functional and cosmetic outcomes. One major cause of morbidity and functional deficits is that of joint contractures. The true incidence of postburn contractures and their associated risk factors remains unknown. This study examines the incidence and severity of contractures in a large, multicenter, burn population. The associated risk factors for the development of contractures are determined. Data from the National Institute on Disability and Rehabilitation Research Burn Model System database, for adult burn survivors from 1994 to 2003, were analyzed. Demographic and medical data were collected on each subject. The primary outcome measures included the presence of contractures, number of contractures per patient, and severity of contractures at each of nine locations (shoulder, elbow, hip, knee, ankle, wrist, neck, lumbar spine, and thoracic spine) at time of hospital discharge. Regression analysis was performed to determine predictors of the presence, severity, and numbers of contractures, with P &lt; .05 used for statistical significance. Of the 1865 study patients, 620 (33%) developed at least 1 contracture at hospital discharge. Among those with at least one contracture, the mean is three (3.38) contractures per person. The shoulder was the most frequently contracted joint (23.0%), followed by the elbow (19.9%), wrist (17.3%), ankle (13.6%), and knee (13.4%). Most contractures were mild (47.2%) or moderate (32.9%) in severity. Statistically significant predictors of contracture development were male sex, black race, Hispanic ethnicity, medical problems, neuropathy, TBSA grafted, and TBSA burned. Predictors of the severity of contracture included male sex, black race, medical problems, neuropathy, TBSA grafted, and TBSA burned. Predictors of the number of contractures included male sex, medical problems, flash burn, neuropathy, TBSA burned, and TBSA grafted. Similar to a previous single-center study on postburn contractures, approximately one third of the patients with an eligible burn injury requiring autografting developed a contracture at hospital discharge. It is likely that these contractures develop despite early therapeutic interventions such as positioning and splinting; therefore, the challenge to the burn community remains, to identify new and better prevention strategies.","author":[{"dropping-particle":"","family":"Goverman","given":"Jeremy","non-dropping-particle":"","parse-names":false,"suffix":""},{"dropping-particle":"","family":"Mathews","given":"Katie","non-dropping-particle":"","parse-names":false,"suffix":""},{"dropping-particle":"","family":"Goldstein","given":"Richard","non-dropping-particle":"","parse-names":false,"suffix":""},{"dropping-particle":"","family":"Holavanahalli","given":"Radha","non-dropping-particle":"","parse-names":false,"suffix":""},{"dropping-particle":"","family":"Kowalske","given":"Karen","non-dropping-particle":"","parse-names":false,"suffix":""},{"dropping-particle":"","family":"Esselman","given":"Peter","non-dropping-particle":"","parse-names":false,"suffix":""},{"dropping-particle":"","family":"Gibran","given":"Nicole","non-dropping-particle":"","parse-names":false,"suffix":""},{"dropping-particle":"","family":"Suman","given":"Oscar","non-dropping-particle":"","parse-names":false,"suffix":""},{"dropping-particle":"","family":"Herndon","given":"David","non-dropping-particle":"","parse-names":false,"suffix":""},{"dropping-particle":"","family":"Ryan","given":"Colleen M.","non-dropping-particle":"","parse-names":false,"suffix":""},{"dropping-particle":"","family":"Schneider","given":"Jeffrey C.","non-dropping-particle":"","parse-names":false,"suffix":""}],"container-title":"Journal of Burn Care and Research","id":"ITEM-1","issue":"1","issued":{"date-parts":[["2017"]]},"page":"e328-e336","title":"Adult Contractures in Burn Injury: A Burn Model System National Database Study","type":"article-journal","volume":"38"},"uris":["http://www.mendeley.com/documents/?uuid=a94d665a-3bd4-48ac-8d92-dc0f2e673e34"]}],"mendeley":{"formattedCitation":"&lt;sup&gt;41&lt;/sup&gt;","plainTextFormattedCitation":"41","previouslyFormattedCitation":"&lt;sup&gt;41&lt;/sup&gt;"},"properties":{"noteIndex":0},"schema":"https://github.com/citation-style-language/schema/raw/master/csl-citation.json"}</w:instrText>
      </w:r>
      <w:r>
        <w:fldChar w:fldCharType="separate"/>
      </w:r>
      <w:r w:rsidRPr="00E8189C">
        <w:rPr>
          <w:noProof/>
          <w:vertAlign w:val="superscript"/>
        </w:rPr>
        <w:t>41</w:t>
      </w:r>
      <w:r>
        <w:fldChar w:fldCharType="end"/>
      </w:r>
      <w:r>
        <w:t xml:space="preserve"> Contractures cause pain, </w:t>
      </w:r>
      <w:r>
        <w:lastRenderedPageBreak/>
        <w:t>distortion of the underlying tissue and</w:t>
      </w:r>
      <w:r>
        <w:rPr>
          <w:color w:val="000000" w:themeColor="text1"/>
        </w:rPr>
        <w:t xml:space="preserve">, when present across joints, </w:t>
      </w:r>
      <w:r w:rsidRPr="00CA06D2">
        <w:rPr>
          <w:color w:val="000000" w:themeColor="text1"/>
        </w:rPr>
        <w:t xml:space="preserve">result in </w:t>
      </w:r>
      <w:r>
        <w:rPr>
          <w:color w:val="000000" w:themeColor="text1"/>
        </w:rPr>
        <w:t xml:space="preserve">a </w:t>
      </w:r>
      <w:r w:rsidRPr="00CA06D2">
        <w:rPr>
          <w:color w:val="000000" w:themeColor="text1"/>
        </w:rPr>
        <w:t>significantly reduced range of motion.</w:t>
      </w:r>
      <w:r w:rsidRPr="00CA06D2">
        <w:rPr>
          <w:color w:val="000000" w:themeColor="text1"/>
        </w:rPr>
        <w:fldChar w:fldCharType="begin" w:fldLock="1"/>
      </w:r>
      <w:r>
        <w:rPr>
          <w:color w:val="000000" w:themeColor="text1"/>
        </w:rPr>
        <w:instrText>ADDIN CSL_CITATION {"citationItems":[{"id":"ITEM-1","itemData":{"DOI":"10.1186/s41038-017-0086-8","ISBN":"4103801700868","ISSN":"2321-3876","PMID":"28717655","abstract":"A neck scar contracture can severely and negatively affect the function of mastication, phonic, or breathing and result in neck pain and issues with esthetics. The best way is of course to avoid such contracture by means of non-surgical treatment such as use of a growth factor. The basic fibroblastic growth factor is clinically well proven in decreasing scar formation and improving healing. There are numerous reconstructive methods for neck contracture, especially when the lesions are relatively limited in part of the neck. However, a very severe and full circumferential scar contracture requires extensive reconstruction. The thin groin flap is one of the answers and well matches with the tissue texture and maintains the flexibility. Even with extensive burns and delayed reconstructions due to resuscitation first, the groin area is well preserved and can be safely harvested by dual vasculature systems of the superficial circumflex iliac artery and superficial epigastric artery, which warrant more reliability compared to the perforator flaps in this area. More demanding and stringent forms of the neck burn scar contracture are the sequelae of radiation. A radiation burn or radiation injury can be progressing and hard to heal. Adipose-derived stem cells can reverse the scar contracture as the surrounding tissue is softened and can accelerate wound healing. In this review, different types of neck burn scar contracture and reconstructive methods are summarized, including innovative use of bFGF and ADSCs in the management of difficult wound healing and scar contracture.","author":[{"dropping-particle":"","family":"Akita","given":"Sadanori","non-dropping-particle":"","parse-names":false,"suffix":""},{"dropping-particle":"","family":"Hayashida","given":"Kenji","non-dropping-particle":"","parse-names":false,"suffix":""},{"dropping-particle":"","family":"Takaki","given":"Satoshi","non-dropping-particle":"","parse-names":false,"suffix":""},{"dropping-particle":"","family":"Kawakami","given":"Yoshihisa","non-dropping-particle":"","parse-names":false,"suffix":""},{"dropping-particle":"","family":"Oyama","given":"Takuto","non-dropping-particle":"","parse-names":false,"suffix":""},{"dropping-particle":"","family":"Ohjimi","given":"Hiroyuki","non-dropping-particle":"","parse-names":false,"suffix":""}],"container-title":"Burns &amp; Trauma","id":"ITEM-1","issue":"1","issued":{"date-parts":[["2017"]]},"page":"22","publisher":"Burns &amp; Trauma","title":"The neck burn scar contracture: a concept of effective treatment","type":"article-journal","volume":"5"},"uris":["http://www.mendeley.com/documents/?uuid=5f055c20-64c4-4912-a2f8-4d7992800624"]}],"mendeley":{"formattedCitation":"&lt;sup&gt;42&lt;/sup&gt;","plainTextFormattedCitation":"42","previouslyFormattedCitation":"&lt;sup&gt;42&lt;/sup&gt;"},"properties":{"noteIndex":0},"schema":"https://github.com/citation-style-language/schema/raw/master/csl-citation.json"}</w:instrText>
      </w:r>
      <w:r w:rsidRPr="00CA06D2">
        <w:rPr>
          <w:color w:val="000000" w:themeColor="text1"/>
        </w:rPr>
        <w:fldChar w:fldCharType="separate"/>
      </w:r>
      <w:r w:rsidRPr="00E8189C">
        <w:rPr>
          <w:noProof/>
          <w:color w:val="000000" w:themeColor="text1"/>
          <w:vertAlign w:val="superscript"/>
        </w:rPr>
        <w:t>42</w:t>
      </w:r>
      <w:r w:rsidRPr="00CA06D2">
        <w:rPr>
          <w:color w:val="000000" w:themeColor="text1"/>
        </w:rPr>
        <w:fldChar w:fldCharType="end"/>
      </w:r>
      <w:r w:rsidRPr="00CA06D2">
        <w:rPr>
          <w:color w:val="000000" w:themeColor="text1"/>
        </w:rPr>
        <w:t xml:space="preserve"> This can lead to difficulties performing everyday tasks such as bathing and cooking. In addition to the physical impairments, contractures have been shown to have a detrimental </w:t>
      </w:r>
      <w:r>
        <w:t>effect on a patient’s quality of life.</w:t>
      </w:r>
      <w:r>
        <w:fldChar w:fldCharType="begin" w:fldLock="1"/>
      </w:r>
      <w:r>
        <w:instrText>ADDIN CSL_CITATION {"citationItems":[{"id":"ITEM-1","itemData":{"DOI":"10.1097/01.BCR.0000245652.26648.36","ISBN":"1559-047X (Print)\\r1559-047X (Linking)","ISSN":"1559047X","PMID":"17091084","abstract":"We sought to investigate quality of life, and to specifically assess how joint contracture affects it, in patients with burn injuries. The study is involved 22 adults with burn injuries. Patients were divided into two groups according to the presence (n = 11) or absence (n = 11) of any joint contracture. Patient age, sex, date of burn injury, burn type, location, and extent of burn (TBSA) were recorded for each case. Each individual underwent a thorough musculoskeletal system examination, with special focus on range of motion of the joints. Quality of life was evaluated using the Short Form 36 (SF-36). Eight (36.4%) of the patients were women, and 14 (63.6%) were men, and their mean age (+/- SE) was 24.7 +/- 4.68 years. The mean interval from injury to the study assessment was 21.45 +/- 14.69 months. Eleven patients (50%) had at least one joint contracture. The patients with one or more contractures had significantly lower scores for the SF-36 subscales of physical functioning, physical role limitations, bodily pain, and vitality (P = .05, P = .01, P = .04, and P = .02, respectively). In the 22 patients overall, TBSA was negatively correlated with the scores for the SF-36 subscales vitality and emotional role limitations (r = -.586 and r = -.805, respectively). Joint contracture does impact burn patients' quality of life, especially with respect to physical functioning, physical role limitations, bodily pain, and vitality. In addition, the amount of BSA burned is correlated with psychosocial problems and poorer quality of life, regardless of whether joint contractures develop.","author":[{"dropping-particle":"","family":"Leblebici","given":"Berrin","non-dropping-particle":"","parse-names":false,"suffix":""},{"dropping-particle":"","family":"Adam","given":"Mehmet","non-dropping-particle":"","parse-names":false,"suffix":""},{"dropping-particle":"","family":"Baǧiş","given":"Selda","non-dropping-particle":"","parse-names":false,"suffix":""},{"dropping-particle":"","family":"Tarim","given":"Akin M.","non-dropping-particle":"","parse-names":false,"suffix":""},{"dropping-particle":"","family":"Noyan","given":"Turgut","non-dropping-particle":"","parse-names":false,"suffix":""},{"dropping-particle":"","family":"Akman","given":"Mahmut N.","non-dropping-particle":"","parse-names":false,"suffix":""},{"dropping-particle":"","family":"Haberal","given":"Mehmet A.","non-dropping-particle":"","parse-names":false,"suffix":""}],"container-title":"Journal of Burn Care and Research","id":"ITEM-1","issue":"6","issued":{"date-parts":[["2006"]]},"page":"864-868","title":"Quality of life after burn injury: The impact of joint contracture","type":"article-journal","volume":"27"},"uris":["http://www.mendeley.com/documents/?uuid=f89806f4-6a96-48f2-a660-e54212f9e795"]}],"mendeley":{"formattedCitation":"&lt;sup&gt;43&lt;/sup&gt;","plainTextFormattedCitation":"43","previouslyFormattedCitation":"&lt;sup&gt;43&lt;/sup&gt;"},"properties":{"noteIndex":0},"schema":"https://github.com/citation-style-language/schema/raw/master/csl-citation.json"}</w:instrText>
      </w:r>
      <w:r>
        <w:fldChar w:fldCharType="separate"/>
      </w:r>
      <w:r w:rsidRPr="00E8189C">
        <w:rPr>
          <w:noProof/>
          <w:vertAlign w:val="superscript"/>
        </w:rPr>
        <w:t>43</w:t>
      </w:r>
      <w:r>
        <w:fldChar w:fldCharType="end"/>
      </w:r>
      <w:r>
        <w:t xml:space="preserve"> Additional surgeries are often required to treat scar contractures, as well as further rehabilitation therapy, increasing patient hospital stays and the cost of burn care.</w:t>
      </w:r>
      <w:r>
        <w:rPr>
          <w:color w:val="000000" w:themeColor="text1"/>
        </w:rPr>
        <w:t xml:space="preserve"> </w:t>
      </w:r>
    </w:p>
    <w:p w14:paraId="0CAABC78" w14:textId="77777777" w:rsidR="009A585B" w:rsidRDefault="009A585B" w:rsidP="009A585B">
      <w:pPr>
        <w:keepNext/>
        <w:spacing w:line="240" w:lineRule="auto"/>
        <w:jc w:val="center"/>
      </w:pPr>
      <w:r>
        <w:rPr>
          <w:noProof/>
          <w:color w:val="FF0000"/>
          <w:lang w:val="en-US"/>
        </w:rPr>
        <w:drawing>
          <wp:inline distT="0" distB="0" distL="0" distR="0" wp14:anchorId="51FDADEC" wp14:editId="6A3BA76C">
            <wp:extent cx="4748537" cy="2685327"/>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urn scar contracture_fig.jpeg"/>
                    <pic:cNvPicPr/>
                  </pic:nvPicPr>
                  <pic:blipFill rotWithShape="1">
                    <a:blip r:embed="rId15">
                      <a:extLst>
                        <a:ext uri="{28A0092B-C50C-407E-A947-70E740481C1C}">
                          <a14:useLocalDpi xmlns:a14="http://schemas.microsoft.com/office/drawing/2010/main" val="0"/>
                        </a:ext>
                      </a:extLst>
                    </a:blip>
                    <a:srcRect t="28152" r="15625"/>
                    <a:stretch/>
                  </pic:blipFill>
                  <pic:spPr bwMode="auto">
                    <a:xfrm>
                      <a:off x="0" y="0"/>
                      <a:ext cx="4753090" cy="2687902"/>
                    </a:xfrm>
                    <a:prstGeom prst="rect">
                      <a:avLst/>
                    </a:prstGeom>
                    <a:ln>
                      <a:noFill/>
                    </a:ln>
                    <a:extLst>
                      <a:ext uri="{53640926-AAD7-44D8-BBD7-CCE9431645EC}">
                        <a14:shadowObscured xmlns:a14="http://schemas.microsoft.com/office/drawing/2010/main"/>
                      </a:ext>
                    </a:extLst>
                  </pic:spPr>
                </pic:pic>
              </a:graphicData>
            </a:graphic>
          </wp:inline>
        </w:drawing>
      </w:r>
    </w:p>
    <w:p w14:paraId="0D0D0F87" w14:textId="27F7967E" w:rsidR="009A585B" w:rsidRPr="009D71E0" w:rsidRDefault="009A585B" w:rsidP="009D71E0">
      <w:pPr>
        <w:pStyle w:val="Caption"/>
        <w:jc w:val="center"/>
        <w:rPr>
          <w:b w:val="0"/>
          <w:color w:val="FF0000"/>
        </w:rPr>
      </w:pPr>
      <w:bookmarkStart w:id="20" w:name="_Ref524616848"/>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3</w:t>
      </w:r>
      <w:r w:rsidR="00BE21E4">
        <w:rPr>
          <w:noProof/>
        </w:rPr>
        <w:fldChar w:fldCharType="end"/>
      </w:r>
      <w:bookmarkEnd w:id="20"/>
      <w:r w:rsidRPr="009D71E0">
        <w:t>.</w:t>
      </w:r>
      <w:r w:rsidRPr="009D71E0">
        <w:rPr>
          <w:b w:val="0"/>
        </w:rPr>
        <w:t xml:space="preserve"> A patient with burn scar contracture to neck and right armpit</w:t>
      </w:r>
      <w:r w:rsidR="009352BF">
        <w:rPr>
          <w:b w:val="0"/>
        </w:rPr>
        <w:t>.</w:t>
      </w:r>
      <w:r w:rsidRPr="009D71E0">
        <w:rPr>
          <w:b w:val="0"/>
        </w:rPr>
        <w:fldChar w:fldCharType="begin" w:fldLock="1"/>
      </w:r>
      <w:r w:rsidRPr="009D71E0">
        <w:rPr>
          <w:b w:val="0"/>
        </w:rPr>
        <w:instrText>ADDIN CSL_CITATION {"citationItems":[{"id":"ITEM-1","itemData":{"URL":"https://www.rodmd.com/surgical-missions.html","accessed":{"date-parts":[["2018","9","13"]]},"author":[{"dropping-particle":"","family":"Rodriguez","given":"Benjamin","non-dropping-particle":"","parse-names":false,"suffix":""}],"id":"ITEM-1","issued":{"date-parts":[["2002"]]},"title":"Benjamin Rodriguez MD Surgical Missions","type":"webpage"},"uris":["http://www.mendeley.com/documents/?uuid=8aaeb23c-0549-4040-a994-0728576b48f4"]}],"mendeley":{"formattedCitation":"&lt;sup&gt;44&lt;/sup&gt;","plainTextFormattedCitation":"44","previouslyFormattedCitation":"&lt;sup&gt;44&lt;/sup&gt;"},"properties":{"noteIndex":0},"schema":"https://github.com/citation-style-language/schema/raw/master/csl-citation.json"}</w:instrText>
      </w:r>
      <w:r w:rsidRPr="009D71E0">
        <w:rPr>
          <w:b w:val="0"/>
        </w:rPr>
        <w:fldChar w:fldCharType="separate"/>
      </w:r>
      <w:r w:rsidRPr="009D71E0">
        <w:rPr>
          <w:b w:val="0"/>
          <w:i/>
          <w:noProof/>
          <w:vertAlign w:val="superscript"/>
        </w:rPr>
        <w:t>44</w:t>
      </w:r>
      <w:r w:rsidRPr="009D71E0">
        <w:rPr>
          <w:b w:val="0"/>
        </w:rPr>
        <w:fldChar w:fldCharType="end"/>
      </w:r>
    </w:p>
    <w:p w14:paraId="49196FE8" w14:textId="77777777" w:rsidR="009A585B" w:rsidRDefault="009A585B" w:rsidP="009A585B">
      <w:pPr>
        <w:pStyle w:val="Heading3"/>
      </w:pPr>
      <w:bookmarkStart w:id="21" w:name="_Toc2450973"/>
      <w:r>
        <w:t>Current treatments for scar contracture</w:t>
      </w:r>
      <w:bookmarkEnd w:id="21"/>
    </w:p>
    <w:p w14:paraId="6FE6E428" w14:textId="77777777" w:rsidR="009A585B" w:rsidRPr="00321295" w:rsidRDefault="009A585B" w:rsidP="009A585B">
      <w:pPr>
        <w:rPr>
          <w:color w:val="000000" w:themeColor="text1"/>
        </w:rPr>
      </w:pPr>
      <w:r w:rsidRPr="00BD40CB">
        <w:rPr>
          <w:color w:val="000000" w:themeColor="text1"/>
        </w:rPr>
        <w:t xml:space="preserve">Current methods to treat scar contractures use either preventative techniques, to </w:t>
      </w:r>
      <w:r>
        <w:rPr>
          <w:color w:val="000000" w:themeColor="text1"/>
        </w:rPr>
        <w:t>reduce the likelihood of a contracture</w:t>
      </w:r>
      <w:r w:rsidRPr="00BD40CB">
        <w:rPr>
          <w:color w:val="000000" w:themeColor="text1"/>
        </w:rPr>
        <w:t xml:space="preserve"> forming, or remodelling techniques, that aim to release the tension in the contracted scar. </w:t>
      </w:r>
    </w:p>
    <w:p w14:paraId="07CBBA50" w14:textId="77777777" w:rsidR="009A585B" w:rsidRDefault="009A585B" w:rsidP="009A585B">
      <w:pPr>
        <w:pStyle w:val="Heading3"/>
      </w:pPr>
      <w:bookmarkStart w:id="22" w:name="_Toc2450974"/>
      <w:r>
        <w:t>Preventative strategies</w:t>
      </w:r>
      <w:bookmarkEnd w:id="22"/>
    </w:p>
    <w:p w14:paraId="2DB73235" w14:textId="77777777" w:rsidR="009A585B" w:rsidRDefault="009A585B" w:rsidP="009A585B">
      <w:pPr>
        <w:rPr>
          <w:color w:val="FF0000"/>
        </w:rPr>
      </w:pPr>
      <w:r w:rsidRPr="00BB3486">
        <w:rPr>
          <w:color w:val="000000" w:themeColor="text1"/>
        </w:rPr>
        <w:t xml:space="preserve">The current clinical guidelines for </w:t>
      </w:r>
      <w:r>
        <w:rPr>
          <w:color w:val="000000" w:themeColor="text1"/>
        </w:rPr>
        <w:t xml:space="preserve">the </w:t>
      </w:r>
      <w:r w:rsidRPr="00BB3486">
        <w:rPr>
          <w:color w:val="000000" w:themeColor="text1"/>
        </w:rPr>
        <w:t>prevention of burn scar contracture</w:t>
      </w:r>
      <w:r>
        <w:rPr>
          <w:color w:val="000000" w:themeColor="text1"/>
        </w:rPr>
        <w:t>s</w:t>
      </w:r>
      <w:r w:rsidRPr="00BB3486">
        <w:rPr>
          <w:color w:val="000000" w:themeColor="text1"/>
        </w:rPr>
        <w:t xml:space="preserve"> are to use compression garments and splints to exert mechanical forces on the scar.</w:t>
      </w:r>
      <w:r w:rsidRPr="00F17D2D">
        <w:rPr>
          <w:color w:val="000000" w:themeColor="text1"/>
        </w:rPr>
        <w:fldChar w:fldCharType="begin" w:fldLock="1"/>
      </w:r>
      <w:r>
        <w:rPr>
          <w:color w:val="000000" w:themeColor="text1"/>
        </w:rPr>
        <w:instrText>ADDIN CSL_CITATION {"citationItems":[{"id":"ITEM-1","itemData":{"DOI":"10.1097/00005373-197605000-00033","ISSN":"0022-5282","PMID":"1106246","abstract":"Two hundred patients with neck burns were analyzed to determine the incidence of contractures. It was found that only 8 per cent of patients with second degree burns had contractures, all of which were mild. Both the overall incidence of cervical contractures in patients with third degree neck burns and their severity can be decreased by the use of a custom-formed isoprene splint. Splinting should begin as soon as possible after the burn and continue until scar maturation is complete.","author":[{"dropping-particle":"","family":"Bunchman","given":"H H","non-dropping-particle":"","parse-names":false,"suffix":""},{"dropping-particle":"","family":"Huang","given":"T T","non-dropping-particle":"","parse-names":false,"suffix":""},{"dropping-particle":"","family":"Larson","given":"D L","non-dropping-particle":"","parse-names":false,"suffix":""},{"dropping-particle":"","family":"Lewis","given":"S R","non-dropping-particle":"","parse-names":false,"suffix":""}],"container-title":"American journal of surgery","id":"ITEM-1","issue":"6","issued":{"date-parts":[["1975"]]},"page":"700-703","title":"Prevention and management of contractures in patients with burns of the neck.","type":"article-journal","volume":"130"},"uris":["http://www.mendeley.com/documents/?uuid=dda58bc9-f337-4bc5-ac6a-c4bfb07e83c7"]}],"mendeley":{"formattedCitation":"&lt;sup&gt;45&lt;/sup&gt;","plainTextFormattedCitation":"45","previouslyFormattedCitation":"&lt;sup&gt;45&lt;/sup&gt;"},"properties":{"noteIndex":0},"schema":"https://github.com/citation-style-language/schema/raw/master/csl-citation.json"}</w:instrText>
      </w:r>
      <w:r w:rsidRPr="00F17D2D">
        <w:rPr>
          <w:color w:val="000000" w:themeColor="text1"/>
        </w:rPr>
        <w:fldChar w:fldCharType="separate"/>
      </w:r>
      <w:r w:rsidRPr="00E8189C">
        <w:rPr>
          <w:noProof/>
          <w:color w:val="000000" w:themeColor="text1"/>
          <w:vertAlign w:val="superscript"/>
        </w:rPr>
        <w:t>45</w:t>
      </w:r>
      <w:r w:rsidRPr="00F17D2D">
        <w:rPr>
          <w:color w:val="000000" w:themeColor="text1"/>
        </w:rPr>
        <w:fldChar w:fldCharType="end"/>
      </w:r>
      <w:r w:rsidRPr="00F17D2D">
        <w:rPr>
          <w:color w:val="000000" w:themeColor="text1"/>
        </w:rPr>
        <w:t xml:space="preserve"> These treatments have changed very little over the last few decades</w:t>
      </w:r>
      <w:r>
        <w:rPr>
          <w:color w:val="000000" w:themeColor="text1"/>
        </w:rPr>
        <w:t xml:space="preserve">, and the exact mechanism of how pressure therapy works remains unclear. In the literature, evidence </w:t>
      </w:r>
      <w:r w:rsidRPr="00BB3486">
        <w:rPr>
          <w:color w:val="000000" w:themeColor="text1"/>
        </w:rPr>
        <w:t xml:space="preserve">for the use of pressure garment therapy (PGT) to prevent hypertrophic scarring and contracture is conflicting. </w:t>
      </w:r>
      <w:r>
        <w:rPr>
          <w:color w:val="000000" w:themeColor="text1"/>
        </w:rPr>
        <w:t>On the one hand, m</w:t>
      </w:r>
      <w:r w:rsidRPr="00BB3486">
        <w:rPr>
          <w:color w:val="000000" w:themeColor="text1"/>
        </w:rPr>
        <w:t>any sources advocate the use of PGT</w:t>
      </w:r>
      <w:r>
        <w:rPr>
          <w:color w:val="000000" w:themeColor="text1"/>
        </w:rPr>
        <w:t xml:space="preserve"> and demonstrate positive outcomes from its application</w:t>
      </w:r>
      <w:r w:rsidRPr="00BB3486">
        <w:rPr>
          <w:color w:val="000000" w:themeColor="text1"/>
        </w:rPr>
        <w:t>.</w:t>
      </w:r>
      <w:r w:rsidRPr="00BB3486">
        <w:rPr>
          <w:color w:val="000000" w:themeColor="text1"/>
        </w:rPr>
        <w:fldChar w:fldCharType="begin" w:fldLock="1"/>
      </w:r>
      <w:r>
        <w:rPr>
          <w:color w:val="000000" w:themeColor="text1"/>
        </w:rPr>
        <w:instrText>ADDIN CSL_CITATION {"citationItems":[{"id":"ITEM-1","itemData":{"DOI":"10.1016/S0305-4179(80)80007-6","ISSN":"03054179","author":[{"dropping-particle":"","family":"Leung","given":"P.C.","non-dropping-particle":"","parse-names":false,"suffix":""},{"dropping-particle":"","family":"Ng","given":"Margaret","non-dropping-particle":"","parse-names":false,"suffix":""}],"container-title":"Burns","id":"ITEM-1","issue":"4","issued":{"date-parts":[["1980"]]},"page":"244-250","title":"Pressure treatment for hypertrophic scars resulting from burns","type":"article-journal","volume":"6"},"uris":["http://www.mendeley.com/documents/?uuid=fec06578-f6b6-412a-baed-f3ddf4a9d8a8"]}],"mendeley":{"formattedCitation":"&lt;sup&gt;46&lt;/sup&gt;","plainTextFormattedCitation":"46","previouslyFormattedCitation":"&lt;sup&gt;46&lt;/sup&gt;"},"properties":{"noteIndex":0},"schema":"https://github.com/citation-style-language/schema/raw/master/csl-citation.json"}</w:instrText>
      </w:r>
      <w:r w:rsidRPr="00BB3486">
        <w:rPr>
          <w:color w:val="000000" w:themeColor="text1"/>
        </w:rPr>
        <w:fldChar w:fldCharType="separate"/>
      </w:r>
      <w:r w:rsidRPr="00E8189C">
        <w:rPr>
          <w:noProof/>
          <w:color w:val="000000" w:themeColor="text1"/>
          <w:vertAlign w:val="superscript"/>
        </w:rPr>
        <w:t>46</w:t>
      </w:r>
      <w:r w:rsidRPr="00BB3486">
        <w:rPr>
          <w:color w:val="000000" w:themeColor="text1"/>
        </w:rPr>
        <w:fldChar w:fldCharType="end"/>
      </w:r>
      <w:r w:rsidRPr="00BB3486">
        <w:rPr>
          <w:color w:val="000000" w:themeColor="text1"/>
          <w:vertAlign w:val="superscript"/>
        </w:rPr>
        <w:t>,</w:t>
      </w:r>
      <w:r w:rsidRPr="00BB3486">
        <w:rPr>
          <w:color w:val="000000" w:themeColor="text1"/>
          <w:vertAlign w:val="superscript"/>
        </w:rPr>
        <w:fldChar w:fldCharType="begin" w:fldLock="1"/>
      </w:r>
      <w:r>
        <w:rPr>
          <w:color w:val="000000" w:themeColor="text1"/>
          <w:vertAlign w:val="superscript"/>
        </w:rPr>
        <w:instrText>ADDIN CSL_CITATION {"citationItems":[{"id":"ITEM-1","itemData":{"DOI":"10.1016/0305-4179(84)90020-2","ISSN":"03054179","PMID":"6722605","abstract":"Pressure therapy is generally accepted as the best noninvasive means of preventing and controlling hypertrophic scarring after burn injury. Most studies in the past have failed to correlate clinical response with magnitude of the garment-scar interface pressure. This study looked critically at our usual techniques of pressure therapy using pressure 'sensors' manufactured locally and based on electro-pneumatic principles. Many pitfalls, such as large variations of pressure at different geometric sites on the body, elastic deterioration in garments, problems of garment manufacture, and the unfavourable properties of the Lycra garments, were observed. Recommendations on pressure treatment were made based on our experiences, to improve the present technique of pressure therapy. These included the standardization of measurement techniques and garment tailoring, the regular checking of pressure at the garment-scar interface using pressure transducers, the appropriate garment adjustments, a strict regimen for garment wearing, and the intelligent use of pressure-padding and reinforcement. Areas of further research are also discussed.","author":[{"dropping-particle":"","family":"Cheng","given":"J C","non-dropping-particle":"","parse-names":false,"suffix":""},{"dropping-particle":"","family":"Evans","given":"J H","non-dropping-particle":"","parse-names":false,"suffix":""},{"dropping-particle":"","family":"Leung","given":"K S","non-dropping-particle":"","parse-names":false,"suffix":""},{"dropping-particle":"","family":"Clark","given":"J A","non-dropping-particle":"","parse-names":false,"suffix":""},{"dropping-particle":"","family":"Choy","given":"T T","non-dropping-particle":"","parse-names":false,"suffix":""},{"dropping-particle":"","family":"Leung","given":"P C","non-dropping-particle":"","parse-names":false,"suffix":""}],"container-title":"Burns, including thermal injury","id":"ITEM-1","issue":"3","issued":{"date-parts":[["1984"]]},"page":"154-163","title":"Pressure therapy in the treatment of post-burn hypertrophic scar--a critical look into its usefulness and fallacies by pressure monitoring.","type":"article-journal","volume":"10"},"uris":["http://www.mendeley.com/documents/?uuid=58c5e476-a3fc-443f-b1af-bd403bfd39da"]}],"mendeley":{"formattedCitation":"&lt;sup&gt;47&lt;/sup&gt;","plainTextFormattedCitation":"47","previouslyFormattedCitation":"&lt;sup&gt;47&lt;/sup&gt;"},"properties":{"noteIndex":0},"schema":"https://github.com/citation-style-language/schema/raw/master/csl-citation.json"}</w:instrText>
      </w:r>
      <w:r w:rsidRPr="00BB3486">
        <w:rPr>
          <w:color w:val="000000" w:themeColor="text1"/>
          <w:vertAlign w:val="superscript"/>
        </w:rPr>
        <w:fldChar w:fldCharType="separate"/>
      </w:r>
      <w:r w:rsidRPr="00E8189C">
        <w:rPr>
          <w:noProof/>
          <w:color w:val="000000" w:themeColor="text1"/>
          <w:vertAlign w:val="superscript"/>
        </w:rPr>
        <w:t>47</w:t>
      </w:r>
      <w:r w:rsidRPr="00BB3486">
        <w:rPr>
          <w:color w:val="000000" w:themeColor="text1"/>
          <w:vertAlign w:val="superscript"/>
        </w:rPr>
        <w:fldChar w:fldCharType="end"/>
      </w:r>
      <w:r w:rsidRPr="00BB3486">
        <w:rPr>
          <w:color w:val="000000" w:themeColor="text1"/>
          <w:vertAlign w:val="superscript"/>
        </w:rPr>
        <w:t>,</w:t>
      </w:r>
      <w:r w:rsidRPr="00BB3486">
        <w:rPr>
          <w:color w:val="000000" w:themeColor="text1"/>
          <w:vertAlign w:val="superscript"/>
        </w:rPr>
        <w:fldChar w:fldCharType="begin" w:fldLock="1"/>
      </w:r>
      <w:r>
        <w:rPr>
          <w:color w:val="000000" w:themeColor="text1"/>
          <w:vertAlign w:val="superscript"/>
        </w:rPr>
        <w:instrText>ADDIN CSL_CITATION {"citationItems":[{"id":"ITEM-1","itemData":{"DOI":"10.1016/j.burns.2009.01.011","ISBN":"1879-1409 (Electronic)\\r0305-4179 (Linking)","ISSN":"03054179","PMID":"19442450","abstract":"Pressure garment therapy (PGT) is a generally accepted procedure to prevent hypertrophic scarring after severe burns. Wearing pressure garments is uncomfortable and challenging for the patient and, consequently adherence is low. In order to improve adherence, precise knowledge about the advantages and disadvantages of PGT is necessary. In this study we investigated specific aspects which inhibit or reinforce the application of PGT on the patients' part. Twenty-one patients participated in a semi-structured interview concerning their experiences with PGT. The complaints most frequently mentioned were 'physical and functional limitations' caused by the garments, 'additional effort' created by the need to care for garments and 'perceived deficiencies' of the treatment. At the same time, most of the patients reported coping strategies used to persevere with the therapy. Coping can be categorised into 'behavioural' and 'cognitive coping strategies'. Besides the 'expectation of success', 'emotional' as well as 'practical support' and experiencing 'good outcome' were motivating factors for the patients. Based on the analyses of limitations and resources, recommendations for future interventions enhancing adherence are outlined. ?? 2009 Elsevier Ltd and ISBI.","author":[{"dropping-particle":"","family":"Ripper","given":"S","non-dropping-particle":"","parse-names":false,"suffix":""},{"dropping-particle":"","family":"Renneberg","given":"B","non-dropping-particle":"","parse-names":false,"suffix":""},{"dropping-particle":"","family":"Landmann","given":"C","non-dropping-particle":"","parse-names":false,"suffix":""},{"dropping-particle":"","family":"Weigel","given":"G","non-dropping-particle":"","parse-names":false,"suffix":""},{"dropping-particle":"","family":"Germann","given":"G","non-dropping-particle":"","parse-names":false,"suffix":""}],"container-title":"Burns","id":"ITEM-1","issue":"5","issued":{"date-parts":[["2009"]]},"page":"657-664","title":"Adherence to pressure garment therapy in adult burn patients","type":"article-journal","volume":"35"},"uris":["http://www.mendeley.com/documents/?uuid=bd093368-bf3a-4f6d-8b28-839a9b1b7989"]}],"mendeley":{"formattedCitation":"&lt;sup&gt;48&lt;/sup&gt;","plainTextFormattedCitation":"48","previouslyFormattedCitation":"&lt;sup&gt;48&lt;/sup&gt;"},"properties":{"noteIndex":0},"schema":"https://github.com/citation-style-language/schema/raw/master/csl-citation.json"}</w:instrText>
      </w:r>
      <w:r w:rsidRPr="00BB3486">
        <w:rPr>
          <w:color w:val="000000" w:themeColor="text1"/>
          <w:vertAlign w:val="superscript"/>
        </w:rPr>
        <w:fldChar w:fldCharType="separate"/>
      </w:r>
      <w:r w:rsidRPr="00E8189C">
        <w:rPr>
          <w:noProof/>
          <w:color w:val="000000" w:themeColor="text1"/>
          <w:vertAlign w:val="superscript"/>
        </w:rPr>
        <w:t>48</w:t>
      </w:r>
      <w:r w:rsidRPr="00BB3486">
        <w:rPr>
          <w:color w:val="000000" w:themeColor="text1"/>
          <w:vertAlign w:val="superscript"/>
        </w:rPr>
        <w:fldChar w:fldCharType="end"/>
      </w:r>
      <w:r w:rsidRPr="00BB3486">
        <w:rPr>
          <w:color w:val="000000" w:themeColor="text1"/>
        </w:rPr>
        <w:t xml:space="preserve"> </w:t>
      </w:r>
      <w:r w:rsidRPr="00C67DC4">
        <w:rPr>
          <w:color w:val="000000" w:themeColor="text1"/>
        </w:rPr>
        <w:t xml:space="preserve">For example, Engrav </w:t>
      </w:r>
      <w:r>
        <w:rPr>
          <w:i/>
        </w:rPr>
        <w:t>et </w:t>
      </w:r>
      <w:r w:rsidRPr="00D10F01">
        <w:rPr>
          <w:i/>
        </w:rPr>
        <w:t>al</w:t>
      </w:r>
      <w:r>
        <w:rPr>
          <w:i/>
        </w:rPr>
        <w:t>.</w:t>
      </w:r>
      <w:r>
        <w:t xml:space="preserve"> performed a 12 year study to investigate the effect of moderate and low pressure treatment on burn wounds.</w:t>
      </w:r>
      <w:r>
        <w:fldChar w:fldCharType="begin" w:fldLock="1"/>
      </w:r>
      <w:r>
        <w:instrText>ADDIN CSL_CITATION {"citationItems":[{"id":"ITEM-1","itemData":{"DOI":"10.1016/j.burns.2010.04.014","ISBN":"1879-1409","ISSN":"03054179","PMID":"20537469","abstract":"Pressure garment therapy is standard of care for prevention and treatment of hypertrophic scarring after burn injury. Nevertheless there is little objective data that confirms effectiveness. The purpose of this study was to determine the effectiveness of pressure garment therapy with objective data obtained with a randomized within-wound comparison. We enrolled consecutive patients with forearm injuries over a 12-year period. The subjects wore custom garments with normal and low compression randomized to either the proximal or distal zones. Hardness, color and thickness of wounds were objectively measured using appropriate devices; clinical appearance was measured by a panel masked to the identity of the pressure treated area. Wounds treated with normal compression were significantly softer, thinner, and had improved clinical appearance. There was no interaction of any effect with patient ethnicity. However, these findings were clinically evident only with moderate to severe scarring. We conclude that pressure garment therapy is effective, but that the clinical benefit is restricted to those patients with moderate or severe scarring. © 2010 Elsevier Ltd and ISBI. All rights reserved.","author":[{"dropping-particle":"","family":"Engrav","given":"L H","non-dropping-particle":"","parse-names":false,"suffix":""},{"dropping-particle":"","family":"Heimbach","given":"D M","non-dropping-particle":"","parse-names":false,"suffix":""},{"dropping-particle":"","family":"Rivara","given":"F P","non-dropping-particle":"","parse-names":false,"suffix":""},{"dropping-particle":"","family":"Moore","given":"M L","non-dropping-particle":"","parse-names":false,"suffix":""},{"dropping-particle":"","family":"Wang","given":"J","non-dropping-particle":"","parse-names":false,"suffix":""},{"dropping-particle":"","family":"Carrougher","given":"G J","non-dropping-particle":"","parse-names":false,"suffix":""},{"dropping-particle":"","family":"Costa","given":"B","non-dropping-particle":"","parse-names":false,"suffix":""},{"dropping-particle":"","family":"Numhom","given":"S","non-dropping-particle":"","parse-names":false,"suffix":""},{"dropping-particle":"","family":"Calderon","given":"J","non-dropping-particle":"","parse-names":false,"suffix":""},{"dropping-particle":"","family":"Gibran","given":"N S","non-dropping-particle":"","parse-names":false,"suffix":""}],"container-title":"Burns","id":"ITEM-1","issue":"7","issued":{"date-parts":[["2010"]]},"page":"975-983","publisher":"Elsevier Ltd and International Society of Burns Injuries","title":"12-Year within-wound study of the effectiveness of custom pressure garment therapy","type":"article-journal","volume":"36"},"uris":["http://www.mendeley.com/documents/?uuid=074f79f5-5261-4dd4-a28f-08fcd85cda57"]}],"mendeley":{"formattedCitation":"&lt;sup&gt;49&lt;/sup&gt;","plainTextFormattedCitation":"49","previouslyFormattedCitation":"&lt;sup&gt;49&lt;/sup&gt;"},"properties":{"noteIndex":0},"schema":"https://github.com/citation-style-language/schema/raw/master/csl-citation.json"}</w:instrText>
      </w:r>
      <w:r>
        <w:fldChar w:fldCharType="separate"/>
      </w:r>
      <w:r w:rsidRPr="00E8189C">
        <w:rPr>
          <w:noProof/>
          <w:vertAlign w:val="superscript"/>
        </w:rPr>
        <w:t>49</w:t>
      </w:r>
      <w:r>
        <w:fldChar w:fldCharType="end"/>
      </w:r>
      <w:r>
        <w:t xml:space="preserve"> The study compared hardness, colour, thickness and </w:t>
      </w:r>
      <w:r>
        <w:lastRenderedPageBreak/>
        <w:t xml:space="preserve">clinical appearance of wounds treated </w:t>
      </w:r>
      <w:r w:rsidRPr="004D7F9C">
        <w:rPr>
          <w:szCs w:val="20"/>
        </w:rPr>
        <w:t>with garments exerting moderate (</w:t>
      </w:r>
      <w:r>
        <w:rPr>
          <w:rFonts w:eastAsia="Times New Roman" w:cs="Times New Roman"/>
          <w:szCs w:val="20"/>
        </w:rPr>
        <w:t>17–24 </w:t>
      </w:r>
      <w:r w:rsidRPr="004D7F9C">
        <w:rPr>
          <w:rFonts w:eastAsia="Times New Roman" w:cs="Times New Roman"/>
          <w:szCs w:val="20"/>
        </w:rPr>
        <w:t xml:space="preserve">mmHg) </w:t>
      </w:r>
      <w:r w:rsidRPr="004D7F9C">
        <w:rPr>
          <w:szCs w:val="20"/>
        </w:rPr>
        <w:t>and low (&lt;</w:t>
      </w:r>
      <w:r>
        <w:rPr>
          <w:szCs w:val="20"/>
        </w:rPr>
        <w:t> </w:t>
      </w:r>
      <w:r w:rsidRPr="004D7F9C">
        <w:rPr>
          <w:szCs w:val="20"/>
        </w:rPr>
        <w:t>5</w:t>
      </w:r>
      <w:r>
        <w:rPr>
          <w:szCs w:val="20"/>
        </w:rPr>
        <w:t> </w:t>
      </w:r>
      <w:r w:rsidRPr="00F05563">
        <w:rPr>
          <w:color w:val="000000" w:themeColor="text1"/>
          <w:szCs w:val="20"/>
        </w:rPr>
        <w:t>mmHg) pressure</w:t>
      </w:r>
      <w:r w:rsidRPr="00F05563">
        <w:rPr>
          <w:color w:val="000000" w:themeColor="text1"/>
        </w:rPr>
        <w:t xml:space="preserve">. It was concluded that the application of pressure in the range of </w:t>
      </w:r>
      <w:r w:rsidRPr="00F05563">
        <w:rPr>
          <w:rFonts w:eastAsia="Times New Roman" w:cs="Times New Roman"/>
          <w:color w:val="000000" w:themeColor="text1"/>
          <w:szCs w:val="20"/>
        </w:rPr>
        <w:t>17–24 mmHg</w:t>
      </w:r>
      <w:r w:rsidRPr="00F05563">
        <w:rPr>
          <w:rFonts w:ascii="Times" w:eastAsia="Times New Roman" w:hAnsi="Times" w:cs="Times New Roman"/>
          <w:color w:val="000000" w:themeColor="text1"/>
          <w:sz w:val="20"/>
          <w:szCs w:val="20"/>
        </w:rPr>
        <w:t xml:space="preserve"> </w:t>
      </w:r>
      <w:r w:rsidRPr="00F05563">
        <w:rPr>
          <w:color w:val="000000" w:themeColor="text1"/>
        </w:rPr>
        <w:t xml:space="preserve">produced a positive effect on moderate to severe hypertrophic scars. A similar result was demonstrated by Kim </w:t>
      </w:r>
      <w:r w:rsidRPr="00F05563">
        <w:rPr>
          <w:i/>
          <w:color w:val="000000" w:themeColor="text1"/>
        </w:rPr>
        <w:t>et al</w:t>
      </w:r>
      <w:r w:rsidRPr="00F05563">
        <w:rPr>
          <w:color w:val="000000" w:themeColor="text1"/>
        </w:rPr>
        <w:t>., who found that PGT reduced the formation of scar contractures in an animal burn model.</w:t>
      </w:r>
      <w:r w:rsidRPr="00F05563">
        <w:rPr>
          <w:color w:val="000000" w:themeColor="text1"/>
        </w:rPr>
        <w:fldChar w:fldCharType="begin" w:fldLock="1"/>
      </w:r>
      <w:r>
        <w:rPr>
          <w:color w:val="000000" w:themeColor="text1"/>
        </w:rPr>
        <w:instrText>ADDIN CSL_CITATION {"citationItems":[{"id":"ITEM-1","itemData":{"DOI":"10.1002/aur.1474.Replication","ISBN":"0000000000000","ISSN":"1527-5418","PMID":"24655651","author":[{"dropping-particle":"","family":"Kim","given":"Jayne","non-dropping-particle":"","parse-names":false,"suffix":""},{"dropping-particle":"","family":"Willard","given":"James","non-dropping-particle":"","parse-names":false,"suffix":""},{"dropping-particle":"","family":"Supp","given":"Dorothy","non-dropping-particle":"","parse-names":false,"suffix":""},{"dropping-particle":"","family":"Roy","given":"Sashwati","non-dropping-particle":"","parse-names":false,"suffix":""},{"dropping-particle":"","family":"Gordillo","given":"Gayle","non-dropping-particle":"","parse-names":false,"suffix":""},{"dropping-particle":"","family":"Sen","given":"Chandan","non-dropping-particle":"","parse-names":false,"suffix":""},{"dropping-particle":"","family":"Powell","given":"Heather","non-dropping-particle":"","parse-names":false,"suffix":""}],"container-title":"Plastic and Reconstructive Surgery","id":"ITEM-1","issue":"3","issued":{"date-parts":[["2015"]]},"page":"572-581","title":"Burn Scar Biomechanics Following Pressure Garment Therapy","type":"article-journal","volume":"136"},"uris":["http://www.mendeley.com/documents/?uuid=45d9338f-0b70-4d75-bb74-aa7fc7d93989"]}],"mendeley":{"formattedCitation":"&lt;sup&gt;50&lt;/sup&gt;","plainTextFormattedCitation":"50","previouslyFormattedCitation":"&lt;sup&gt;50&lt;/sup&gt;"},"properties":{"noteIndex":0},"schema":"https://github.com/citation-style-language/schema/raw/master/csl-citation.json"}</w:instrText>
      </w:r>
      <w:r w:rsidRPr="00F05563">
        <w:rPr>
          <w:color w:val="000000" w:themeColor="text1"/>
        </w:rPr>
        <w:fldChar w:fldCharType="separate"/>
      </w:r>
      <w:r w:rsidRPr="00E8189C">
        <w:rPr>
          <w:noProof/>
          <w:color w:val="000000" w:themeColor="text1"/>
          <w:vertAlign w:val="superscript"/>
        </w:rPr>
        <w:t>50</w:t>
      </w:r>
      <w:r w:rsidRPr="00F05563">
        <w:rPr>
          <w:color w:val="000000" w:themeColor="text1"/>
        </w:rPr>
        <w:fldChar w:fldCharType="end"/>
      </w:r>
      <w:r w:rsidRPr="00F05563">
        <w:rPr>
          <w:color w:val="000000" w:themeColor="text1"/>
        </w:rPr>
        <w:t xml:space="preserve"> In addition to PGT, splinting limbs has shown benefits in reducing contracture formation by stretching the tissue in the opposing direction to where the contracture will most likely form.</w:t>
      </w:r>
      <w:r w:rsidRPr="00F05563">
        <w:rPr>
          <w:color w:val="000000" w:themeColor="text1"/>
        </w:rPr>
        <w:fldChar w:fldCharType="begin" w:fldLock="1"/>
      </w:r>
      <w:r>
        <w:rPr>
          <w:color w:val="000000" w:themeColor="text1"/>
        </w:rPr>
        <w:instrText>ADDIN CSL_CITATION {"citationItems":[{"id":"ITEM-1","itemData":{"DOI":"10.4103/0970-0358.70730","ISSN":"0970-0358","abstract":"Rehabilitation is an essential and integral part of burn treatment. It is not something which takes place following healing of skin grafts or discharge from hospital; instead it is a process that starts from day one of admission and continues for months and sometimes years after the initial event. Burns rehabilitation is not something which is completed by one or two individuals but should be a team approach, incorporating the patient and when appropriate, their family. The term ‘Burns Rehabilitation’ incorporates the physical, psychological and social aspects of care and it is common for burn patients to experience difficulties in one or all of these areas following a burn injury. Burns can leave a patient with severely debilitating and deforming contractures, which can lead to significant disability when left untreated. The aims of burn rehabilitation are to minimise the adverse effects caused by the injury in terms of maintaining range of movement, minimising contracture development and impact of scarring, maximising functional ability, maximising psychological wellbeing, maximising social integration","author":[{"dropping-particle":"","family":"Procter","given":"Fiona","non-dropping-particle":"","parse-names":false,"suffix":""}],"container-title":"Indian Journal of Plastic Surgery : Official Publication of the Association of Plastic Surgeons of India","id":"ITEM-1","issued":{"date-parts":[["2010","9"]]},"page":"S101-S113","publisher":"Medknow Publication","publisher-place":"India","title":"Rehabilitation of the burn patient","type":"article-journal","volume":"43"},"uris":["http://www.mendeley.com/documents/?uuid=b6ac1bb8-d698-45b0-8616-546bf943482e"]}],"mendeley":{"formattedCitation":"&lt;sup&gt;51&lt;/sup&gt;","plainTextFormattedCitation":"51","previouslyFormattedCitation":"&lt;sup&gt;51&lt;/sup&gt;"},"properties":{"noteIndex":0},"schema":"https://github.com/citation-style-language/schema/raw/master/csl-citation.json"}</w:instrText>
      </w:r>
      <w:r w:rsidRPr="00F05563">
        <w:rPr>
          <w:color w:val="000000" w:themeColor="text1"/>
        </w:rPr>
        <w:fldChar w:fldCharType="separate"/>
      </w:r>
      <w:r w:rsidRPr="00E8189C">
        <w:rPr>
          <w:noProof/>
          <w:color w:val="000000" w:themeColor="text1"/>
          <w:vertAlign w:val="superscript"/>
        </w:rPr>
        <w:t>51</w:t>
      </w:r>
      <w:r w:rsidRPr="00F05563">
        <w:rPr>
          <w:color w:val="000000" w:themeColor="text1"/>
        </w:rPr>
        <w:fldChar w:fldCharType="end"/>
      </w:r>
      <w:r w:rsidRPr="00F05563">
        <w:rPr>
          <w:color w:val="000000" w:themeColor="text1"/>
        </w:rPr>
        <w:t xml:space="preserve"> </w:t>
      </w:r>
    </w:p>
    <w:p w14:paraId="680DD5FF" w14:textId="143F59CE" w:rsidR="009A585B" w:rsidRPr="00F05563" w:rsidRDefault="009A585B" w:rsidP="009A585B">
      <w:pPr>
        <w:rPr>
          <w:color w:val="FF0000"/>
        </w:rPr>
      </w:pPr>
      <w:r>
        <w:t xml:space="preserve">In contrast, a review and meta-analysis performed by Anzarut </w:t>
      </w:r>
      <w:r w:rsidRPr="00D764CC">
        <w:rPr>
          <w:i/>
        </w:rPr>
        <w:t>et al</w:t>
      </w:r>
      <w:r>
        <w:t>. found only 6 random</w:t>
      </w:r>
      <w:r w:rsidR="00341C8E">
        <w:t>ised</w:t>
      </w:r>
      <w:r>
        <w:t xml:space="preserve"> controlled trials (RCT) concerning the use of PGT to improve scar outcomes.</w:t>
      </w:r>
      <w:r>
        <w:fldChar w:fldCharType="begin" w:fldLock="1"/>
      </w:r>
      <w:r>
        <w:instrText>ADDIN CSL_CITATION {"citationItems":[{"id":"ITEM-1","itemData":{"DOI":"10.1016/j.bjps.2007.10.052","ISBN":"1878-0539 (Electronic)\\r1748-6815 (Linking)","ISSN":"17486815","PMID":"18249046","abstract":"Objectives: This study had three objectives. First, to conduct a systematic review to identify the available evidence for the use of pressure garment therapy (PGT); second, to assess the quality of the available evidence; and third, to conduct a meta-analysis to quantify the effectiveness of PGT for the prevention of abnormal scarring after burn injury. Background: Standard care for the prevention of abnormal scarring after burn injury includes pressure garment therapy (PGT); however, it is associated with potential patient morbidity and high costs. We hypothesise that an assessment of the available evidence supporting the use of pressure garment therapy will aid in directing clinical care and future research. Methods: Randomised control trials were identified from CINHAL, EMBASE, MEDLINE, CENTRAL, the 'grey literature' and hand searching of the Proceedings of the American Burn Association. Primary authors and pressure garment manufacturers were contacted to identify eligible trials. Bibliographies from included studies and reviews were searched. Study results were pooled to yield weighted mean differences or standardised mean difference and reported using 95% confidence intervals. Results: The review incorporated six unique trials involving 316 patients. Original data from one unpublished trial were included. Overall, studies were considered to be of high methodological quality. The meta-analysis was unable to demonstrate a difference between global assessments of PGT-treated scars and control scars [weighted mean differences (WMD): -0.46; 95% confidence interval (CI): -1.07 to 0.16]. The meta-analysis for scar height showed a small, but statistically significant, decrease in height for the PGT-treated group standardised mean differences (SMD): -0.31; 95% CI: -0.63, 0.00. Results of meta-analyses of secondary outcome measures of scar vascularity, pliability and colour failed to demonstrate a difference between groups. Conclusions: PGT does not appear to alter global scar scores. It does appear to improve scar height, although this difference is small and of questionable clinical importance. The beneficial effects of PGT remain unproven, while the potential morbidity and cost are not insignificant. Given current evidence, additional research is required to examine the effectiveness, risks and costs of PGT. © 2007 British Association of Plastic, Reconstructive and Aesthetic Surgeons.","author":[{"dropping-particle":"","family":"Anzarut","given":"Alexander","non-dropping-particle":"","parse-names":false,"suffix":""},{"dropping-particle":"","family":"Olson","given":"Jarret","non-dropping-particle":"","parse-names":false,"suffix":""},{"dropping-particle":"","family":"Singh","given":"Prabhjyot","non-dropping-particle":"","parse-names":false,"suffix":""},{"dropping-particle":"","family":"Rowe","given":"Brian H","non-dropping-particle":"","parse-names":false,"suffix":""},{"dropping-particle":"","family":"Tredget","given":"Edward E","non-dropping-particle":"","parse-names":false,"suffix":""}],"container-title":"Journal of Plastic, Reconstructive and Aesthetic Surgery","id":"ITEM-1","issue":"1","issued":{"date-parts":[["2009"]]},"page":"77-84","publisher":"Elsevier Ltd","title":"The effectiveness of pressure garment therapy for the prevention of abnormal scarring after burn injury: a meta-analysis","type":"article-journal","volume":"62"},"uris":["http://www.mendeley.com/documents/?uuid=dfb7e144-fae6-4546-a818-f74432485616"]}],"mendeley":{"formattedCitation":"&lt;sup&gt;52&lt;/sup&gt;","plainTextFormattedCitation":"52","previouslyFormattedCitation":"&lt;sup&gt;52&lt;/sup&gt;"},"properties":{"noteIndex":0},"schema":"https://github.com/citation-style-language/schema/raw/master/csl-citation.json"}</w:instrText>
      </w:r>
      <w:r>
        <w:fldChar w:fldCharType="separate"/>
      </w:r>
      <w:r w:rsidRPr="00E8189C">
        <w:rPr>
          <w:noProof/>
          <w:vertAlign w:val="superscript"/>
        </w:rPr>
        <w:t>52</w:t>
      </w:r>
      <w:r>
        <w:fldChar w:fldCharType="end"/>
      </w:r>
      <w:r>
        <w:t xml:space="preserve"> The overall conclusion from the analysis was that insufficient </w:t>
      </w:r>
      <w:r w:rsidRPr="00B40593">
        <w:t>evidence was available to justify the widespread use of PGT in burn wounds.</w:t>
      </w:r>
      <w:r>
        <w:t xml:space="preserve"> </w:t>
      </w:r>
      <w:r w:rsidRPr="00B40593">
        <w:t>A recent review by S</w:t>
      </w:r>
      <w:r>
        <w:t>c</w:t>
      </w:r>
      <w:r w:rsidRPr="00B40593">
        <w:t xml:space="preserve">houten </w:t>
      </w:r>
      <w:r w:rsidRPr="00B40593">
        <w:rPr>
          <w:i/>
        </w:rPr>
        <w:t>et al</w:t>
      </w:r>
      <w:r>
        <w:rPr>
          <w:i/>
        </w:rPr>
        <w:t>.</w:t>
      </w:r>
      <w:r>
        <w:t xml:space="preserve"> discussed</w:t>
      </w:r>
      <w:r w:rsidRPr="00B40593">
        <w:t xml:space="preserve"> the experimental evidence for using static splinting on contractures, concludi</w:t>
      </w:r>
      <w:r>
        <w:t>ng that evidence for splinting was lacking.</w:t>
      </w:r>
      <w:r>
        <w:fldChar w:fldCharType="begin" w:fldLock="1"/>
      </w:r>
      <w:r>
        <w:instrText>ADDIN CSL_CITATION {"citationItems":[{"id":"ITEM-1","itemData":{"DOI":"10.1016/j.burns.2011.06.003","ISBN":"1879-1409 (Electronic)\\r0305-4179 (Linking)","ISSN":"03054179","PMID":"21831527","abstract":"Background: Static splinting therapy is widely considered an essential part in burn rehabilitation to prevent scar contractures in the early phase of wound healing. However, scar contractures are still a common complication. In this article we review the information concerning the incidence of scar contracture, the effectiveness of static splinting therapy in preventing scar contractures, and specifically focus on the - possible - working mechanism of static-splinting, i.e. mechanical load, at the cellular and molecular level of the healing burn wound. Method: A literature search was done including Pubmed, Cochrane library, CINAHL and PEDRO. Results: Incidence of scar contracture in patients with burns varied from 5% to 40%. No strong evidence for the effectiveness of static splinting therapy in preventing scar contracture was found, whereas in vitro and animal studies demonstrated that mechanical tension will stimulate the myofibroblast activity, resulting in the synthesis of new extracellular matrix and the maintenance of their contractile activity. Conclusion: The effect of mechanical tension on the wound healing process suggests that static splinting therapy may counteract its own purpose. This review stresses the need for randomised controlled clinical trials to establish if static splinting to prevent contractures is a well-considered intervention or just wishful thinking. ?? 2011 Elsevier Ltd and ISBI. All rights reserved.","author":[{"dropping-particle":"","family":"Schouten","given":"H J","non-dropping-particle":"","parse-names":false,"suffix":""},{"dropping-particle":"","family":"Nieuwenhuis","given":"M K","non-dropping-particle":"","parse-names":false,"suffix":""},{"dropping-particle":"","family":"Zuijlen","given":"P. P M","non-dropping-particle":"Van","parse-names":false,"suffix":""}],"container-title":"Burns","id":"ITEM-1","issue":"1","issued":{"date-parts":[["2012"]]},"page":"19-25","publisher":"Elsevier Ltd and International Society of Burns Injuries","title":"A review on static splinting therapy to prevent burn scar contracture: Do clinical and experimental data warrant its clinical application?","type":"article","volume":"38"},"uris":["http://www.mendeley.com/documents/?uuid=bb79728b-9f61-4e8f-a2fe-a331fd2494c3"]}],"mendeley":{"formattedCitation":"&lt;sup&gt;53&lt;/sup&gt;","plainTextFormattedCitation":"53","previouslyFormattedCitation":"&lt;sup&gt;53&lt;/sup&gt;"},"properties":{"noteIndex":0},"schema":"https://github.com/citation-style-language/schema/raw/master/csl-citation.json"}</w:instrText>
      </w:r>
      <w:r>
        <w:fldChar w:fldCharType="separate"/>
      </w:r>
      <w:r w:rsidRPr="00E8189C">
        <w:rPr>
          <w:noProof/>
          <w:vertAlign w:val="superscript"/>
        </w:rPr>
        <w:t>53</w:t>
      </w:r>
      <w:r>
        <w:fldChar w:fldCharType="end"/>
      </w:r>
      <w:r>
        <w:t xml:space="preserve"> The author </w:t>
      </w:r>
      <w:r w:rsidRPr="00A2456A">
        <w:rPr>
          <w:color w:val="000000" w:themeColor="text1"/>
        </w:rPr>
        <w:t>suggested a random</w:t>
      </w:r>
      <w:r w:rsidR="00341C8E">
        <w:rPr>
          <w:color w:val="000000" w:themeColor="text1"/>
        </w:rPr>
        <w:t>ised</w:t>
      </w:r>
      <w:r w:rsidRPr="00A2456A">
        <w:rPr>
          <w:color w:val="000000" w:themeColor="text1"/>
        </w:rPr>
        <w:t xml:space="preserve"> controlled trial was required in order to assess whether static splinting provides a real benefit for preventing contracture in burn injuries. Whilst the evidence supporting splinting and compression bandaging is conflicting, it is still used as the clinical gold standard of care to prevent scar contractures. </w:t>
      </w:r>
    </w:p>
    <w:p w14:paraId="75D7810F" w14:textId="490AE0C0" w:rsidR="009A585B" w:rsidRDefault="009A585B" w:rsidP="009A585B">
      <w:pPr>
        <w:rPr>
          <w:color w:val="000000" w:themeColor="text1"/>
        </w:rPr>
      </w:pPr>
      <w:r>
        <w:rPr>
          <w:color w:val="000000" w:themeColor="text1"/>
        </w:rPr>
        <w:t>A key issue with PGT and compression garments is poor patient compliance.</w:t>
      </w:r>
      <w:r>
        <w:rPr>
          <w:color w:val="000000" w:themeColor="text1"/>
        </w:rPr>
        <w:fldChar w:fldCharType="begin" w:fldLock="1"/>
      </w:r>
      <w:r>
        <w:rPr>
          <w:color w:val="000000" w:themeColor="text1"/>
        </w:rPr>
        <w:instrText>ADDIN CSL_CITATION {"citationItems":[{"id":"ITEM-1","itemData":{"DOI":"10.1016/j.burns.2009.01.011","ISBN":"1879-1409 (Electronic)\\r0305-4179 (Linking)","ISSN":"03054179","PMID":"19442450","abstract":"Pressure garment therapy (PGT) is a generally accepted procedure to prevent hypertrophic scarring after severe burns. Wearing pressure garments is uncomfortable and challenging for the patient and, consequently adherence is low. In order to improve adherence, precise knowledge about the advantages and disadvantages of PGT is necessary. In this study we investigated specific aspects which inhibit or reinforce the application of PGT on the patients' part. Twenty-one patients participated in a semi-structured interview concerning their experiences with PGT. The complaints most frequently mentioned were 'physical and functional limitations' caused by the garments, 'additional effort' created by the need to care for garments and 'perceived deficiencies' of the treatment. At the same time, most of the patients reported coping strategies used to persevere with the therapy. Coping can be categorised into 'behavioural' and 'cognitive coping strategies'. Besides the 'expectation of success', 'emotional' as well as 'practical support' and experiencing 'good outcome' were motivating factors for the patients. Based on the analyses of limitations and resources, recommendations for future interventions enhancing adherence are outlined. ?? 2009 Elsevier Ltd and ISBI.","author":[{"dropping-particle":"","family":"Ripper","given":"S","non-dropping-particle":"","parse-names":false,"suffix":""},{"dropping-particle":"","family":"Renneberg","given":"B","non-dropping-particle":"","parse-names":false,"suffix":""},{"dropping-particle":"","family":"Landmann","given":"C","non-dropping-particle":"","parse-names":false,"suffix":""},{"dropping-particle":"","family":"Weigel","given":"G","non-dropping-particle":"","parse-names":false,"suffix":""},{"dropping-particle":"","family":"Germann","given":"G","non-dropping-particle":"","parse-names":false,"suffix":""}],"container-title":"Burns","id":"ITEM-1","issue":"5","issued":{"date-parts":[["2009"]]},"page":"657-664","title":"Adherence to pressure garment therapy in adult burn patients","type":"article-journal","volume":"35"},"uris":["http://www.mendeley.com/documents/?uuid=bd093368-bf3a-4f6d-8b28-839a9b1b7989"]}],"mendeley":{"formattedCitation":"&lt;sup&gt;48&lt;/sup&gt;","plainTextFormattedCitation":"48","previouslyFormattedCitation":"&lt;sup&gt;48&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48</w:t>
      </w:r>
      <w:r>
        <w:rPr>
          <w:color w:val="000000" w:themeColor="text1"/>
        </w:rPr>
        <w:fldChar w:fldCharType="end"/>
      </w:r>
      <w:r>
        <w:rPr>
          <w:color w:val="000000" w:themeColor="text1"/>
        </w:rPr>
        <w:t xml:space="preserve"> PGT is generally uncomfortable, </w:t>
      </w:r>
      <w:r w:rsidRPr="00F05563">
        <w:rPr>
          <w:color w:val="000000" w:themeColor="text1"/>
        </w:rPr>
        <w:t>especially for wounds of the face and neck which require full-face compression garments</w:t>
      </w:r>
      <w:r>
        <w:rPr>
          <w:color w:val="000000" w:themeColor="text1"/>
        </w:rPr>
        <w:t xml:space="preserve"> (</w:t>
      </w:r>
      <w:r>
        <w:rPr>
          <w:color w:val="000000" w:themeColor="text1"/>
        </w:rPr>
        <w:fldChar w:fldCharType="begin"/>
      </w:r>
      <w:r>
        <w:rPr>
          <w:color w:val="000000" w:themeColor="text1"/>
        </w:rPr>
        <w:instrText xml:space="preserve"> REF _Ref524617261 \h </w:instrText>
      </w:r>
      <w:r>
        <w:rPr>
          <w:color w:val="000000" w:themeColor="text1"/>
        </w:rPr>
      </w:r>
      <w:r>
        <w:rPr>
          <w:color w:val="000000" w:themeColor="text1"/>
        </w:rPr>
        <w:fldChar w:fldCharType="separate"/>
      </w:r>
      <w:r w:rsidR="00E6157A">
        <w:t xml:space="preserve">Figure </w:t>
      </w:r>
      <w:r w:rsidR="00E6157A">
        <w:rPr>
          <w:noProof/>
        </w:rPr>
        <w:t>1</w:t>
      </w:r>
      <w:r w:rsidR="00E6157A">
        <w:t>.</w:t>
      </w:r>
      <w:r w:rsidR="00E6157A">
        <w:rPr>
          <w:noProof/>
        </w:rPr>
        <w:t>4</w:t>
      </w:r>
      <w:r>
        <w:rPr>
          <w:color w:val="000000" w:themeColor="text1"/>
        </w:rPr>
        <w:fldChar w:fldCharType="end"/>
      </w:r>
      <w:r>
        <w:rPr>
          <w:color w:val="000000" w:themeColor="text1"/>
        </w:rPr>
        <w:t>)</w:t>
      </w:r>
      <w:r w:rsidRPr="00F05563">
        <w:rPr>
          <w:color w:val="000000" w:themeColor="text1"/>
        </w:rPr>
        <w:t>. In addition, the garments are required to be worn for 23 hours a day</w:t>
      </w:r>
      <w:r>
        <w:rPr>
          <w:color w:val="000000" w:themeColor="text1"/>
        </w:rPr>
        <w:fldChar w:fldCharType="begin" w:fldLock="1"/>
      </w:r>
      <w:r>
        <w:rPr>
          <w:color w:val="000000" w:themeColor="text1"/>
        </w:rPr>
        <w:instrText>ADDIN CSL_CITATION {"citationItems":[{"id":"ITEM-1","itemData":{"ISSN":"0273-8481","PMID":"8195262","abstract":"Pressure garment use is recommended 23 to 24 hours a day for hypertrophic scar control after a burn injury. Compliance with this treatment has not been documented. A 52-question survey was administered to 101 adult outpatient burn survivors to rate compliance with this program. The average compliance of each patient was assessed. The framework of the Health Belief Model was used to identify the patients' beliefs and factors reported to interfere with compliance. Strategies patients believed to enhance garment use were identified. Forty-one percent of the patients reported total compliance. The difficulties with garment use such as discomfort and activity limitations appeared to promote low compliance. The primary strategies patients believed would enhance compliance were seeing outcome pictures of scars and having contact with other survivors. This step toward identifying compliance rates and factors that affect them will guide the health care worker in techniques to facilitate adherence to the scar management program.","author":[{"dropping-particle":"","family":"Johnson","given":"J","non-dropping-particle":"","parse-names":false,"suffix":""},{"dropping-particle":"","family":"Greenspan","given":"B","non-dropping-particle":"","parse-names":false,"suffix":""},{"dropping-particle":"","family":"Gorga","given":"D","non-dropping-particle":"","parse-names":false,"suffix":""},{"dropping-particle":"","family":"Nagler","given":"W","non-dropping-particle":"","parse-names":false,"suffix":""},{"dropping-particle":"","family":"Goodwin","given":"C","non-dropping-particle":"","parse-names":false,"suffix":""}],"container-title":"The Journal of burn care &amp; rehabilitation","id":"ITEM-1","issue":"2","issued":{"date-parts":[["1994"]]},"page":"180-8","title":"Compliance with pressure garment use in burn rehabilitation.","type":"article-journal","volume":"15"},"uris":["http://www.mendeley.com/documents/?uuid=e6dbc938-ee73-4655-a823-6524fe02172e"]}],"mendeley":{"formattedCitation":"&lt;sup&gt;54&lt;/sup&gt;","plainTextFormattedCitation":"54","previouslyFormattedCitation":"&lt;sup&gt;54&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54</w:t>
      </w:r>
      <w:r>
        <w:rPr>
          <w:color w:val="000000" w:themeColor="text1"/>
        </w:rPr>
        <w:fldChar w:fldCharType="end"/>
      </w:r>
      <w:r w:rsidRPr="00F05563">
        <w:rPr>
          <w:color w:val="000000" w:themeColor="text1"/>
        </w:rPr>
        <w:t xml:space="preserve"> for up to 2 years after the initial injury, or until the scar has reached maturation.</w:t>
      </w:r>
      <w:r w:rsidRPr="00F05563">
        <w:rPr>
          <w:color w:val="000000" w:themeColor="text1"/>
        </w:rPr>
        <w:fldChar w:fldCharType="begin" w:fldLock="1"/>
      </w:r>
      <w:r>
        <w:rPr>
          <w:color w:val="000000" w:themeColor="text1"/>
        </w:rPr>
        <w:instrText>ADDIN CSL_CITATION {"citationItems":[{"id":"ITEM-1","itemData":{"author":[{"dropping-particle":"","family":"Atiyeh","given":"B S","non-dropping-particle":"","parse-names":false,"suffix":""},{"dropping-particle":"","family":"Khatib","given":"A M","non-dropping-particle":"El","parse-names":false,"suffix":""},{"dropping-particle":"","family":"Dibo","given":"S A","non-dropping-particle":"","parse-names":false,"suffix":""}],"container-title":"Annals of Burns and Fire Disasters","id":"ITEM-1","issue":"4","issued":{"date-parts":[["2013"]]},"page":"205-212","title":"PRESSURE GARMENT THERAPY (PGT) OF BURN SCARS: EVIDENCE-BASED EFFICACY","type":"article-journal","volume":"26"},"uris":["http://www.mendeley.com/documents/?uuid=a8ae2269-4dff-40d9-a1a0-d214ae20c726"]}],"mendeley":{"formattedCitation":"&lt;sup&gt;55&lt;/sup&gt;","plainTextFormattedCitation":"55","previouslyFormattedCitation":"&lt;sup&gt;55&lt;/sup&gt;"},"properties":{"noteIndex":0},"schema":"https://github.com/citation-style-language/schema/raw/master/csl-citation.json"}</w:instrText>
      </w:r>
      <w:r w:rsidRPr="00F05563">
        <w:rPr>
          <w:color w:val="000000" w:themeColor="text1"/>
        </w:rPr>
        <w:fldChar w:fldCharType="separate"/>
      </w:r>
      <w:r w:rsidRPr="00E8189C">
        <w:rPr>
          <w:noProof/>
          <w:color w:val="000000" w:themeColor="text1"/>
          <w:vertAlign w:val="superscript"/>
        </w:rPr>
        <w:t>55</w:t>
      </w:r>
      <w:r w:rsidRPr="00F05563">
        <w:rPr>
          <w:color w:val="000000" w:themeColor="text1"/>
        </w:rPr>
        <w:fldChar w:fldCharType="end"/>
      </w:r>
      <w:r w:rsidRPr="00F05563">
        <w:rPr>
          <w:color w:val="000000" w:themeColor="text1"/>
        </w:rPr>
        <w:t xml:space="preserve"> </w:t>
      </w:r>
      <w:r>
        <w:rPr>
          <w:color w:val="000000" w:themeColor="text1"/>
        </w:rPr>
        <w:t>Such long treatment periods can cause patients to lapse in their therapy, increasing the chance of a contracture forming. If a contracture does form</w:t>
      </w:r>
      <w:r w:rsidR="009352BF">
        <w:rPr>
          <w:color w:val="000000" w:themeColor="text1"/>
        </w:rPr>
        <w:t xml:space="preserve"> </w:t>
      </w:r>
      <w:r>
        <w:rPr>
          <w:color w:val="000000" w:themeColor="text1"/>
        </w:rPr>
        <w:t>then surgical intervention is required to release it.</w:t>
      </w:r>
    </w:p>
    <w:p w14:paraId="677F0C17" w14:textId="77777777" w:rsidR="009A585B" w:rsidRDefault="009A585B" w:rsidP="009A585B">
      <w:pPr>
        <w:keepNext/>
        <w:jc w:val="center"/>
      </w:pPr>
      <w:r>
        <w:rPr>
          <w:noProof/>
          <w:color w:val="000000" w:themeColor="text1"/>
          <w:lang w:val="en-US"/>
        </w:rPr>
        <w:lastRenderedPageBreak/>
        <w:drawing>
          <wp:inline distT="0" distB="0" distL="0" distR="0" wp14:anchorId="6137D7BE" wp14:editId="365C84A4">
            <wp:extent cx="2349661" cy="28718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mpression garment_face.png"/>
                    <pic:cNvPicPr/>
                  </pic:nvPicPr>
                  <pic:blipFill>
                    <a:blip r:embed="rId16">
                      <a:extLst>
                        <a:ext uri="{28A0092B-C50C-407E-A947-70E740481C1C}">
                          <a14:useLocalDpi xmlns:a14="http://schemas.microsoft.com/office/drawing/2010/main" val="0"/>
                        </a:ext>
                      </a:extLst>
                    </a:blip>
                    <a:stretch>
                      <a:fillRect/>
                    </a:stretch>
                  </pic:blipFill>
                  <pic:spPr>
                    <a:xfrm>
                      <a:off x="0" y="0"/>
                      <a:ext cx="2354040" cy="2877160"/>
                    </a:xfrm>
                    <a:prstGeom prst="rect">
                      <a:avLst/>
                    </a:prstGeom>
                  </pic:spPr>
                </pic:pic>
              </a:graphicData>
            </a:graphic>
          </wp:inline>
        </w:drawing>
      </w:r>
    </w:p>
    <w:p w14:paraId="0FFFC113" w14:textId="7447D9E8" w:rsidR="009A585B" w:rsidRDefault="009A585B" w:rsidP="009A585B">
      <w:pPr>
        <w:pStyle w:val="Caption"/>
        <w:jc w:val="center"/>
        <w:rPr>
          <w:color w:val="000000" w:themeColor="text1"/>
        </w:rPr>
      </w:pPr>
      <w:bookmarkStart w:id="23" w:name="_Ref524617261"/>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4</w:t>
      </w:r>
      <w:r w:rsidR="00BE21E4">
        <w:rPr>
          <w:noProof/>
        </w:rPr>
        <w:fldChar w:fldCharType="end"/>
      </w:r>
      <w:bookmarkEnd w:id="23"/>
      <w:r w:rsidR="009D71E0">
        <w:rPr>
          <w:b w:val="0"/>
        </w:rPr>
        <w:t>. A f</w:t>
      </w:r>
      <w:r w:rsidRPr="009D71E0">
        <w:rPr>
          <w:b w:val="0"/>
        </w:rPr>
        <w:t xml:space="preserve">ull-face compression garment </w:t>
      </w:r>
      <w:r w:rsidR="009352BF">
        <w:rPr>
          <w:b w:val="0"/>
        </w:rPr>
        <w:t>worn</w:t>
      </w:r>
      <w:r w:rsidRPr="009D71E0">
        <w:rPr>
          <w:b w:val="0"/>
        </w:rPr>
        <w:t xml:space="preserve"> to prevent a contracture forming</w:t>
      </w:r>
      <w:r w:rsidR="009352BF">
        <w:rPr>
          <w:b w:val="0"/>
        </w:rPr>
        <w:t>.</w:t>
      </w:r>
      <w:r w:rsidRPr="009D71E0">
        <w:rPr>
          <w:b w:val="0"/>
        </w:rPr>
        <w:fldChar w:fldCharType="begin" w:fldLock="1"/>
      </w:r>
      <w:r w:rsidRPr="009D71E0">
        <w:rPr>
          <w:b w:val="0"/>
        </w:rPr>
        <w:instrText>ADDIN CSL_CITATION {"citationItems":[{"id":"ITEM-1","itemData":{"URL":"http://www.gottfriedmedical.com/custom_compression-garments/face-masks_chin-straps/face-masks_chin-straps.php","accessed":{"date-parts":[["2018","9","13"]]},"author":[{"dropping-particle":"","family":"Medical Inc","given":"GottFried","non-dropping-particle":"","parse-names":false,"suffix":""}],"id":"ITEM-1","issued":{"date-parts":[["0"]]},"title":"Compression Therapy &amp; Scar Management Products, Gottfried Medical Inc","type":"webpage"},"uris":["http://www.mendeley.com/documents/?uuid=0c0fc50f-d4bd-4b55-9e10-958e86541ea6"]}],"mendeley":{"formattedCitation":"&lt;sup&gt;56&lt;/sup&gt;","plainTextFormattedCitation":"56","previouslyFormattedCitation":"&lt;sup&gt;56&lt;/sup&gt;"},"properties":{"noteIndex":0},"schema":"https://github.com/citation-style-language/schema/raw/master/csl-citation.json"}</w:instrText>
      </w:r>
      <w:r w:rsidRPr="009D71E0">
        <w:rPr>
          <w:b w:val="0"/>
        </w:rPr>
        <w:fldChar w:fldCharType="separate"/>
      </w:r>
      <w:r w:rsidRPr="009D71E0">
        <w:rPr>
          <w:b w:val="0"/>
          <w:i/>
          <w:noProof/>
          <w:vertAlign w:val="superscript"/>
        </w:rPr>
        <w:t>56</w:t>
      </w:r>
      <w:r w:rsidRPr="009D71E0">
        <w:rPr>
          <w:b w:val="0"/>
        </w:rPr>
        <w:fldChar w:fldCharType="end"/>
      </w:r>
    </w:p>
    <w:p w14:paraId="619EACE6" w14:textId="77777777" w:rsidR="009A585B" w:rsidRPr="009A585B" w:rsidRDefault="009A585B" w:rsidP="009A585B">
      <w:pPr>
        <w:pStyle w:val="Heading3"/>
      </w:pPr>
      <w:bookmarkStart w:id="24" w:name="_Toc2450975"/>
      <w:r w:rsidRPr="009A585B">
        <w:t>Remodelling strategies</w:t>
      </w:r>
      <w:bookmarkEnd w:id="24"/>
    </w:p>
    <w:p w14:paraId="1F5BD9D6" w14:textId="77777777" w:rsidR="009A585B" w:rsidRDefault="009A585B" w:rsidP="009A585B">
      <w:pPr>
        <w:rPr>
          <w:color w:val="FF0000"/>
        </w:rPr>
      </w:pPr>
      <w:r w:rsidRPr="00266600">
        <w:rPr>
          <w:color w:val="000000" w:themeColor="text1"/>
        </w:rPr>
        <w:t xml:space="preserve">Remodelling strategies focus on releasing the contracture and improving joint mobility once a mature scar has developed. Surgical techniques for contracture release include using skin grafts and skin flaps (for example, a Z-plasty). These techniques have </w:t>
      </w:r>
      <w:r>
        <w:t>been thoroughly reviewed by Hudson and Renshaw.</w:t>
      </w:r>
      <w:r>
        <w:fldChar w:fldCharType="begin" w:fldLock="1"/>
      </w:r>
      <w:r>
        <w:instrText>ADDIN CSL_CITATION {"citationItems":[{"id":"ITEM-1","itemData":{"DOI":"10.1016/j.burns.2006.02.009","ISBN":"0305-4179 (Print)\\r0305-4179 (Linking)","ISSN":"03054179","PMID":"16905261","abstract":"Burn contractures of the extremities present a clinical challenge. Flexion contractures are more common than extension contractures. The first component of treatment is adequate contracture release. A number of different methods are available for resurfacing the wound and these are reviewed. An algorithm is presented which permits a simple approach to managing burn scar contracture of the extremities. ?? 2006 Elsevier Ltd and ISBI.","author":[{"dropping-particle":"","family":"Hudson","given":"Donald A","non-dropping-particle":"","parse-names":false,"suffix":""},{"dropping-particle":"","family":"Renshaw","given":"Anthony","non-dropping-particle":"","parse-names":false,"suffix":""}],"container-title":"Burns","id":"ITEM-1","issue":"6","issued":{"date-parts":[["2006"]]},"page":"663-668","title":"An algorithm for the release of burn contractures of the extremities","type":"article","volume":"32"},"uris":["http://www.mendeley.com/documents/?uuid=0f46f04e-e735-458e-878d-a217f01b6115"]}],"mendeley":{"formattedCitation":"&lt;sup&gt;57&lt;/sup&gt;","plainTextFormattedCitation":"57","previouslyFormattedCitation":"&lt;sup&gt;57&lt;/sup&gt;"},"properties":{"noteIndex":0},"schema":"https://github.com/citation-style-language/schema/raw/master/csl-citation.json"}</w:instrText>
      </w:r>
      <w:r>
        <w:fldChar w:fldCharType="separate"/>
      </w:r>
      <w:r w:rsidRPr="00E8189C">
        <w:rPr>
          <w:noProof/>
          <w:vertAlign w:val="superscript"/>
        </w:rPr>
        <w:t>57</w:t>
      </w:r>
      <w:r>
        <w:fldChar w:fldCharType="end"/>
      </w:r>
      <w:r>
        <w:t xml:space="preserve"> Remodelling poses the risk of further contractures developing, as a result of healing from the surgical wounds, as well as extending the patient’s recovery time and delaying their return to normal life. It is widely acknowledged that skin grafts provide </w:t>
      </w:r>
      <w:r w:rsidRPr="00BA2CEB">
        <w:rPr>
          <w:color w:val="000000" w:themeColor="text1"/>
        </w:rPr>
        <w:t>a superior outcome compared to allowing the wound to heal without intervention.</w:t>
      </w:r>
      <w:r w:rsidRPr="00BA2CEB">
        <w:rPr>
          <w:color w:val="000000" w:themeColor="text1"/>
        </w:rPr>
        <w:fldChar w:fldCharType="begin" w:fldLock="1"/>
      </w:r>
      <w:r>
        <w:rPr>
          <w:color w:val="000000" w:themeColor="text1"/>
        </w:rPr>
        <w:instrText>ADDIN CSL_CITATION {"citationItems":[{"id":"ITEM-1","itemData":{"DOI":"10.1097/00000637-200045020-00011","ISSN":"0148-7043","PMID":"10949344","abstract":"Contracture is a major detriment to functional recovery from large wounds. To determine the relative value of dermal replacement and epidermal coverage in inhibiting wound contraction, five full-thickness wounds (all 5 x 5 cm2) were placed on the back of 8 swine and treated in the following manner: (1) open wound, (2) porcine acellular dermis (analogous to AlloDerm for human use), (3) porcine acellular dermis with epidermal autograft placed 7 days postwounding, (4) porcine acellular dermis with immediate epidermal autograft, and (5) conventional-thickness autograft. Scar dimensions and punch biopsies were taken at days 14 and 30 postwounding. The planimetry results demonstrated that wound contraction was significantly greater with the open wounds (group 1) than all other wounds with a dermal substitute. Furthermore, wounds with initial epidermal coverage had significantly less contraction than unepithelialized wounds (14.8 +/- 1.1 cm2 at day 14 in wound group 2 vs. 20.4 +/- 0.6 cm2 in wound group 4; p &lt; 0.05). Biopsy results revealed that wounds with initial epithelial coverage had the least amount of inflammation. These findings suggest that both dermal matrix and epidermal coverage contribute to an inhibition of wound contraction and that prompt epithelial coverage appears to impede contraction by reducing inflammation.","author":[{"dropping-particle":"","family":"Walden","given":"J L","non-dropping-particle":"","parse-names":false,"suffix":""},{"dropping-particle":"","family":"Garcia","given":"H","non-dropping-particle":"","parse-names":false,"suffix":""},{"dropping-particle":"","family":"Hawkins","given":"H","non-dropping-particle":"","parse-names":false,"suffix":""},{"dropping-particle":"","family":"Crouchet","given":"J R","non-dropping-particle":"","parse-names":false,"suffix":""},{"dropping-particle":"","family":"Traber","given":"L","non-dropping-particle":"","parse-names":false,"suffix":""},{"dropping-particle":"","family":"Gore","given":"D C","non-dropping-particle":"","parse-names":false,"suffix":""}],"container-title":"Annals of plastic surgery","id":"ITEM-1","issue":"2","issued":{"date-parts":[["2000"]]},"page":"162-166","title":"Both dermal matrix and epidermis contribute to an inhibition of wound contraction.","type":"article-journal","volume":"45"},"uris":["http://www.mendeley.com/documents/?uuid=371b54ef-ad56-409e-a651-b4c8fe4776f2"]}],"mendeley":{"formattedCitation":"&lt;sup&gt;58&lt;/sup&gt;","plainTextFormattedCitation":"58","previouslyFormattedCitation":"&lt;sup&gt;58&lt;/sup&gt;"},"properties":{"noteIndex":0},"schema":"https://github.com/citation-style-language/schema/raw/master/csl-citation.json"}</w:instrText>
      </w:r>
      <w:r w:rsidRPr="00BA2CEB">
        <w:rPr>
          <w:color w:val="000000" w:themeColor="text1"/>
        </w:rPr>
        <w:fldChar w:fldCharType="separate"/>
      </w:r>
      <w:r w:rsidRPr="00E8189C">
        <w:rPr>
          <w:noProof/>
          <w:color w:val="000000" w:themeColor="text1"/>
          <w:vertAlign w:val="superscript"/>
        </w:rPr>
        <w:t>58</w:t>
      </w:r>
      <w:r w:rsidRPr="00BA2CEB">
        <w:rPr>
          <w:color w:val="000000" w:themeColor="text1"/>
        </w:rPr>
        <w:fldChar w:fldCharType="end"/>
      </w:r>
      <w:r w:rsidRPr="00BA2CEB">
        <w:rPr>
          <w:color w:val="000000" w:themeColor="text1"/>
        </w:rPr>
        <w:t xml:space="preserve"> However, skin grafts are also known to contract through two separate mechanisms. First, primary contraction occurs immediately after harvesting the graft and has been attributed to the recoil of elastin fibres, found predominantly in the dermis.</w:t>
      </w:r>
      <w:r w:rsidRPr="00BA2CEB">
        <w:rPr>
          <w:color w:val="000000" w:themeColor="text1"/>
        </w:rPr>
        <w:fldChar w:fldCharType="begin" w:fldLock="1"/>
      </w:r>
      <w:r>
        <w:rPr>
          <w:color w:val="000000" w:themeColor="text1"/>
        </w:rPr>
        <w:instrText>ADDIN CSL_CITATION {"citationItems":[{"id":"ITEM-1","itemData":{"DOI":"10.4103/2347-9264.149372","abstract":"Aim: Skin grafting is a common clinical practice for plastic surgeons, yet primary contraction of these grafts is a neglected topic. This study was designed to investigate primary contraction and introduce the shape of skin graft as a possible factor that modifies primary contraction behavior, using porcine models. Methods: In the first series, full‑thickness skin grafts (FTSGs) and split‑thickness skin grafts (STSGs) were compared. In a second series, how the shape of the skin graft affected the degree of contraction was examined. Results: The mean percentage of FTSG shrinkage was 12.04%, and the median was 12.18%. The mean percentage of STSG shrinkage was 6.87%, and the median was 5%. Circle‑shaped and square‑shaped FTSGs showed mean/median graft shrinkage of 5.83%/6.93% and 4.15%/3.75%, respectively. In STSGs, the circle‑shaped and square‑shaped grafts had mean/median graft shrinkage of 1.07%/0% and 0.31%/0%, respectively. Conclusion: Our preliminary report revealed an expected greater shrinkage of FTSGs compared with STSGs. Furthermore, in a limited number of specimens, the shape of the skin graft seemed to affect the primary contraction of the STSGs.","author":[{"dropping-particle":"","family":"Berezovsky","given":"Alexander Bogdanov","non-dropping-particle":"","parse-names":false,"suffix":""},{"dropping-particle":"","family":"Pagkalos","given":"Vasileios A","non-dropping-particle":"","parse-names":false,"suffix":""},{"dropping-particle":"","family":"Silberstein","given":"Eldad","non-dropping-particle":"","parse-names":false,"suffix":""}],"container-title":"Plastic and Aesthetic researchesearch","id":"ITEM-1","issue":"1","issued":{"date-parts":[["2015"]]},"page":"22-26","title":"Primary contraction of skin grafts : a porcine preliminary study","type":"article-journal","volume":"2"},"uris":["http://www.mendeley.com/documents/?uuid=0cef67cc-ce95-4aa5-b4b8-f28cc9b20494"]}],"mendeley":{"formattedCitation":"&lt;sup&gt;59&lt;/sup&gt;","plainTextFormattedCitation":"59","previouslyFormattedCitation":"&lt;sup&gt;59&lt;/sup&gt;"},"properties":{"noteIndex":0},"schema":"https://github.com/citation-style-language/schema/raw/master/csl-citation.json"}</w:instrText>
      </w:r>
      <w:r w:rsidRPr="00BA2CEB">
        <w:rPr>
          <w:color w:val="000000" w:themeColor="text1"/>
        </w:rPr>
        <w:fldChar w:fldCharType="separate"/>
      </w:r>
      <w:r w:rsidRPr="00E8189C">
        <w:rPr>
          <w:noProof/>
          <w:color w:val="000000" w:themeColor="text1"/>
          <w:vertAlign w:val="superscript"/>
        </w:rPr>
        <w:t>59</w:t>
      </w:r>
      <w:r w:rsidRPr="00BA2CEB">
        <w:rPr>
          <w:color w:val="000000" w:themeColor="text1"/>
        </w:rPr>
        <w:fldChar w:fldCharType="end"/>
      </w:r>
      <w:r w:rsidRPr="00BA2CEB">
        <w:rPr>
          <w:color w:val="000000" w:themeColor="text1"/>
        </w:rPr>
        <w:t xml:space="preserve"> Following this, secondary contraction is observed after transplant to the receiver site and is </w:t>
      </w:r>
      <w:r>
        <w:rPr>
          <w:color w:val="000000" w:themeColor="text1"/>
        </w:rPr>
        <w:t>thought</w:t>
      </w:r>
      <w:r w:rsidRPr="00BA2CEB">
        <w:rPr>
          <w:color w:val="000000" w:themeColor="text1"/>
        </w:rPr>
        <w:t xml:space="preserve"> to be due to the remodelling of the tissue. Secondary contraction occurs to a greater extent in STSG, with FTSG showing very little contraction once transplanted.</w:t>
      </w:r>
      <w:r w:rsidRPr="00BA2CEB">
        <w:rPr>
          <w:color w:val="000000" w:themeColor="text1"/>
        </w:rPr>
        <w:fldChar w:fldCharType="begin" w:fldLock="1"/>
      </w:r>
      <w:r>
        <w:rPr>
          <w:color w:val="000000" w:themeColor="text1"/>
        </w:rPr>
        <w:instrText>ADDIN CSL_CITATION {"citationItems":[{"id":"ITEM-1","itemData":{"DOI":"10.1016/S0007-1226(69)80053-6","ISSN":"00071226","PMID":"4891590","author":[{"dropping-particle":"V","family":"Corps","given":"B","non-dropping-particle":"","parse-names":false,"suffix":""}],"container-title":"British journal of plastic surgery","id":"ITEM-1","issue":"2","issued":{"date-parts":[["1969"]]},"page":"125-133","title":"The effect of graft thickness, donor site and graft bed on graft shrinkage in the hooded rat.","type":"article-journal","volume":"22"},"uris":["http://www.mendeley.com/documents/?uuid=d9d9b55d-9135-4cc8-a2f9-d57037aad80d"]}],"mendeley":{"formattedCitation":"&lt;sup&gt;33&lt;/sup&gt;","plainTextFormattedCitation":"33","previouslyFormattedCitation":"&lt;sup&gt;33&lt;/sup&gt;"},"properties":{"noteIndex":0},"schema":"https://github.com/citation-style-language/schema/raw/master/csl-citation.json"}</w:instrText>
      </w:r>
      <w:r w:rsidRPr="00BA2CEB">
        <w:rPr>
          <w:color w:val="000000" w:themeColor="text1"/>
        </w:rPr>
        <w:fldChar w:fldCharType="separate"/>
      </w:r>
      <w:r w:rsidRPr="00E8189C">
        <w:rPr>
          <w:noProof/>
          <w:color w:val="000000" w:themeColor="text1"/>
          <w:vertAlign w:val="superscript"/>
        </w:rPr>
        <w:t>33</w:t>
      </w:r>
      <w:r w:rsidRPr="00BA2CEB">
        <w:rPr>
          <w:color w:val="000000" w:themeColor="text1"/>
        </w:rPr>
        <w:fldChar w:fldCharType="end"/>
      </w:r>
      <w:bookmarkStart w:id="25" w:name="_Toc305048959"/>
      <w:bookmarkStart w:id="26" w:name="_Toc320882502"/>
      <w:r w:rsidRPr="00BA2CEB">
        <w:rPr>
          <w:color w:val="000000" w:themeColor="text1"/>
        </w:rPr>
        <w:t xml:space="preserve"> The ability of skin grafts to contract highlights a flaw of this technique for contracture release, as there is potential for the contracture to re-form after surgery. </w:t>
      </w:r>
    </w:p>
    <w:bookmarkEnd w:id="25"/>
    <w:bookmarkEnd w:id="26"/>
    <w:p w14:paraId="21C097E6" w14:textId="26AC0F87" w:rsidR="009A585B" w:rsidRPr="00AB77F1" w:rsidRDefault="009A585B" w:rsidP="009A585B">
      <w:pPr>
        <w:rPr>
          <w:color w:val="000000" w:themeColor="text1"/>
        </w:rPr>
      </w:pPr>
      <w:r w:rsidRPr="00AB77F1">
        <w:rPr>
          <w:color w:val="000000" w:themeColor="text1"/>
        </w:rPr>
        <w:t>The current treatments for burn scar contracture have changed very little in the past 50 years. As a result, there is an unmet clinical need to provide more effective therapies</w:t>
      </w:r>
      <w:r w:rsidR="000A660C">
        <w:rPr>
          <w:color w:val="000000" w:themeColor="text1"/>
        </w:rPr>
        <w:t xml:space="preserve"> </w:t>
      </w:r>
      <w:r w:rsidRPr="00AB77F1">
        <w:rPr>
          <w:color w:val="000000" w:themeColor="text1"/>
        </w:rPr>
        <w:t xml:space="preserve">which target the underlying mechanism of scar contracture. New treatments need to be developed that can be used in parallel with current therapies, such as compression </w:t>
      </w:r>
      <w:r w:rsidRPr="00AB77F1">
        <w:rPr>
          <w:color w:val="000000" w:themeColor="text1"/>
        </w:rPr>
        <w:lastRenderedPageBreak/>
        <w:t xml:space="preserve">bandaging, with the aim of reducing treatment times. A greater understanding of the underlying biomechanics of contraction would greatly aid the development of such a therapy. </w:t>
      </w:r>
    </w:p>
    <w:p w14:paraId="74900C06" w14:textId="77777777" w:rsidR="009A585B" w:rsidRPr="009A585B" w:rsidRDefault="009A585B" w:rsidP="009A585B">
      <w:pPr>
        <w:pStyle w:val="Heading2"/>
      </w:pPr>
      <w:bookmarkStart w:id="27" w:name="_Toc305048956"/>
      <w:bookmarkStart w:id="28" w:name="_Toc320882499"/>
      <w:bookmarkStart w:id="29" w:name="_Toc2450976"/>
      <w:r w:rsidRPr="009A585B">
        <w:t>Mechanism of contract</w:t>
      </w:r>
      <w:bookmarkEnd w:id="27"/>
      <w:bookmarkEnd w:id="28"/>
      <w:r w:rsidRPr="009A585B">
        <w:t>ion</w:t>
      </w:r>
      <w:bookmarkEnd w:id="29"/>
    </w:p>
    <w:p w14:paraId="552A283B" w14:textId="505E3814" w:rsidR="009A585B" w:rsidRPr="00410A7B" w:rsidRDefault="009A585B" w:rsidP="009A585B">
      <w:pPr>
        <w:rPr>
          <w:color w:val="000000" w:themeColor="text1"/>
        </w:rPr>
      </w:pPr>
      <w:r>
        <w:rPr>
          <w:color w:val="000000" w:themeColor="text1"/>
        </w:rPr>
        <w:t xml:space="preserve">Despite numerous cell and animal studies, </w:t>
      </w:r>
      <w:r w:rsidRPr="00AB77F1">
        <w:rPr>
          <w:color w:val="000000" w:themeColor="text1"/>
        </w:rPr>
        <w:t>the mechanism of contracture is still not fully understood</w:t>
      </w:r>
      <w:r w:rsidRPr="00117AE8">
        <w:rPr>
          <w:color w:val="000000" w:themeColor="text1"/>
        </w:rPr>
        <w:t xml:space="preserve"> </w:t>
      </w:r>
      <w:r>
        <w:rPr>
          <w:color w:val="000000" w:themeColor="text1"/>
        </w:rPr>
        <w:t>a</w:t>
      </w:r>
      <w:r w:rsidRPr="00AB77F1">
        <w:rPr>
          <w:color w:val="000000" w:themeColor="text1"/>
        </w:rPr>
        <w:t xml:space="preserve">t </w:t>
      </w:r>
      <w:r w:rsidR="009352BF">
        <w:rPr>
          <w:color w:val="000000" w:themeColor="text1"/>
        </w:rPr>
        <w:t>the</w:t>
      </w:r>
      <w:r>
        <w:rPr>
          <w:color w:val="000000" w:themeColor="text1"/>
        </w:rPr>
        <w:t xml:space="preserve"> cellular level. It is known that scar contracture is a continuation of the wound contraction process, occurring within the remodelling phase of wound healing. Conflicting theories have arisen to describe the type of cell responsible for contraction and its mode of action. </w:t>
      </w:r>
      <w:r>
        <w:t xml:space="preserve">Abercrombie </w:t>
      </w:r>
      <w:r w:rsidRPr="00124057">
        <w:rPr>
          <w:i/>
        </w:rPr>
        <w:t>et al</w:t>
      </w:r>
      <w:r>
        <w:t xml:space="preserve">. were the first to suggest that cells residing in granulation tissue </w:t>
      </w:r>
      <w:r w:rsidR="009352BF">
        <w:t xml:space="preserve">(fibroblasts) </w:t>
      </w:r>
      <w:r>
        <w:t>were responsible for wound contraction.</w:t>
      </w:r>
      <w:r w:rsidRPr="00410A7B">
        <w:rPr>
          <w:color w:val="000000" w:themeColor="text1"/>
        </w:rPr>
        <w:fldChar w:fldCharType="begin" w:fldLock="1"/>
      </w:r>
      <w:r>
        <w:rPr>
          <w:color w:val="000000" w:themeColor="text1"/>
        </w:rPr>
        <w:instrText>ADDIN CSL_CITATION {"citationItems":[{"id":"ITEM-1","itemData":{"abstract":"A Wound in any mobile part of the skin of a mammal diminishes in area as it heals by a centripetal movement of the undamaged skin surrounding it. This movement, usually called wound contraction, depends on a pull exerted by the material within the wound (Lindquist, 1946; Abercrombie, Flint, &amp; James, 1954; Billingham &amp; Medawar, 1955). It is commonly believed that the effective force is developed by the newly formed collagen fibres. In a previous paper, however (Abercrombie, Flint, &amp; James, 1954), we found that the course of the contraction of skin wounds in rats did not parallel the deposition of new collagen, chemically measured. This result, while certainly in no way conclusive by itself, suggested that the supposed role of collagen in contraction ought to be tested more stringently. This we have now done by measuring wounds made on guinea-pigs receiving a diet devoid of ascorbic acid.\\n","author":[{"dropping-particle":"","family":"Abercrombie","given":"M","non-dropping-particle":"","parse-names":false,"suffix":""}],"container-title":"Journal of Embryology and experimental morphology","id":"ITEM-1","issued":{"date-parts":[["1956"]]},"page":"167-175","title":"Wound contraction in relation to collagen formation in scorbutic guinea-pigs","type":"article-journal","volume":"4"},"uris":["http://www.mendeley.com/documents/?uuid=3f20199d-a2e1-439a-8d99-55ba41677999"]}],"mendeley":{"formattedCitation":"&lt;sup&gt;60&lt;/sup&gt;","plainTextFormattedCitation":"60","previouslyFormattedCitation":"&lt;sup&gt;60&lt;/sup&gt;"},"properties":{"noteIndex":0},"schema":"https://github.com/citation-style-language/schema/raw/master/csl-citation.json"}</w:instrText>
      </w:r>
      <w:r w:rsidRPr="00410A7B">
        <w:rPr>
          <w:color w:val="000000" w:themeColor="text1"/>
        </w:rPr>
        <w:fldChar w:fldCharType="separate"/>
      </w:r>
      <w:r w:rsidRPr="00E8189C">
        <w:rPr>
          <w:noProof/>
          <w:color w:val="000000" w:themeColor="text1"/>
          <w:vertAlign w:val="superscript"/>
        </w:rPr>
        <w:t>60</w:t>
      </w:r>
      <w:r w:rsidRPr="00410A7B">
        <w:rPr>
          <w:color w:val="000000" w:themeColor="text1"/>
        </w:rPr>
        <w:fldChar w:fldCharType="end"/>
      </w:r>
      <w:r w:rsidRPr="00410A7B">
        <w:rPr>
          <w:color w:val="000000" w:themeColor="text1"/>
        </w:rPr>
        <w:t xml:space="preserve"> Since, two theories of contraction have been proposed and widely discussed in the literature, namely cell contraction theory and cell traction theory. </w:t>
      </w:r>
    </w:p>
    <w:p w14:paraId="4D56488F" w14:textId="77777777" w:rsidR="009A585B" w:rsidRDefault="009A585B" w:rsidP="009A585B">
      <w:pPr>
        <w:pStyle w:val="Heading3"/>
      </w:pPr>
      <w:bookmarkStart w:id="30" w:name="_Toc2450977"/>
      <w:r>
        <w:t>Cell contraction theory</w:t>
      </w:r>
      <w:bookmarkEnd w:id="30"/>
    </w:p>
    <w:p w14:paraId="022A69B9" w14:textId="77777777" w:rsidR="009A585B" w:rsidRDefault="009A585B" w:rsidP="009A585B">
      <w:r>
        <w:t>Cell contraction theory proposes that wound contraction is a result of fibroblast differentiation into myofibroblasts, which are able to contract in a manner similar to smooth muscle cells.</w:t>
      </w:r>
      <w:r>
        <w:fldChar w:fldCharType="begin" w:fldLock="1"/>
      </w:r>
      <w:r>
        <w:instrText>ADDIN CSL_CITATION {"citationItems":[{"id":"ITEM-1","itemData":{"DOI":"10.1083/jcb.124.4.401","ISBN":"0021-9525 (Print)\\n0021-9525 (Linking)","ISSN":"00219525","PMID":"8106541","author":[{"dropping-particle":"","family":"Grinnell","given":"Frederick","non-dropping-particle":"","parse-names":false,"suffix":""}],"container-title":"Journal of Cell Biology","id":"ITEM-1","issue":"4","issued":{"date-parts":[["1994"]]},"page":"401-404","title":"Fibroblasts, myofibroblasts, and wound contraction","type":"article-journal","volume":"124"},"uris":["http://www.mendeley.com/documents/?uuid=92e47312-21c7-4905-ae41-7df9b8fb6b16"]}],"mendeley":{"formattedCitation":"&lt;sup&gt;61&lt;/sup&gt;","plainTextFormattedCitation":"61","previouslyFormattedCitation":"&lt;sup&gt;61&lt;/sup&gt;"},"properties":{"noteIndex":0},"schema":"https://github.com/citation-style-language/schema/raw/master/csl-citation.json"}</w:instrText>
      </w:r>
      <w:r>
        <w:fldChar w:fldCharType="separate"/>
      </w:r>
      <w:r w:rsidRPr="00E8189C">
        <w:rPr>
          <w:noProof/>
          <w:vertAlign w:val="superscript"/>
        </w:rPr>
        <w:t>61</w:t>
      </w:r>
      <w:r>
        <w:fldChar w:fldCharType="end"/>
      </w:r>
      <w:r>
        <w:t xml:space="preserve"> Giabbani </w:t>
      </w:r>
      <w:r w:rsidRPr="00124057">
        <w:rPr>
          <w:i/>
        </w:rPr>
        <w:t>et al</w:t>
      </w:r>
      <w:r>
        <w:rPr>
          <w:i/>
        </w:rPr>
        <w:t>.</w:t>
      </w:r>
      <w:r>
        <w:t xml:space="preserve"> first identified modified fibroblasts with altered structural characteristics including the presence of fibrin bundles, nuclear deformations and surface differentiations.</w:t>
      </w:r>
      <w:r>
        <w:fldChar w:fldCharType="begin" w:fldLock="1"/>
      </w:r>
      <w:r>
        <w:instrText>ADDIN CSL_CITATION {"citationItems":[{"id":"ITEM-1","itemData":{"DOI":"10.1007/BF02147594","ISBN":"0014-4754 (Print)\\n0014-4754 (Linking)","ISSN":"00144754","PMID":"5132594","abstract":"Au cours de la contraction du tissu de granulation, de nombreux fibroblastes acquièrent des caractéristiques ultrastructurelles qui les rendent semblables à des cellules musculaires lisses. Il est probable que ces éléments modifiés jouent un rôle dans le processus de contraction des plaies.","author":[{"dropping-particle":"","family":"Gabbiani","given":"G.","non-dropping-particle":"","parse-names":false,"suffix":""},{"dropping-particle":"","family":"Ryan","given":"G. B.","non-dropping-particle":"","parse-names":false,"suffix":""},{"dropping-particle":"","family":"Majno","given":"G.","non-dropping-particle":"","parse-names":false,"suffix":""}],"container-title":"Experientia","id":"ITEM-1","issue":"5","issued":{"date-parts":[["1971"]]},"page":"549-550","title":"Presence of modified fibroblasts in granulation tissue and their possible role in wound contraction","type":"article-journal","volume":"27"},"uris":["http://www.mendeley.com/documents/?uuid=774f9ffe-cb51-4a0c-a834-6a7f0f67830e"]}],"mendeley":{"formattedCitation":"&lt;sup&gt;62&lt;/sup&gt;","plainTextFormattedCitation":"62","previouslyFormattedCitation":"&lt;sup&gt;62&lt;/sup&gt;"},"properties":{"noteIndex":0},"schema":"https://github.com/citation-style-language/schema/raw/master/csl-citation.json"}</w:instrText>
      </w:r>
      <w:r>
        <w:fldChar w:fldCharType="separate"/>
      </w:r>
      <w:r w:rsidRPr="00E8189C">
        <w:rPr>
          <w:noProof/>
          <w:vertAlign w:val="superscript"/>
        </w:rPr>
        <w:t>62</w:t>
      </w:r>
      <w:r>
        <w:fldChar w:fldCharType="end"/>
      </w:r>
      <w:r>
        <w:t xml:space="preserve"> Myofibroblasts are known to align along lines of tension and produce </w:t>
      </w:r>
      <w:r>
        <w:rPr>
          <w:rFonts w:ascii="Cambria" w:hAnsi="Cambria"/>
        </w:rPr>
        <w:t>α</w:t>
      </w:r>
      <w:r>
        <w:t>-smooth muscle actin (</w:t>
      </w:r>
      <w:r>
        <w:rPr>
          <w:rFonts w:ascii="Cambria" w:hAnsi="Cambria"/>
        </w:rPr>
        <w:t>α</w:t>
      </w:r>
      <w:r>
        <w:t>-SMA), an isoform of actin involved in the contraction of smooth muscle.</w:t>
      </w:r>
      <w:r>
        <w:fldChar w:fldCharType="begin" w:fldLock="1"/>
      </w:r>
      <w:r>
        <w:instrText>ADDIN CSL_CITATION {"citationItems":[{"id":"ITEM-1","itemData":{"author":[{"dropping-particle":"","family":"Desmoulière","given":"Alexis","non-dropping-particle":"","parse-names":false,"suffix":""},{"dropping-particle":"","family":"Chaponnier","given":"Christine","non-dropping-particle":"","parse-names":false,"suffix":""},{"dropping-particle":"","family":"Gabbiani","given":"Giulio","non-dropping-particle":"","parse-names":false,"suffix":""}],"container-title":"Wound repair and regeneration","id":"ITEM-1","issue":"1","issued":{"date-parts":[["2005"]]},"page":"7-12","title":"Tissue repair, contraction, and the myofibroblast","type":"article-journal","volume":"13"},"uris":["http://www.mendeley.com/documents/?uuid=58eda217-bace-4644-a7b2-dcb9b1e09401"]}],"mendeley":{"formattedCitation":"&lt;sup&gt;63&lt;/sup&gt;","plainTextFormattedCitation":"63","previouslyFormattedCitation":"&lt;sup&gt;63&lt;/sup&gt;"},"properties":{"noteIndex":0},"schema":"https://github.com/citation-style-language/schema/raw/master/csl-citation.json"}</w:instrText>
      </w:r>
      <w:r>
        <w:fldChar w:fldCharType="separate"/>
      </w:r>
      <w:r w:rsidRPr="00E8189C">
        <w:rPr>
          <w:noProof/>
          <w:vertAlign w:val="superscript"/>
        </w:rPr>
        <w:t>63</w:t>
      </w:r>
      <w:r>
        <w:fldChar w:fldCharType="end"/>
      </w:r>
      <w:r>
        <w:t xml:space="preserve"> A large amount of research has focussed on the ability of myofibroblasts to contract free-floating and anchored collagen gels.</w:t>
      </w:r>
      <w:r>
        <w:fldChar w:fldCharType="begin" w:fldLock="1"/>
      </w:r>
      <w:r>
        <w:instrText>ADDIN CSL_CITATION {"citationItems":[{"id":"ITEM-1","itemData":{"author":[{"dropping-particle":"","family":"Desmoulière","given":"Alexis","non-dropping-particle":"","parse-names":false,"suffix":""},{"dropping-particle":"","family":"Chaponnier","given":"Christine","non-dropping-particle":"","parse-names":false,"suffix":""},{"dropping-particle":"","family":"Gabbiani","given":"Giulio","non-dropping-particle":"","parse-names":false,"suffix":""}],"container-title":"Wound repair and regeneration","id":"ITEM-1","issue":"1","issued":{"date-parts":[["2005"]]},"page":"7-12","title":"Tissue repair, contraction, and the myofibroblast","type":"article-journal","volume":"13"},"uris":["http://www.mendeley.com/documents/?uuid=58eda217-bace-4644-a7b2-dcb9b1e09401"]}],"mendeley":{"formattedCitation":"&lt;sup&gt;63&lt;/sup&gt;","plainTextFormattedCitation":"63","previouslyFormattedCitation":"&lt;sup&gt;63&lt;/sup&gt;"},"properties":{"noteIndex":0},"schema":"https://github.com/citation-style-language/schema/raw/master/csl-citation.json"}</w:instrText>
      </w:r>
      <w:r>
        <w:fldChar w:fldCharType="separate"/>
      </w:r>
      <w:r w:rsidRPr="00E8189C">
        <w:rPr>
          <w:noProof/>
          <w:vertAlign w:val="superscript"/>
        </w:rPr>
        <w:t>63</w:t>
      </w:r>
      <w:r>
        <w:fldChar w:fldCharType="end"/>
      </w:r>
      <w:r>
        <w:t xml:space="preserve"> </w:t>
      </w:r>
      <w:r w:rsidRPr="005F35F9">
        <w:t>Manjo</w:t>
      </w:r>
      <w:r w:rsidRPr="0025506A">
        <w:rPr>
          <w:i/>
        </w:rPr>
        <w:t xml:space="preserve"> et al</w:t>
      </w:r>
      <w:r>
        <w:rPr>
          <w:i/>
        </w:rPr>
        <w:t>.</w:t>
      </w:r>
      <w:r>
        <w:t xml:space="preserve"> deduced that since granulation tissue containing myofibroblasts was able to contract when tested in the same manner as smooth muscle, myofibroblasts must be the cause of contraction in collagen matrices and healing wounds.</w:t>
      </w:r>
      <w:r>
        <w:fldChar w:fldCharType="begin" w:fldLock="1"/>
      </w:r>
      <w:r>
        <w:instrText>ADDIN CSL_CITATION {"citationItems":[{"id":"ITEM-1","itemData":{"DOI":"10.1126/science.173.3996.548","ISBN":"0036-8075 (Print)\\n0036-8075 (Linking)","ISSN":"0036-8075","PMID":"4327529","abstract":"Strips of granulation tissue from three different experimental models contract in vitro when treated with substances that induce contraction of smooth muscle. Because the fibroblasts in such tissues have some ultrastructural features typical of smooth muscle, our findings indicate that fibroblasts are able to modulate toward a cell type that is morphologically and functionally close to smooth muscle.","author":[{"dropping-particle":"","family":"Majno","given":"G","non-dropping-particle":"","parse-names":false,"suffix":""},{"dropping-particle":"","family":"Gabbiani","given":"G","non-dropping-particle":"","parse-names":false,"suffix":""},{"dropping-particle":"","family":"Hirschel","given":"B J","non-dropping-particle":"","parse-names":false,"suffix":""},{"dropping-particle":"","family":"Ryan","given":"G B","non-dropping-particle":"","parse-names":false,"suffix":""},{"dropping-particle":"","family":"Statkov","given":"P R","non-dropping-particle":"","parse-names":false,"suffix":""}],"container-title":"Science (New York, N.Y.)","id":"ITEM-1","issue":"996","issued":{"date-parts":[["1971"]]},"page":"548-550","title":"Contraction of granulation tissue in vitro: similarity to smooth muscle.","type":"article-journal","volume":"173"},"uris":["http://www.mendeley.com/documents/?uuid=96f060f4-8836-4337-b0d3-d0a4bdd018d4"]}],"mendeley":{"formattedCitation":"&lt;sup&gt;64&lt;/sup&gt;","plainTextFormattedCitation":"64","previouslyFormattedCitation":"&lt;sup&gt;64&lt;/sup&gt;"},"properties":{"noteIndex":0},"schema":"https://github.com/citation-style-language/schema/raw/master/csl-citation.json"}</w:instrText>
      </w:r>
      <w:r>
        <w:fldChar w:fldCharType="separate"/>
      </w:r>
      <w:r w:rsidRPr="00E8189C">
        <w:rPr>
          <w:noProof/>
          <w:vertAlign w:val="superscript"/>
        </w:rPr>
        <w:t>64</w:t>
      </w:r>
      <w:r>
        <w:fldChar w:fldCharType="end"/>
      </w:r>
    </w:p>
    <w:p w14:paraId="30269488" w14:textId="77777777" w:rsidR="009A585B" w:rsidRDefault="009A585B" w:rsidP="009A585B">
      <w:pPr>
        <w:pStyle w:val="Heading3"/>
      </w:pPr>
      <w:bookmarkStart w:id="31" w:name="_Toc2450978"/>
      <w:r>
        <w:t>Cell traction theory</w:t>
      </w:r>
      <w:bookmarkEnd w:id="31"/>
    </w:p>
    <w:p w14:paraId="531CF355" w14:textId="77777777" w:rsidR="009A585B" w:rsidRDefault="009A585B" w:rsidP="009A585B">
      <w:r>
        <w:t>A contrasting</w:t>
      </w:r>
      <w:r w:rsidRPr="00525DEF">
        <w:t xml:space="preserve"> theory,</w:t>
      </w:r>
      <w:r>
        <w:t xml:space="preserve"> termed cell traction theory by Stopak and Harris,</w:t>
      </w:r>
      <w:r>
        <w:fldChar w:fldCharType="begin" w:fldLock="1"/>
      </w:r>
      <w:r>
        <w:instrText>ADDIN CSL_CITATION {"citationItems":[{"id":"ITEM-1","itemData":{"DOI":"10.1016/0012-1606(82)90388-8","ISBN":"0012-1606 (Print)\\r0012-1606 (Linking)","ISSN":"00121606","PMID":"7075867","abstract":"We find that the force fibroblasts use to propel themselves (traction) is sufficiently strong to distort collagen gels and to form patterns of tension, compression, and alignment similar to the wrinkling patterns previously observed on silicone rubber. Experiments with hygroscopic salts and with rapidly growing (but weakly contractile) transformed fibroblasts indicate that these distortions of collagen do not result from dehydration or other chemical consequences of cell metabolism but are direct effects of cell contractility. Between explants of fibroblasts the centripetal traction aligns collagen fibers into linear tracts as much as 4 cm long. Immediately adjacent to explants the effect of traction is to compress the collagen fibers into a dense, capsule-like circumferential wrapping. Aligned tracts are also formed when populations of fibroblasts are dispersed in the collagen matrix and its contraction is then resisted by fixed points. When developing limb cartilages are explanted into collagen gels, points on the cartilage surface become cross-connected with tracts of aligned collagen. When muscle cells are co-cultured with cartilage the traction draws them into the aligned tracts to form facsimiles of actual muscles. We propose that this tractional structuring is the mechanism by which ligaments, tendons, and muscles become organized during development.","author":[{"dropping-particle":"","family":"Stopak","given":"D","non-dropping-particle":"","parse-names":false,"suffix":""},{"dropping-particle":"","family":"Harris","given":"A K","non-dropping-particle":"","parse-names":false,"suffix":""}],"container-title":"Developmental biology","id":"ITEM-1","issue":"2","issued":{"date-parts":[["1982"]]},"page":"383-398","title":"Connective tissue morphogenesis by fibroblast traction. I. Tissue culture observations.","type":"article-journal","volume":"90"},"uris":["http://www.mendeley.com/documents/?uuid=90051dd9-ba59-4c06-936b-5647414a54df"]}],"mendeley":{"formattedCitation":"&lt;sup&gt;65&lt;/sup&gt;","plainTextFormattedCitation":"65","previouslyFormattedCitation":"&lt;sup&gt;65&lt;/sup&gt;"},"properties":{"noteIndex":0},"schema":"https://github.com/citation-style-language/schema/raw/master/csl-citation.json"}</w:instrText>
      </w:r>
      <w:r>
        <w:fldChar w:fldCharType="separate"/>
      </w:r>
      <w:r w:rsidRPr="00E8189C">
        <w:rPr>
          <w:noProof/>
          <w:vertAlign w:val="superscript"/>
        </w:rPr>
        <w:t>65</w:t>
      </w:r>
      <w:r>
        <w:fldChar w:fldCharType="end"/>
      </w:r>
      <w:r>
        <w:t xml:space="preserve"> suggested that contraction results from fibroblasts gathering collagen fibrils within the extracellular matrix and exerting traction in order to pull the wound edges together. This theory was supported by Ehrlich </w:t>
      </w:r>
      <w:r>
        <w:rPr>
          <w:i/>
        </w:rPr>
        <w:t>et al.</w:t>
      </w:r>
      <w:r>
        <w:t xml:space="preserve"> who used collagen lattices containing fibroblasts to investigate contractile forces.</w:t>
      </w:r>
      <w:r>
        <w:fldChar w:fldCharType="begin" w:fldLock="1"/>
      </w:r>
      <w:r>
        <w:instrText>ADDIN CSL_CITATION {"citationItems":[{"id":"ITEM-1","itemData":{"DOI":"10.1016/0040-8166(90)90070-P","ISSN":"00408166","PMID":"2260082","abstract":"Cultured human dermal fibroblasts suspended in a rapidly polymerizing collagen matrix produce a fibroblast-populated collagen lattice. With time, this lattice will undergo a reduction in size referred to as lattice contraction. During this process, two distinct cell populations develop. At the periphery of the lattice, highly oriented sheets of cells, morphologically identifiable as myofibroblasts, show cell-to-cell contacts and thick, actin-rich staining cytoplasmic stress fibers. It is proposed that these cells undergoing cell contraction produce a multicellular contractile unit which reorients the collagen fibrils associated with them. The cells in the central region, referred to as fibroblasts, are randomly oriented, with few cell-to-cell contacts and faintly staining actin cytoplasmic filaments. In contrast it is proposed that cells working as single units use cell locomotion forces to reorient the collagen fibrils associated with them. Using this model, we sought to determine which of these two mechanisms, cell contraction or cell locomotion, is responsible for the force that contracts collagen lattices. Our experiments showed that fibroblasts produce this contractile force, and that the mechanism for lattice contraction appears to be related to cell locomotion. This is in contrast to a myofibroblast; where the mechanism for contraction is based upon cell contractions. Fibroblasts attempting to move within the collagen matrix reorganize the surrounding collagen fibrils; when these collagen fibrils can be organized no further and cell-to-cell contacts develop, which occurs at the periphery of the lattice first, these cells can no longer participate in the dynamic aspects of lattice contraction.","author":[{"dropping-particle":"","family":"Ehrlich","given":"H Paul","non-dropping-particle":"","parse-names":false,"suffix":""},{"dropping-particle":"","family":"Rajaratnam","given":"J. B M","non-dropping-particle":"","parse-names":false,"suffix":""}],"container-title":"Tissue and Cell","id":"ITEM-1","issue":"4","issued":{"date-parts":[["1990"]]},"page":"407-417","title":"Cell locomotion forces versus cell contraction forces for collagen lattice contraction: An in vitro model of wound contraction","type":"article-journal","volume":"22"},"uris":["http://www.mendeley.com/documents/?uuid=30670693-3683-45ce-b5f2-00bcd09b9407"]}],"mendeley":{"formattedCitation":"&lt;sup&gt;66&lt;/sup&gt;","plainTextFormattedCitation":"66","previouslyFormattedCitation":"&lt;sup&gt;66&lt;/sup&gt;"},"properties":{"noteIndex":0},"schema":"https://github.com/citation-style-language/schema/raw/master/csl-citation.json"}</w:instrText>
      </w:r>
      <w:r>
        <w:fldChar w:fldCharType="separate"/>
      </w:r>
      <w:r w:rsidRPr="00E8189C">
        <w:rPr>
          <w:noProof/>
          <w:vertAlign w:val="superscript"/>
        </w:rPr>
        <w:t>66</w:t>
      </w:r>
      <w:r>
        <w:fldChar w:fldCharType="end"/>
      </w:r>
      <w:r>
        <w:t xml:space="preserve"> They found that collagen gels with a higher ratio of myofibroblasts than fibroblasts showed no increased contraction </w:t>
      </w:r>
      <w:r>
        <w:lastRenderedPageBreak/>
        <w:t xml:space="preserve">compared to gels with reduced myofibroblasts populations. </w:t>
      </w:r>
      <w:r w:rsidRPr="00086C92">
        <w:t xml:space="preserve">Berry </w:t>
      </w:r>
      <w:r w:rsidRPr="00086C92">
        <w:rPr>
          <w:i/>
        </w:rPr>
        <w:t>et a</w:t>
      </w:r>
      <w:r>
        <w:rPr>
          <w:i/>
        </w:rPr>
        <w:t>l.</w:t>
      </w:r>
      <w:r w:rsidRPr="00086C92">
        <w:t xml:space="preserve"> performed histological analysis on sacrococcygeal pilonidal sinus wounds in 15 patients and found that the proportion of myofibroblasts to fibroblasts was low. They concluded tha</w:t>
      </w:r>
      <w:r>
        <w:t>t the mechanism of contraction wa</w:t>
      </w:r>
      <w:r w:rsidRPr="00086C92">
        <w:t>s due to remodelling of collagen fibrils by fibroblasts.</w:t>
      </w:r>
      <w:r w:rsidRPr="00086C92">
        <w:fldChar w:fldCharType="begin" w:fldLock="1"/>
      </w:r>
      <w:r>
        <w:instrText>ADDIN CSL_CITATION {"citationItems":[{"id":"ITEM-1","itemData":{"DOI":"10.1097/00006534-199807000-00020","ISSN":"0032-1052","PMID":"9655417","abstract":"The closure of ungrafted sacrococcygeal pilonidal sinus excisional wounds was studied in 15 patients. Wound punch biopsies were taken on a regular basis, and histologic sections were made. To document changes, computer-assisted morphometric image analysis was employed. Initial average wound depth was 37.8 +/- 4.6 mm, and complete closure (0 wound depth) was reached by 68 days. Wound contraction contributed 88 percent to wound closure, whereas the deposition of scar only contributed 12 percent. Maximum cells density within granulation tissue was reached by day 18. Myofibroblasts, identified by alpha-smooth muscle actin immunostaining, first appeared on day 11. Unlike those observed in laboratory animals, myofibroblasts were a minor cell population of granulation tissue, never exceeding 10 percent of the cells. The pattern of collagen fiber organization was documented by polarized light microscopy of Sirius red-stained sections. Early granulation tissue collagen fibers demonstrated a fine greenish birefringence, whereas more mature granulation tissue collagen fibers were thicker, displaying orange-yellowish birefringence. Myofibroblasts were associated exclusively with thicker collagen fibers, whereas fibroblasts were associated with both fine and thick collagen fibers. It is proposed that human wound contraction involves a volume change whereby normal dermal and adipose tissues are pulled into the defect by forces generated within fibroblasts.","author":[{"dropping-particle":"","family":"Berry","given":"D P","non-dropping-particle":"","parse-names":false,"suffix":""},{"dropping-particle":"","family":"Harding","given":"K G","non-dropping-particle":"","parse-names":false,"suffix":""},{"dropping-particle":"","family":"Stanton","given":"M R","non-dropping-particle":"","parse-names":false,"suffix":""},{"dropping-particle":"","family":"Jasani","given":"B","non-dropping-particle":"","parse-names":false,"suffix":""},{"dropping-particle":"","family":"Ehrlich","given":"H P","non-dropping-particle":"","parse-names":false,"suffix":""}],"container-title":"Plastic and reconstructive surgery","id":"ITEM-1","issue":"1","issued":{"date-parts":[["1998"]]},"page":"124-131; discussion 132-134","title":"Human wound contraction: collagen organization, fibroblasts, and myofibroblasts.","type":"article-journal","volume":"102"},"uris":["http://www.mendeley.com/documents/?uuid=9831f3a3-12da-4359-80e3-b52188d37a6e"]}],"mendeley":{"formattedCitation":"&lt;sup&gt;67&lt;/sup&gt;","plainTextFormattedCitation":"67","previouslyFormattedCitation":"&lt;sup&gt;67&lt;/sup&gt;"},"properties":{"noteIndex":0},"schema":"https://github.com/citation-style-language/schema/raw/master/csl-citation.json"}</w:instrText>
      </w:r>
      <w:r w:rsidRPr="00086C92">
        <w:fldChar w:fldCharType="separate"/>
      </w:r>
      <w:r w:rsidRPr="00E8189C">
        <w:rPr>
          <w:noProof/>
          <w:vertAlign w:val="superscript"/>
        </w:rPr>
        <w:t>67</w:t>
      </w:r>
      <w:r w:rsidRPr="00086C92">
        <w:fldChar w:fldCharType="end"/>
      </w:r>
    </w:p>
    <w:p w14:paraId="18AFF121" w14:textId="77777777" w:rsidR="009A585B" w:rsidRPr="00A12AFB" w:rsidRDefault="009A585B" w:rsidP="009A585B">
      <w:pPr>
        <w:pStyle w:val="Heading3"/>
      </w:pPr>
      <w:bookmarkStart w:id="32" w:name="_Toc2450979"/>
      <w:r>
        <w:t>The role of keratinocytes in scar contracture</w:t>
      </w:r>
      <w:bookmarkEnd w:id="32"/>
    </w:p>
    <w:p w14:paraId="30C22C05" w14:textId="61DC1CF8" w:rsidR="009A585B" w:rsidRPr="00F6091F" w:rsidRDefault="009A585B" w:rsidP="009A585B">
      <w:r w:rsidRPr="00466183">
        <w:rPr>
          <w:color w:val="000000" w:themeColor="text1"/>
        </w:rPr>
        <w:t xml:space="preserve">In contrast to the theories described above, an increasing amount of research supports the </w:t>
      </w:r>
      <w:r>
        <w:rPr>
          <w:color w:val="000000" w:themeColor="text1"/>
        </w:rPr>
        <w:t>theory</w:t>
      </w:r>
      <w:r w:rsidRPr="00466183">
        <w:rPr>
          <w:color w:val="000000" w:themeColor="text1"/>
        </w:rPr>
        <w:t xml:space="preserve"> that keratinocytes are responsible for wound contraction.</w:t>
      </w:r>
      <w:r w:rsidRPr="00466183">
        <w:rPr>
          <w:color w:val="000000" w:themeColor="text1"/>
        </w:rPr>
        <w:fldChar w:fldCharType="begin" w:fldLock="1"/>
      </w:r>
      <w:r>
        <w:rPr>
          <w:color w:val="000000" w:themeColor="text1"/>
        </w:rPr>
        <w:instrText>ADDIN CSL_CITATION {"citationItems":[{"id":"ITEM-1","itemData":{"DOI":"10.1007/BF02624138","ISSN":"0883-8364","PMID":"2592298","abstract":"In the process of wound healing keratinocytes and fibroblasts play an important role, keratinocytes in the re-epithelization process and fibroblasts in the process of wound contraction. We have studied the role of human keratinocytes and fibroblasts in the rearrangement of collagen in a collagen lattice model system. Our results revealed that keratinocytes as well as fibroblasts rearrange the collagen lattice; this occurs in a cell number and collagen concentration dependent manner. The optimal gel contraction is obtained in the presence of keratinocytes on the top of and of fibroblasts in the collagen lattice, the situation most closely approaching the in vivo situation. Between the two types of cells, differences in morphologic behavior were observed: when incorporated into the gel the keratinocytes retained their spherical shape throughout the whole culture period, but fibroblasts became elongated and formed extensions. Our data suggest that not only fibroblasts but also keratinocytes may be involved in the process of wound contraction.","author":[{"dropping-particle":"","family":"Souren","given":"J M","non-dropping-particle":"","parse-names":false,"suffix":""},{"dropping-particle":"","family":"Ponec","given":"Maria","non-dropping-particle":"","parse-names":false,"suffix":""},{"dropping-particle":"","family":"Wijk","given":"R","non-dropping-particle":"van","parse-names":false,"suffix":""}],"container-title":"In vitro cellular &amp; developmental biology : journal of the Tissue Culture Association","id":"ITEM-1","issue":"11","issued":{"date-parts":[["1989"]]},"page":"1039-1045","title":"Contraction of collagen by human fibroblasts and keratinocytes.","type":"article-journal","volume":"25"},"uris":["http://www.mendeley.com/documents/?uuid=ca9b3c56-22f3-459e-8af2-d5e96a5ea224"]}],"mendeley":{"formattedCitation":"&lt;sup&gt;68&lt;/sup&gt;","plainTextFormattedCitation":"68","previouslyFormattedCitation":"&lt;sup&gt;68&lt;/sup&gt;"},"properties":{"noteIndex":0},"schema":"https://github.com/citation-style-language/schema/raw/master/csl-citation.json"}</w:instrText>
      </w:r>
      <w:r w:rsidRPr="00466183">
        <w:rPr>
          <w:color w:val="000000" w:themeColor="text1"/>
        </w:rPr>
        <w:fldChar w:fldCharType="separate"/>
      </w:r>
      <w:r w:rsidRPr="00E8189C">
        <w:rPr>
          <w:noProof/>
          <w:color w:val="000000" w:themeColor="text1"/>
          <w:vertAlign w:val="superscript"/>
        </w:rPr>
        <w:t>68</w:t>
      </w:r>
      <w:r w:rsidRPr="00466183">
        <w:rPr>
          <w:color w:val="000000" w:themeColor="text1"/>
        </w:rPr>
        <w:fldChar w:fldCharType="end"/>
      </w:r>
      <w:r w:rsidRPr="00466183">
        <w:rPr>
          <w:color w:val="000000" w:themeColor="text1"/>
        </w:rPr>
        <w:t xml:space="preserve"> Work by Denefle </w:t>
      </w:r>
      <w:r w:rsidRPr="00466183">
        <w:rPr>
          <w:i/>
          <w:color w:val="000000" w:themeColor="text1"/>
        </w:rPr>
        <w:t>et al</w:t>
      </w:r>
      <w:r w:rsidRPr="00466183">
        <w:rPr>
          <w:color w:val="000000" w:themeColor="text1"/>
        </w:rPr>
        <w:t xml:space="preserve">. described the presence of altered fibrillar structures in type I bovine </w:t>
      </w:r>
      <w:r>
        <w:t>collagen gels due to keratinocytes.</w:t>
      </w:r>
      <w:r>
        <w:fldChar w:fldCharType="begin" w:fldLock="1"/>
      </w:r>
      <w:r>
        <w:instrText>ADDIN CSL_CITATION {"citationItems":[{"id":"ITEM-1","itemData":{"DOI":"10.1016/0040-8166(87)90041-3","ISSN":"00408166","PMID":"2442843","abstract":"Purified type I collagen gel used as culture substrate was composed of unstriated fibrils. Before culture, gel fragments were coated with culture medium with or without fetal calf serum (FCS+ coated or FCS- coated gels). Each gel fragment was apposed to a fragment of frog skin at the medium/air interface in Trowell culture chamber. After 7 days at 20 degrees C, the coated gels were covered with newly formed epidermis containing fibronectin localized around the keratinocytes, whose morphology was considerably modified. Fibroblast-shaped keratinocytes were localized in the anterior zone of the newly formed epidermis on FCS+ gels. The long axis of the cells was parallel to the gel surface, where numerous unstriated fibrils were located. Polyhedral keratinocytes were located in the posterior zone on FCS+ gels or the anterior and posterior zones on FCS- gels with the long axis perpendicular to the gel surface. Numerous cross-striated fibrils were found under the cultured keratinocytes in the vicinity of the basal filipodia. This model is useful for the study of collagen gel reorganization by keratinocytes.","author":[{"dropping-particle":"","family":"Denefle","given":"J P","non-dropping-particle":"","parse-names":false,"suffix":""},{"dropping-particle":"","family":"Lechaire","given":"J P","non-dropping-particle":"","parse-names":false,"suffix":""},{"dropping-particle":"","family":"Zhu","given":"Q L","non-dropping-particle":"","parse-names":false,"suffix":""}],"container-title":"Tissue &amp; cell","id":"ITEM-1","issue":"4","issued":{"date-parts":[["1987"]]},"page":"469-478","title":"Cultured epidermis influences the fibril organization of purified type I collagen gels.","type":"article-journal","volume":"19"},"uris":["http://www.mendeley.com/documents/?uuid=6848e1ea-e1aa-4815-b2cd-68ef718ac0c6"]}],"mendeley":{"formattedCitation":"&lt;sup&gt;69&lt;/sup&gt;","plainTextFormattedCitation":"69","previouslyFormattedCitation":"&lt;sup&gt;69&lt;/sup&gt;"},"properties":{"noteIndex":0},"schema":"https://github.com/citation-style-language/schema/raw/master/csl-citation.json"}</w:instrText>
      </w:r>
      <w:r>
        <w:fldChar w:fldCharType="separate"/>
      </w:r>
      <w:r w:rsidRPr="00E8189C">
        <w:rPr>
          <w:noProof/>
          <w:vertAlign w:val="superscript"/>
        </w:rPr>
        <w:t>69</w:t>
      </w:r>
      <w:r>
        <w:fldChar w:fldCharType="end"/>
      </w:r>
      <w:r>
        <w:t xml:space="preserve"> Lillie and co-workers demonstrated that keratinocytes were able to contract type III but not type I collagen gels,</w:t>
      </w:r>
      <w:r>
        <w:fldChar w:fldCharType="begin" w:fldLock="1"/>
      </w:r>
      <w:r>
        <w:instrText>ADDIN CSL_CITATION {"citationItems":[{"id":"ITEM-1","itemData":{"author":[{"dropping-particle":"","family":"Lillie","given":"John. H","non-dropping-particle":"","parse-names":false,"suffix":""},{"dropping-particle":"","family":"MacCallum","given":"Donald. K","non-dropping-particle":"","parse-names":false,"suffix":""},{"dropping-particle":"","family":"Jepsen","given":"Arne","non-dropping-particle":"","parse-names":false,"suffix":""}],"container-title":"Journal of Investigative Dermatology","id":"ITEM-1","issue":"2","issued":{"date-parts":[["1988"]]},"page":"100-109","title":"GROWTH OF STRATIFIED SQUAMOUS EPITHELIUM ON RECONSTITUTED EXTRACELLULAR MATRICES - LONG-TERM CULTURE","type":"article-journal","volume":"90"},"uris":["http://www.mendeley.com/documents/?uuid=5b509ed2-2fcb-43d5-9892-ff9289064af7"]}],"mendeley":{"formattedCitation":"&lt;sup&gt;70&lt;/sup&gt;","plainTextFormattedCitation":"70","previouslyFormattedCitation":"&lt;sup&gt;70&lt;/sup&gt;"},"properties":{"noteIndex":0},"schema":"https://github.com/citation-style-language/schema/raw/master/csl-citation.json"}</w:instrText>
      </w:r>
      <w:r>
        <w:fldChar w:fldCharType="separate"/>
      </w:r>
      <w:r w:rsidRPr="00E8189C">
        <w:rPr>
          <w:noProof/>
          <w:vertAlign w:val="superscript"/>
        </w:rPr>
        <w:t>70</w:t>
      </w:r>
      <w:r>
        <w:fldChar w:fldCharType="end"/>
      </w:r>
      <w:r>
        <w:t xml:space="preserve"> whilst work conducted by Schafer </w:t>
      </w:r>
      <w:r w:rsidRPr="005F35F9">
        <w:rPr>
          <w:i/>
        </w:rPr>
        <w:t>et al</w:t>
      </w:r>
      <w:r>
        <w:t>. found that human keratinocytes were more efficient at contracting type I collagen gels than fibroblasts.</w:t>
      </w:r>
      <w:r>
        <w:fldChar w:fldCharType="begin" w:fldLock="1"/>
      </w:r>
      <w:r>
        <w:instrText>ADDIN CSL_CITATION {"citationItems":[{"id":"ITEM-1","itemData":{"DOI":"10.1016/0014-4827(89)90422-9","ISSN":"00144827","PMID":"2472282","abstract":"Fibroblasts derived from the papillary and reticular dermis of human skin and human keratinocytes show differences in their abilities to contract floating three-dimensional gels constructed from type I collagen. Reticular fibroblasts produce greater gel contraction than papillary fibroblasts. When equal numbers of papillary and reticular fibroblasts are mixed in the gels, papillary fibroblasts consistently inhibit gel contraction by reticular fibroblasts indicating interaction between these cell types in the contraction process. Surprisingly, keratinocytes alone produce greater gel contraction than that produced by either fibroblast type. Cooperativity in the gel contraction process is observed when fibroblasts are incorporated into the collagen matrix and keratinocytes are seeded onto the gel surface. Keratinocytes and dermal fibroblasts adhere to the collagen fibril to induce gel contraction by different mechanisms. Fibroblast contraction of collagen gels does not require fibronectin but is a serum-dependent reaction. In contrast, keratinocyte contraction of collagen gels occurs in a serum-free environment. Polyclonal, affinity-purified antibodies to human plasma fibronectin at high concentrations do not inhibit gel contraction by keratinocytes, making unlikely the possibility that fibronectin synthesized by the keratinocyte is a significant factor in the gel contraction process. We are currently examining the possibilities either that keratinocytes are synthesizing other adhesion proteins or that receptors on the cell surface can interact directly with the collagen fiber.","author":[{"dropping-particle":"","family":"Schafer","given":"Irwin A","non-dropping-particle":"","parse-names":false,"suffix":""},{"dropping-particle":"","family":"Shapiro","given":"Allan","non-dropping-particle":"","parse-names":false,"suffix":""},{"dropping-particle":"","family":"Kovach","given":"Maureen","non-dropping-particle":"","parse-names":false,"suffix":""},{"dropping-particle":"","family":"Lang","given":"Cindy","non-dropping-particle":"","parse-names":false,"suffix":""},{"dropping-particle":"","family":"Fratianne","given":"Richard B","non-dropping-particle":"","parse-names":false,"suffix":""}],"container-title":"Experimental cell research","id":"ITEM-1","issue":"1","issued":{"date-parts":[["1989"]]},"page":"112-125","title":"The interaction of human papillary and reticular fibroblasts and human keratinocytes in the contraction of three-dimensional floating collagen lattices.","type":"article-journal","volume":"183"},"uris":["http://www.mendeley.com/documents/?uuid=4964cde3-7641-4a28-b705-464b8b5a6446"]}],"mendeley":{"formattedCitation":"&lt;sup&gt;71&lt;/sup&gt;","plainTextFormattedCitation":"71","previouslyFormattedCitation":"&lt;sup&gt;71&lt;/sup&gt;"},"properties":{"noteIndex":0},"schema":"https://github.com/citation-style-language/schema/raw/master/csl-citation.json"}</w:instrText>
      </w:r>
      <w:r>
        <w:fldChar w:fldCharType="separate"/>
      </w:r>
      <w:r w:rsidRPr="00E8189C">
        <w:rPr>
          <w:noProof/>
          <w:vertAlign w:val="superscript"/>
        </w:rPr>
        <w:t>71</w:t>
      </w:r>
      <w:r>
        <w:fldChar w:fldCharType="end"/>
      </w:r>
      <w:r>
        <w:t xml:space="preserve"> It was noted that contraction occurred with keratinocytes alone and in combination with fibroblasts, indicating cooperation between the cell types during contraction. Souren </w:t>
      </w:r>
      <w:r w:rsidRPr="005F35F9">
        <w:rPr>
          <w:i/>
        </w:rPr>
        <w:t>et al</w:t>
      </w:r>
      <w:r>
        <w:t xml:space="preserve">. demonstrated that mimicking the </w:t>
      </w:r>
      <w:r w:rsidRPr="003A2940">
        <w:rPr>
          <w:i/>
        </w:rPr>
        <w:t>in vivo</w:t>
      </w:r>
      <w:r>
        <w:t xml:space="preserve"> environment of cells by seeding keratinocytes on top of collagen gels and disper</w:t>
      </w:r>
      <w:r w:rsidR="00996AFF">
        <w:t>sing fibroblasts throughout, le</w:t>
      </w:r>
      <w:r>
        <w:t>d to increased gel contraction compared to keratinocytes or fibroblasts alone. The study concluded that fibroblasts and keratinocytes were behaving synergistically to exert contraction in the model.</w:t>
      </w:r>
      <w:r>
        <w:fldChar w:fldCharType="begin" w:fldLock="1"/>
      </w:r>
      <w:r>
        <w:instrText>ADDIN CSL_CITATION {"citationItems":[{"id":"ITEM-1","itemData":{"DOI":"10.1007/BF02624138","ISSN":"0883-8364","PMID":"2592298","abstract":"In the process of wound healing keratinocytes and fibroblasts play an important role, keratinocytes in the re-epithelization process and fibroblasts in the process of wound contraction. We have studied the role of human keratinocytes and fibroblasts in the rearrangement of collagen in a collagen lattice model system. Our results revealed that keratinocytes as well as fibroblasts rearrange the collagen lattice; this occurs in a cell number and collagen concentration dependent manner. The optimal gel contraction is obtained in the presence of keratinocytes on the top of and of fibroblasts in the collagen lattice, the situation most closely approaching the in vivo situation. Between the two types of cells, differences in morphologic behavior were observed: when incorporated into the gel the keratinocytes retained their spherical shape throughout the whole culture period, but fibroblasts became elongated and formed extensions. Our data suggest that not only fibroblasts but also keratinocytes may be involved in the process of wound contraction.","author":[{"dropping-particle":"","family":"Souren","given":"J M","non-dropping-particle":"","parse-names":false,"suffix":""},{"dropping-particle":"","family":"Ponec","given":"Maria","non-dropping-particle":"","parse-names":false,"suffix":""},{"dropping-particle":"","family":"Wijk","given":"R","non-dropping-particle":"van","parse-names":false,"suffix":""}],"container-title":"In vitro cellular &amp; developmental biology : journal of the Tissue Culture Association","id":"ITEM-1","issue":"11","issued":{"date-parts":[["1989"]]},"page":"1039-1045","title":"Contraction of collagen by human fibroblasts and keratinocytes.","type":"article-journal","volume":"25"},"uris":["http://www.mendeley.com/documents/?uuid=ca9b3c56-22f3-459e-8af2-d5e96a5ea224"]}],"mendeley":{"formattedCitation":"&lt;sup&gt;68&lt;/sup&gt;","plainTextFormattedCitation":"68","previouslyFormattedCitation":"&lt;sup&gt;68&lt;/sup&gt;"},"properties":{"noteIndex":0},"schema":"https://github.com/citation-style-language/schema/raw/master/csl-citation.json"}</w:instrText>
      </w:r>
      <w:r>
        <w:fldChar w:fldCharType="separate"/>
      </w:r>
      <w:r w:rsidRPr="00E8189C">
        <w:rPr>
          <w:noProof/>
          <w:vertAlign w:val="superscript"/>
        </w:rPr>
        <w:t>68</w:t>
      </w:r>
      <w:r>
        <w:fldChar w:fldCharType="end"/>
      </w:r>
      <w:r>
        <w:t xml:space="preserve"> A study by Rakar </w:t>
      </w:r>
      <w:r w:rsidRPr="00C209B3">
        <w:rPr>
          <w:i/>
        </w:rPr>
        <w:t>et al</w:t>
      </w:r>
      <w:r>
        <w:rPr>
          <w:i/>
        </w:rPr>
        <w:t>.</w:t>
      </w:r>
      <w:r>
        <w:t xml:space="preserve"> observed a cooperative effect when seeding collagen gels with human keratinocytes and fibroblasts, whilst seeding melanocytes with keratinocytes lead to a reduction in keratinocyte-mediated contraction.</w:t>
      </w:r>
      <w:r>
        <w:fldChar w:fldCharType="begin" w:fldLock="1"/>
      </w:r>
      <w:r>
        <w:instrText>ADDIN CSL_CITATION {"citationItems":[{"id":"ITEM-1","itemData":{"DOI":"10.1016/j.burns.2014.10.034","ISSN":"0305-4179","abstract":"Scarring is an extensive problem in burn care, and treatment can be especially complicated in cases of hypertrophic scarring. Contraction is an important factor in scarring but the contribution of different cell types remains unclear. We have investigated the contractile behavior of keratinocytes, melanocytes and fibroblasts by using an in vitro collagen gel assay aimed at identifying a modulating role of melanocytes in keratinocyte-mediated contraction. Cells were seeded on a collagen type I gel substrate and the change in gel dimensions were measured over time. Hematoxylin &amp; Eosin-staining and immunohistochemistry against pan-cytokeratin and microphthalmia-associated transcription factor showed that melanocytes integrated between keratinocytes and remained there throughout the experiments. Keratinocyte- and fibroblast-seeded gels contracted significantly over time, whereas melanocyte-seeded gels did not. Co-culture assays showed that melanocytes mitigate the keratinocyte-dependent contraction (significantly slower and 18–32% less). Fibroblasts augmented the contraction in most assays (approximately 6% more). Non-contact co-cultures showed some influence on the keratinocyte-dependent contraction. Results show that mechanisms attributable to melanocytes, but not fibroblasts, can mitigate keratinocyte contractile behavior. Contact-dependent mechanisms are stronger modulators than non-contact dependent mechanisms, but both modes carry significance to the contraction modulation of keratinocytes. Further investigations are required to determine the mechanisms involved and to determine the utility of melanocytes beyond hypopigmentation in improved clinical regimes of burn wounds and wound healing.","author":[{"dropping-particle":"","family":"Rakar","given":"Jonathan","non-dropping-particle":"","parse-names":false,"suffix":""},{"dropping-particle":"","family":"Krammer","given":"Marcus. P","non-dropping-particle":"","parse-names":false,"suffix":""},{"dropping-particle":"","family":"Kratz","given":"Gunnar","non-dropping-particle":"","parse-names":false,"suffix":""}],"container-title":"Burns","id":"ITEM-1","issue":"5","issued":{"date-parts":[["2015"]]},"page":"1035-1042","publisher":"Elsevier Ltd and International Society of Burns Injuries","title":"Human melanocytes mitigate keratinocyte-dependent contraction in an in vitro collagen contraction assay","type":"article-journal","volume":"41"},"uris":["http://www.mendeley.com/documents/?uuid=1e213e96-c0f2-4a10-bb37-a006ee68379a"]}],"mendeley":{"formattedCitation":"&lt;sup&gt;72&lt;/sup&gt;","plainTextFormattedCitation":"72","previouslyFormattedCitation":"&lt;sup&gt;72&lt;/sup&gt;"},"properties":{"noteIndex":0},"schema":"https://github.com/citation-style-language/schema/raw/master/csl-citation.json"}</w:instrText>
      </w:r>
      <w:r>
        <w:fldChar w:fldCharType="separate"/>
      </w:r>
      <w:r w:rsidRPr="00E8189C">
        <w:rPr>
          <w:noProof/>
          <w:vertAlign w:val="superscript"/>
        </w:rPr>
        <w:t>72</w:t>
      </w:r>
      <w:r>
        <w:fldChar w:fldCharType="end"/>
      </w:r>
      <w:r>
        <w:t xml:space="preserve"> Ralston </w:t>
      </w:r>
      <w:r w:rsidRPr="00B714A3">
        <w:rPr>
          <w:i/>
        </w:rPr>
        <w:t>et al</w:t>
      </w:r>
      <w:r>
        <w:t>. used tissue</w:t>
      </w:r>
      <w:r w:rsidR="009352BF">
        <w:t>-</w:t>
      </w:r>
      <w:r>
        <w:t>engineered skin, constructed from human de-epidermised dermis (DED) with human epidermal keratinocytes and dermal fibroblasts, to model wound contraction.</w:t>
      </w:r>
      <w:r>
        <w:fldChar w:fldCharType="begin" w:fldLock="1"/>
      </w:r>
      <w:r>
        <w:instrText>ADDIN CSL_CITATION {"citationItems":[{"id":"ITEM-1","itemData":{"DOI":"10.1016/S0007-1226(97)90327-1","ISSN":"00071226","PMID":"9326143","abstract":"Composites of human de-epidermised acellular dermis and normal adult human keratinocytes and fibroblasts were examined for the ability of cells to contract these composites. Image analysis of the outline or the composites showed that, in this model, keratinocytes alone or in the presence of fibroblasts caused highly significant contraction (of the order of 25% by day 12). There was no significant contraction of the dermis with fibroblasts alone or in the absence of cells. The presence or absence of basement membrane antigens did not influence the effect of keratinocytes on dermal contraction. Analysis of the conditioned media from these composites showed that the greatest fibronectin production was seen with fibroblasts alone in the presence of basement membrane. Keratinocytes alone produced little fibronectin irrespective of the presence of the basement membrane. If keratinocytes were present with fibroblasts, however, then fibronectin production was significantly reduced both in the presence and absence of the basement membrane, indicating that keratinocytes modify dermal fibroblast extracellular matrix production. This study shows that while keratinocytes and fibroblasts are clearly influencing each other's activity in this human skin composite model, under the circumstances we describe it is the keratinocyte and not the fibroblast which causes contraction of the human de-epidermised acellular dermis.","author":[{"dropping-particle":"","family":"Ralston","given":"D R","non-dropping-particle":"","parse-names":false,"suffix":""},{"dropping-particle":"","family":"Layton","given":"C","non-dropping-particle":"","parse-names":false,"suffix":""},{"dropping-particle":"","family":"Dalley","given":"A. J.","non-dropping-particle":"","parse-names":false,"suffix":""},{"dropping-particle":"","family":"Boyce","given":"S G","non-dropping-particle":"","parse-names":false,"suffix":""},{"dropping-particle":"","family":"Freedlander","given":"E","non-dropping-particle":"","parse-names":false,"suffix":""},{"dropping-particle":"","family":"MacNeil","given":"S.","non-dropping-particle":"","parse-names":false,"suffix":""}],"container-title":"British Journal of Plastic Surgery","id":"ITEM-1","issue":"6","issued":{"date-parts":[["1997"]]},"page":"408-415","title":"Keratinocytes contract human dermal extracellular matrix and reduce soluble fibronectin production by fibroblasts in a skin composite model","type":"article-journal","volume":"50"},"uris":["http://www.mendeley.com/documents/?uuid=5f5a3ae6-cca5-474d-8b36-cfde6f337a1a"]}],"mendeley":{"formattedCitation":"&lt;sup&gt;73&lt;/sup&gt;","plainTextFormattedCitation":"73","previouslyFormattedCitation":"&lt;sup&gt;73&lt;/sup&gt;"},"properties":{"noteIndex":0},"schema":"https://github.com/citation-style-language/schema/raw/master/csl-citation.json"}</w:instrText>
      </w:r>
      <w:r>
        <w:fldChar w:fldCharType="separate"/>
      </w:r>
      <w:r w:rsidRPr="00E8189C">
        <w:rPr>
          <w:noProof/>
          <w:vertAlign w:val="superscript"/>
        </w:rPr>
        <w:t>73</w:t>
      </w:r>
      <w:r>
        <w:fldChar w:fldCharType="end"/>
      </w:r>
      <w:r>
        <w:t xml:space="preserve"> They found that fibroblasts alone were unable to contract the DED, indicating that </w:t>
      </w:r>
      <w:r w:rsidRPr="00D5261F">
        <w:rPr>
          <w:color w:val="000000" w:themeColor="text1"/>
        </w:rPr>
        <w:t xml:space="preserve">keratinocytes were solely responsible for contraction. This was supported by a study by Chakrabarty </w:t>
      </w:r>
      <w:r>
        <w:rPr>
          <w:i/>
          <w:color w:val="000000" w:themeColor="text1"/>
        </w:rPr>
        <w:t>et </w:t>
      </w:r>
      <w:r w:rsidRPr="00D5261F">
        <w:rPr>
          <w:i/>
          <w:color w:val="000000" w:themeColor="text1"/>
        </w:rPr>
        <w:t>al</w:t>
      </w:r>
      <w:r w:rsidRPr="00D5261F">
        <w:rPr>
          <w:iCs/>
          <w:color w:val="000000" w:themeColor="text1"/>
        </w:rPr>
        <w:t>., who found that</w:t>
      </w:r>
      <w:r w:rsidRPr="00D5261F">
        <w:rPr>
          <w:color w:val="000000" w:themeColor="text1"/>
        </w:rPr>
        <w:t xml:space="preserve"> keratinocytes were able to contract human dermis over a period of 10 days in culture.</w:t>
      </w:r>
      <w:r w:rsidR="00B02713">
        <w:rPr>
          <w:color w:val="000000" w:themeColor="text1"/>
        </w:rPr>
        <w:fldChar w:fldCharType="begin" w:fldLock="1"/>
      </w:r>
      <w:r w:rsidR="0085447D">
        <w:rPr>
          <w:color w:val="000000" w:themeColor="text1"/>
        </w:rPr>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rsidR="00B02713">
        <w:rPr>
          <w:color w:val="000000" w:themeColor="text1"/>
        </w:rPr>
        <w:fldChar w:fldCharType="separate"/>
      </w:r>
      <w:r w:rsidR="00B02713" w:rsidRPr="00B02713">
        <w:rPr>
          <w:noProof/>
          <w:color w:val="000000" w:themeColor="text1"/>
          <w:vertAlign w:val="superscript"/>
        </w:rPr>
        <w:t>74</w:t>
      </w:r>
      <w:r w:rsidR="00B02713">
        <w:rPr>
          <w:color w:val="000000" w:themeColor="text1"/>
        </w:rPr>
        <w:fldChar w:fldCharType="end"/>
      </w:r>
      <w:r w:rsidRPr="00D5261F">
        <w:rPr>
          <w:color w:val="000000" w:themeColor="text1"/>
        </w:rPr>
        <w:t xml:space="preserve"> During this time, the thickness of the dermis increased dramatically, whilst subsequent removal of the keratinocyte layer lead to immediate relaxation of the dermis. An investigation </w:t>
      </w:r>
      <w:r w:rsidR="009352BF">
        <w:rPr>
          <w:color w:val="000000" w:themeColor="text1"/>
        </w:rPr>
        <w:t>into</w:t>
      </w:r>
      <w:r w:rsidRPr="00D5261F">
        <w:rPr>
          <w:color w:val="000000" w:themeColor="text1"/>
        </w:rPr>
        <w:t xml:space="preserve"> the mass of the dermal layer before and after the addition of keratinocytes found no significant difference. These results indicated that the gathering of the underlying tissue formed the basis of contraction, rather than </w:t>
      </w:r>
      <w:r>
        <w:rPr>
          <w:color w:val="000000" w:themeColor="text1"/>
        </w:rPr>
        <w:t xml:space="preserve">an increase in the </w:t>
      </w:r>
      <w:r w:rsidRPr="00D5261F">
        <w:rPr>
          <w:color w:val="000000" w:themeColor="text1"/>
        </w:rPr>
        <w:t xml:space="preserve">collagen </w:t>
      </w:r>
      <w:r>
        <w:rPr>
          <w:color w:val="000000" w:themeColor="text1"/>
        </w:rPr>
        <w:t>content</w:t>
      </w:r>
      <w:r w:rsidRPr="00F6091F">
        <w:rPr>
          <w:color w:val="000000" w:themeColor="text1"/>
        </w:rPr>
        <w:t xml:space="preserve">. Whilst the </w:t>
      </w:r>
      <w:r w:rsidRPr="00F6091F">
        <w:rPr>
          <w:color w:val="000000" w:themeColor="text1"/>
        </w:rPr>
        <w:lastRenderedPageBreak/>
        <w:t xml:space="preserve">mechanism of contraction facilitated by keratinocytes is still unknown, the studies discussed present a wealth of evidence that keratinocytes are integral to human wound contraction. </w:t>
      </w:r>
      <w:bookmarkStart w:id="33" w:name="_Toc305048957"/>
      <w:bookmarkStart w:id="34" w:name="_Toc320882500"/>
    </w:p>
    <w:bookmarkEnd w:id="33"/>
    <w:bookmarkEnd w:id="34"/>
    <w:p w14:paraId="241F9C07" w14:textId="24B05B60" w:rsidR="009A585B" w:rsidRDefault="009A585B" w:rsidP="009A585B">
      <w:pPr>
        <w:rPr>
          <w:color w:val="000000" w:themeColor="text1"/>
        </w:rPr>
      </w:pPr>
      <w:r w:rsidRPr="00D5261F">
        <w:rPr>
          <w:color w:val="000000" w:themeColor="text1"/>
        </w:rPr>
        <w:t>To gain a greater understanding of the mechanism of wound contraction, more clinically relevant models are required. Much of the work over the past few decades has been based on collagen-gel matrices, first introduced by Elsdale and Bard</w:t>
      </w:r>
      <w:r w:rsidRPr="00D5261F">
        <w:rPr>
          <w:color w:val="000000" w:themeColor="text1"/>
        </w:rPr>
        <w:fldChar w:fldCharType="begin" w:fldLock="1"/>
      </w:r>
      <w:r w:rsidR="0085447D">
        <w:rPr>
          <w:color w:val="000000" w:themeColor="text1"/>
        </w:rPr>
        <w:instrText>ADDIN CSL_CITATION {"citationItems":[{"id":"ITEM-1","itemData":{"abstract":"A simple technique is described for the preparation of collagen substrata containing 0 1% of collagen by weight, in the form of native bundles with a 640 A period, the substrata are similar in these respects to soft-tissue matrices These substrata are hydrated collagen lattices (HCLs) in which the watery milieu is held within a fibrous collagen net mainly by capillary forces. HCLs have been characterized in terms of the course of coltagen precipitation and aggregation, ultrastructure, and their stability under various conditions. The ways in which HCLs can be employed as both two- and three-dimensional substrata in cell behavioral studies are illustrated with some preliminary observations on the form, motility, adhesion, and growth of human diploid ceils and two lines of malignant ceils.","author":[{"dropping-particle":"","family":"Elsdale","given":"Tom","non-dropping-particle":"","parse-names":false,"suffix":""},{"dropping-particle":"","family":"Bard","given":"Jonathan","non-dropping-particle":"","parse-names":false,"suffix":""}],"container-title":"The Journal of Cell Biology","id":"ITEM-1","issued":{"date-parts":[["1972"]]},"page":"626-637","title":"Collagen substrata for studies on cell behaviour","type":"article-journal","volume":"54"},"uris":["http://www.mendeley.com/documents/?uuid=e4acf8dc-9e79-4997-a4c3-bcc1f156ea76"]}],"mendeley":{"formattedCitation":"&lt;sup&gt;75&lt;/sup&gt;","plainTextFormattedCitation":"75","previouslyFormattedCitation":"&lt;sup&gt;75&lt;/sup&gt;"},"properties":{"noteIndex":0},"schema":"https://github.com/citation-style-language/schema/raw/master/csl-citation.json"}</w:instrText>
      </w:r>
      <w:r w:rsidRPr="00D5261F">
        <w:rPr>
          <w:color w:val="000000" w:themeColor="text1"/>
        </w:rPr>
        <w:fldChar w:fldCharType="separate"/>
      </w:r>
      <w:r w:rsidR="00B02713" w:rsidRPr="00B02713">
        <w:rPr>
          <w:noProof/>
          <w:color w:val="000000" w:themeColor="text1"/>
          <w:vertAlign w:val="superscript"/>
        </w:rPr>
        <w:t>75</w:t>
      </w:r>
      <w:r w:rsidRPr="00D5261F">
        <w:rPr>
          <w:color w:val="000000" w:themeColor="text1"/>
        </w:rPr>
        <w:fldChar w:fldCharType="end"/>
      </w:r>
      <w:r w:rsidRPr="00D5261F">
        <w:rPr>
          <w:color w:val="000000" w:themeColor="text1"/>
        </w:rPr>
        <w:t xml:space="preserve"> and </w:t>
      </w:r>
      <w:r>
        <w:rPr>
          <w:color w:val="000000" w:themeColor="text1"/>
        </w:rPr>
        <w:t xml:space="preserve">used </w:t>
      </w:r>
      <w:r w:rsidRPr="00D5261F">
        <w:rPr>
          <w:color w:val="000000" w:themeColor="text1"/>
        </w:rPr>
        <w:t>as a model for contraction by Bell and colleagues</w:t>
      </w:r>
      <w:r>
        <w:rPr>
          <w:color w:val="000000" w:themeColor="text1"/>
        </w:rPr>
        <w:t>.</w:t>
      </w:r>
      <w:r w:rsidRPr="00D5261F">
        <w:rPr>
          <w:color w:val="000000" w:themeColor="text1"/>
        </w:rPr>
        <w:fldChar w:fldCharType="begin" w:fldLock="1"/>
      </w:r>
      <w:r w:rsidR="0085447D">
        <w:rPr>
          <w:color w:val="000000" w:themeColor="text1"/>
        </w:rPr>
        <w:instrText>ADDIN CSL_CITATION {"citationItems":[{"id":"ITEM-1","itemData":{"DOI":"10.1073/pnas.76.3.1274","ISBN":"0027-8424 (Print)\\n0027-8424 (Linking)","ISSN":"0027-8424","PMID":"286310","abstract":"Fibroblasts can condense a hydrated collagen lattice to a tissue-like structure 1/28th the area of the starting gel in 24 hr. The rate of the process can be regulated by varying the protein content of the lattice, the cell number, or the concentration of an inhibitor such as Colcemid. Fibroblasts of high population doubling level propagated in vitro, which have left the cell cycle, can carry out the contraction at least as efficiently as cycling cells. The potential uses of the system as an immunologically tolerated \"tissue\" for wound healing and as a model for studying fibroblast function are discussed.","author":[{"dropping-particle":"","family":"Bell","given":"Eugene","non-dropping-particle":"","parse-names":false,"suffix":""},{"dropping-particle":"","family":"Ivarsson","given":"Bengt","non-dropping-particle":"","parse-names":false,"suffix":""},{"dropping-particle":"","family":"Merrill","given":"Charlotte","non-dropping-particle":"","parse-names":false,"suffix":""}],"container-title":"Proceedings of the National Academy of Sciences of the United States of America","id":"ITEM-1","issue":"3","issued":{"date-parts":[["1979"]]},"page":"1274-1278","title":"Production of a tissue-like structure by contraction of collagen lattices by human fibroblasts of different proliferative potential in vitro.","type":"article-journal","volume":"76"},"uris":["http://www.mendeley.com/documents/?uuid=9aebf15e-55fd-4539-8df4-57c562d6b5e6"]}],"mendeley":{"formattedCitation":"&lt;sup&gt;76&lt;/sup&gt;","plainTextFormattedCitation":"76","previouslyFormattedCitation":"&lt;sup&gt;76&lt;/sup&gt;"},"properties":{"noteIndex":0},"schema":"https://github.com/citation-style-language/schema/raw/master/csl-citation.json"}</w:instrText>
      </w:r>
      <w:r w:rsidRPr="00D5261F">
        <w:rPr>
          <w:color w:val="000000" w:themeColor="text1"/>
        </w:rPr>
        <w:fldChar w:fldCharType="separate"/>
      </w:r>
      <w:r w:rsidR="00B02713" w:rsidRPr="00B02713">
        <w:rPr>
          <w:noProof/>
          <w:color w:val="000000" w:themeColor="text1"/>
          <w:vertAlign w:val="superscript"/>
        </w:rPr>
        <w:t>76</w:t>
      </w:r>
      <w:r w:rsidRPr="00D5261F">
        <w:rPr>
          <w:color w:val="000000" w:themeColor="text1"/>
        </w:rPr>
        <w:fldChar w:fldCharType="end"/>
      </w:r>
      <w:r w:rsidRPr="00D5261F">
        <w:rPr>
          <w:color w:val="000000" w:themeColor="text1"/>
        </w:rPr>
        <w:t xml:space="preserve"> </w:t>
      </w:r>
      <w:r>
        <w:rPr>
          <w:color w:val="000000" w:themeColor="text1"/>
        </w:rPr>
        <w:t xml:space="preserve">Cell-seeded collagen gels are capable of contracting </w:t>
      </w:r>
      <w:r w:rsidRPr="00D5261F">
        <w:rPr>
          <w:color w:val="000000" w:themeColor="text1"/>
        </w:rPr>
        <w:t>over short time periods</w:t>
      </w:r>
      <w:r>
        <w:rPr>
          <w:color w:val="000000" w:themeColor="text1"/>
        </w:rPr>
        <w:t>,</w:t>
      </w:r>
      <w:r w:rsidRPr="00D5261F">
        <w:rPr>
          <w:color w:val="000000" w:themeColor="text1"/>
        </w:rPr>
        <w:fldChar w:fldCharType="begin" w:fldLock="1"/>
      </w:r>
      <w:r>
        <w:rPr>
          <w:color w:val="000000" w:themeColor="text1"/>
        </w:rPr>
        <w:instrText>ADDIN CSL_CITATION {"citationItems":[{"id":"ITEM-1","itemData":{"DOI":"10.1016/0040-8166(90)90070-P","ISSN":"00408166","PMID":"2260082","abstract":"Cultured human dermal fibroblasts suspended in a rapidly polymerizing collagen matrix produce a fibroblast-populated collagen lattice. With time, this lattice will undergo a reduction in size referred to as lattice contraction. During this process, two distinct cell populations develop. At the periphery of the lattice, highly oriented sheets of cells, morphologically identifiable as myofibroblasts, show cell-to-cell contacts and thick, actin-rich staining cytoplasmic stress fibers. It is proposed that these cells undergoing cell contraction produce a multicellular contractile unit which reorients the collagen fibrils associated with them. The cells in the central region, referred to as fibroblasts, are randomly oriented, with few cell-to-cell contacts and faintly staining actin cytoplasmic filaments. In contrast it is proposed that cells working as single units use cell locomotion forces to reorient the collagen fibrils associated with them. Using this model, we sought to determine which of these two mechanisms, cell contraction or cell locomotion, is responsible for the force that contracts collagen lattices. Our experiments showed that fibroblasts produce this contractile force, and that the mechanism for lattice contraction appears to be related to cell locomotion. This is in contrast to a myofibroblast; where the mechanism for contraction is based upon cell contractions. Fibroblasts attempting to move within the collagen matrix reorganize the surrounding collagen fibrils; when these collagen fibrils can be organized no further and cell-to-cell contacts develop, which occurs at the periphery of the lattice first, these cells can no longer participate in the dynamic aspects of lattice contraction.","author":[{"dropping-particle":"","family":"Ehrlich","given":"H Paul","non-dropping-particle":"","parse-names":false,"suffix":""},{"dropping-particle":"","family":"Rajaratnam","given":"J. B M","non-dropping-particle":"","parse-names":false,"suffix":""}],"container-title":"Tissue and Cell","id":"ITEM-1","issue":"4","issued":{"date-parts":[["1990"]]},"page":"407-417","title":"Cell locomotion forces versus cell contraction forces for collagen lattice contraction: An in vitro model of wound contraction","type":"article-journal","volume":"22"},"uris":["http://www.mendeley.com/documents/?uuid=30670693-3683-45ce-b5f2-00bcd09b9407"]}],"mendeley":{"formattedCitation":"&lt;sup&gt;66&lt;/sup&gt;","plainTextFormattedCitation":"66","previouslyFormattedCitation":"&lt;sup&gt;66&lt;/sup&gt;"},"properties":{"noteIndex":0},"schema":"https://github.com/citation-style-language/schema/raw/master/csl-citation.json"}</w:instrText>
      </w:r>
      <w:r w:rsidRPr="00D5261F">
        <w:rPr>
          <w:color w:val="000000" w:themeColor="text1"/>
        </w:rPr>
        <w:fldChar w:fldCharType="separate"/>
      </w:r>
      <w:r w:rsidRPr="00E8189C">
        <w:rPr>
          <w:noProof/>
          <w:color w:val="000000" w:themeColor="text1"/>
          <w:vertAlign w:val="superscript"/>
        </w:rPr>
        <w:t>66</w:t>
      </w:r>
      <w:r w:rsidRPr="00D5261F">
        <w:rPr>
          <w:color w:val="000000" w:themeColor="text1"/>
        </w:rPr>
        <w:fldChar w:fldCharType="end"/>
      </w:r>
      <w:r>
        <w:rPr>
          <w:color w:val="000000" w:themeColor="text1"/>
        </w:rPr>
        <w:t xml:space="preserve"> but</w:t>
      </w:r>
      <w:r w:rsidRPr="00D5261F">
        <w:rPr>
          <w:color w:val="000000" w:themeColor="text1"/>
        </w:rPr>
        <w:t xml:space="preserve"> do not contain mature collagen. </w:t>
      </w:r>
      <w:r>
        <w:rPr>
          <w:color w:val="000000" w:themeColor="text1"/>
        </w:rPr>
        <w:t xml:space="preserve">Furthermore, it has been shown </w:t>
      </w:r>
      <w:r w:rsidRPr="00D5261F">
        <w:rPr>
          <w:color w:val="000000" w:themeColor="text1"/>
        </w:rPr>
        <w:t>that the mechanism by which collagen-gels contract is dependent on the way the lattice has been cast.</w:t>
      </w:r>
      <w:r w:rsidRPr="00D5261F">
        <w:rPr>
          <w:color w:val="000000" w:themeColor="text1"/>
        </w:rPr>
        <w:fldChar w:fldCharType="begin" w:fldLock="1"/>
      </w:r>
      <w:r w:rsidR="0085447D">
        <w:rPr>
          <w:color w:val="000000" w:themeColor="text1"/>
        </w:rPr>
        <w:instrText>ADDIN CSL_CITATION {"citationItems":[{"id":"ITEM-1","itemData":{"DOI":"10.1111/j.1524-475X.2008.00392.x","ISBN":"1524-475X (Electronic) 1067-1927 (Linking)","ISSN":"10671927","PMID":"18638264","abstract":"Bell's introduction of the fibroblast-populated collagen lattice (FPCL) has facilitated the study of collagen-cell interactions. As a result of the numerous modifications of the casting of FPCLs, the in vivo applications of these in vitro findings have been confusing. Here experimental FPCL contraction findings are viewed in regard to three proposed mechanisms responsible for lattice contraction. The cellular mechanisms responsible for generating FPCL contraction are cell contraction, cell tractional forces related to cell locomotion, and initial cell elongation and spreading.","author":[{"dropping-particle":"","family":"Dallon","given":"John C","non-dropping-particle":"","parse-names":false,"suffix":""},{"dropping-particle":"","family":"Ehrlich","given":"H Paul","non-dropping-particle":"","parse-names":false,"suffix":""}],"container-title":"Wound Repair and Regeneration","id":"ITEM-1","issue":"4","issued":{"date-parts":[["2008"]]},"page":"472-479","title":"A review of fibroblast-populated collagen lattices","type":"article-journal","volume":"16"},"uris":["http://www.mendeley.com/documents/?uuid=3756803c-7698-4f69-991f-578849d63bed"]}],"mendeley":{"formattedCitation":"&lt;sup&gt;77&lt;/sup&gt;","plainTextFormattedCitation":"77","previouslyFormattedCitation":"&lt;sup&gt;77&lt;/sup&gt;"},"properties":{"noteIndex":0},"schema":"https://github.com/citation-style-language/schema/raw/master/csl-citation.json"}</w:instrText>
      </w:r>
      <w:r w:rsidRPr="00D5261F">
        <w:rPr>
          <w:color w:val="000000" w:themeColor="text1"/>
        </w:rPr>
        <w:fldChar w:fldCharType="separate"/>
      </w:r>
      <w:r w:rsidR="00B02713" w:rsidRPr="00B02713">
        <w:rPr>
          <w:noProof/>
          <w:color w:val="000000" w:themeColor="text1"/>
          <w:vertAlign w:val="superscript"/>
        </w:rPr>
        <w:t>77</w:t>
      </w:r>
      <w:r w:rsidRPr="00D5261F">
        <w:rPr>
          <w:color w:val="000000" w:themeColor="text1"/>
        </w:rPr>
        <w:fldChar w:fldCharType="end"/>
      </w:r>
      <w:r w:rsidRPr="00D5261F">
        <w:rPr>
          <w:color w:val="000000" w:themeColor="text1"/>
        </w:rPr>
        <w:t xml:space="preserve"> As a result, collagen-gel lattices are not considered</w:t>
      </w:r>
      <w:r>
        <w:rPr>
          <w:color w:val="000000" w:themeColor="text1"/>
        </w:rPr>
        <w:t xml:space="preserve"> fully</w:t>
      </w:r>
      <w:r w:rsidRPr="00D5261F">
        <w:rPr>
          <w:color w:val="000000" w:themeColor="text1"/>
        </w:rPr>
        <w:t xml:space="preserve"> representative of the clinical problem. The MacNeil group at the University of Sheffield have developed a tissue-engineered model </w:t>
      </w:r>
      <w:r>
        <w:rPr>
          <w:color w:val="000000" w:themeColor="text1"/>
        </w:rPr>
        <w:t xml:space="preserve">of human skin using </w:t>
      </w:r>
      <w:r w:rsidRPr="00D5261F">
        <w:rPr>
          <w:color w:val="000000" w:themeColor="text1"/>
        </w:rPr>
        <w:t>D</w:t>
      </w:r>
      <w:r>
        <w:rPr>
          <w:color w:val="000000" w:themeColor="text1"/>
        </w:rPr>
        <w:t xml:space="preserve">ED </w:t>
      </w:r>
      <w:r w:rsidRPr="00D5261F">
        <w:rPr>
          <w:color w:val="000000" w:themeColor="text1"/>
        </w:rPr>
        <w:t>seeded with keratinocytes and fibroblasts, cultured at an air-liquid interface.</w:t>
      </w:r>
      <w:r w:rsidRPr="00D5261F">
        <w:rPr>
          <w:color w:val="000000" w:themeColor="text1"/>
        </w:rPr>
        <w:fldChar w:fldCharType="begin" w:fldLock="1"/>
      </w:r>
      <w:r w:rsidR="0085447D">
        <w:rPr>
          <w:color w:val="000000" w:themeColor="text1"/>
        </w:rPr>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rsidRPr="00D5261F">
        <w:rPr>
          <w:color w:val="000000" w:themeColor="text1"/>
        </w:rPr>
        <w:fldChar w:fldCharType="separate"/>
      </w:r>
      <w:r w:rsidR="00B02713" w:rsidRPr="00B02713">
        <w:rPr>
          <w:noProof/>
          <w:color w:val="000000" w:themeColor="text1"/>
          <w:vertAlign w:val="superscript"/>
        </w:rPr>
        <w:t>78</w:t>
      </w:r>
      <w:r w:rsidRPr="00D5261F">
        <w:rPr>
          <w:color w:val="000000" w:themeColor="text1"/>
        </w:rPr>
        <w:fldChar w:fldCharType="end"/>
      </w:r>
      <w:r w:rsidRPr="00D5261F">
        <w:rPr>
          <w:color w:val="000000" w:themeColor="text1"/>
        </w:rPr>
        <w:t xml:space="preserve"> The </w:t>
      </w:r>
      <w:r>
        <w:rPr>
          <w:color w:val="000000" w:themeColor="text1"/>
        </w:rPr>
        <w:t>tissue-engineered</w:t>
      </w:r>
      <w:r w:rsidRPr="00D5261F">
        <w:rPr>
          <w:color w:val="000000" w:themeColor="text1"/>
        </w:rPr>
        <w:t xml:space="preserve"> skin</w:t>
      </w:r>
      <w:r>
        <w:rPr>
          <w:color w:val="000000" w:themeColor="text1"/>
        </w:rPr>
        <w:t xml:space="preserve"> (TES)</w:t>
      </w:r>
      <w:r w:rsidRPr="00D5261F">
        <w:rPr>
          <w:color w:val="000000" w:themeColor="text1"/>
        </w:rPr>
        <w:t xml:space="preserve"> model contains relevant skin components including mature dermal collagen and a basement membrane, and has demonstrated that it is capable of contracting both </w:t>
      </w:r>
      <w:r w:rsidRPr="00D5261F">
        <w:rPr>
          <w:i/>
          <w:color w:val="000000" w:themeColor="text1"/>
        </w:rPr>
        <w:t>in vitro</w:t>
      </w:r>
      <w:r w:rsidRPr="00D5261F">
        <w:rPr>
          <w:color w:val="000000" w:themeColor="text1"/>
        </w:rPr>
        <w:t xml:space="preserve"> and </w:t>
      </w:r>
      <w:r w:rsidRPr="00D5261F">
        <w:rPr>
          <w:i/>
          <w:color w:val="000000" w:themeColor="text1"/>
        </w:rPr>
        <w:t>in vivo</w:t>
      </w:r>
      <w:r w:rsidRPr="00D5261F">
        <w:rPr>
          <w:color w:val="000000" w:themeColor="text1"/>
        </w:rPr>
        <w:t>.</w:t>
      </w:r>
      <w:r w:rsidRPr="00D5261F">
        <w:rPr>
          <w:color w:val="000000" w:themeColor="text1"/>
        </w:rPr>
        <w:fldChar w:fldCharType="begin" w:fldLock="1"/>
      </w:r>
      <w:r w:rsidR="0085447D">
        <w:rPr>
          <w:color w:val="000000" w:themeColor="text1"/>
        </w:rPr>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rsidRPr="00D5261F">
        <w:rPr>
          <w:color w:val="000000" w:themeColor="text1"/>
        </w:rPr>
        <w:fldChar w:fldCharType="separate"/>
      </w:r>
      <w:r w:rsidR="00B02713" w:rsidRPr="00B02713">
        <w:rPr>
          <w:noProof/>
          <w:color w:val="000000" w:themeColor="text1"/>
          <w:vertAlign w:val="superscript"/>
        </w:rPr>
        <w:t>78</w:t>
      </w:r>
      <w:r w:rsidRPr="00D5261F">
        <w:rPr>
          <w:color w:val="000000" w:themeColor="text1"/>
        </w:rPr>
        <w:fldChar w:fldCharType="end"/>
      </w:r>
      <w:r w:rsidRPr="00D5261F">
        <w:rPr>
          <w:color w:val="000000" w:themeColor="text1"/>
        </w:rPr>
        <w:t xml:space="preserve"> This </w:t>
      </w:r>
      <w:r>
        <w:rPr>
          <w:color w:val="000000" w:themeColor="text1"/>
        </w:rPr>
        <w:t>TES</w:t>
      </w:r>
      <w:r w:rsidRPr="00D5261F">
        <w:rPr>
          <w:color w:val="000000" w:themeColor="text1"/>
        </w:rPr>
        <w:t xml:space="preserve"> offers a </w:t>
      </w:r>
      <w:r w:rsidR="009352BF">
        <w:rPr>
          <w:color w:val="000000" w:themeColor="text1"/>
        </w:rPr>
        <w:t>more</w:t>
      </w:r>
      <w:r w:rsidRPr="00D5261F">
        <w:rPr>
          <w:color w:val="000000" w:themeColor="text1"/>
        </w:rPr>
        <w:t xml:space="preserve"> physiological</w:t>
      </w:r>
      <w:r w:rsidR="009352BF">
        <w:rPr>
          <w:color w:val="000000" w:themeColor="text1"/>
        </w:rPr>
        <w:t>ly relevant</w:t>
      </w:r>
      <w:r w:rsidRPr="00D5261F">
        <w:rPr>
          <w:color w:val="000000" w:themeColor="text1"/>
        </w:rPr>
        <w:t xml:space="preserve"> model for normal wound contraction than fibroblas</w:t>
      </w:r>
      <w:r>
        <w:rPr>
          <w:color w:val="000000" w:themeColor="text1"/>
        </w:rPr>
        <w:t xml:space="preserve">t-populated collagen lattices. </w:t>
      </w:r>
    </w:p>
    <w:p w14:paraId="6BB174B5" w14:textId="77777777" w:rsidR="009A585B" w:rsidRDefault="009A585B" w:rsidP="009A585B">
      <w:pPr>
        <w:rPr>
          <w:color w:val="000000" w:themeColor="text1"/>
        </w:rPr>
      </w:pPr>
      <w:r w:rsidRPr="00F6091F">
        <w:rPr>
          <w:color w:val="000000" w:themeColor="text1"/>
        </w:rPr>
        <w:t>The exact mechanism driving contraction remains unclear, although</w:t>
      </w:r>
      <w:r>
        <w:rPr>
          <w:color w:val="000000" w:themeColor="text1"/>
        </w:rPr>
        <w:t xml:space="preserve"> the literature presented here suggests that</w:t>
      </w:r>
      <w:r w:rsidRPr="00F6091F">
        <w:rPr>
          <w:color w:val="000000" w:themeColor="text1"/>
        </w:rPr>
        <w:t xml:space="preserve"> it is a result of mu</w:t>
      </w:r>
      <w:r>
        <w:rPr>
          <w:color w:val="000000" w:themeColor="text1"/>
        </w:rPr>
        <w:t>ltiple pathways working in parallel</w:t>
      </w:r>
      <w:r w:rsidRPr="00F6091F">
        <w:rPr>
          <w:color w:val="000000" w:themeColor="text1"/>
        </w:rPr>
        <w:t xml:space="preserve">. </w:t>
      </w:r>
      <w:r>
        <w:rPr>
          <w:color w:val="000000" w:themeColor="text1"/>
        </w:rPr>
        <w:t xml:space="preserve">Developing a targeted therapy that can address these multiple pathways has its difficulties. </w:t>
      </w:r>
      <w:r w:rsidRPr="00D77622">
        <w:rPr>
          <w:color w:val="000000" w:themeColor="text1"/>
        </w:rPr>
        <w:t>There is a concern that therapies which alter the cellular behaviour in a wound could have detrimental effects on healing.</w:t>
      </w:r>
      <w:r>
        <w:rPr>
          <w:color w:val="000000" w:themeColor="text1"/>
        </w:rPr>
        <w:t xml:space="preserve"> Therefore, a balance is required between reducing excessive contraction whilst allowing adequate wound healing to take </w:t>
      </w:r>
      <w:r w:rsidRPr="00D77622">
        <w:rPr>
          <w:color w:val="000000" w:themeColor="text1"/>
        </w:rPr>
        <w:t xml:space="preserve">place. </w:t>
      </w:r>
    </w:p>
    <w:p w14:paraId="11D73E7D" w14:textId="77777777" w:rsidR="009A585B" w:rsidRDefault="009A585B" w:rsidP="009A585B">
      <w:pPr>
        <w:pStyle w:val="Heading3"/>
      </w:pPr>
      <w:bookmarkStart w:id="35" w:name="_Toc2450980"/>
      <w:r>
        <w:t>Role of collagen cross-linking in contraction</w:t>
      </w:r>
      <w:bookmarkEnd w:id="35"/>
    </w:p>
    <w:p w14:paraId="09850945" w14:textId="73AFC210" w:rsidR="009A585B" w:rsidRDefault="009A585B" w:rsidP="009A585B">
      <w:pPr>
        <w:rPr>
          <w:color w:val="000000" w:themeColor="text1"/>
        </w:rPr>
      </w:pPr>
      <w:r>
        <w:rPr>
          <w:color w:val="000000" w:themeColor="text1"/>
        </w:rPr>
        <w:t>One area that has shown promise in reducing the formation of scar contractures is the inhibition of collagen cross</w:t>
      </w:r>
      <w:r>
        <w:rPr>
          <w:color w:val="000000" w:themeColor="text1"/>
        </w:rPr>
        <w:noBreakHyphen/>
        <w:t>linking. It has been found that contraction is initially a reversible process, following cell-mediated contraction of the tissue</w:t>
      </w:r>
      <w:r>
        <w:t>.</w:t>
      </w:r>
      <w:r w:rsidRPr="00F7297E">
        <w:fldChar w:fldCharType="begin" w:fldLock="1"/>
      </w:r>
      <w:r w:rsidR="0085447D">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rsidRPr="00F7297E">
        <w:fldChar w:fldCharType="separate"/>
      </w:r>
      <w:r w:rsidR="00B02713" w:rsidRPr="00B02713">
        <w:rPr>
          <w:noProof/>
          <w:vertAlign w:val="superscript"/>
        </w:rPr>
        <w:t>74</w:t>
      </w:r>
      <w:r w:rsidRPr="00F7297E">
        <w:fldChar w:fldCharType="end"/>
      </w:r>
      <w:r w:rsidRPr="00F7297E">
        <w:rPr>
          <w:vertAlign w:val="superscript"/>
        </w:rPr>
        <w:t>,</w:t>
      </w:r>
      <w:r w:rsidRPr="00F7297E">
        <w:fldChar w:fldCharType="begin" w:fldLock="1"/>
      </w:r>
      <w:r>
        <w:instrText>ADDIN CSL_CITATION {"citationItems":[{"id":"ITEM-1","itemData":{"DOI":"10.1034/j.1600-0846.2003.00023.x","ISBN":"0909-752X (Print)","ISSN":"0909-752X","PMID":"12877693","abstract":"BACKGROUND/PURPOSE: Fibroblasts are actively and dynamically involved in wound healing (dermal regeneration, wound contraction, and scar contracture) and fibrosis. Fibroblast-seeded collagen gels provide an in vitro model for these processes. Over time, fibroblasts will contract the gels, but the mechanisms are not completely understood. This research investigated the influence of cell density and collagen crosslinking on the contraction of fibroblast-populated gels by varying seeding density and blocking the catalyzing enzyme lysyl oxidase, respectively. METHODS: Collagen gels were seeded with fibroblasts at either 3 x 104 or 1 x 105 cells/mL and incubated with or without the lathyrogen beta-aminoproprionitrile (BAPN) for 8 days. In all, four experimental groups were analyzed: low cell density control, high cell density control, low density plus BAPN, and high density plus BAPN. Digital images were taken daily and gel area was calculated. RESULTS: Contraction was dependent on cell concentration, with higher density gels being contracted to a greater extent. BAPN had no effect until after day 2 when it inhibited (high density) or almost completely blocked (low density) the gel contraction. BAPN also reduced total long-term contraction. CONCLUSION: The results demonstrated a bimodal nature to fibroblast-mediated gel contraction: a cell density-dependent component, most likely mediated through cellular forces, and a delayed collagen crosslinking component that could be blocked by BAPN. In the long-term, similar contraction rates among the four experimental groups, particularly between the two BAPN groups, implies that the collagen crosslinking effect is discrete and independent of cell density.","author":[{"dropping-particle":"","family":"Redden","given":"Robert A","non-dropping-particle":"","parse-names":false,"suffix":""},{"dropping-particle":"","family":"Doolin","given":"Edward J","non-dropping-particle":"","parse-names":false,"suffix":""}],"container-title":"Skin research and technology","id":"ITEM-1","issue":"3","issued":{"date-parts":[["2003"]]},"page":"290-293","title":"Collagen crosslinking and cell density have distinct effects on fibroblast-mediated contraction of collagen gels.","type":"article-journal","volume":"9"},"uris":["http://www.mendeley.com/documents/?uuid=5e3c0ffd-1050-4010-9048-6ee2453708ef"]}],"mendeley":{"formattedCitation":"&lt;sup&gt;79&lt;/sup&gt;","plainTextFormattedCitation":"79","previouslyFormattedCitation":"&lt;sup&gt;79&lt;/sup&gt;"},"properties":{"noteIndex":0},"schema":"https://github.com/citation-style-language/schema/raw/master/csl-citation.json"}</w:instrText>
      </w:r>
      <w:r w:rsidRPr="00F7297E">
        <w:fldChar w:fldCharType="separate"/>
      </w:r>
      <w:r w:rsidRPr="00E8189C">
        <w:rPr>
          <w:noProof/>
          <w:vertAlign w:val="superscript"/>
        </w:rPr>
        <w:t>79</w:t>
      </w:r>
      <w:r w:rsidRPr="00F7297E">
        <w:fldChar w:fldCharType="end"/>
      </w:r>
      <w:r>
        <w:t xml:space="preserve"> Contraction is then rendered irreversible by the formation of stable covalent cross-links</w:t>
      </w:r>
      <w:r w:rsidRPr="00991250">
        <w:t xml:space="preserve"> </w:t>
      </w:r>
      <w:r>
        <w:t>bet</w:t>
      </w:r>
      <w:r w:rsidRPr="00991250">
        <w:rPr>
          <w:color w:val="000000" w:themeColor="text1"/>
        </w:rPr>
        <w:t>ween collagen fibres</w:t>
      </w:r>
      <w:r>
        <w:rPr>
          <w:color w:val="000000" w:themeColor="text1"/>
        </w:rPr>
        <w:t xml:space="preserve">, </w:t>
      </w:r>
      <w:r w:rsidRPr="00991250">
        <w:rPr>
          <w:color w:val="000000" w:themeColor="text1"/>
        </w:rPr>
        <w:t>fix</w:t>
      </w:r>
      <w:r>
        <w:rPr>
          <w:color w:val="000000" w:themeColor="text1"/>
        </w:rPr>
        <w:t>ing</w:t>
      </w:r>
      <w:r w:rsidRPr="00991250">
        <w:rPr>
          <w:color w:val="000000" w:themeColor="text1"/>
        </w:rPr>
        <w:t xml:space="preserve"> the tissue in its new conformation</w:t>
      </w:r>
      <w:r>
        <w:rPr>
          <w:color w:val="000000" w:themeColor="text1"/>
        </w:rPr>
        <w:t xml:space="preserve">. </w:t>
      </w:r>
    </w:p>
    <w:p w14:paraId="4FC156F6" w14:textId="77777777" w:rsidR="009A585B" w:rsidRPr="005A177E" w:rsidRDefault="009A585B" w:rsidP="009A585B">
      <w:pPr>
        <w:pStyle w:val="Heading3"/>
      </w:pPr>
      <w:bookmarkStart w:id="36" w:name="_Toc2450981"/>
      <w:r w:rsidRPr="005A177E">
        <w:lastRenderedPageBreak/>
        <w:t>Lysyl oxidase (LOX)</w:t>
      </w:r>
      <w:bookmarkEnd w:id="36"/>
    </w:p>
    <w:p w14:paraId="4731EC5D" w14:textId="03C0BDD3" w:rsidR="009A585B" w:rsidRPr="00A309F1" w:rsidRDefault="009A585B" w:rsidP="009A585B">
      <w:r w:rsidRPr="00991250">
        <w:rPr>
          <w:color w:val="000000" w:themeColor="text1"/>
        </w:rPr>
        <w:t>Collagen</w:t>
      </w:r>
      <w:r>
        <w:rPr>
          <w:color w:val="000000" w:themeColor="text1"/>
        </w:rPr>
        <w:t xml:space="preserve"> and elastin cross-linking are</w:t>
      </w:r>
      <w:r w:rsidRPr="00410282">
        <w:rPr>
          <w:color w:val="000000" w:themeColor="text1"/>
        </w:rPr>
        <w:t xml:space="preserve"> catalysed by lysyl oxidase (LOX), an extracellular, copper-dependent enzyme. </w:t>
      </w:r>
      <w:r>
        <w:rPr>
          <w:color w:val="000000" w:themeColor="text1"/>
        </w:rPr>
        <w:t>Four additional isoforms of the original LOX protein have been discovered, termed lysyl oxidase-like proteins one to four (LOXL- LOXL4). These isoforms have a well conserved C-terminus but differ in their N-terminal subunits.</w:t>
      </w:r>
      <w:r>
        <w:rPr>
          <w:color w:val="000000" w:themeColor="text1"/>
        </w:rPr>
        <w:fldChar w:fldCharType="begin" w:fldLock="1"/>
      </w:r>
      <w:r>
        <w:rPr>
          <w:color w:val="000000" w:themeColor="text1"/>
        </w:rPr>
        <w:instrText>ADDIN CSL_CITATION {"citationItems":[{"id":"ITEM-1","itemData":{"author":[{"dropping-particle":"","family":"Saux","given":"Claude Jourdan-le","non-dropping-particle":"","parse-names":false,"suffix":""},{"dropping-particle":"","family":"Tronecker","given":"Heike","non-dropping-particle":"","parse-names":false,"suffix":""},{"dropping-particle":"","family":"Bogic","given":"Ljubica","non-dropping-particle":"","parse-names":false,"suffix":""},{"dropping-particle":"","family":"Bryant-greenwood","given":"Gillian D","non-dropping-particle":"","parse-names":false,"suffix":""},{"dropping-particle":"","family":"Boyd","given":"Charles D","non-dropping-particle":"","parse-names":false,"suffix":""},{"dropping-particle":"","family":"Csiszar","given":"Katalin","non-dropping-particle":"","parse-names":false,"suffix":""}],"container-title":"The Journal of Biological Chemistry","id":"ITEM-1","issue":"18","issued":{"date-parts":[["1999"]]},"page":"12939-12944","title":"The LOXL2 Gene Encodes a New Lysyl Oxidase-like Protein and Is Expressed at High Levels in Reproductive Tissues","type":"article-journal","volume":"274"},"uris":["http://www.mendeley.com/documents/?uuid=9bb9d4ba-404b-4bbc-bfa1-c6b1b60c641d"]}],"mendeley":{"formattedCitation":"&lt;sup&gt;80&lt;/sup&gt;","plainTextFormattedCitation":"80","previouslyFormattedCitation":"&lt;sup&gt;80&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80</w:t>
      </w:r>
      <w:r>
        <w:rPr>
          <w:color w:val="000000" w:themeColor="text1"/>
        </w:rPr>
        <w:fldChar w:fldCharType="end"/>
      </w:r>
      <w:r>
        <w:rPr>
          <w:color w:val="000000" w:themeColor="text1"/>
        </w:rPr>
        <w:t xml:space="preserve"> To exert its catalytic function, LOX requires the presence of two cofactors; a tightly bound copper ion (Cu</w:t>
      </w:r>
      <w:r w:rsidRPr="0049154E">
        <w:rPr>
          <w:color w:val="000000" w:themeColor="text1"/>
          <w:vertAlign w:val="superscript"/>
        </w:rPr>
        <w:t>2+</w:t>
      </w:r>
      <w:r>
        <w:rPr>
          <w:color w:val="000000" w:themeColor="text1"/>
        </w:rPr>
        <w:t xml:space="preserve">) and the unique cofactor </w:t>
      </w:r>
      <w:r w:rsidRPr="0049154E">
        <w:rPr>
          <w:color w:val="000000" w:themeColor="text1"/>
        </w:rPr>
        <w:t>lysine tyrosylquinone</w:t>
      </w:r>
      <w:r>
        <w:rPr>
          <w:color w:val="000000" w:themeColor="text1"/>
        </w:rPr>
        <w:t xml:space="preserve"> (LTQ).</w:t>
      </w:r>
      <w:r>
        <w:rPr>
          <w:color w:val="000000" w:themeColor="text1"/>
        </w:rPr>
        <w:fldChar w:fldCharType="begin" w:fldLock="1"/>
      </w:r>
      <w:r>
        <w:rPr>
          <w:color w:val="000000" w:themeColor="text1"/>
        </w:rPr>
        <w:instrText>ADDIN CSL_CITATION {"citationItems":[{"id":"ITEM-1","itemData":{"DOI":"10.1007/s00018-006-6149-9","ISBN":"1420-682X (Print)\\n1420-682X (Linking)","ISSN":"1420682X","PMID":"16909208","abstract":"Lysyl oxidase (LOX) oxidizes the side chain of peptidyl lysine converting specific lysine residues to residues of alpha-aminoadipic-delta-semialdehyde. This posttranslational chemical change permits the covalent crosslinking of the component chains of collagen and those of elastin, thus stabilizing the fibrous deposits of these proteins in the extracellular matrix. Four LOX-like (LOXL) proteins with varying degrees of similarity to LOX have been described, constituting a family of related proteins. LOX is synthesized as a preproprotein which emerges from the cell as proLOX and then is processed to the active enzyme by proteolysis. In addition to elastin and collagen, LOX can oxidize lysine within a variety of cationic proteins, suggesting that its functions extend beyond its role in the stabilization of the extracellular matrix. Indeed, recent findings reveal that LOX and LOXL proteins markedly influence cell behavior including chemotactic responses, proliferation, and shifts between the normal and malignant phenotypes.","author":[{"dropping-particle":"","family":"Lucero","given":"H. A.","non-dropping-particle":"","parse-names":false,"suffix":""},{"dropping-particle":"","family":"Kagan","given":"H. M.","non-dropping-particle":"","parse-names":false,"suffix":""}],"container-title":"Cellular and Molecular Life Sciences","id":"ITEM-1","issue":"19-20","issued":{"date-parts":[["2006"]]},"page":"2304-2316","title":"Lysyl oxidase: An oxidative enzyme and effector of cell function","type":"article-journal","volume":"63"},"uris":["http://www.mendeley.com/documents/?uuid=72705299-6ac3-4e65-b1e1-9e5de1020540"]}],"mendeley":{"formattedCitation":"&lt;sup&gt;81&lt;/sup&gt;","plainTextFormattedCitation":"81","previouslyFormattedCitation":"&lt;sup&gt;81&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81</w:t>
      </w:r>
      <w:r>
        <w:rPr>
          <w:color w:val="000000" w:themeColor="text1"/>
        </w:rPr>
        <w:fldChar w:fldCharType="end"/>
      </w:r>
      <w:r>
        <w:rPr>
          <w:color w:val="000000" w:themeColor="text1"/>
        </w:rPr>
        <w:t xml:space="preserve"> This is supported by studies that demonstrate that a lack of copper leads to similar results to direct LOX inhibition.</w:t>
      </w:r>
      <w:r>
        <w:rPr>
          <w:color w:val="000000" w:themeColor="text1"/>
        </w:rPr>
        <w:fldChar w:fldCharType="begin" w:fldLock="1"/>
      </w:r>
      <w:r>
        <w:rPr>
          <w:color w:val="000000" w:themeColor="text1"/>
        </w:rPr>
        <w:instrText>ADDIN CSL_CITATION {"citationItems":[{"id":"ITEM-1","itemData":{"author":[{"dropping-particle":"","family":"Harris","given":"Edward D","non-dropping-particle":"","parse-names":false,"suffix":""}],"container-title":"Proc. Nat. Acad. Sci","id":"ITEM-1","issue":"2","issued":{"date-parts":[["1976"]]},"page":"371-374","title":"Copper induced activation of aortic lysyl oxidase in vivo","type":"article-journal","volume":"73"},"uris":["http://www.mendeley.com/documents/?uuid=006825e2-e79c-4890-bf22-152676d3cc5c"]}],"mendeley":{"formattedCitation":"&lt;sup&gt;82&lt;/sup&gt;","plainTextFormattedCitation":"82","previouslyFormattedCitation":"&lt;sup&gt;82&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82</w:t>
      </w:r>
      <w:r>
        <w:rPr>
          <w:color w:val="000000" w:themeColor="text1"/>
        </w:rPr>
        <w:fldChar w:fldCharType="end"/>
      </w:r>
      <w:r>
        <w:rPr>
          <w:color w:val="000000" w:themeColor="text1"/>
        </w:rPr>
        <w:t xml:space="preserve"> LOX catalyses the deamination of lysine and hydroxylysine residues on collagen molecules, to form aldehydes.</w:t>
      </w:r>
      <w:r w:rsidRPr="00004AAB">
        <w:fldChar w:fldCharType="begin" w:fldLock="1"/>
      </w:r>
      <w:r>
        <w:instrText>ADDIN CSL_CITATION {"citationItems":[{"id":"ITEM-1","itemData":{"DOI":"10.1073/pnas.61.2.708","ISBN":"0027-8424 (Print)\\r0027-8424 (Linking)","ISSN":"0027-8424","PMID":"5246001","author":[{"dropping-particle":"","family":"Pinnell","given":"Sheldon. R","non-dropping-particle":"","parse-names":false,"suffix":""},{"dropping-particle":"","family":"Martin","given":"George. R","non-dropping-particle":"","parse-names":false,"suffix":""}],"container-title":"Proceedings of the National Academy of Sciences of the United States of America","id":"ITEM-1","issue":"2","issued":{"date-parts":[["1968"]]},"page":"708-716","title":"The cross-linking of collagen and elastin: enzymatic conversion of lysine in peptide linkage to alpha-aminoadipic-delta-semialdehyde (allysine) by an extract from bone.","type":"article-journal","volume":"61"},"uris":["http://www.mendeley.com/documents/?uuid=09535a10-d3cd-4fc7-b453-3f65d0826893"]}],"mendeley":{"formattedCitation":"&lt;sup&gt;83&lt;/sup&gt;","plainTextFormattedCitation":"83","previouslyFormattedCitation":"&lt;sup&gt;83&lt;/sup&gt;"},"properties":{"noteIndex":0},"schema":"https://github.com/citation-style-language/schema/raw/master/csl-citation.json"}</w:instrText>
      </w:r>
      <w:r w:rsidRPr="00004AAB">
        <w:fldChar w:fldCharType="separate"/>
      </w:r>
      <w:r w:rsidRPr="00E8189C">
        <w:rPr>
          <w:noProof/>
          <w:vertAlign w:val="superscript"/>
        </w:rPr>
        <w:t>83</w:t>
      </w:r>
      <w:r w:rsidRPr="00004AAB">
        <w:fldChar w:fldCharType="end"/>
      </w:r>
      <w:r w:rsidRPr="00991250">
        <w:rPr>
          <w:color w:val="000000" w:themeColor="text1"/>
        </w:rPr>
        <w:t xml:space="preserve"> </w:t>
      </w:r>
      <w:r>
        <w:rPr>
          <w:color w:val="000000" w:themeColor="text1"/>
        </w:rPr>
        <w:t>These aldehydes, termed ‘</w:t>
      </w:r>
      <w:r w:rsidRPr="002702BE">
        <w:rPr>
          <w:color w:val="000000" w:themeColor="text1"/>
        </w:rPr>
        <w:t xml:space="preserve">allysine’ and ‘hydroxyallysine’, </w:t>
      </w:r>
      <w:r w:rsidRPr="00004AAB">
        <w:t xml:space="preserve">are </w:t>
      </w:r>
      <w:r>
        <w:t xml:space="preserve">then </w:t>
      </w:r>
      <w:r w:rsidRPr="00004AAB">
        <w:t xml:space="preserve">able to </w:t>
      </w:r>
      <w:r>
        <w:t>spontaneously react</w:t>
      </w:r>
      <w:r w:rsidRPr="00004AAB">
        <w:t xml:space="preserve"> with other allysine residues to form intermolecular crosslinks</w:t>
      </w:r>
      <w:r>
        <w:t xml:space="preserve"> between collagen molecules </w:t>
      </w:r>
      <w:r w:rsidRPr="00A309F1">
        <w:rPr>
          <w:i/>
        </w:rPr>
        <w:t>via</w:t>
      </w:r>
      <w:r>
        <w:t xml:space="preserve"> an Aldol condensation reaction (</w:t>
      </w:r>
      <w:r>
        <w:fldChar w:fldCharType="begin"/>
      </w:r>
      <w:r>
        <w:instrText xml:space="preserve"> REF _Ref524619332 \h </w:instrText>
      </w:r>
      <w:r>
        <w:fldChar w:fldCharType="separate"/>
      </w:r>
      <w:r w:rsidR="00E6157A">
        <w:t xml:space="preserve">Figure </w:t>
      </w:r>
      <w:r w:rsidR="00E6157A">
        <w:rPr>
          <w:noProof/>
        </w:rPr>
        <w:t>1</w:t>
      </w:r>
      <w:r w:rsidR="00E6157A">
        <w:t>.</w:t>
      </w:r>
      <w:r w:rsidR="00E6157A">
        <w:rPr>
          <w:noProof/>
        </w:rPr>
        <w:t>5</w:t>
      </w:r>
      <w:r>
        <w:fldChar w:fldCharType="end"/>
      </w:r>
      <w:r>
        <w:t>)</w:t>
      </w:r>
      <w:r w:rsidRPr="00004AAB">
        <w:t>.</w:t>
      </w:r>
      <w:r w:rsidRPr="00004AAB">
        <w:fldChar w:fldCharType="begin" w:fldLock="1"/>
      </w:r>
      <w:r>
        <w:instrText>ADDIN CSL_CITATION {"citationItems":[{"id":"ITEM-1","itemData":{"DOI":"10.1073/pnas.71.12.4826","ISBN":"0027-8424 (Print)\\r0027-8424 (Linking)","ISSN":"0027-8424","PMID":"4531019","abstract":"Lysyl oxidase catalyzes the formation of crosslinking aldehydes in collagen and elastin. This report demonstrates that the enzyme has high activity with collagen precipitated as native fibrils, an apparent K(m) of 0.95 muM, and low activity toward either soluble forms such as denatured collagen, isolated alpha chain, or isolated alpha1-CBl peptide, or precipitated collagen fibrils after pepsin treatment. These results indicate that the biosynthesis of the aldehyde crosslink intermediate probably occurs primarily after the onset of fibril formation in vivo. Biosynthesis of aldehydes and subsequent crosslinks may be related to the rate of fibril formation as well as to the concentration of lysyl oxidase in vivo.","author":[{"dropping-particle":"","family":"Siegel","given":"Robert C","non-dropping-particle":"","parse-names":false,"suffix":""}],"container-title":"Proceedings of the National Academy of Sciences of the United States of America","id":"ITEM-1","issue":"12","issued":{"date-parts":[["1974"]]},"page":"4826-4830","title":"Biosynthesis of collagen crosslinks: increased activity of purified lysyl oxidase with reconstituted collagen fibrils.","type":"article-journal","volume":"71"},"uris":["http://www.mendeley.com/documents/?uuid=99c5e777-b6ea-4386-9a26-c858b91aae4a"]}],"mendeley":{"formattedCitation":"&lt;sup&gt;84&lt;/sup&gt;","plainTextFormattedCitation":"84","previouslyFormattedCitation":"&lt;sup&gt;84&lt;/sup&gt;"},"properties":{"noteIndex":0},"schema":"https://github.com/citation-style-language/schema/raw/master/csl-citation.json"}</w:instrText>
      </w:r>
      <w:r w:rsidRPr="00004AAB">
        <w:fldChar w:fldCharType="separate"/>
      </w:r>
      <w:r w:rsidRPr="00E8189C">
        <w:rPr>
          <w:noProof/>
          <w:vertAlign w:val="superscript"/>
        </w:rPr>
        <w:t>84</w:t>
      </w:r>
      <w:r w:rsidRPr="00004AAB">
        <w:fldChar w:fldCharType="end"/>
      </w:r>
      <w:r>
        <w:t xml:space="preserve"> Alternatively, reaction of allysine with residual lysine residues forms cross-links through Schiff base (imine) linkages. </w:t>
      </w:r>
      <w:r w:rsidRPr="00004AAB">
        <w:t>The presenc</w:t>
      </w:r>
      <w:r w:rsidRPr="00342010">
        <w:rPr>
          <w:color w:val="000000" w:themeColor="text1"/>
        </w:rPr>
        <w:t>e of these crosslinks renders the collagen insoluble and more resistant to degradation.</w:t>
      </w:r>
      <w:r w:rsidRPr="00342010">
        <w:rPr>
          <w:color w:val="000000" w:themeColor="text1"/>
        </w:rPr>
        <w:fldChar w:fldCharType="begin" w:fldLock="1"/>
      </w:r>
      <w:r>
        <w:rPr>
          <w:color w:val="000000" w:themeColor="text1"/>
        </w:rPr>
        <w:instrText>ADDIN CSL_CITATION {"citationItems":[{"id":"ITEM-1","itemData":{"DOI":"10.1034/j.1600-0846.2003.00023.x","ISBN":"0909-752X (Print)","ISSN":"0909-752X","PMID":"12877693","abstract":"BACKGROUND/PURPOSE: Fibroblasts are actively and dynamically involved in wound healing (dermal regeneration, wound contraction, and scar contracture) and fibrosis. Fibroblast-seeded collagen gels provide an in vitro model for these processes. Over time, fibroblasts will contract the gels, but the mechanisms are not completely understood. This research investigated the influence of cell density and collagen crosslinking on the contraction of fibroblast-populated gels by varying seeding density and blocking the catalyzing enzyme lysyl oxidase, respectively. METHODS: Collagen gels were seeded with fibroblasts at either 3 x 104 or 1 x 105 cells/mL and incubated with or without the lathyrogen beta-aminoproprionitrile (BAPN) for 8 days. In all, four experimental groups were analyzed: low cell density control, high cell density control, low density plus BAPN, and high density plus BAPN. Digital images were taken daily and gel area was calculated. RESULTS: Contraction was dependent on cell concentration, with higher density gels being contracted to a greater extent. BAPN had no effect until after day 2 when it inhibited (high density) or almost completely blocked (low density) the gel contraction. BAPN also reduced total long-term contraction. CONCLUSION: The results demonstrated a bimodal nature to fibroblast-mediated gel contraction: a cell density-dependent component, most likely mediated through cellular forces, and a delayed collagen crosslinking component that could be blocked by BAPN. In the long-term, similar contraction rates among the four experimental groups, particularly between the two BAPN groups, implies that the collagen crosslinking effect is discrete and independent of cell density.","author":[{"dropping-particle":"","family":"Redden","given":"Robert A","non-dropping-particle":"","parse-names":false,"suffix":""},{"dropping-particle":"","family":"Doolin","given":"Edward J","non-dropping-particle":"","parse-names":false,"suffix":""}],"container-title":"Skin research and technology","id":"ITEM-1","issue":"3","issued":{"date-parts":[["2003"]]},"page":"290-293","title":"Collagen crosslinking and cell density have distinct effects on fibroblast-mediated contraction of collagen gels.","type":"article-journal","volume":"9"},"uris":["http://www.mendeley.com/documents/?uuid=5e3c0ffd-1050-4010-9048-6ee2453708ef"]}],"mendeley":{"formattedCitation":"&lt;sup&gt;79&lt;/sup&gt;","plainTextFormattedCitation":"79","previouslyFormattedCitation":"&lt;sup&gt;79&lt;/sup&gt;"},"properties":{"noteIndex":0},"schema":"https://github.com/citation-style-language/schema/raw/master/csl-citation.json"}</w:instrText>
      </w:r>
      <w:r w:rsidRPr="00342010">
        <w:rPr>
          <w:color w:val="000000" w:themeColor="text1"/>
        </w:rPr>
        <w:fldChar w:fldCharType="separate"/>
      </w:r>
      <w:r w:rsidRPr="00E8189C">
        <w:rPr>
          <w:noProof/>
          <w:color w:val="000000" w:themeColor="text1"/>
          <w:vertAlign w:val="superscript"/>
        </w:rPr>
        <w:t>79</w:t>
      </w:r>
      <w:r w:rsidRPr="00342010">
        <w:rPr>
          <w:color w:val="000000" w:themeColor="text1"/>
        </w:rPr>
        <w:fldChar w:fldCharType="end"/>
      </w:r>
      <w:r w:rsidRPr="00342010">
        <w:rPr>
          <w:color w:val="000000" w:themeColor="text1"/>
        </w:rPr>
        <w:t xml:space="preserve"> In addition to its role in collagen and elastin cross-linking, LOX has been associated with tumour </w:t>
      </w:r>
      <w:r>
        <w:rPr>
          <w:color w:val="000000" w:themeColor="text1"/>
        </w:rPr>
        <w:t>metastases</w:t>
      </w:r>
      <w:r w:rsidRPr="00342010">
        <w:rPr>
          <w:color w:val="000000" w:themeColor="text1"/>
        </w:rPr>
        <w:t xml:space="preserve"> developing from hypoxic microenvironments.</w:t>
      </w:r>
      <w:r w:rsidRPr="00342010">
        <w:rPr>
          <w:color w:val="000000" w:themeColor="text1"/>
        </w:rPr>
        <w:fldChar w:fldCharType="begin" w:fldLock="1"/>
      </w:r>
      <w:r>
        <w:rPr>
          <w:color w:val="000000" w:themeColor="text1"/>
        </w:rPr>
        <w:instrText>ADDIN CSL_CITATION {"citationItems":[{"id":"ITEM-1","itemData":{"DOI":"10.1038/nature14492","ISSN":"0028-0836","abstract":"Tumour metastasis is a complex process involving reciprocal interplay between cancer cells and host stroma at both primary and secondary sites, and is strongly influenced by microenvironmental factors such as hypoxia1 . Tumour-secreted proteins play a crucial role in these interactions2–5 and present strategic therapeutic potential. Metastasis of breast cancer to the bone affects approximately 85% of patients with advanced disease and renders them largely untreatable6 . Specifically, osteolytic bone lesions, where bone is destroyed, lead to debilitating skeletal complications and increased patient morbidity and mortality6,7. The molecular interactions governing the early events of osteolytic lesion formation are currently unclear. Here we show hypoxia to be specifically associated with bone relapse in patients with oestrogen-receptor negative breast cancer. Global quantitative analysis of the hypoxic secretome identified lysyl oxidase (LOX) as significantly associated with bone-tropism and relapse. High expression of LOX in primary breast tumours or systemic delivery of LOX leads to osteolytic lesion formation whereas silencing or inhibition of LOX activity abrogates tumour-driven osteolytic lesion formation. We identify LOX as a novel regulator of NFATc1-driven osteoclastogenesis,independent of RANK ligand, which disrupts normal bone homeostasisleading to the formation of focal pre-metastatic lesions. We show that these lesions subsequently provide a platform for circulating tumour cells to colonize and form bone metastases. Our study identifies a novel mechanism of regulation of bone homeostasis and metastasis, opening up opportunities for novel therapeutic intervention with important clinical implications.","author":[{"dropping-particle":"","family":"Cox","given":"Thomas R.","non-dropping-particle":"","parse-names":false,"suffix":""},{"dropping-particle":"","family":"Rumney","given":"Robin M. H.","non-dropping-particle":"","parse-names":false,"suffix":""},{"dropping-particle":"","family":"Schoof","given":"Erwin M.","non-dropping-particle":"","parse-names":false,"suffix":""},{"dropping-particle":"","family":"Perryman","given":"Lara","non-dropping-particle":"","parse-names":false,"suffix":""},{"dropping-particle":"","family":"Høye","given":"Anette M.","non-dropping-particle":"","parse-names":false,"suffix":""},{"dropping-particle":"","family":"Agrawal","given":"Ankita","non-dropping-particle":"","parse-names":false,"suffix":""},{"dropping-particle":"","family":"Bird","given":"Demelza","non-dropping-particle":"","parse-names":false,"suffix":""},{"dropping-particle":"","family":"Latif","given":"Norain Ab","non-dropping-particle":"","parse-names":false,"suffix":""},{"dropping-particle":"","family":"Forrest","given":"Hamish","non-dropping-particle":"","parse-names":false,"suffix":""},{"dropping-particle":"","family":"Evans","given":"Holly R.","non-dropping-particle":"","parse-names":false,"suffix":""},{"dropping-particle":"","family":"Huggins","given":"Iain D.","non-dropping-particle":"","parse-names":false,"suffix":""},{"dropping-particle":"","family":"Lang","given":"Georgina","non-dropping-particle":"","parse-names":false,"suffix":""},{"dropping-particle":"","family":"Linding","given":"Rune","non-dropping-particle":"","parse-names":false,"suffix":""},{"dropping-particle":"","family":"Gartland","given":"Alison","non-dropping-particle":"","parse-names":false,"suffix":""},{"dropping-particle":"","family":"Erler","given":"Janine T.","non-dropping-particle":"","parse-names":false,"suffix":""}],"container-title":"Nature","id":"ITEM-1","issue":"106-110","issued":{"date-parts":[["2015"]]},"title":"The hypoxic cancer secretome induces pre-metastatic bone lesions through lysyl oxidase","type":"article-journal","volume":"522"},"uris":["http://www.mendeley.com/documents/?uuid=e72355d5-57c8-4d53-9a80-3f41d2604c0f"]}],"mendeley":{"formattedCitation":"&lt;sup&gt;85&lt;/sup&gt;","plainTextFormattedCitation":"85","previouslyFormattedCitation":"&lt;sup&gt;85&lt;/sup&gt;"},"properties":{"noteIndex":0},"schema":"https://github.com/citation-style-language/schema/raw/master/csl-citation.json"}</w:instrText>
      </w:r>
      <w:r w:rsidRPr="00342010">
        <w:rPr>
          <w:color w:val="000000" w:themeColor="text1"/>
        </w:rPr>
        <w:fldChar w:fldCharType="separate"/>
      </w:r>
      <w:r w:rsidRPr="00E8189C">
        <w:rPr>
          <w:noProof/>
          <w:color w:val="000000" w:themeColor="text1"/>
          <w:vertAlign w:val="superscript"/>
        </w:rPr>
        <w:t>85</w:t>
      </w:r>
      <w:r w:rsidRPr="00342010">
        <w:rPr>
          <w:color w:val="000000" w:themeColor="text1"/>
        </w:rPr>
        <w:fldChar w:fldCharType="end"/>
      </w:r>
    </w:p>
    <w:p w14:paraId="6145932F" w14:textId="77777777" w:rsidR="009A585B" w:rsidRDefault="009A585B" w:rsidP="009A585B">
      <w:pPr>
        <w:jc w:val="center"/>
        <w:rPr>
          <w:color w:val="FF0000"/>
        </w:rPr>
      </w:pPr>
    </w:p>
    <w:p w14:paraId="452C6564" w14:textId="77777777" w:rsidR="009A585B" w:rsidRDefault="009A585B" w:rsidP="009A585B">
      <w:pPr>
        <w:keepNext/>
        <w:jc w:val="center"/>
      </w:pPr>
      <w:r>
        <w:rPr>
          <w:noProof/>
          <w:color w:val="FF0000"/>
          <w:lang w:val="en-US"/>
        </w:rPr>
        <w:lastRenderedPageBreak/>
        <w:drawing>
          <wp:inline distT="0" distB="0" distL="0" distR="0" wp14:anchorId="165961A5" wp14:editId="7E03B727">
            <wp:extent cx="3669174" cy="67735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00px-Tropocollagen_cross-linkage_lysyl_oxidase_(EN).svg.png"/>
                    <pic:cNvPicPr/>
                  </pic:nvPicPr>
                  <pic:blipFill>
                    <a:blip r:embed="rId17">
                      <a:extLst>
                        <a:ext uri="{28A0092B-C50C-407E-A947-70E740481C1C}">
                          <a14:useLocalDpi xmlns:a14="http://schemas.microsoft.com/office/drawing/2010/main" val="0"/>
                        </a:ext>
                      </a:extLst>
                    </a:blip>
                    <a:stretch>
                      <a:fillRect/>
                    </a:stretch>
                  </pic:blipFill>
                  <pic:spPr>
                    <a:xfrm>
                      <a:off x="0" y="0"/>
                      <a:ext cx="3672757" cy="6780176"/>
                    </a:xfrm>
                    <a:prstGeom prst="rect">
                      <a:avLst/>
                    </a:prstGeom>
                  </pic:spPr>
                </pic:pic>
              </a:graphicData>
            </a:graphic>
          </wp:inline>
        </w:drawing>
      </w:r>
    </w:p>
    <w:p w14:paraId="04C28C6E" w14:textId="27E109B4" w:rsidR="009A585B" w:rsidRPr="00342010" w:rsidRDefault="009A585B" w:rsidP="009D71E0">
      <w:pPr>
        <w:pStyle w:val="Caption"/>
        <w:jc w:val="both"/>
      </w:pPr>
      <w:bookmarkStart w:id="37" w:name="_Ref524619332"/>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5</w:t>
      </w:r>
      <w:r w:rsidR="00BE21E4">
        <w:rPr>
          <w:noProof/>
        </w:rPr>
        <w:fldChar w:fldCharType="end"/>
      </w:r>
      <w:bookmarkEnd w:id="37"/>
      <w:r>
        <w:t xml:space="preserve">. </w:t>
      </w:r>
      <w:r w:rsidRPr="009D71E0">
        <w:rPr>
          <w:b w:val="0"/>
        </w:rPr>
        <w:t>Crosslinking of tropocollagen strand after oxidation of lysine amine group, catalysed by lysyl oxidase (LOX)</w:t>
      </w:r>
      <w:r w:rsidRPr="009D71E0">
        <w:rPr>
          <w:b w:val="0"/>
        </w:rPr>
        <w:fldChar w:fldCharType="begin" w:fldLock="1"/>
      </w:r>
      <w:r w:rsidRPr="009D71E0">
        <w:rPr>
          <w:b w:val="0"/>
        </w:rPr>
        <w:instrText>ADDIN CSL_CITATION {"citationItems":[{"id":"ITEM-1","itemData":{"URL":"https://commons.wikimedia.org/wiki/File:Tropocollagen_cross-linkage_lysyl_oxidase_(EN).svg","abstract":"Cross-linkage of tropocollagen strands through aldol condensation of allysine resins after oxidation of lysine resins by lysyl oxidase","accessed":{"date-parts":[["2018","9","13"]]},"author":[{"dropping-particle":"","family":"Wikipedia","given":"","non-dropping-particle":"","parse-names":false,"suffix":""}],"id":"ITEM-1","issued":{"date-parts":[["2010"]]},"title":"Cross-linkage of tropocollagen strands through aldol condensation of allysine resins after oxidation of lysine resins by lysyl oxidase","type":"webpage"},"uris":["http://www.mendeley.com/documents/?uuid=d11294ba-15f0-41ad-ad5f-77f74be8101b"]}],"mendeley":{"formattedCitation":"&lt;sup&gt;86&lt;/sup&gt;","plainTextFormattedCitation":"86","previouslyFormattedCitation":"&lt;sup&gt;86&lt;/sup&gt;"},"properties":{"noteIndex":0},"schema":"https://github.com/citation-style-language/schema/raw/master/csl-citation.json"}</w:instrText>
      </w:r>
      <w:r w:rsidRPr="009D71E0">
        <w:rPr>
          <w:b w:val="0"/>
        </w:rPr>
        <w:fldChar w:fldCharType="separate"/>
      </w:r>
      <w:r w:rsidRPr="009D71E0">
        <w:rPr>
          <w:b w:val="0"/>
          <w:i/>
          <w:noProof/>
          <w:vertAlign w:val="superscript"/>
        </w:rPr>
        <w:t>86</w:t>
      </w:r>
      <w:r w:rsidRPr="009D71E0">
        <w:rPr>
          <w:b w:val="0"/>
        </w:rPr>
        <w:fldChar w:fldCharType="end"/>
      </w:r>
    </w:p>
    <w:p w14:paraId="36920C1D" w14:textId="732EB2E4" w:rsidR="009A585B" w:rsidRPr="009A585B" w:rsidRDefault="009A585B" w:rsidP="009A585B">
      <w:pPr>
        <w:pStyle w:val="Heading2"/>
      </w:pPr>
      <w:bookmarkStart w:id="38" w:name="_Toc2450982"/>
      <w:r w:rsidRPr="009A585B">
        <w:t xml:space="preserve">Methods to reduce </w:t>
      </w:r>
      <w:r w:rsidR="009352BF">
        <w:t xml:space="preserve">cross-linked mediated </w:t>
      </w:r>
      <w:r w:rsidRPr="009A585B">
        <w:t>contraction</w:t>
      </w:r>
      <w:bookmarkEnd w:id="38"/>
    </w:p>
    <w:p w14:paraId="1BE77833" w14:textId="77777777" w:rsidR="009A585B" w:rsidRDefault="009A585B" w:rsidP="009A585B">
      <w:pPr>
        <w:rPr>
          <w:color w:val="FF0000"/>
        </w:rPr>
      </w:pPr>
      <w:r w:rsidRPr="00D16053">
        <w:rPr>
          <w:color w:val="000000" w:themeColor="text1"/>
        </w:rPr>
        <w:t xml:space="preserve">Several pharmacological agents have been investigated for their ability to inhibit collagen cross-linking. For example, </w:t>
      </w:r>
      <w:r w:rsidRPr="00A873F2">
        <w:rPr>
          <w:color w:val="000000" w:themeColor="text1"/>
          <w:sz w:val="21"/>
        </w:rPr>
        <w:t>D</w:t>
      </w:r>
      <w:r w:rsidRPr="00D16053">
        <w:rPr>
          <w:color w:val="000000" w:themeColor="text1"/>
        </w:rPr>
        <w:t>-</w:t>
      </w:r>
      <w:r w:rsidRPr="00533CC3">
        <w:rPr>
          <w:color w:val="000000" w:themeColor="text1"/>
        </w:rPr>
        <w:t xml:space="preserve">Penicillamine has been suggested as a potential inhibitor of LOX-catalysed collagen cross-linking. Siegel </w:t>
      </w:r>
      <w:r w:rsidRPr="00533CC3">
        <w:rPr>
          <w:i/>
          <w:color w:val="000000" w:themeColor="text1"/>
        </w:rPr>
        <w:t>et al</w:t>
      </w:r>
      <w:r w:rsidRPr="00533CC3">
        <w:rPr>
          <w:color w:val="000000" w:themeColor="text1"/>
        </w:rPr>
        <w:t xml:space="preserve">. found that </w:t>
      </w:r>
      <w:r>
        <w:rPr>
          <w:color w:val="000000" w:themeColor="text1"/>
        </w:rPr>
        <w:t xml:space="preserve">administration of 0.1 mM </w:t>
      </w:r>
      <w:r w:rsidRPr="00A873F2">
        <w:rPr>
          <w:color w:val="000000" w:themeColor="text1"/>
          <w:sz w:val="21"/>
        </w:rPr>
        <w:t>D</w:t>
      </w:r>
      <w:r w:rsidRPr="00533CC3">
        <w:rPr>
          <w:color w:val="000000" w:themeColor="text1"/>
        </w:rPr>
        <w:t xml:space="preserve">-penicillamine </w:t>
      </w:r>
      <w:r>
        <w:rPr>
          <w:color w:val="000000" w:themeColor="text1"/>
        </w:rPr>
        <w:t xml:space="preserve">was able to inhibit collagen cross-link </w:t>
      </w:r>
      <w:r>
        <w:rPr>
          <w:color w:val="000000" w:themeColor="text1"/>
        </w:rPr>
        <w:lastRenderedPageBreak/>
        <w:t>formation in connective tissue</w:t>
      </w:r>
      <w:r>
        <w:t>.</w:t>
      </w:r>
      <w:r>
        <w:fldChar w:fldCharType="begin" w:fldLock="1"/>
      </w:r>
      <w:r>
        <w:instrText>ADDIN CSL_CITATION {"citationItems":[{"id":"ITEM-1","itemData":{"abstract":"th lysyl-derived aldehydes that are intermediates in bifunctional cross-link synthesis. Recently, we showed that aldehyde biosynthesis catalyzed by lysyl oxidase occurs after the onset of fibril formation and that nascent aldehydes form Schiff-base cross-links rapidly in fibrils. This suggested that the accessibility of o-penicillamine to most aldehydes formed during cross-link synthesis might be limited. To study this, reconstituted chick bone collagen fibrils were incubated in vitro with highly purified lysyl oxidase and o-penicillamine. As reported in previous studies in vioo, allysine content increased and polyfunctional cross-link synthesis decreased with o-penicilhunine. However, the concentration of bifunctional cross-links increased rather than decreased due to a X-fold increase in N6:6’-dehydro-5,5’- dihydroxylysinonorleucine. Hydroiyallysine, an intermediate in formation of this Schiff base, decreased. A time study indicated that allysine levels increased primarily after the bulk of Schiff base synthesis. These results indicate that o-penicillamine does not inhibit bifunctional cross-link synthesis as previously suggested. Its principal effect is to block synthesis of polyfunctional cross-link products from Schiff base cross-link precursors and to cause accumulation of these precursors. This effect may be due to interference with the close molecular packing required for .polyfunctional cross-link synthesis. These results also suggest a mechanism for the relative insensitivity of tissues such as bone with high hydroxylysine content to u-penicillamine. In this study, D-penicillamine caused selective accumulation of allysyl and not hydroxyallysyl residues. In bone as opposed to soft tissues, hydroxyallysyl residues are intermediates in synthesis of almost all cross-links.","author":[{"dropping-particle":"","family":"Siegel","given":"Robert C","non-dropping-particle":"","parse-names":false,"suffix":""},{"dropping-particle":"","family":"Francisco","given":"San","non-dropping-particle":"","parse-names":false,"suffix":""}],"container-title":"The Journal of Biological Chemistry","id":"ITEM-1","issue":"1","issued":{"date-parts":[["1977"]]},"page":"254-259","title":"Collagen Cross-linking: Effect of D-Penicillamine on cross-linking in vitro","type":"article-journal","volume":"252"},"uris":["http://www.mendeley.com/documents/?uuid=eaf7965e-e814-4aeb-9595-001de1d3a603"]}],"mendeley":{"formattedCitation":"&lt;sup&gt;87&lt;/sup&gt;","plainTextFormattedCitation":"87","previouslyFormattedCitation":"&lt;sup&gt;87&lt;/sup&gt;"},"properties":{"noteIndex":0},"schema":"https://github.com/citation-style-language/schema/raw/master/csl-citation.json"}</w:instrText>
      </w:r>
      <w:r>
        <w:fldChar w:fldCharType="separate"/>
      </w:r>
      <w:r w:rsidRPr="00E8189C">
        <w:rPr>
          <w:noProof/>
          <w:vertAlign w:val="superscript"/>
        </w:rPr>
        <w:t>87</w:t>
      </w:r>
      <w:r>
        <w:fldChar w:fldCharType="end"/>
      </w:r>
      <w:r>
        <w:t xml:space="preserve"> The mechanism of inhibition was postulated to be due to the formation of thiazolidine rings with lysine-derived aldehydes, making the aldehydes unavailable for cross-link formation. This was supported by Nimni, who concluded that </w:t>
      </w:r>
      <w:r w:rsidRPr="00A873F2">
        <w:rPr>
          <w:sz w:val="21"/>
        </w:rPr>
        <w:t>D</w:t>
      </w:r>
      <w:r>
        <w:t xml:space="preserve">-penicillamine was able to </w:t>
      </w:r>
      <w:r w:rsidRPr="004819B9">
        <w:t>block aldehyde substituents on collagen</w:t>
      </w:r>
      <w:r>
        <w:t xml:space="preserve"> and therefore inhibit collagen cross-link formation.</w:t>
      </w:r>
      <w:r>
        <w:fldChar w:fldCharType="begin" w:fldLock="1"/>
      </w:r>
      <w:r>
        <w:instrText>ADDIN CSL_CITATION {"citationItems":[{"id":"ITEM-1","itemData":{"ISSN":"0035-9157","PMID":"122677","abstract":"Action of penicillamine varies from tissue to tissue. Its ability to block crosslinking depends on the types of crosslinks that stabilize that particular collagen fiber.","author":[{"dropping-particle":"","family":"Nimni","given":"M E","non-dropping-particle":"","parse-names":false,"suffix":""}],"container-title":"Proceedings of the Royal Society of Medicine","id":"ITEM-1","issued":{"date-parts":[["1977"]]},"page":"65-72","title":"Mechanism of inhibition of collagen crosslinking by penicillamine.","type":"article-journal","volume":"70 Suppl 3"},"uris":["http://www.mendeley.com/documents/?uuid=34480940-577a-47cb-bfef-8b736d47a485"]}],"mendeley":{"formattedCitation":"&lt;sup&gt;88&lt;/sup&gt;","plainTextFormattedCitation":"88","previouslyFormattedCitation":"&lt;sup&gt;88&lt;/sup&gt;"},"properties":{"noteIndex":0},"schema":"https://github.com/citation-style-language/schema/raw/master/csl-citation.json"}</w:instrText>
      </w:r>
      <w:r>
        <w:fldChar w:fldCharType="separate"/>
      </w:r>
      <w:r w:rsidRPr="00E8189C">
        <w:rPr>
          <w:noProof/>
          <w:vertAlign w:val="superscript"/>
        </w:rPr>
        <w:t>88</w:t>
      </w:r>
      <w:r>
        <w:fldChar w:fldCharType="end"/>
      </w:r>
      <w:r>
        <w:t xml:space="preserve"> It was also noted that at higher doses, </w:t>
      </w:r>
      <w:r w:rsidRPr="00A873F2">
        <w:rPr>
          <w:sz w:val="21"/>
        </w:rPr>
        <w:t>D</w:t>
      </w:r>
      <w:r>
        <w:noBreakHyphen/>
        <w:t xml:space="preserve">penicillamine was able to reduce lysyl oxidase activity, but the mechanism by which this occurred was unknown. Deshmuhk and Nimni found that inhibition of cross-linking was reversible in </w:t>
      </w:r>
      <w:r w:rsidRPr="00A873F2">
        <w:rPr>
          <w:sz w:val="21"/>
        </w:rPr>
        <w:t>D</w:t>
      </w:r>
      <w:r>
        <w:noBreakHyphen/>
        <w:t xml:space="preserve">penicillamine-treated collagen, indicating the formation of weakly-interacting forces </w:t>
      </w:r>
      <w:r>
        <w:rPr>
          <w:color w:val="000000" w:themeColor="text1"/>
        </w:rPr>
        <w:t xml:space="preserve">between </w:t>
      </w:r>
      <w:r w:rsidRPr="00A873F2">
        <w:rPr>
          <w:color w:val="000000" w:themeColor="text1"/>
          <w:sz w:val="21"/>
        </w:rPr>
        <w:t>D</w:t>
      </w:r>
      <w:r>
        <w:rPr>
          <w:color w:val="000000" w:themeColor="text1"/>
        </w:rPr>
        <w:noBreakHyphen/>
      </w:r>
      <w:r w:rsidRPr="00831353">
        <w:rPr>
          <w:color w:val="000000" w:themeColor="text1"/>
        </w:rPr>
        <w:t>penicillamine and collagen fibres.</w:t>
      </w:r>
      <w:r w:rsidRPr="00831353">
        <w:rPr>
          <w:color w:val="000000" w:themeColor="text1"/>
        </w:rPr>
        <w:fldChar w:fldCharType="begin" w:fldLock="1"/>
      </w:r>
      <w:r>
        <w:rPr>
          <w:color w:val="000000" w:themeColor="text1"/>
        </w:rPr>
        <w:instrText>ADDIN CSL_CITATION {"citationItems":[{"id":"ITEM-1","itemData":{"abstract":"The neutral salt-soluble collagen which accumulates in the tissues of animals treated with penicillamine does not differ from normal in amino acid composition, specific optical rotation, and melting temperature. It has higher intrinsic viscosity, possibly due to a contamination with higher molecular weight aggregates originating from the depolymerization of insoluble collagen. In contrast to the aldehyde-deficient lathyritic collagen, the penicillamine collagen has an aldehyde content greater than normal and rapidly forms stable cross-links in vitro. Binding studies, involving film and equilibrium dialysis, revealed a significant interaction between collagen and compounds with a free cY-aminothiol structure. The binding capacity of various collagens tested is proportional to their aldehyde content, and reduction with NaBH4 eliminates this interaction. Reduction of these aldehydes, amidination of the e-amino groups of lysine and hydroxylysine, or addition of sodium bisulfite (10e4 M) causes neutral salt-soluble collagen to behave like lathyritic collagen. It is postulated that the inhibition of cross-linking caused by penicillamine in vivo and in vitro involves a reversible interaction with the aldehydes present in tropocollagen to form a thiazolidine type complex, since compounds with adjacent free sulfhydryl and amino groups are necessary for activity. The solubilizing effect exhibited by cr-amino-P-thiols on an incompletely cross-linked form of insoluble collagen as well as the generation of soluble collagen with a high aldehyde content can be attributed to the splitting of a Schiff’s base intermediate. The structure which is responsible for the initial stabilization of the collagen fiber can be reduced w","author":[{"dropping-particle":"","family":"Deshmukh","given":"Kalindi","non-dropping-particle":"","parse-names":false,"suffix":""},{"dropping-particle":"","family":"Nimni","given":"Marcel E","non-dropping-particle":"","parse-names":false,"suffix":""}],"container-title":"The Journal of Biological Chemistry","id":"ITEM-1","issue":"7","issued":{"date-parts":[["1969"]]},"page":"1787-1795","title":"A Defect in the Intramolecular and Intermolecular of Collagen Caused by Penicillamine","type":"article-journal","volume":"244"},"uris":["http://www.mendeley.com/documents/?uuid=be5b3c28-306f-4b90-a236-308a11aba8f5"]}],"mendeley":{"formattedCitation":"&lt;sup&gt;89&lt;/sup&gt;","plainTextFormattedCitation":"89","previouslyFormattedCitation":"&lt;sup&gt;89&lt;/sup&gt;"},"properties":{"noteIndex":0},"schema":"https://github.com/citation-style-language/schema/raw/master/csl-citation.json"}</w:instrText>
      </w:r>
      <w:r w:rsidRPr="00831353">
        <w:rPr>
          <w:color w:val="000000" w:themeColor="text1"/>
        </w:rPr>
        <w:fldChar w:fldCharType="separate"/>
      </w:r>
      <w:r w:rsidRPr="00E8189C">
        <w:rPr>
          <w:noProof/>
          <w:color w:val="000000" w:themeColor="text1"/>
          <w:vertAlign w:val="superscript"/>
        </w:rPr>
        <w:t>89</w:t>
      </w:r>
      <w:r w:rsidRPr="00831353">
        <w:rPr>
          <w:color w:val="000000" w:themeColor="text1"/>
        </w:rPr>
        <w:fldChar w:fldCharType="end"/>
      </w:r>
      <w:r w:rsidRPr="00831353">
        <w:rPr>
          <w:color w:val="000000" w:themeColor="text1"/>
        </w:rPr>
        <w:t xml:space="preserve"> </w:t>
      </w:r>
      <w:r>
        <w:rPr>
          <w:color w:val="000000" w:themeColor="text1"/>
        </w:rPr>
        <w:t xml:space="preserve">Overall, the mechanism of action of </w:t>
      </w:r>
      <w:r w:rsidRPr="00A873F2">
        <w:rPr>
          <w:color w:val="000000" w:themeColor="text1"/>
          <w:sz w:val="21"/>
        </w:rPr>
        <w:t>D</w:t>
      </w:r>
      <w:r>
        <w:rPr>
          <w:color w:val="000000" w:themeColor="text1"/>
        </w:rPr>
        <w:noBreakHyphen/>
        <w:t>penicillamine appeared</w:t>
      </w:r>
      <w:r w:rsidRPr="00831353">
        <w:rPr>
          <w:color w:val="000000" w:themeColor="text1"/>
        </w:rPr>
        <w:t xml:space="preserve"> to be </w:t>
      </w:r>
      <w:r>
        <w:rPr>
          <w:color w:val="000000" w:themeColor="text1"/>
        </w:rPr>
        <w:t>due to</w:t>
      </w:r>
      <w:r w:rsidRPr="00831353">
        <w:rPr>
          <w:color w:val="000000" w:themeColor="text1"/>
        </w:rPr>
        <w:t xml:space="preserve"> inhibi</w:t>
      </w:r>
      <w:r>
        <w:rPr>
          <w:color w:val="000000" w:themeColor="text1"/>
        </w:rPr>
        <w:t>tion of</w:t>
      </w:r>
      <w:r w:rsidRPr="00831353">
        <w:rPr>
          <w:color w:val="000000" w:themeColor="text1"/>
        </w:rPr>
        <w:t xml:space="preserve"> the formation of intermediate structures prior to collagen cross-linking, rather than direct action on the enzyme LOX.</w:t>
      </w:r>
    </w:p>
    <w:p w14:paraId="19FAF0D4" w14:textId="424CEFF0" w:rsidR="009A585B" w:rsidRPr="00831353" w:rsidRDefault="009A585B" w:rsidP="009A585B">
      <w:pPr>
        <w:rPr>
          <w:color w:val="000000" w:themeColor="text1"/>
        </w:rPr>
      </w:pPr>
      <w:r w:rsidRPr="00831353">
        <w:rPr>
          <w:color w:val="000000" w:themeColor="text1"/>
        </w:rPr>
        <w:t xml:space="preserve">Recent research has investigated the inhibition of enzymes in the LOX family by the delivery of monoclonal antibodies. Barry-Hamilton </w:t>
      </w:r>
      <w:r w:rsidRPr="00831353">
        <w:rPr>
          <w:i/>
          <w:color w:val="000000" w:themeColor="text1"/>
        </w:rPr>
        <w:t>et al</w:t>
      </w:r>
      <w:r w:rsidRPr="00831353">
        <w:rPr>
          <w:color w:val="000000" w:themeColor="text1"/>
        </w:rPr>
        <w:t>. identified lysyl oxidase-like-2 (LOXL2) as a key enzyme in maintaining a pathogenic microenvironment in cancerous tumours. A LOXL2-specific monoclonal antibody was generated and tested with animal and human models, which led to a significant decrease in cross-linked collagen matrix.</w:t>
      </w:r>
      <w:r w:rsidRPr="00831353">
        <w:rPr>
          <w:color w:val="000000" w:themeColor="text1"/>
        </w:rPr>
        <w:fldChar w:fldCharType="begin" w:fldLock="1"/>
      </w:r>
      <w:r>
        <w:rPr>
          <w:color w:val="000000" w:themeColor="text1"/>
        </w:rPr>
        <w:instrText>ADDIN CSL_CITATION {"citationItems":[{"id":"ITEM-1","itemData":{"DOI":"10.1038/nm.2208","ISBN":"1546-170X (Electronic)\\n1078-8956 (Linking)","ISSN":"1078-8956","PMID":"20818376","abstract":"We have identified a new role for the matrix enzyme lysyl oxidase-like-2 (LOXL2) in the creation and maintenance of the pathologic microenvironment of cancer and fibrotic disease. Our analysis of biopsies from human tumors and fibrotic lung and liver tissues revealed an increase in LOXL2 in disease-associated stroma and limited expression in healthy tissues. Targeting LOXL2 with an inhibitory monoclonal antibody (AB0023) was efficacious in both primary and metastatic xenograft models of cancer, as well as in liver and lung fibrosis models. Inhibition of LOXL2 resulted in a marked reduction in activated fibroblasts, desmoplasia and endothelial cells, decreased production of growth factors and cytokines and decreased transforming growth factor-beta (TGF-beta) pathway signaling. AB0023 outperformed the small-molecule lysyl oxidase inhibitor beta-aminoproprionitrile. The efficacy and safety of LOXL2-specific AB0023 represents a new therapeutic approach with broad applicability in oncologic and fibrotic diseases.","author":[{"dropping-particle":"","family":"Barry-Hamilton","given":"Vivian","non-dropping-particle":"","parse-names":false,"suffix":""},{"dropping-particle":"","family":"Spangler","given":"Rhyannon","non-dropping-particle":"","parse-names":false,"suffix":""},{"dropping-particle":"","family":"Marshall","given":"Derek","non-dropping-particle":"","parse-names":false,"suffix":""},{"dropping-particle":"","family":"McCauley","given":"Scott","non-dropping-particle":"","parse-names":false,"suffix":""},{"dropping-particle":"","family":"Rodriguez","given":"Hector M","non-dropping-particle":"","parse-names":false,"suffix":""},{"dropping-particle":"","family":"Oyasu","given":"Miho","non-dropping-particle":"","parse-names":false,"suffix":""},{"dropping-particle":"","family":"Mikels","given":"Amanda","non-dropping-particle":"","parse-names":false,"suffix":""},{"dropping-particle":"","family":"Vaysberg","given":"Maria","non-dropping-particle":"","parse-names":false,"suffix":""},{"dropping-particle":"","family":"Ghermazien","given":"Haben","non-dropping-particle":"","parse-names":false,"suffix":""},{"dropping-particle":"","family":"Wai","given":"Carol","non-dropping-particle":"","parse-names":false,"suffix":""},{"dropping-particle":"","family":"Garcia","given":"Carlos a","non-dropping-particle":"","parse-names":false,"suffix":""},{"dropping-particle":"","family":"Velayo","given":"Arleene C","non-dropping-particle":"","parse-names":false,"suffix":""},{"dropping-particle":"","family":"Jorgensen","given":"Brett","non-dropping-particle":"","parse-names":false,"suffix":""},{"dropping-particle":"","family":"Biermann","given":"Donna","non-dropping-particle":"","parse-names":false,"suffix":""},{"dropping-particle":"","family":"Tsai","given":"Daniel","non-dropping-particle":"","parse-names":false,"suffix":""},{"dropping-particle":"","family":"Green","given":"Jennifer","non-dropping-particle":"","parse-names":false,"suffix":""},{"dropping-particle":"","family":"Zaffryar-Eilot","given":"Shelly","non-dropping-particle":"","parse-names":false,"suffix":""},{"dropping-particle":"","family":"Holzer","given":"Alison","non-dropping-particle":"","parse-names":false,"suffix":""},{"dropping-particle":"","family":"Ogg","given":"Scott","non-dropping-particle":"","parse-names":false,"suffix":""},{"dropping-particle":"","family":"Thai","given":"Dung","non-dropping-particle":"","parse-names":false,"suffix":""},{"dropping-particle":"","family":"Neufeld","given":"Gera","non-dropping-particle":"","parse-names":false,"suffix":""},{"dropping-particle":"","family":"Vlasselaer","given":"Peter","non-dropping-particle":"Van","parse-names":false,"suffix":""},{"dropping-particle":"","family":"Smith","given":"Victoria","non-dropping-particle":"","parse-names":false,"suffix":""}],"container-title":"Nature medicine","id":"ITEM-1","issue":"9","issued":{"date-parts":[["2010"]]},"page":"1009-1017","publisher":"Nature Publishing Group","title":"Allosteric inhibition of lysyl oxidase-like-2 impedes the development of a pathologic microenvironment.","type":"article-journal","volume":"16"},"uris":["http://www.mendeley.com/documents/?uuid=3a1f8388-e988-4deb-bc99-f0ad703d7da5"]}],"mendeley":{"formattedCitation":"&lt;sup&gt;90&lt;/sup&gt;","plainTextFormattedCitation":"90","previouslyFormattedCitation":"&lt;sup&gt;90&lt;/sup&gt;"},"properties":{"noteIndex":0},"schema":"https://github.com/citation-style-language/schema/raw/master/csl-citation.json"}</w:instrText>
      </w:r>
      <w:r w:rsidRPr="00831353">
        <w:rPr>
          <w:color w:val="000000" w:themeColor="text1"/>
        </w:rPr>
        <w:fldChar w:fldCharType="separate"/>
      </w:r>
      <w:r w:rsidRPr="00E8189C">
        <w:rPr>
          <w:noProof/>
          <w:color w:val="000000" w:themeColor="text1"/>
          <w:vertAlign w:val="superscript"/>
        </w:rPr>
        <w:t>90</w:t>
      </w:r>
      <w:r w:rsidRPr="00831353">
        <w:rPr>
          <w:color w:val="000000" w:themeColor="text1"/>
        </w:rPr>
        <w:fldChar w:fldCharType="end"/>
      </w:r>
      <w:r w:rsidRPr="00831353">
        <w:rPr>
          <w:color w:val="000000" w:themeColor="text1"/>
        </w:rPr>
        <w:t xml:space="preserve"> The LOXL2 antibody was described to be</w:t>
      </w:r>
      <w:r>
        <w:rPr>
          <w:color w:val="000000" w:themeColor="text1"/>
        </w:rPr>
        <w:t xml:space="preserve"> highly</w:t>
      </w:r>
      <w:r w:rsidRPr="00831353">
        <w:rPr>
          <w:color w:val="000000" w:themeColor="text1"/>
        </w:rPr>
        <w:t xml:space="preserve"> effective at inhibiting LOXL2 activity</w:t>
      </w:r>
      <w:r>
        <w:rPr>
          <w:color w:val="000000" w:themeColor="text1"/>
        </w:rPr>
        <w:t>. However, t</w:t>
      </w:r>
      <w:r w:rsidRPr="00831353">
        <w:rPr>
          <w:color w:val="000000" w:themeColor="text1"/>
        </w:rPr>
        <w:t xml:space="preserve">he use of monoclonal antibodies would be </w:t>
      </w:r>
      <w:r>
        <w:rPr>
          <w:color w:val="000000" w:themeColor="text1"/>
        </w:rPr>
        <w:t>incredibly</w:t>
      </w:r>
      <w:r w:rsidR="00996AFF">
        <w:rPr>
          <w:color w:val="000000" w:themeColor="text1"/>
        </w:rPr>
        <w:t xml:space="preserve"> expensive to treat</w:t>
      </w:r>
      <w:r w:rsidRPr="00831353">
        <w:rPr>
          <w:color w:val="000000" w:themeColor="text1"/>
        </w:rPr>
        <w:t xml:space="preserve"> </w:t>
      </w:r>
      <w:r w:rsidR="00996AFF">
        <w:rPr>
          <w:color w:val="000000" w:themeColor="text1"/>
        </w:rPr>
        <w:t>scar</w:t>
      </w:r>
      <w:r w:rsidRPr="00831353">
        <w:rPr>
          <w:color w:val="000000" w:themeColor="text1"/>
        </w:rPr>
        <w:t xml:space="preserve"> contracture therapy</w:t>
      </w:r>
      <w:r>
        <w:rPr>
          <w:color w:val="000000" w:themeColor="text1"/>
        </w:rPr>
        <w:t xml:space="preserve"> due to the long time periods of therapy.</w:t>
      </w:r>
    </w:p>
    <w:p w14:paraId="4AF5C69D" w14:textId="7FA4ED65" w:rsidR="009A585B" w:rsidRDefault="009A585B" w:rsidP="009A585B">
      <w:r w:rsidRPr="00991250">
        <w:rPr>
          <w:color w:val="000000" w:themeColor="text1"/>
        </w:rPr>
        <w:t>Historically, grazing animals were found to suffer from osteolathyrism, a connective tis</w:t>
      </w:r>
      <w:r w:rsidR="00A30D10">
        <w:rPr>
          <w:color w:val="000000" w:themeColor="text1"/>
        </w:rPr>
        <w:t>sue disorder that resulted</w:t>
      </w:r>
      <w:r w:rsidRPr="00991250">
        <w:rPr>
          <w:color w:val="000000" w:themeColor="text1"/>
        </w:rPr>
        <w:t xml:space="preserve"> i</w:t>
      </w:r>
      <w:r w:rsidR="00A30D10">
        <w:rPr>
          <w:color w:val="000000" w:themeColor="text1"/>
        </w:rPr>
        <w:t xml:space="preserve">n loose skin and fragile bones </w:t>
      </w:r>
      <w:r w:rsidRPr="00991250">
        <w:rPr>
          <w:color w:val="000000" w:themeColor="text1"/>
        </w:rPr>
        <w:t>after ingestion of the sweet pea plant (</w:t>
      </w:r>
      <w:r w:rsidRPr="00991250">
        <w:rPr>
          <w:rFonts w:eastAsia="Times New Roman" w:cs="Times New Roman"/>
          <w:bCs/>
          <w:i/>
          <w:iCs/>
          <w:color w:val="000000" w:themeColor="text1"/>
          <w:szCs w:val="22"/>
          <w:shd w:val="clear" w:color="auto" w:fill="FFFFFF"/>
        </w:rPr>
        <w:t>Lathyrus odoratus</w:t>
      </w:r>
      <w:r w:rsidRPr="00991250">
        <w:rPr>
          <w:color w:val="000000" w:themeColor="text1"/>
        </w:rPr>
        <w:t>).</w:t>
      </w:r>
      <w:r w:rsidRPr="00991250">
        <w:rPr>
          <w:color w:val="000000" w:themeColor="text1"/>
        </w:rPr>
        <w:fldChar w:fldCharType="begin" w:fldLock="1"/>
      </w:r>
      <w:r>
        <w:rPr>
          <w:color w:val="000000" w:themeColor="text1"/>
        </w:rPr>
        <w:instrText>ADDIN CSL_CITATION {"citationItems":[{"id":"ITEM-1","itemData":{"abstract":"Lathyrism encompasses two entities. The first, neurolathyrism, occurs in a variety of animals, including man, after the consumption of several Lathyrus species. Three distinct neurolathyrogens have been isolated thus far from these plants. Clinical manifestations aremarked by spastic paraplegia, and degenerative pathological changes are noted in the spinal cord to account for this effect. The other type of lathyrism, observed mainly in rats and turkeys, and not in man, is called osteolathyrism. This consists of kyphoscoliosisf the spine and curvatures of the long bones. Aortic aneurysms are also observed in these animals, and this effect has been termed angiolathyrism. Angiolathyrism usually seen in conjunction with osteolathyrism, and the vessel and bone effects have not been convincingly dissociated. Beta-aminopropionitrile, a toxic product of L. odoratus (sweet pea), has been identified asthe usual inducer of this second type of lathyrism, although a variety of synthetic nitriles and other compounds have been noted to have similar effects. Extensive studies of osteolathyritic and angiolathyritic tissues have revealed unique histopathological and ultrastructural changes, as well as decreased connective tissue strength. Biochemical studies have revealed increased solubility ofcollagen and specific enzyme inhibition of lysyl oxidase at the first step of cross-link formation ielastin and collagen. These effects perhaps partly account for the observed curvatures of long bones, decreased tensile strength of connective tissues, and aortic aneurysm and rupture in osteolathyrism and angiolathyrism. Teratogenic effects of the osteolathyrogens includectocardia and gastroschisis in midpregnancy, cleft palate somewhat later, and aneurysms and kyphoscoliosis stll later. These effects depend on the dose, agent, and time of administration, ad may be directly related to the biochemical lesion.","author":[{"dropping-particle":"V","family":"Barrow","given":"Mark","non-dropping-particle":"","parse-names":false,"suffix":""},{"dropping-particle":"","family":"Simpson","given":"Charles F","non-dropping-particle":"","parse-names":false,"suffix":""},{"dropping-particle":"","family":"Miller","given":"Edward J","non-dropping-particle":"","parse-names":false,"suffix":""}],"container-title":"The Quarterly Review of Biology","id":"ITEM-1","issue":"2","issued":{"date-parts":[["1974"]]},"page":"101-128","title":"LATHYRISM: A REVIEW","type":"article-journal","volume":"49"},"uris":["http://www.mendeley.com/documents/?uuid=fd15604f-c6fc-4188-a4bb-119b7bab333c"]}],"mendeley":{"formattedCitation":"&lt;sup&gt;91&lt;/sup&gt;","plainTextFormattedCitation":"91","previouslyFormattedCitation":"&lt;sup&gt;91&lt;/sup&gt;"},"properties":{"noteIndex":0},"schema":"https://github.com/citation-style-language/schema/raw/master/csl-citation.json"}</w:instrText>
      </w:r>
      <w:r w:rsidRPr="00991250">
        <w:rPr>
          <w:color w:val="000000" w:themeColor="text1"/>
        </w:rPr>
        <w:fldChar w:fldCharType="separate"/>
      </w:r>
      <w:r w:rsidRPr="00E8189C">
        <w:rPr>
          <w:noProof/>
          <w:color w:val="000000" w:themeColor="text1"/>
          <w:vertAlign w:val="superscript"/>
        </w:rPr>
        <w:t>91</w:t>
      </w:r>
      <w:r w:rsidRPr="00991250">
        <w:rPr>
          <w:color w:val="000000" w:themeColor="text1"/>
        </w:rPr>
        <w:fldChar w:fldCharType="end"/>
      </w:r>
      <w:r w:rsidRPr="00991250">
        <w:rPr>
          <w:color w:val="000000" w:themeColor="text1"/>
        </w:rPr>
        <w:t xml:space="preserve"> It was </w:t>
      </w:r>
      <w:r>
        <w:rPr>
          <w:color w:val="000000" w:themeColor="text1"/>
        </w:rPr>
        <w:t>established</w:t>
      </w:r>
      <w:r w:rsidRPr="00991250">
        <w:rPr>
          <w:color w:val="000000" w:themeColor="text1"/>
        </w:rPr>
        <w:t xml:space="preserve"> that </w:t>
      </w:r>
      <w:r>
        <w:rPr>
          <w:color w:val="000000" w:themeColor="text1"/>
        </w:rPr>
        <w:t>osteo</w:t>
      </w:r>
      <w:r>
        <w:t xml:space="preserve">lathyrism was </w:t>
      </w:r>
      <w:r w:rsidRPr="00991250">
        <w:rPr>
          <w:color w:val="000000" w:themeColor="text1"/>
        </w:rPr>
        <w:t>caused by</w:t>
      </w:r>
      <w:r>
        <w:rPr>
          <w:color w:val="000000" w:themeColor="text1"/>
        </w:rPr>
        <w:t xml:space="preserve"> the compound </w:t>
      </w:r>
      <w:r w:rsidRPr="00991250">
        <w:rPr>
          <w:rFonts w:ascii="Cambria" w:hAnsi="Cambria"/>
          <w:color w:val="000000" w:themeColor="text1"/>
        </w:rPr>
        <w:t>β</w:t>
      </w:r>
      <w:r w:rsidRPr="00991250">
        <w:rPr>
          <w:color w:val="000000" w:themeColor="text1"/>
        </w:rPr>
        <w:noBreakHyphen/>
        <w:t>aminopropionitrile (</w:t>
      </w:r>
      <w:r w:rsidRPr="00991250">
        <w:rPr>
          <w:rFonts w:ascii="Cambria" w:hAnsi="Cambria"/>
          <w:color w:val="000000" w:themeColor="text1"/>
        </w:rPr>
        <w:t>β</w:t>
      </w:r>
      <w:r w:rsidRPr="00991250">
        <w:rPr>
          <w:color w:val="000000" w:themeColor="text1"/>
        </w:rPr>
        <w:noBreakHyphen/>
        <w:t>APN</w:t>
      </w:r>
      <w:r>
        <w:rPr>
          <w:color w:val="000000" w:themeColor="text1"/>
        </w:rPr>
        <w:t xml:space="preserve">), which is present in sweet peas. </w:t>
      </w:r>
      <w:r w:rsidRPr="00991250">
        <w:rPr>
          <w:color w:val="000000" w:themeColor="text1"/>
        </w:rPr>
        <w:t>As a result</w:t>
      </w:r>
      <w:r>
        <w:rPr>
          <w:color w:val="000000" w:themeColor="text1"/>
        </w:rPr>
        <w:t xml:space="preserve"> of this finding</w:t>
      </w:r>
      <w:r w:rsidRPr="00991250">
        <w:rPr>
          <w:color w:val="000000" w:themeColor="text1"/>
        </w:rPr>
        <w:t>, multiple studies have been conducted into the mode of action of β-APN and its e</w:t>
      </w:r>
      <w:r>
        <w:rPr>
          <w:color w:val="000000" w:themeColor="text1"/>
        </w:rPr>
        <w:t>ffect</w:t>
      </w:r>
      <w:r w:rsidRPr="00991250">
        <w:rPr>
          <w:color w:val="000000" w:themeColor="text1"/>
        </w:rPr>
        <w:t xml:space="preserve"> on</w:t>
      </w:r>
      <w:r>
        <w:rPr>
          <w:color w:val="000000" w:themeColor="text1"/>
        </w:rPr>
        <w:t xml:space="preserve"> LOX and</w:t>
      </w:r>
      <w:r w:rsidRPr="00991250">
        <w:rPr>
          <w:color w:val="000000" w:themeColor="text1"/>
        </w:rPr>
        <w:t xml:space="preserve"> </w:t>
      </w:r>
      <w:r>
        <w:rPr>
          <w:color w:val="000000" w:themeColor="text1"/>
        </w:rPr>
        <w:t>collagen cross-linking.</w:t>
      </w:r>
      <w:r w:rsidRPr="00991250">
        <w:rPr>
          <w:color w:val="000000" w:themeColor="text1"/>
        </w:rPr>
        <w:t xml:space="preserve"> A study </w:t>
      </w:r>
      <w:r>
        <w:t xml:space="preserve">by Narayanan </w:t>
      </w:r>
      <w:r w:rsidRPr="004C7268">
        <w:rPr>
          <w:i/>
        </w:rPr>
        <w:t>et al</w:t>
      </w:r>
      <w:r>
        <w:t xml:space="preserve">. confirmed the binding of </w:t>
      </w:r>
      <w:r>
        <w:rPr>
          <w:rFonts w:ascii="Cambria" w:hAnsi="Cambria"/>
        </w:rPr>
        <w:t>β</w:t>
      </w:r>
      <w:r>
        <w:noBreakHyphen/>
        <w:t xml:space="preserve">APN to the active site of LOX using </w:t>
      </w:r>
      <w:r w:rsidRPr="00A873F2">
        <w:rPr>
          <w:vertAlign w:val="superscript"/>
        </w:rPr>
        <w:t>14</w:t>
      </w:r>
      <w:r>
        <w:t xml:space="preserve">C radio-labelled </w:t>
      </w:r>
      <w:r>
        <w:rPr>
          <w:rFonts w:ascii="Cambria" w:hAnsi="Cambria"/>
        </w:rPr>
        <w:t>β</w:t>
      </w:r>
      <w:r>
        <w:noBreakHyphen/>
        <w:t>APN.</w:t>
      </w:r>
      <w:r>
        <w:fldChar w:fldCharType="begin" w:fldLock="1"/>
      </w:r>
      <w:r>
        <w:instrText>ADDIN CSL_CITATION {"citationItems":[{"id":"ITEM-1","itemData":{"DOI":"10.1016/S0006-291X(72)80203-1","ISBN":"0006-291X (Print)\\r0006-291X (Linking)","ISSN":"0006291X","PMID":"5057904","abstract":"β-Aminopropionitrile binds to and inactivates lysyl oxidase, the enzyme carrying out the first step in the cross-linking of collagen and elastin.","author":[{"dropping-particle":"","family":"Narayanan","given":"A S","non-dropping-particle":"","parse-names":false,"suffix":""},{"dropping-particle":"","family":"Siegel","given":"R C","non-dropping-particle":"","parse-names":false,"suffix":""},{"dropping-particle":"","family":"Martin","given":"G R","non-dropping-particle":"","parse-names":false,"suffix":""}],"container-title":"Biochemical and biophysical research communications","id":"ITEM-1","issue":"2","issued":{"date-parts":[["1972"]]},"page":"745-751","title":"On the inhibition of lysyl oxidase by -aminopropionitrile.","type":"article-journal","volume":"46"},"uris":["http://www.mendeley.com/documents/?uuid=d01790f0-48f8-470d-ad0e-60270d6eb2d2"]}],"mendeley":{"formattedCitation":"&lt;sup&gt;92&lt;/sup&gt;","plainTextFormattedCitation":"92","previouslyFormattedCitation":"&lt;sup&gt;92&lt;/sup&gt;"},"properties":{"noteIndex":0},"schema":"https://github.com/citation-style-language/schema/raw/master/csl-citation.json"}</w:instrText>
      </w:r>
      <w:r>
        <w:fldChar w:fldCharType="separate"/>
      </w:r>
      <w:r w:rsidRPr="00E8189C">
        <w:rPr>
          <w:noProof/>
          <w:vertAlign w:val="superscript"/>
        </w:rPr>
        <w:t>92</w:t>
      </w:r>
      <w:r>
        <w:fldChar w:fldCharType="end"/>
      </w:r>
      <w:r>
        <w:t xml:space="preserve"> This was supported by a study by Tang </w:t>
      </w:r>
      <w:r w:rsidRPr="003D32BA">
        <w:rPr>
          <w:i/>
        </w:rPr>
        <w:t>et al</w:t>
      </w:r>
      <w:r>
        <w:t xml:space="preserve">., who demonstrated that the mode of action of </w:t>
      </w:r>
      <w:r>
        <w:rPr>
          <w:rFonts w:ascii="Cambria" w:hAnsi="Cambria"/>
        </w:rPr>
        <w:t>β</w:t>
      </w:r>
      <w:r>
        <w:noBreakHyphen/>
        <w:t xml:space="preserve">APN was likely due to the </w:t>
      </w:r>
      <w:r>
        <w:rPr>
          <w:color w:val="000000" w:themeColor="text1"/>
        </w:rPr>
        <w:t xml:space="preserve">formation of </w:t>
      </w:r>
      <w:r w:rsidRPr="000D5673">
        <w:rPr>
          <w:color w:val="000000" w:themeColor="text1"/>
        </w:rPr>
        <w:t>covalent cross-link</w:t>
      </w:r>
      <w:r>
        <w:rPr>
          <w:color w:val="000000" w:themeColor="text1"/>
        </w:rPr>
        <w:t>s</w:t>
      </w:r>
      <w:r w:rsidRPr="000D5673">
        <w:rPr>
          <w:color w:val="000000" w:themeColor="text1"/>
        </w:rPr>
        <w:t xml:space="preserve"> between </w:t>
      </w:r>
      <w:r w:rsidRPr="000D5673">
        <w:rPr>
          <w:rFonts w:ascii="Cambria" w:hAnsi="Cambria"/>
          <w:color w:val="000000" w:themeColor="text1"/>
        </w:rPr>
        <w:t>β</w:t>
      </w:r>
      <w:r>
        <w:rPr>
          <w:color w:val="000000" w:themeColor="text1"/>
        </w:rPr>
        <w:noBreakHyphen/>
      </w:r>
      <w:r w:rsidRPr="000D5673">
        <w:rPr>
          <w:color w:val="000000" w:themeColor="text1"/>
        </w:rPr>
        <w:t>APN and the enzyme’s active site.</w:t>
      </w:r>
      <w:r w:rsidRPr="000D5673">
        <w:rPr>
          <w:color w:val="000000" w:themeColor="text1"/>
        </w:rPr>
        <w:fldChar w:fldCharType="begin" w:fldLock="1"/>
      </w:r>
      <w:r>
        <w:rPr>
          <w:color w:val="000000" w:themeColor="text1"/>
        </w:rPr>
        <w:instrText>ADDIN CSL_CITATION {"citationItems":[{"id":"ITEM-1","itemData":{"ISBN":"0021-9258","ISSN":"00219258","PMID":"6131892","abstract":"beta-Aminopropionitrile (BAPN) is a potent irreversible inhibitor of lysyl oxidase, the enzyme which initiates cross-linkage formation in elastin and collagen. The initial interaction of BAPN with aortic lysyl oxidase is competitive with elastin or alkyl amine substrates. Irreversible inhibition develops in a time- and temperature-dependent fashion upon incubation of enzyme with BAPN in the absence of substrate with a limiting inactivation rate constant of 0.16 min-1 and a KI of 6 microM at 37 degrees C. The labeled carbons of [1,2-14C]BAPN and [3-14C]BAPN covalently bind to the enzyme to equivalent extents and in parallel with the development of inactivation, negating the possibility that the nitrile moiety is eliminated from BAPN by enzymatic action. The copper content of the enzyme is not significantly altered upon interaction with BAPN. The extent of labeling by [14C]BAPN is reduced by prior treatment of the enzyme with carbonyl-modifying reagents, suggesting the possibility of enzyme-inhibitor Schiff base formation. However, BAPN is not processed to a free aldehyde product upon incubation with lysyl oxidase. A mechanism of inhibition is postulated which involves the formation of a covalent bond between an enzyme nucleophile and a ketenimine formed from BAPN by enzyme-assisted beta-proton abstraction.","author":[{"dropping-particle":"","family":"Tang","given":"S. S.","non-dropping-particle":"","parse-names":false,"suffix":""},{"dropping-particle":"","family":"Trackman","given":"P. C.","non-dropping-particle":"","parse-names":false,"suffix":""},{"dropping-particle":"","family":"Kagan","given":"H. M.","non-dropping-particle":"","parse-names":false,"suffix":""}],"container-title":"Journal of Biological Chemistry","id":"ITEM-1","issue":"7","issued":{"date-parts":[["1983"]]},"page":"4331-4338","title":"Reaction of aortic lysyl oxidase with beta-aminopropionitrile","type":"article-journal","volume":"258"},"uris":["http://www.mendeley.com/documents/?uuid=a4e82644-6228-471e-bce0-265ada2e7ecb"]}],"mendeley":{"formattedCitation":"&lt;sup&gt;93&lt;/sup&gt;","plainTextFormattedCitation":"93","previouslyFormattedCitation":"&lt;sup&gt;93&lt;/sup&gt;"},"properties":{"noteIndex":0},"schema":"https://github.com/citation-style-language/schema/raw/master/csl-citation.json"}</w:instrText>
      </w:r>
      <w:r w:rsidRPr="000D5673">
        <w:rPr>
          <w:color w:val="000000" w:themeColor="text1"/>
        </w:rPr>
        <w:fldChar w:fldCharType="separate"/>
      </w:r>
      <w:r w:rsidRPr="00E8189C">
        <w:rPr>
          <w:noProof/>
          <w:color w:val="000000" w:themeColor="text1"/>
          <w:vertAlign w:val="superscript"/>
        </w:rPr>
        <w:t>93</w:t>
      </w:r>
      <w:r w:rsidRPr="000D5673">
        <w:rPr>
          <w:color w:val="000000" w:themeColor="text1"/>
        </w:rPr>
        <w:fldChar w:fldCharType="end"/>
      </w:r>
      <w:r w:rsidRPr="000D5673">
        <w:rPr>
          <w:color w:val="000000" w:themeColor="text1"/>
        </w:rPr>
        <w:t xml:space="preserve"> Work by Trackman and Kagan revealed that non-peptidyl diamine substrates were able to inhibit LOX, however these substrates were not found to be as potent as </w:t>
      </w:r>
      <w:r w:rsidRPr="000D5673">
        <w:rPr>
          <w:rFonts w:ascii="Cambria" w:hAnsi="Cambria"/>
          <w:color w:val="000000" w:themeColor="text1"/>
        </w:rPr>
        <w:t>β</w:t>
      </w:r>
      <w:r w:rsidRPr="000D5673">
        <w:rPr>
          <w:color w:val="000000" w:themeColor="text1"/>
        </w:rPr>
        <w:t>-APN.</w:t>
      </w:r>
      <w:r w:rsidRPr="000D5673">
        <w:rPr>
          <w:color w:val="000000" w:themeColor="text1"/>
        </w:rPr>
        <w:fldChar w:fldCharType="begin" w:fldLock="1"/>
      </w:r>
      <w:r>
        <w:rPr>
          <w:color w:val="000000" w:themeColor="text1"/>
        </w:rPr>
        <w:instrText>ADDIN CSL_CITATION {"citationItems":[{"id":"ITEM-1","itemData":{"ISSN":"00219258","PMID":"38246","author":[{"dropping-particle":"","family":"Trackman","given":"P. C.","non-dropping-particle":"","parse-names":false,"suffix":""},{"dropping-particle":"","family":"Kagan","given":"H. M.","non-dropping-particle":"","parse-names":false,"suffix":""}],"container-title":"Journal of Biological Chemistry","id":"ITEM-1","issue":"16","issued":{"date-parts":[["1979"]]},"page":"7831-7836","title":"Nonpeptidyl amine inhibitors are substrates of lysyl oxidase.","type":"article-journal","volume":"254"},"uris":["http://www.mendeley.com/documents/?uuid=56f299a9-ad8b-4f15-8efc-a1dec56ee3e6"]}],"mendeley":{"formattedCitation":"&lt;sup&gt;94&lt;/sup&gt;","plainTextFormattedCitation":"94","previouslyFormattedCitation":"&lt;sup&gt;94&lt;/sup&gt;"},"properties":{"noteIndex":0},"schema":"https://github.com/citation-style-language/schema/raw/master/csl-citation.json"}</w:instrText>
      </w:r>
      <w:r w:rsidRPr="000D5673">
        <w:rPr>
          <w:color w:val="000000" w:themeColor="text1"/>
        </w:rPr>
        <w:fldChar w:fldCharType="separate"/>
      </w:r>
      <w:r w:rsidRPr="00E8189C">
        <w:rPr>
          <w:noProof/>
          <w:color w:val="000000" w:themeColor="text1"/>
          <w:vertAlign w:val="superscript"/>
        </w:rPr>
        <w:t>94</w:t>
      </w:r>
      <w:r w:rsidRPr="000D5673">
        <w:rPr>
          <w:color w:val="000000" w:themeColor="text1"/>
        </w:rPr>
        <w:fldChar w:fldCharType="end"/>
      </w:r>
      <w:r w:rsidRPr="000D5673">
        <w:rPr>
          <w:color w:val="000000" w:themeColor="text1"/>
        </w:rPr>
        <w:t xml:space="preserve"> This suggested that the structural </w:t>
      </w:r>
      <w:r w:rsidRPr="000D5673">
        <w:rPr>
          <w:color w:val="000000" w:themeColor="text1"/>
        </w:rPr>
        <w:lastRenderedPageBreak/>
        <w:t xml:space="preserve">conformation of </w:t>
      </w:r>
      <w:r w:rsidRPr="000D5673">
        <w:rPr>
          <w:rFonts w:ascii="Cambria" w:hAnsi="Cambria"/>
          <w:color w:val="000000" w:themeColor="text1"/>
        </w:rPr>
        <w:t>β</w:t>
      </w:r>
      <w:r w:rsidRPr="000D5673">
        <w:rPr>
          <w:color w:val="000000" w:themeColor="text1"/>
        </w:rPr>
        <w:t>-APN</w:t>
      </w:r>
      <w:r>
        <w:rPr>
          <w:color w:val="000000" w:themeColor="text1"/>
        </w:rPr>
        <w:t xml:space="preserve"> </w:t>
      </w:r>
      <w:r w:rsidRPr="000D5673">
        <w:rPr>
          <w:color w:val="000000" w:themeColor="text1"/>
        </w:rPr>
        <w:t>was key to irreversible enzyme inhibition.</w:t>
      </w:r>
      <w:r w:rsidRPr="002D2BF2">
        <w:t xml:space="preserve"> </w:t>
      </w:r>
      <w:r>
        <w:t xml:space="preserve">More recent studies have demonstrated that treatment </w:t>
      </w:r>
      <w:r w:rsidR="00A30D10">
        <w:t xml:space="preserve">of </w:t>
      </w:r>
      <w:r>
        <w:t>osteoblasts</w:t>
      </w:r>
      <w:r w:rsidR="00A30D10" w:rsidRPr="00A30D10">
        <w:t xml:space="preserve"> </w:t>
      </w:r>
      <w:r w:rsidR="00A30D10">
        <w:t>with</w:t>
      </w:r>
      <w:r w:rsidR="00A30D10" w:rsidRPr="00581D79">
        <w:rPr>
          <w:rFonts w:ascii="Cambria" w:hAnsi="Cambria"/>
        </w:rPr>
        <w:t xml:space="preserve"> </w:t>
      </w:r>
      <w:r w:rsidR="00A30D10">
        <w:rPr>
          <w:rFonts w:ascii="Cambria" w:hAnsi="Cambria"/>
        </w:rPr>
        <w:t>β</w:t>
      </w:r>
      <w:r w:rsidR="00A30D10">
        <w:noBreakHyphen/>
        <w:t>APN</w:t>
      </w:r>
      <w:r>
        <w:t xml:space="preserve"> </w:t>
      </w:r>
      <w:r w:rsidRPr="00581D79">
        <w:rPr>
          <w:i/>
        </w:rPr>
        <w:t>in vitro</w:t>
      </w:r>
      <w:r>
        <w:t xml:space="preserve"> causes a reduction in the number of mature collagen cross-links.</w:t>
      </w:r>
      <w:r>
        <w:fldChar w:fldCharType="begin" w:fldLock="1"/>
      </w:r>
      <w:r>
        <w:instrText>ADDIN CSL_CITATION {"citationItems":[{"id":"ITEM-1","itemData":{"DOI":"10.1371/journal.pone.0166392","ISSN":"19326203","PMID":"27829073","abstract":"Type I collagen morphology can be characterized using fibril D-spacing, a metric which describes the periodicity of repeating bands of gap and overlap regions of collagen molecules arranged into collagen fibrils. This fibrillar structure is stabilized by enzymatic crosslinks initiated by lysyl oxidase (LOX), a step which can be disrupted using beta-aminopropionitrile (BAPN). Murine in vivo studies have confirmed effects of BAPN on collagen nanostructure and the objective of this study was to evaluate the mechanism of these effects in vitro by measuring D-spacing, evaluating the ratio of mature to immature crosslinks, and quantifying gene expression of type I collagen and LOX. Osteoblasts were cultured in complete media, and differentiated using ascorbic acid, in the presence or absence of 0.25mM BAPN-fumarate. The matrix produced was imaged using atomic force microscopy (AFM) and 2D Fast Fourier transforms were performed to extract D-spacing from individual fibrils. The experiment was repeated for quantitative reverse transcription polymerase chain reaction (qRT-PCR) and Fourier Transform infrared spectroscopy (FTIR) analyses. The D-spacing distribution of collagen produced in the presence of BAPN was shifted toward higher D-spacing values, indicating BAPN affects the morphology of collagen produced in vitro, supporting aforementioned in vivo experiments. In contrast, no difference in gene expression was found for any target gene, suggesting LOX inhibition does not upregulate the LOX gene to compensate for the reduction in aldehyde formation, or regulate expression of genes encoding type I collagen. Finally, the mature to immature crosslink ratio decreased with BAPN treatment and was linked to a reduction in peak percent area of mature crosslink hydroxylysylpyridinoline (HP). In conclusion, in vitro treatment of osteoblasts with low levels of BAPN did not induce changes in genes encoding LOX or type I collagen, but led to an increase in collagen D-spacing as well as a decrease in mature crosslinks","author":[{"dropping-particle":"","family":"Canelón","given":"Silvia P.","non-dropping-particle":"","parse-names":false,"suffix":""},{"dropping-particle":"","family":"Wallace","given":"Joseph M.","non-dropping-particle":"","parse-names":false,"suffix":""}],"container-title":"PLoS ONE","id":"ITEM-1","issue":"11","issued":{"date-parts":[["2016"]]},"page":"1-13","title":"β-Aminopropionitrile-induced reduction in enzymatic crosslinking causes in vitro changes in collagen morphology and molecular composition","type":"article-journal","volume":"11"},"uris":["http://www.mendeley.com/documents/?uuid=9e321a1a-576f-40fe-be0d-17cbda080945"]}],"mendeley":{"formattedCitation":"&lt;sup&gt;95&lt;/sup&gt;","plainTextFormattedCitation":"95","previouslyFormattedCitation":"&lt;sup&gt;95&lt;/sup&gt;"},"properties":{"noteIndex":0},"schema":"https://github.com/citation-style-language/schema/raw/master/csl-citation.json"}</w:instrText>
      </w:r>
      <w:r>
        <w:fldChar w:fldCharType="separate"/>
      </w:r>
      <w:r w:rsidRPr="00E8189C">
        <w:rPr>
          <w:noProof/>
          <w:vertAlign w:val="superscript"/>
        </w:rPr>
        <w:t>95</w:t>
      </w:r>
      <w:r>
        <w:fldChar w:fldCharType="end"/>
      </w:r>
      <w:r>
        <w:t xml:space="preserve"> </w:t>
      </w:r>
    </w:p>
    <w:p w14:paraId="51D14775" w14:textId="77777777" w:rsidR="009A585B" w:rsidRDefault="009A585B" w:rsidP="009A585B">
      <w:pPr>
        <w:rPr>
          <w:color w:val="000000" w:themeColor="text1"/>
        </w:rPr>
      </w:pPr>
      <w:r>
        <w:t xml:space="preserve">Arem </w:t>
      </w:r>
      <w:r w:rsidRPr="00E72D48">
        <w:rPr>
          <w:i/>
        </w:rPr>
        <w:t>et al</w:t>
      </w:r>
      <w:r>
        <w:t xml:space="preserve">. investigated the effects of </w:t>
      </w:r>
      <w:r>
        <w:rPr>
          <w:rFonts w:ascii="Cambria" w:hAnsi="Cambria"/>
        </w:rPr>
        <w:t>β</w:t>
      </w:r>
      <w:r>
        <w:noBreakHyphen/>
        <w:t>APN on wound healing in rats.</w:t>
      </w:r>
      <w:r>
        <w:fldChar w:fldCharType="begin" w:fldLock="1"/>
      </w:r>
      <w:r>
        <w:instrText>ADDIN CSL_CITATION {"citationItems":[{"id":"ITEM-1","itemData":{"DOI":"10.1016/0022-4804(79)90134-3","ISSN":"10958673","PMID":"39201","abstract":"Rats with subcutaneously implanted polyvinylalcohol sponges and with inflicted skin incision wounds received a single injection of β-aminopropionitrile at four dosages ranging from 40 to 1 mg per 100 g body wt. At 6, 24, and 48 hr after the injection, the activity of lysyl oxidase, extractability of collagen into neutral salt, and bursting strength of the wound were tested. We found that even the lowest dose of BAPN tested significantly inhibited lysyl oxidase activity for 6 hr; with larger dosages the inhibition lasted longer, at 40 mg BAPN, at least 48 hr. The magnitude and duration of lysyl oxidase inhibition by BAPN was reflected in the extractability of collagen and bursting strength of the wound. The data suggest that minimal dose of BAPN would be clinically effective if either the metabolism of the drug is reduced (by monoaminoxidase inhibitors) or by sustained release of BAPN from delivery systems. © 1979.","author":[{"dropping-particle":"","family":"Arem","given":"Arnold J.","non-dropping-particle":"","parse-names":false,"suffix":""},{"dropping-particle":"","family":"Misiorowski","given":"Ronald","non-dropping-particle":"","parse-names":false,"suffix":""},{"dropping-particle":"","family":"Chvapil","given":"Milos","non-dropping-particle":"","parse-names":false,"suffix":""}],"container-title":"Journal of Surgical Research","id":"ITEM-1","issue":"4","issued":{"date-parts":[["1979"]]},"page":"228-232","title":"Effects of low-dose BAPN on wound healing","type":"article-journal","volume":"27"},"uris":["http://www.mendeley.com/documents/?uuid=173bf704-4465-4560-a548-4175119511c5"]}],"mendeley":{"formattedCitation":"&lt;sup&gt;96&lt;/sup&gt;","plainTextFormattedCitation":"96","previouslyFormattedCitation":"&lt;sup&gt;96&lt;/sup&gt;"},"properties":{"noteIndex":0},"schema":"https://github.com/citation-style-language/schema/raw/master/csl-citation.json"}</w:instrText>
      </w:r>
      <w:r>
        <w:fldChar w:fldCharType="separate"/>
      </w:r>
      <w:r w:rsidRPr="00E8189C">
        <w:rPr>
          <w:noProof/>
          <w:vertAlign w:val="superscript"/>
        </w:rPr>
        <w:t>96</w:t>
      </w:r>
      <w:r>
        <w:fldChar w:fldCharType="end"/>
      </w:r>
      <w:r>
        <w:t xml:space="preserve"> They analysed soluble collagen content and wound bursting strength after a single injected dose of up to 40 mg per 100 g body weight. The authors suggested that at low doses, enzyme inhibition lasted for less than 24 hours. Since </w:t>
      </w:r>
      <w:r>
        <w:rPr>
          <w:rFonts w:ascii="Cambria" w:hAnsi="Cambria"/>
        </w:rPr>
        <w:t>β</w:t>
      </w:r>
      <w:r>
        <w:noBreakHyphen/>
        <w:t xml:space="preserve">APN has been shown to be an irreversible inhibitor of LOX, this finding was likely due to the synthesis of new LOX, rather than reversible inhibition. The study reported that at higher doses of </w:t>
      </w:r>
      <w:r>
        <w:rPr>
          <w:rFonts w:ascii="Cambria" w:hAnsi="Cambria"/>
        </w:rPr>
        <w:t>β</w:t>
      </w:r>
      <w:r>
        <w:noBreakHyphen/>
        <w:t xml:space="preserve">APN, inhibition of LOX was prolonged. This finding supports the effectiveness of </w:t>
      </w:r>
      <w:r>
        <w:rPr>
          <w:rFonts w:ascii="Cambria" w:hAnsi="Cambria"/>
        </w:rPr>
        <w:t>β</w:t>
      </w:r>
      <w:r>
        <w:noBreakHyphen/>
        <w:t xml:space="preserve">APN to inhibit LOX </w:t>
      </w:r>
      <w:r w:rsidRPr="00CE7AEE">
        <w:rPr>
          <w:i/>
        </w:rPr>
        <w:t>in vivo</w:t>
      </w:r>
      <w:r>
        <w:t>.</w:t>
      </w:r>
    </w:p>
    <w:p w14:paraId="64AF25D9" w14:textId="287CE16D" w:rsidR="009A585B" w:rsidRPr="00F2618C" w:rsidRDefault="009A585B" w:rsidP="009A585B">
      <w:pPr>
        <w:rPr>
          <w:color w:val="000000" w:themeColor="text1"/>
        </w:rPr>
      </w:pPr>
      <w:r w:rsidRPr="00BA0C4D">
        <w:rPr>
          <w:color w:val="000000" w:themeColor="text1"/>
        </w:rPr>
        <w:t xml:space="preserve">The administration of </w:t>
      </w:r>
      <w:r w:rsidRPr="00BA0C4D">
        <w:rPr>
          <w:rFonts w:ascii="Cambria" w:hAnsi="Cambria"/>
          <w:color w:val="000000" w:themeColor="text1"/>
        </w:rPr>
        <w:t>β</w:t>
      </w:r>
      <w:r w:rsidRPr="00BA0C4D">
        <w:rPr>
          <w:color w:val="000000" w:themeColor="text1"/>
        </w:rPr>
        <w:t xml:space="preserve">-APN at </w:t>
      </w:r>
      <w:r>
        <w:rPr>
          <w:color w:val="000000" w:themeColor="text1"/>
        </w:rPr>
        <w:t>a concentration</w:t>
      </w:r>
      <w:r w:rsidRPr="00BA0C4D">
        <w:rPr>
          <w:color w:val="000000" w:themeColor="text1"/>
        </w:rPr>
        <w:t xml:space="preserve"> </w:t>
      </w:r>
      <w:r>
        <w:rPr>
          <w:color w:val="000000" w:themeColor="text1"/>
        </w:rPr>
        <w:t>that induces lathyrism has been associated with general toxicity in some animal studies, particularly a reduction in overall body weight.</w:t>
      </w:r>
      <w:r>
        <w:rPr>
          <w:color w:val="000000" w:themeColor="text1"/>
        </w:rPr>
        <w:fldChar w:fldCharType="begin" w:fldLock="1"/>
      </w:r>
      <w:r>
        <w:rPr>
          <w:color w:val="000000" w:themeColor="text1"/>
        </w:rPr>
        <w:instrText>ADDIN CSL_CITATION {"citationItems":[{"id":"ITEM-1","itemData":{"ISSN":"0022-4804","PMID":"6115096","abstract":"We tested two hypotheses related to the possible mechanisms of side toxic effects of β-aminopropionitrile (βAPN) at the lathyrogenic dose. Administration of 40 or 80 mg βAPN/100 g body wt to young rats results in slowing or cessation of the body growth rate. The hypothesis that βAPN affects the activity of brain or plasma monoaminooxidases and thus interferes with serotonin content in the brain and the serotonin-controlled brain center for appetite was proven incorrect. Only lysyl oxidase activity was significantly inhibited by βAPN administered for 7 days. The other hypothesis tested whether βAPN-treated animals are depleted of zinc. Zinc has been shown to regulate the food intake by its involvement in the regulation of the acuity of taste buds. βAPN treatment significantly decreased serum Zn content, but did not increase urinary excretion of zinc. Zinc supplementation to βAPN-treated animals reduced the lathyrogenic effect of βAPN, but did not correct the body weight loss. The change in Zn content in the serum seems to be secondary to the βAPN effect on the synthesis of plasma proteins as neither βAPN nor cyanoacetic acid interacts directly with zinc.","author":[{"dropping-particle":"","family":"Chvapil","given":"Milos","non-dropping-particle":"","parse-names":false,"suffix":""},{"dropping-particle":"","family":"Misiorowski","given":"Ronald","non-dropping-particle":"","parse-names":false,"suffix":""},{"dropping-particle":"","family":"Eskelson","given":"Cleamond","non-dropping-particle":"","parse-names":false,"suffix":""}],"container-title":"The Journal of surgical research","id":"ITEM-1","issue":"2","issued":{"date-parts":[["1981"]]},"page":"151-5","title":"On the mechanisms of beta-aminopropionitrile toxicity.","type":"article-journal","volume":"31"},"uris":["http://www.mendeley.com/documents/?uuid=40894ee3-6900-4ac0-8f5d-8947bbe92028"]}],"mendeley":{"formattedCitation":"&lt;sup&gt;97&lt;/sup&gt;","plainTextFormattedCitation":"97","previouslyFormattedCitation":"&lt;sup&gt;97&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97</w:t>
      </w:r>
      <w:r>
        <w:rPr>
          <w:color w:val="000000" w:themeColor="text1"/>
        </w:rPr>
        <w:fldChar w:fldCharType="end"/>
      </w:r>
      <w:r>
        <w:rPr>
          <w:color w:val="000000" w:themeColor="text1"/>
        </w:rPr>
        <w:t xml:space="preserve"> Chvapil </w:t>
      </w:r>
      <w:r w:rsidRPr="0001745A">
        <w:rPr>
          <w:i/>
          <w:color w:val="000000" w:themeColor="text1"/>
        </w:rPr>
        <w:t>et al</w:t>
      </w:r>
      <w:r>
        <w:rPr>
          <w:color w:val="000000" w:themeColor="text1"/>
        </w:rPr>
        <w:t xml:space="preserve">. studied the mechanism of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toxicity in rats by treatment with 40 or 80 mg </w:t>
      </w:r>
      <w:r w:rsidRPr="00BA0C4D">
        <w:rPr>
          <w:rFonts w:ascii="Cambria" w:hAnsi="Cambria"/>
          <w:color w:val="000000" w:themeColor="text1"/>
        </w:rPr>
        <w:t>β</w:t>
      </w:r>
      <w:r w:rsidRPr="00BA0C4D">
        <w:rPr>
          <w:color w:val="000000" w:themeColor="text1"/>
        </w:rPr>
        <w:t>-APN</w:t>
      </w:r>
      <w:r w:rsidR="001C0F27">
        <w:rPr>
          <w:color w:val="000000" w:themeColor="text1"/>
        </w:rPr>
        <w:t xml:space="preserve"> fumarate per </w:t>
      </w:r>
      <w:r>
        <w:rPr>
          <w:color w:val="000000" w:themeColor="text1"/>
        </w:rPr>
        <w:t>100 g body weight for 7 days.</w:t>
      </w:r>
      <w:r>
        <w:rPr>
          <w:color w:val="000000" w:themeColor="text1"/>
        </w:rPr>
        <w:fldChar w:fldCharType="begin" w:fldLock="1"/>
      </w:r>
      <w:r>
        <w:rPr>
          <w:color w:val="000000" w:themeColor="text1"/>
        </w:rPr>
        <w:instrText>ADDIN CSL_CITATION {"citationItems":[{"id":"ITEM-1","itemData":{"ISSN":"0022-4804","PMID":"6115096","abstract":"We tested two hypotheses related to the possible mechanisms of side toxic effects of β-aminopropionitrile (βAPN) at the lathyrogenic dose. Administration of 40 or 80 mg βAPN/100 g body wt to young rats results in slowing or cessation of the body growth rate. The hypothesis that βAPN affects the activity of brain or plasma monoaminooxidases and thus interferes with serotonin content in the brain and the serotonin-controlled brain center for appetite was proven incorrect. Only lysyl oxidase activity was significantly inhibited by βAPN administered for 7 days. The other hypothesis tested whether βAPN-treated animals are depleted of zinc. Zinc has been shown to regulate the food intake by its involvement in the regulation of the acuity of taste buds. βAPN treatment significantly decreased serum Zn content, but did not increase urinary excretion of zinc. Zinc supplementation to βAPN-treated animals reduced the lathyrogenic effect of βAPN, but did not correct the body weight loss. The change in Zn content in the serum seems to be secondary to the βAPN effect on the synthesis of plasma proteins as neither βAPN nor cyanoacetic acid interacts directly with zinc.","author":[{"dropping-particle":"","family":"Chvapil","given":"Milos","non-dropping-particle":"","parse-names":false,"suffix":""},{"dropping-particle":"","family":"Misiorowski","given":"Ronald","non-dropping-particle":"","parse-names":false,"suffix":""},{"dropping-particle":"","family":"Eskelson","given":"Cleamond","non-dropping-particle":"","parse-names":false,"suffix":""}],"container-title":"The Journal of surgical research","id":"ITEM-1","issue":"2","issued":{"date-parts":[["1981"]]},"page":"151-5","title":"On the mechanisms of beta-aminopropionitrile toxicity.","type":"article-journal","volume":"31"},"uris":["http://www.mendeley.com/documents/?uuid=40894ee3-6900-4ac0-8f5d-8947bbe92028"]}],"mendeley":{"formattedCitation":"&lt;sup&gt;97&lt;/sup&gt;","plainTextFormattedCitation":"97","previouslyFormattedCitation":"&lt;sup&gt;97&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97</w:t>
      </w:r>
      <w:r>
        <w:rPr>
          <w:color w:val="000000" w:themeColor="text1"/>
        </w:rPr>
        <w:fldChar w:fldCharType="end"/>
      </w:r>
      <w:r>
        <w:rPr>
          <w:color w:val="000000" w:themeColor="text1"/>
        </w:rPr>
        <w:t xml:space="preserve"> The authors hypothesised that </w:t>
      </w:r>
      <w:r w:rsidRPr="00BA0C4D">
        <w:rPr>
          <w:rFonts w:ascii="Cambria" w:hAnsi="Cambria"/>
          <w:color w:val="000000" w:themeColor="text1"/>
        </w:rPr>
        <w:t>β</w:t>
      </w:r>
      <w:r w:rsidRPr="00BA0C4D">
        <w:rPr>
          <w:color w:val="000000" w:themeColor="text1"/>
        </w:rPr>
        <w:t>-APN</w:t>
      </w:r>
      <w:r>
        <w:rPr>
          <w:color w:val="000000" w:themeColor="text1"/>
        </w:rPr>
        <w:t xml:space="preserve"> toxicity and the associated weight loss was either due to inhibition of monoaminoxidases (MAO) in the brain, or depletion of serum zinc ions. Following treatment, the body weight of rats in both treatment groups was found to be significantly lower than control rats. Analysis of brain and plasma MOA activity found no significant differences between treated and control groups. However, </w:t>
      </w:r>
      <w:r w:rsidRPr="00BA0C4D">
        <w:rPr>
          <w:rFonts w:ascii="Cambria" w:hAnsi="Cambria"/>
          <w:color w:val="000000" w:themeColor="text1"/>
        </w:rPr>
        <w:t>β</w:t>
      </w:r>
      <w:r w:rsidRPr="00BA0C4D">
        <w:rPr>
          <w:color w:val="000000" w:themeColor="text1"/>
        </w:rPr>
        <w:t>-APN</w:t>
      </w:r>
      <w:r>
        <w:rPr>
          <w:color w:val="000000" w:themeColor="text1"/>
        </w:rPr>
        <w:t xml:space="preserve"> treatment at both 40 and 80 mg/100 g body weight resulted in inhibition of lysyl oxidase activity in the lung. Serum zinc levels were reduced in treated rats and a reduction in the breaking strength of wounds was also observed. These findings could be reversed by supplementation with zinc. The authors suggested that </w:t>
      </w:r>
      <w:r w:rsidRPr="00BA0C4D">
        <w:rPr>
          <w:rFonts w:ascii="Cambria" w:hAnsi="Cambria"/>
          <w:color w:val="000000" w:themeColor="text1"/>
        </w:rPr>
        <w:t>β</w:t>
      </w:r>
      <w:r>
        <w:rPr>
          <w:color w:val="000000" w:themeColor="text1"/>
        </w:rPr>
        <w:noBreakHyphen/>
      </w:r>
      <w:r w:rsidRPr="00BA0C4D">
        <w:rPr>
          <w:color w:val="000000" w:themeColor="text1"/>
        </w:rPr>
        <w:t>APN</w:t>
      </w:r>
      <w:r>
        <w:rPr>
          <w:color w:val="000000" w:themeColor="text1"/>
        </w:rPr>
        <w:t xml:space="preserve"> treatment led to a reduction in the synthesis of zinc carrier proteins, resulting in lower zinc levels and consequentially a loss of appetite, leading to weight loss. The reversibility of this by supplementation with zinc suggests that this side effect of </w:t>
      </w:r>
      <w:r w:rsidRPr="00BA0C4D">
        <w:rPr>
          <w:rFonts w:ascii="Cambria" w:hAnsi="Cambria"/>
          <w:color w:val="000000" w:themeColor="text1"/>
        </w:rPr>
        <w:t>β</w:t>
      </w:r>
      <w:r w:rsidRPr="00BA0C4D">
        <w:rPr>
          <w:color w:val="000000" w:themeColor="text1"/>
        </w:rPr>
        <w:t>-APN</w:t>
      </w:r>
      <w:r>
        <w:rPr>
          <w:color w:val="000000" w:themeColor="text1"/>
        </w:rPr>
        <w:t xml:space="preserve"> treatment could be circumvented.</w:t>
      </w:r>
    </w:p>
    <w:p w14:paraId="30FFC1E7" w14:textId="256568CE" w:rsidR="009A585B" w:rsidRPr="00DB240E" w:rsidRDefault="009A585B" w:rsidP="009A585B">
      <w:pPr>
        <w:rPr>
          <w:color w:val="000000" w:themeColor="text1"/>
        </w:rPr>
      </w:pPr>
      <w:r>
        <w:rPr>
          <w:color w:val="000000" w:themeColor="text1"/>
        </w:rPr>
        <w:t>S</w:t>
      </w:r>
      <w:r w:rsidRPr="00790766">
        <w:rPr>
          <w:color w:val="000000" w:themeColor="text1"/>
        </w:rPr>
        <w:t xml:space="preserve">everal studies have investigated the </w:t>
      </w:r>
      <w:r>
        <w:rPr>
          <w:color w:val="000000" w:themeColor="text1"/>
        </w:rPr>
        <w:t>effect of</w:t>
      </w:r>
      <w:r w:rsidRPr="00790766">
        <w:rPr>
          <w:color w:val="000000" w:themeColor="text1"/>
        </w:rPr>
        <w:t xml:space="preserve"> </w:t>
      </w:r>
      <w:r w:rsidRPr="00790766">
        <w:rPr>
          <w:rFonts w:ascii="Cambria" w:hAnsi="Cambria"/>
          <w:color w:val="000000" w:themeColor="text1"/>
        </w:rPr>
        <w:t>β</w:t>
      </w:r>
      <w:r w:rsidRPr="00790766">
        <w:rPr>
          <w:color w:val="000000" w:themeColor="text1"/>
        </w:rPr>
        <w:t xml:space="preserve">-APN treatment </w:t>
      </w:r>
      <w:r>
        <w:rPr>
          <w:color w:val="000000" w:themeColor="text1"/>
        </w:rPr>
        <w:t>on the</w:t>
      </w:r>
      <w:r w:rsidRPr="00790766">
        <w:rPr>
          <w:color w:val="000000" w:themeColor="text1"/>
        </w:rPr>
        <w:t xml:space="preserve"> physical process of contraction</w:t>
      </w:r>
      <w:r>
        <w:rPr>
          <w:color w:val="000000" w:themeColor="text1"/>
        </w:rPr>
        <w:t xml:space="preserve"> and scarring</w:t>
      </w:r>
      <w:r w:rsidRPr="00790766">
        <w:rPr>
          <w:color w:val="000000" w:themeColor="text1"/>
        </w:rPr>
        <w:t>.</w:t>
      </w:r>
      <w:r>
        <w:rPr>
          <w:color w:val="000000" w:themeColor="text1"/>
        </w:rPr>
        <w:t xml:space="preserve"> </w:t>
      </w:r>
      <w:r>
        <w:t xml:space="preserve">Work by Harrison </w:t>
      </w:r>
      <w:r>
        <w:rPr>
          <w:i/>
        </w:rPr>
        <w:t>et </w:t>
      </w:r>
      <w:r w:rsidRPr="00C86327">
        <w:rPr>
          <w:i/>
        </w:rPr>
        <w:t>al</w:t>
      </w:r>
      <w:r>
        <w:t>. investigated the nature of contraction using tissue</w:t>
      </w:r>
      <w:r w:rsidR="009352BF">
        <w:t>-</w:t>
      </w:r>
      <w:r>
        <w:t>engineered skin composites treated with a range of pharmacological agents, targeting collagen synthesis, degradation and remodelling.</w:t>
      </w:r>
      <w:r>
        <w:fldChar w:fldCharType="begin" w:fldLock="1"/>
      </w:r>
      <w:r w:rsidR="0085447D">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fldChar w:fldCharType="separate"/>
      </w:r>
      <w:r w:rsidR="00B02713" w:rsidRPr="00B02713">
        <w:rPr>
          <w:noProof/>
          <w:vertAlign w:val="superscript"/>
        </w:rPr>
        <w:t>78</w:t>
      </w:r>
      <w:r>
        <w:fldChar w:fldCharType="end"/>
      </w:r>
      <w:r>
        <w:t xml:space="preserve"> </w:t>
      </w:r>
      <w:r>
        <w:lastRenderedPageBreak/>
        <w:t xml:space="preserve">They found that agents targeting collagen synthesis and degradation had a negligible effect on reducing composite contraction. In contrast, treatment with 200 µg/mL </w:t>
      </w:r>
      <w:r>
        <w:sym w:font="Symbol" w:char="F062"/>
      </w:r>
      <w:r>
        <w:noBreakHyphen/>
        <w:t xml:space="preserve">APN caused a significant reduction in composite contraction over 28 days. This supported previously published work by Redden and Doolin, who demonstrated that contraction of fibroblast-populated collagen gels could be reduced when the gels were </w:t>
      </w:r>
      <w:r w:rsidRPr="00790766">
        <w:rPr>
          <w:color w:val="000000" w:themeColor="text1"/>
        </w:rPr>
        <w:t xml:space="preserve">cultured </w:t>
      </w:r>
      <w:r>
        <w:rPr>
          <w:color w:val="000000" w:themeColor="text1"/>
        </w:rPr>
        <w:t>in the presence of</w:t>
      </w:r>
      <w:r w:rsidRPr="00790766">
        <w:rPr>
          <w:color w:val="000000" w:themeColor="text1"/>
        </w:rPr>
        <w:t xml:space="preserve"> 1 mM </w:t>
      </w:r>
      <w:r w:rsidRPr="00790766">
        <w:rPr>
          <w:color w:val="000000" w:themeColor="text1"/>
        </w:rPr>
        <w:sym w:font="Symbol" w:char="F062"/>
      </w:r>
      <w:r w:rsidRPr="00790766">
        <w:rPr>
          <w:color w:val="000000" w:themeColor="text1"/>
        </w:rPr>
        <w:noBreakHyphen/>
        <w:t>APN</w:t>
      </w:r>
      <w:r>
        <w:rPr>
          <w:color w:val="000000" w:themeColor="text1"/>
        </w:rPr>
        <w:t xml:space="preserve">. </w:t>
      </w:r>
      <w:r>
        <w:t xml:space="preserve">A study by Joseph </w:t>
      </w:r>
      <w:r w:rsidRPr="00B4478C">
        <w:rPr>
          <w:i/>
        </w:rPr>
        <w:t>et al</w:t>
      </w:r>
      <w:r>
        <w:t xml:space="preserve">. investigated using </w:t>
      </w:r>
      <w:r>
        <w:rPr>
          <w:rFonts w:ascii="Cambria" w:hAnsi="Cambria"/>
        </w:rPr>
        <w:t>β</w:t>
      </w:r>
      <w:r>
        <w:noBreakHyphen/>
        <w:t xml:space="preserve">APN in combination with </w:t>
      </w:r>
      <w:r w:rsidRPr="00A873F2">
        <w:rPr>
          <w:sz w:val="21"/>
        </w:rPr>
        <w:t>D</w:t>
      </w:r>
      <w:r>
        <w:noBreakHyphen/>
        <w:t>penicillamine on full thickness wounds in mice.</w:t>
      </w:r>
      <w:r>
        <w:fldChar w:fldCharType="begin" w:fldLock="1"/>
      </w:r>
      <w:r>
        <w:instrText>ADDIN CSL_CITATION {"citationItems":[{"id":"ITEM-1","itemData":{"DOI":"10.1016/S0002-9610(97)00100-1","ISSN":"00029610","PMID":"9324152","abstract":"BACKGROUND: Previous studies using systematically administered lathyrogens to inhibit wound contractures have produced inconsistent results. The purpose of this study was to investigate the effects of lathyrogenic drugs on wound contraction when injected locally. METHODS: Two symmetrical full-thickness wounds were made on the dorsum of either side of hairless (hr/hr) mice; thus, each animal served as its own control. Animals were divided into groups receiving daily local injections of beta- aminopropionitrile or D-penicillamine, or both beta-aminopropionitrile and D- penicillamine and normal saline vehicle (control side) for 5 or 10 days. The rate of contraction was determined by serial measurements of the surface area of each wound during the treatment period. At the end of the treatment period, the wounds were excised en bloc with the chest wall and prepared for blinded histological analysis. Granulation tissue thickness, number of fibroblasts in granulation tissue per unit area, number of inflammatory cells (neutrophils, lymphocytes, macrophages and mast cells) in subjacent muscle per unit area, and collagen deposition in subjacent muscle were determined. RESULTS: Wound contraction, granulation tissue thickness, and collagen deposition in subjacent muscle were decreased only in wounds treated with beta-aminopropionitrile plus D-penicillamine. Collagen deposition in subjacent muscle was also decreased in wounds treated with D-penicillamine alone. Neither drug alone nor the combination affected the number of inflammatory cells in subjacent muscle. Body weight was not affected by the experimental procedures. CONCLUSIONS: The combination of beta- aminopropionitrile and D-penicillamine is potentially useful for inhibiting contracture formation when injected locally.","author":[{"dropping-particle":"","family":"Joseph","given":"Hazel L.","non-dropping-particle":"","parse-names":false,"suffix":""},{"dropping-particle":"","family":"Roisen","given":"Fred J.","non-dropping-particle":"","parse-names":false,"suffix":""},{"dropping-particle":"","family":"Anderson","given":"Gary L.","non-dropping-particle":"","parse-names":false,"suffix":""},{"dropping-particle":"","family":"Barker","given":"John H.","non-dropping-particle":"","parse-names":false,"suffix":""},{"dropping-particle":"","family":"Weiner","given":"Leonard J.","non-dropping-particle":"","parse-names":false,"suffix":""},{"dropping-particle":"","family":"Tobin","given":"Gordon R.","non-dropping-particle":"","parse-names":false,"suffix":""}],"container-title":"American Journal of Surgery","id":"ITEM-1","issue":"3","issued":{"date-parts":[["1997"]]},"page":"347-350","title":"Inhibition of wound contraction with locally injected lathyrogenic drugs","type":"article-journal","volume":"174"},"uris":["http://www.mendeley.com/documents/?uuid=3163899c-581a-4a4f-8e94-e9b09edf93c7"]}],"mendeley":{"formattedCitation":"&lt;sup&gt;98&lt;/sup&gt;","plainTextFormattedCitation":"98","previouslyFormattedCitation":"&lt;sup&gt;98&lt;/sup&gt;"},"properties":{"noteIndex":0},"schema":"https://github.com/citation-style-language/schema/raw/master/csl-citation.json"}</w:instrText>
      </w:r>
      <w:r>
        <w:fldChar w:fldCharType="separate"/>
      </w:r>
      <w:r w:rsidRPr="00E8189C">
        <w:rPr>
          <w:noProof/>
          <w:vertAlign w:val="superscript"/>
        </w:rPr>
        <w:t>98</w:t>
      </w:r>
      <w:r>
        <w:fldChar w:fldCharType="end"/>
      </w:r>
      <w:r>
        <w:t xml:space="preserve"> The study concluded that only the combination of </w:t>
      </w:r>
      <w:r>
        <w:rPr>
          <w:rFonts w:ascii="Cambria" w:hAnsi="Cambria"/>
        </w:rPr>
        <w:t>β</w:t>
      </w:r>
      <w:r>
        <w:t xml:space="preserve">-APN and </w:t>
      </w:r>
      <w:r w:rsidRPr="00A873F2">
        <w:rPr>
          <w:sz w:val="21"/>
        </w:rPr>
        <w:t>D</w:t>
      </w:r>
      <w:r>
        <w:noBreakHyphen/>
        <w:t xml:space="preserve">penicillamine together had any significant effect on wound contraction. Interestingly, this is contradictory to a wealth of research that has shown </w:t>
      </w:r>
      <w:r>
        <w:rPr>
          <w:rFonts w:ascii="Cambria" w:hAnsi="Cambria"/>
        </w:rPr>
        <w:t>β</w:t>
      </w:r>
      <w:r>
        <w:noBreakHyphen/>
        <w:t xml:space="preserve">APN to successfully inhibit wound contraction. </w:t>
      </w:r>
      <w:r w:rsidRPr="00981F9B">
        <w:rPr>
          <w:color w:val="000000" w:themeColor="text1"/>
        </w:rPr>
        <w:t xml:space="preserve">Sardari </w:t>
      </w:r>
      <w:r w:rsidRPr="00981F9B">
        <w:rPr>
          <w:i/>
          <w:color w:val="000000" w:themeColor="text1"/>
        </w:rPr>
        <w:t xml:space="preserve">et al. </w:t>
      </w:r>
      <w:r w:rsidRPr="00981F9B">
        <w:rPr>
          <w:color w:val="000000" w:themeColor="text1"/>
        </w:rPr>
        <w:t>produced fu</w:t>
      </w:r>
      <w:r>
        <w:rPr>
          <w:color w:val="000000" w:themeColor="text1"/>
        </w:rPr>
        <w:t>ll-thickness wounds in five</w:t>
      </w:r>
      <w:r w:rsidRPr="00981F9B">
        <w:rPr>
          <w:color w:val="000000" w:themeColor="text1"/>
        </w:rPr>
        <w:t xml:space="preserve"> dogs and compared </w:t>
      </w:r>
      <w:r>
        <w:rPr>
          <w:color w:val="000000" w:themeColor="text1"/>
        </w:rPr>
        <w:t xml:space="preserve">the contraction of </w:t>
      </w:r>
      <w:r w:rsidRPr="00981F9B">
        <w:rPr>
          <w:color w:val="000000" w:themeColor="text1"/>
        </w:rPr>
        <w:t xml:space="preserve">control wounds (no </w:t>
      </w:r>
      <w:r w:rsidRPr="00981F9B">
        <w:rPr>
          <w:rFonts w:ascii="Cambria" w:hAnsi="Cambria"/>
          <w:color w:val="000000" w:themeColor="text1"/>
        </w:rPr>
        <w:t>β</w:t>
      </w:r>
      <w:r w:rsidRPr="00981F9B">
        <w:rPr>
          <w:color w:val="000000" w:themeColor="text1"/>
        </w:rPr>
        <w:t xml:space="preserve">-APN) to wounds </w:t>
      </w:r>
      <w:r>
        <w:rPr>
          <w:color w:val="000000" w:themeColor="text1"/>
        </w:rPr>
        <w:t>treated topically with 5 mg/mL</w:t>
      </w:r>
      <w:r w:rsidRPr="00DB240E">
        <w:rPr>
          <w:rFonts w:ascii="Cambria" w:hAnsi="Cambria"/>
          <w:color w:val="000000" w:themeColor="text1"/>
        </w:rPr>
        <w:t xml:space="preserve"> </w:t>
      </w:r>
      <w:r w:rsidRPr="00981F9B">
        <w:rPr>
          <w:rFonts w:ascii="Cambria" w:hAnsi="Cambria"/>
          <w:color w:val="000000" w:themeColor="text1"/>
        </w:rPr>
        <w:t>β</w:t>
      </w:r>
      <w:r w:rsidRPr="00981F9B">
        <w:rPr>
          <w:color w:val="000000" w:themeColor="text1"/>
        </w:rPr>
        <w:t>-APN</w:t>
      </w:r>
      <w:r>
        <w:rPr>
          <w:color w:val="000000" w:themeColor="text1"/>
        </w:rPr>
        <w:t xml:space="preserve"> fumarate salt</w:t>
      </w:r>
      <w:r w:rsidRPr="00DB240E">
        <w:rPr>
          <w:color w:val="000000" w:themeColor="text1"/>
        </w:rPr>
        <w:t>.</w:t>
      </w:r>
      <w:r w:rsidRPr="00DB240E">
        <w:rPr>
          <w:color w:val="000000" w:themeColor="text1"/>
        </w:rPr>
        <w:fldChar w:fldCharType="begin" w:fldLock="1"/>
      </w:r>
      <w:r>
        <w:rPr>
          <w:color w:val="000000" w:themeColor="text1"/>
        </w:rPr>
        <w:instrText>ADDIN CSL_CITATION {"citationItems":[{"id":"ITEM-1","itemData":{"DOI":"10.1007/s00580-007-0716-9","ISSN":"16185641","author":[{"dropping-particle":"","family":"Sardari","given":"Kamran","non-dropping-particle":"","parse-names":false,"suffix":""},{"dropping-particle":"","family":"Sharifi","given":"Siavash","non-dropping-particle":"","parse-names":false,"suffix":""}],"container-title":"Comparative Clinical Pathology","id":"ITEM-1","issue":"3","issued":{"date-parts":[["2008"]]},"page":"179-183","title":"Effect of collagen cross-linking inhibition by local application of beta-aminopropionitrile fumarate on wound contraction and healing (macroscopic study)","type":"article-journal","volume":"17"},"uris":["http://www.mendeley.com/documents/?uuid=cb74b0f4-3db6-4d83-a09d-ccb2d185bcbb"]}],"mendeley":{"formattedCitation":"&lt;sup&gt;99&lt;/sup&gt;","plainTextFormattedCitation":"99","previouslyFormattedCitation":"&lt;sup&gt;99&lt;/sup&gt;"},"properties":{"noteIndex":0},"schema":"https://github.com/citation-style-language/schema/raw/master/csl-citation.json"}</w:instrText>
      </w:r>
      <w:r w:rsidRPr="00DB240E">
        <w:rPr>
          <w:color w:val="000000" w:themeColor="text1"/>
        </w:rPr>
        <w:fldChar w:fldCharType="separate"/>
      </w:r>
      <w:r w:rsidRPr="00E8189C">
        <w:rPr>
          <w:noProof/>
          <w:color w:val="000000" w:themeColor="text1"/>
          <w:vertAlign w:val="superscript"/>
        </w:rPr>
        <w:t>99</w:t>
      </w:r>
      <w:r w:rsidRPr="00DB240E">
        <w:rPr>
          <w:color w:val="000000" w:themeColor="text1"/>
        </w:rPr>
        <w:fldChar w:fldCharType="end"/>
      </w:r>
      <w:r w:rsidRPr="00DB240E">
        <w:rPr>
          <w:color w:val="000000" w:themeColor="text1"/>
        </w:rPr>
        <w:t xml:space="preserve"> Despite the small study size, significant differences in wound contraction were reported between control and </w:t>
      </w:r>
      <w:r w:rsidRPr="00DB240E">
        <w:rPr>
          <w:rFonts w:ascii="Cambria" w:hAnsi="Cambria"/>
          <w:color w:val="000000" w:themeColor="text1"/>
        </w:rPr>
        <w:t>β</w:t>
      </w:r>
      <w:r w:rsidRPr="00DB240E">
        <w:rPr>
          <w:color w:val="000000" w:themeColor="text1"/>
        </w:rPr>
        <w:t xml:space="preserve">-APN-treated wounds, with control wounds contracting to a greater extent than treated ones. </w:t>
      </w:r>
      <w:r>
        <w:rPr>
          <w:color w:val="000000" w:themeColor="text1"/>
        </w:rPr>
        <w:t>T</w:t>
      </w:r>
      <w:r w:rsidRPr="00DB240E">
        <w:rPr>
          <w:color w:val="000000" w:themeColor="text1"/>
        </w:rPr>
        <w:t xml:space="preserve">he authors noted that </w:t>
      </w:r>
      <w:r>
        <w:rPr>
          <w:color w:val="000000" w:themeColor="text1"/>
        </w:rPr>
        <w:t xml:space="preserve">in addition to a reduction in contraction, </w:t>
      </w:r>
      <w:r w:rsidRPr="00DB240E">
        <w:rPr>
          <w:color w:val="000000" w:themeColor="text1"/>
        </w:rPr>
        <w:t xml:space="preserve">epithelialisation and healing rates were </w:t>
      </w:r>
      <w:r w:rsidRPr="00981F9B">
        <w:rPr>
          <w:color w:val="000000" w:themeColor="text1"/>
        </w:rPr>
        <w:t xml:space="preserve">also reduced in </w:t>
      </w:r>
      <w:r w:rsidRPr="00981F9B">
        <w:rPr>
          <w:rFonts w:ascii="Cambria" w:hAnsi="Cambria"/>
          <w:color w:val="000000" w:themeColor="text1"/>
        </w:rPr>
        <w:t>β</w:t>
      </w:r>
      <w:r w:rsidRPr="00981F9B">
        <w:rPr>
          <w:color w:val="000000" w:themeColor="text1"/>
        </w:rPr>
        <w:t xml:space="preserve">-APN-treated wounds. Sardari </w:t>
      </w:r>
      <w:r w:rsidRPr="00981F9B">
        <w:rPr>
          <w:i/>
          <w:color w:val="000000" w:themeColor="text1"/>
        </w:rPr>
        <w:t>et al.</w:t>
      </w:r>
      <w:r w:rsidRPr="00981F9B">
        <w:rPr>
          <w:color w:val="000000" w:themeColor="text1"/>
        </w:rPr>
        <w:t xml:space="preserve"> </w:t>
      </w:r>
      <w:r>
        <w:rPr>
          <w:color w:val="000000" w:themeColor="text1"/>
        </w:rPr>
        <w:t>conducted a further study, investigating</w:t>
      </w:r>
      <w:r w:rsidRPr="00981F9B">
        <w:rPr>
          <w:color w:val="000000" w:themeColor="text1"/>
        </w:rPr>
        <w:t xml:space="preserve"> topically applied </w:t>
      </w:r>
      <w:r w:rsidRPr="00981F9B">
        <w:rPr>
          <w:rFonts w:ascii="Cambria" w:hAnsi="Cambria"/>
          <w:color w:val="000000" w:themeColor="text1"/>
        </w:rPr>
        <w:t>β</w:t>
      </w:r>
      <w:r>
        <w:rPr>
          <w:color w:val="000000" w:themeColor="text1"/>
        </w:rPr>
        <w:t>-APN on two anatomical sites of five</w:t>
      </w:r>
      <w:r w:rsidRPr="00981F9B">
        <w:rPr>
          <w:color w:val="000000" w:themeColor="text1"/>
        </w:rPr>
        <w:t xml:space="preserve"> male donkeys.</w:t>
      </w:r>
      <w:r w:rsidRPr="00981F9B">
        <w:rPr>
          <w:color w:val="000000" w:themeColor="text1"/>
        </w:rPr>
        <w:fldChar w:fldCharType="begin" w:fldLock="1"/>
      </w:r>
      <w:r>
        <w:rPr>
          <w:color w:val="000000" w:themeColor="text1"/>
        </w:rPr>
        <w:instrText>ADDIN CSL_CITATION {"citationItems":[{"id":"ITEM-1","itemData":{"DOI":"10.1007/s00580-008-0789-0","ISSN":"16185641","author":[{"dropping-particle":"","family":"Sardari","given":"Kamran","non-dropping-particle":"","parse-names":false,"suffix":""},{"dropping-particle":"","family":"Kazemi","given":"Hossein","non-dropping-particle":"","parse-names":false,"suffix":""},{"dropping-particle":"","family":"Emami","given":"Mohamad Reza","non-dropping-particle":"","parse-names":false,"suffix":""},{"dropping-particle":"","family":"Movasaghi","given":"Ahmad Reza","non-dropping-particle":"","parse-names":false,"suffix":""},{"dropping-particle":"","family":"Goli","given":"Amir Afkhami","non-dropping-particle":"","parse-names":false,"suffix":""}],"container-title":"Comparative Clinical Pathology","id":"ITEM-1","issue":"3","issued":{"date-parts":[["2009"]]},"page":"239-247","title":"Role of collagen cross-linking on equine wound contraction and healing","type":"article-journal","volume":"18"},"uris":["http://www.mendeley.com/documents/?uuid=0a14c948-a8da-449d-b1cb-6303c5d264e8"]}],"mendeley":{"formattedCitation":"&lt;sup&gt;100&lt;/sup&gt;","plainTextFormattedCitation":"100","previouslyFormattedCitation":"&lt;sup&gt;100&lt;/sup&gt;"},"properties":{"noteIndex":0},"schema":"https://github.com/citation-style-language/schema/raw/master/csl-citation.json"}</w:instrText>
      </w:r>
      <w:r w:rsidRPr="00981F9B">
        <w:rPr>
          <w:color w:val="000000" w:themeColor="text1"/>
        </w:rPr>
        <w:fldChar w:fldCharType="separate"/>
      </w:r>
      <w:r w:rsidRPr="00E8189C">
        <w:rPr>
          <w:noProof/>
          <w:color w:val="000000" w:themeColor="text1"/>
          <w:vertAlign w:val="superscript"/>
        </w:rPr>
        <w:t>100</w:t>
      </w:r>
      <w:r w:rsidRPr="00981F9B">
        <w:rPr>
          <w:color w:val="000000" w:themeColor="text1"/>
        </w:rPr>
        <w:fldChar w:fldCharType="end"/>
      </w:r>
      <w:r w:rsidRPr="00981F9B">
        <w:rPr>
          <w:color w:val="000000" w:themeColor="text1"/>
        </w:rPr>
        <w:t xml:space="preserve"> Similar to the previous study, contraction was found to be reduced in wounds treated with </w:t>
      </w:r>
      <w:r w:rsidRPr="00981F9B">
        <w:rPr>
          <w:rFonts w:ascii="Cambria" w:hAnsi="Cambria"/>
          <w:color w:val="000000" w:themeColor="text1"/>
        </w:rPr>
        <w:t>β</w:t>
      </w:r>
      <w:r w:rsidRPr="00981F9B">
        <w:rPr>
          <w:color w:val="000000" w:themeColor="text1"/>
        </w:rPr>
        <w:t xml:space="preserve">-APN compared to </w:t>
      </w:r>
      <w:r>
        <w:rPr>
          <w:color w:val="000000" w:themeColor="text1"/>
        </w:rPr>
        <w:t>control wounds</w:t>
      </w:r>
      <w:r w:rsidRPr="00981F9B">
        <w:rPr>
          <w:color w:val="000000" w:themeColor="text1"/>
        </w:rPr>
        <w:t xml:space="preserve"> for both anatomical sites. Interestingly, no significant differences were reported for the </w:t>
      </w:r>
      <w:r>
        <w:rPr>
          <w:color w:val="000000" w:themeColor="text1"/>
        </w:rPr>
        <w:t>degree</w:t>
      </w:r>
      <w:r w:rsidRPr="00981F9B">
        <w:rPr>
          <w:color w:val="000000" w:themeColor="text1"/>
        </w:rPr>
        <w:t xml:space="preserve"> of epithelialisation between </w:t>
      </w:r>
      <w:r w:rsidRPr="00981F9B">
        <w:rPr>
          <w:rFonts w:ascii="Cambria" w:hAnsi="Cambria"/>
          <w:color w:val="000000" w:themeColor="text1"/>
        </w:rPr>
        <w:t>β</w:t>
      </w:r>
      <w:r w:rsidRPr="00981F9B">
        <w:rPr>
          <w:color w:val="000000" w:themeColor="text1"/>
        </w:rPr>
        <w:t>-APN and control wounds</w:t>
      </w:r>
      <w:r>
        <w:rPr>
          <w:color w:val="000000" w:themeColor="text1"/>
        </w:rPr>
        <w:t>, contradicting their previous findings</w:t>
      </w:r>
      <w:r w:rsidRPr="00981F9B">
        <w:rPr>
          <w:color w:val="000000" w:themeColor="text1"/>
        </w:rPr>
        <w:t>.</w:t>
      </w:r>
      <w:r>
        <w:rPr>
          <w:color w:val="000000" w:themeColor="text1"/>
        </w:rPr>
        <w:t xml:space="preserve"> </w:t>
      </w:r>
      <w:r w:rsidRPr="00DB240E">
        <w:rPr>
          <w:color w:val="000000" w:themeColor="text1"/>
        </w:rPr>
        <w:t xml:space="preserve">This could potentially be due to the different species of animal used in each study. </w:t>
      </w:r>
      <w:r>
        <w:rPr>
          <w:color w:val="000000" w:themeColor="text1"/>
        </w:rPr>
        <w:t xml:space="preserve">Richards </w:t>
      </w:r>
      <w:r w:rsidRPr="00FD1492">
        <w:rPr>
          <w:i/>
          <w:color w:val="000000" w:themeColor="text1"/>
        </w:rPr>
        <w:t>et al</w:t>
      </w:r>
      <w:r>
        <w:rPr>
          <w:color w:val="000000" w:themeColor="text1"/>
        </w:rPr>
        <w:t xml:space="preserve">. examined the effect of </w:t>
      </w:r>
      <w:r w:rsidRPr="00981F9B">
        <w:rPr>
          <w:rFonts w:ascii="Cambria" w:hAnsi="Cambria"/>
          <w:color w:val="000000" w:themeColor="text1"/>
        </w:rPr>
        <w:t>β</w:t>
      </w:r>
      <w:r w:rsidRPr="00981F9B">
        <w:rPr>
          <w:color w:val="000000" w:themeColor="text1"/>
        </w:rPr>
        <w:t xml:space="preserve">-APN </w:t>
      </w:r>
      <w:r>
        <w:rPr>
          <w:color w:val="000000" w:themeColor="text1"/>
        </w:rPr>
        <w:t>treatment on the scar formation and distortion of pericardial grafts in dogs.</w:t>
      </w:r>
      <w:r>
        <w:rPr>
          <w:color w:val="000000" w:themeColor="text1"/>
        </w:rPr>
        <w:fldChar w:fldCharType="begin" w:fldLock="1"/>
      </w:r>
      <w:r>
        <w:rPr>
          <w:color w:val="000000" w:themeColor="text1"/>
        </w:rPr>
        <w:instrText>ADDIN CSL_CITATION {"citationItems":[{"id":"ITEM-1","itemData":{"author":[{"dropping-particle":"","family":"Richards","given":"W","non-dropping-particle":"","parse-names":false,"suffix":""},{"dropping-particle":"","family":"Doolin","given":"E J","non-dropping-particle":"","parse-names":false,"suffix":""},{"dropping-particle":"","family":"Miginsky","given":"M P","non-dropping-particle":"","parse-names":false,"suffix":""},{"dropping-particle":"","family":"Moulton","given":"A L","non-dropping-particle":"","parse-names":false,"suffix":""}],"container-title":"Journal of Surgical Research","id":"ITEM-1","issued":{"date-parts":[["1984"]]},"page":"33-42","title":"Pharmacologic Inhibition of Scar Contracture intracardiac Prosthetic Patches","type":"article-journal","volume":"37"},"uris":["http://www.mendeley.com/documents/?uuid=8092adaa-249b-41b8-ba76-b23863a7cc40"]}],"mendeley":{"formattedCitation":"&lt;sup&gt;101&lt;/sup&gt;","plainTextFormattedCitation":"101","previouslyFormattedCitation":"&lt;sup&gt;101&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101</w:t>
      </w:r>
      <w:r>
        <w:rPr>
          <w:color w:val="000000" w:themeColor="text1"/>
        </w:rPr>
        <w:fldChar w:fldCharType="end"/>
      </w:r>
      <w:r>
        <w:rPr>
          <w:color w:val="000000" w:themeColor="text1"/>
        </w:rPr>
        <w:t xml:space="preserve"> After surgical implantation of the grafts, four dogs were treated orally with 500 mg </w:t>
      </w:r>
      <w:r w:rsidRPr="00BA0C4D">
        <w:rPr>
          <w:rFonts w:ascii="Cambria" w:hAnsi="Cambria"/>
          <w:color w:val="000000" w:themeColor="text1"/>
        </w:rPr>
        <w:t>β</w:t>
      </w:r>
      <w:r w:rsidRPr="00BA0C4D">
        <w:rPr>
          <w:color w:val="000000" w:themeColor="text1"/>
        </w:rPr>
        <w:t>-APN</w:t>
      </w:r>
      <w:r>
        <w:rPr>
          <w:color w:val="000000" w:themeColor="text1"/>
        </w:rPr>
        <w:t xml:space="preserve"> per day for 8 weeks, whilst four dogs remained as untreated controls. Blinded histological evaluation of scar adhesions on each graft found a statistically significant reduction in collagen deposition and scarring in treated dogs, compared to controls. No further side effects relating to </w:t>
      </w:r>
      <w:r w:rsidRPr="00BA0C4D">
        <w:rPr>
          <w:rFonts w:ascii="Cambria" w:hAnsi="Cambria"/>
          <w:color w:val="000000" w:themeColor="text1"/>
        </w:rPr>
        <w:t>β</w:t>
      </w:r>
      <w:r w:rsidR="001C0F27">
        <w:rPr>
          <w:color w:val="000000" w:themeColor="text1"/>
        </w:rPr>
        <w:noBreakHyphen/>
      </w:r>
      <w:r w:rsidRPr="00BA0C4D">
        <w:rPr>
          <w:color w:val="000000" w:themeColor="text1"/>
        </w:rPr>
        <w:t>APN</w:t>
      </w:r>
      <w:r>
        <w:rPr>
          <w:color w:val="000000" w:themeColor="text1"/>
        </w:rPr>
        <w:t xml:space="preserve"> were observed.</w:t>
      </w:r>
    </w:p>
    <w:p w14:paraId="5EBE8A0A" w14:textId="77777777" w:rsidR="009A585B" w:rsidRDefault="009A585B" w:rsidP="009A585B">
      <w:pPr>
        <w:pStyle w:val="Heading3"/>
      </w:pPr>
      <w:bookmarkStart w:id="39" w:name="_Toc2450983"/>
      <w:r>
        <w:t>Clinical studies targeting wound contraction</w:t>
      </w:r>
      <w:bookmarkEnd w:id="39"/>
    </w:p>
    <w:p w14:paraId="4EC29AA4" w14:textId="77777777" w:rsidR="009A585B" w:rsidRDefault="009A585B" w:rsidP="009A585B">
      <w:pPr>
        <w:rPr>
          <w:color w:val="000000" w:themeColor="text1"/>
        </w:rPr>
      </w:pPr>
      <w:r>
        <w:rPr>
          <w:color w:val="000000" w:themeColor="text1"/>
        </w:rPr>
        <w:t xml:space="preserve">Having demonstrated the effectiveness of </w:t>
      </w:r>
      <w:r w:rsidRPr="002D2BF2">
        <w:rPr>
          <w:rFonts w:ascii="Cambria" w:hAnsi="Cambria"/>
          <w:color w:val="000000" w:themeColor="text1"/>
        </w:rPr>
        <w:t>β</w:t>
      </w:r>
      <w:r w:rsidRPr="002D2BF2">
        <w:rPr>
          <w:color w:val="000000" w:themeColor="text1"/>
        </w:rPr>
        <w:t xml:space="preserve">-APN treatment to reduce </w:t>
      </w:r>
      <w:r>
        <w:rPr>
          <w:color w:val="000000" w:themeColor="text1"/>
        </w:rPr>
        <w:t xml:space="preserve">wound contraction and scarring in animal studies, </w:t>
      </w:r>
      <w:r w:rsidRPr="00BA3668">
        <w:rPr>
          <w:color w:val="000000" w:themeColor="text1"/>
        </w:rPr>
        <w:t xml:space="preserve">progress was made to start the first clinical </w:t>
      </w:r>
      <w:r w:rsidRPr="00BA3668">
        <w:rPr>
          <w:color w:val="000000" w:themeColor="text1"/>
        </w:rPr>
        <w:lastRenderedPageBreak/>
        <w:t>trials in man</w:t>
      </w:r>
      <w:r>
        <w:rPr>
          <w:color w:val="000000" w:themeColor="text1"/>
        </w:rPr>
        <w:t xml:space="preserve"> for clinically induced lathyrism</w:t>
      </w:r>
      <w:r w:rsidRPr="00BA3668">
        <w:rPr>
          <w:color w:val="000000" w:themeColor="text1"/>
        </w:rPr>
        <w:t>.</w:t>
      </w:r>
      <w:r>
        <w:rPr>
          <w:color w:val="000000" w:themeColor="text1"/>
        </w:rPr>
        <w:t xml:space="preserve"> </w:t>
      </w:r>
      <w:r w:rsidRPr="00BA3668">
        <w:rPr>
          <w:color w:val="000000" w:themeColor="text1"/>
        </w:rPr>
        <w:t>Two key clinical trials were conducted in the 1960s</w:t>
      </w:r>
      <w:r>
        <w:rPr>
          <w:color w:val="000000" w:themeColor="text1"/>
        </w:rPr>
        <w:t>, investigating</w:t>
      </w:r>
      <w:r w:rsidRPr="00BA3668">
        <w:rPr>
          <w:color w:val="000000" w:themeColor="text1"/>
        </w:rPr>
        <w:t xml:space="preserve"> the administration of </w:t>
      </w:r>
      <w:r w:rsidRPr="00BA3668">
        <w:rPr>
          <w:rFonts w:ascii="Cambria" w:hAnsi="Cambria"/>
          <w:color w:val="000000" w:themeColor="text1"/>
        </w:rPr>
        <w:t>β</w:t>
      </w:r>
      <w:r w:rsidRPr="00BA3668">
        <w:rPr>
          <w:color w:val="000000" w:themeColor="text1"/>
        </w:rPr>
        <w:t xml:space="preserve">-APN to human patients to treat connective tissue disorders. The first, by Keiser and Sjoerdsma, investigated the therapeutic effect of </w:t>
      </w:r>
      <w:r>
        <w:rPr>
          <w:color w:val="000000" w:themeColor="text1"/>
        </w:rPr>
        <w:t xml:space="preserve">varying doses of </w:t>
      </w:r>
      <w:r w:rsidRPr="00BA3668">
        <w:rPr>
          <w:color w:val="000000" w:themeColor="text1"/>
        </w:rPr>
        <w:t xml:space="preserve">oral </w:t>
      </w:r>
      <w:r w:rsidRPr="00BA3668">
        <w:rPr>
          <w:rFonts w:ascii="Cambria" w:hAnsi="Cambria"/>
          <w:color w:val="000000" w:themeColor="text1"/>
        </w:rPr>
        <w:t>β</w:t>
      </w:r>
      <w:r w:rsidRPr="00BA3668">
        <w:rPr>
          <w:color w:val="000000" w:themeColor="text1"/>
        </w:rPr>
        <w:t xml:space="preserve">-APN in patients with systemic </w:t>
      </w:r>
      <w:r>
        <w:rPr>
          <w:color w:val="000000" w:themeColor="text1"/>
        </w:rPr>
        <w:t>scleroderma; a connective tissue disorder that results in thickened skin and can effect internal organs.</w:t>
      </w:r>
      <w:r>
        <w:rPr>
          <w:color w:val="000000" w:themeColor="text1"/>
        </w:rPr>
        <w:fldChar w:fldCharType="begin" w:fldLock="1"/>
      </w:r>
      <w:r>
        <w:rPr>
          <w:color w:val="000000" w:themeColor="text1"/>
        </w:rPr>
        <w:instrText>ADDIN CSL_CITATION {"citationItems":[{"id":"ITEM-1","itemData":{"DOI":"10.1002/cpt196784593","ISSN":"15326535","abstract":"Single oral doses of β-aminopropionitrile (BAPN) up to 3.5 Gm. and treatment for several days with doses as high as 2.0 Gm. per day were found to have no apparent pharmacologic or toxic effects in patients with scleroderma. As in the rat, cyanoacetic acid was found tobe the maior urinary metabolite of the drug. When four patients were treated with 1.0 to 3.0 Gm. of the drug per day for 22 to 67 days, distinct effects on collagen metabolism were observed, consisting of increases in urinary hydroxyproline and acid extractable dermal collagen and its a:β ratio. A reversible periosteal reaction occurred in one patient and untoward effects were observed in four other patients at a dose level which produced only moderate effects on skin collagen and no apparent therapeutic effect. Thus, future use of the drug as an inhibitor of collagen cross-linking in man should probably be limited to short-term trials.","author":[{"dropping-particle":"","family":"Keiser","given":"Harry R.","non-dropping-particle":"","parse-names":false,"suffix":""},{"dropping-particle":"","family":"Sjoerdsma","given":"Albert","non-dropping-particle":"","parse-names":false,"suffix":""}],"container-title":"Clinical Pharmacology andTherapeutics","id":"ITEM-1","issue":"4","issued":{"date-parts":[["1967"]]},"page":"593-602","title":"Studies on beta-aminopropionitrile in patients with scleroderma","type":"article-journal","volume":"8"},"uris":["http://www.mendeley.com/documents/?uuid=677cd8ab-efdf-4c49-9d3b-2ce8133f67c5"]}],"mendeley":{"formattedCitation":"&lt;sup&gt;102&lt;/sup&gt;","plainTextFormattedCitation":"102","previouslyFormattedCitation":"&lt;sup&gt;102&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102</w:t>
      </w:r>
      <w:r>
        <w:rPr>
          <w:color w:val="000000" w:themeColor="text1"/>
        </w:rPr>
        <w:fldChar w:fldCharType="end"/>
      </w:r>
      <w:r>
        <w:rPr>
          <w:color w:val="000000" w:themeColor="text1"/>
        </w:rPr>
        <w:t xml:space="preserve"> During the study, patients’ urinary hydroxyproline increased significantly following daily </w:t>
      </w:r>
      <w:r w:rsidRPr="00981F9B">
        <w:rPr>
          <w:rFonts w:ascii="Cambria" w:hAnsi="Cambria"/>
          <w:color w:val="000000" w:themeColor="text1"/>
        </w:rPr>
        <w:t>β</w:t>
      </w:r>
      <w:r w:rsidRPr="00981F9B">
        <w:rPr>
          <w:color w:val="000000" w:themeColor="text1"/>
        </w:rPr>
        <w:t>-APN</w:t>
      </w:r>
      <w:r>
        <w:rPr>
          <w:color w:val="000000" w:themeColor="text1"/>
        </w:rPr>
        <w:t xml:space="preserve"> treatment, suggesting a higher turnover of soluble collagen content as a result of reduced collagen cross-linking. However, long-term administration (up to 67 days) of </w:t>
      </w:r>
      <w:r w:rsidRPr="00981F9B">
        <w:rPr>
          <w:rFonts w:ascii="Cambria" w:hAnsi="Cambria"/>
          <w:color w:val="000000" w:themeColor="text1"/>
        </w:rPr>
        <w:t>β</w:t>
      </w:r>
      <w:r w:rsidRPr="00981F9B">
        <w:rPr>
          <w:color w:val="000000" w:themeColor="text1"/>
        </w:rPr>
        <w:t>-APN</w:t>
      </w:r>
      <w:r>
        <w:rPr>
          <w:color w:val="000000" w:themeColor="text1"/>
        </w:rPr>
        <w:t xml:space="preserve"> resulted in adverse effects in all 4 of the patients undergoing treatment. These adverse effects were summarised as a rash, anaemia and a lathyritic bone defect. No beneficial effect on the symptoms of scleroderma was reported. The study concluded that </w:t>
      </w:r>
      <w:r w:rsidRPr="00981F9B">
        <w:rPr>
          <w:rFonts w:ascii="Cambria" w:hAnsi="Cambria"/>
          <w:color w:val="000000" w:themeColor="text1"/>
        </w:rPr>
        <w:t>β</w:t>
      </w:r>
      <w:r w:rsidRPr="00981F9B">
        <w:rPr>
          <w:color w:val="000000" w:themeColor="text1"/>
        </w:rPr>
        <w:t>-APN</w:t>
      </w:r>
      <w:r>
        <w:rPr>
          <w:color w:val="000000" w:themeColor="text1"/>
        </w:rPr>
        <w:t xml:space="preserve"> treatment should be limited to short-term administration to avoid adverse side effects from occurring. </w:t>
      </w:r>
    </w:p>
    <w:p w14:paraId="1AB36CD5" w14:textId="77777777" w:rsidR="009A585B" w:rsidRDefault="009A585B" w:rsidP="009A585B">
      <w:pPr>
        <w:rPr>
          <w:color w:val="000000" w:themeColor="text1"/>
        </w:rPr>
      </w:pPr>
      <w:r>
        <w:rPr>
          <w:color w:val="000000" w:themeColor="text1"/>
        </w:rPr>
        <w:t>A second trial, by</w:t>
      </w:r>
      <w:r w:rsidRPr="00BA3668">
        <w:rPr>
          <w:color w:val="000000" w:themeColor="text1"/>
        </w:rPr>
        <w:t xml:space="preserve"> Peacock and Madden</w:t>
      </w:r>
      <w:r>
        <w:rPr>
          <w:color w:val="000000" w:themeColor="text1"/>
        </w:rPr>
        <w:t>,</w:t>
      </w:r>
      <w:r w:rsidRPr="00BA3668">
        <w:rPr>
          <w:color w:val="000000" w:themeColor="text1"/>
        </w:rPr>
        <w:t xml:space="preserve"> </w:t>
      </w:r>
      <w:r>
        <w:rPr>
          <w:color w:val="000000" w:themeColor="text1"/>
        </w:rPr>
        <w:t>tested</w:t>
      </w:r>
      <w:r w:rsidRPr="00BA3668">
        <w:rPr>
          <w:color w:val="000000" w:themeColor="text1"/>
        </w:rPr>
        <w:t xml:space="preserve"> </w:t>
      </w:r>
      <w:r w:rsidRPr="00BA3668">
        <w:rPr>
          <w:rFonts w:ascii="Cambria" w:hAnsi="Cambria"/>
          <w:color w:val="000000" w:themeColor="text1"/>
        </w:rPr>
        <w:t>β</w:t>
      </w:r>
      <w:r w:rsidRPr="00BA3668">
        <w:rPr>
          <w:color w:val="000000" w:themeColor="text1"/>
        </w:rPr>
        <w:t>-APN treatment in patients with tendon injuries.</w:t>
      </w:r>
      <w:r>
        <w:rPr>
          <w:color w:val="000000" w:themeColor="text1"/>
        </w:rPr>
        <w:fldChar w:fldCharType="begin" w:fldLock="1"/>
      </w:r>
      <w:r>
        <w:rPr>
          <w:color w:val="000000" w:themeColor="text1"/>
        </w:rPr>
        <w:instrText>ADDIN CSL_CITATION {"citationItems":[{"id":"ITEM-1","itemData":{"DOI":"10.5555/uri:pii:0039606069902451","ISSN":"0039-6060","author":[{"dropping-particle":"","family":"Peacock Jr.","given":"Erle E","non-dropping-particle":"","parse-names":false,"suffix":""},{"dropping-particle":"","family":"Madden","given":"John W","non-dropping-particle":"","parse-names":false,"suffix":""}],"container-title":"Surgery","id":"ITEM-1","issue":"1","issued":{"date-parts":[["1969","7","1"]]},"note":"doi: 10.5555/uri:pii:0039606069902451","page":"215-223","publisher":"Elsevier","title":"Some studies on the effects of beta-aminopropionitrile in patients with injured flexor tendons","type":"article-journal","volume":"66"},"uris":["http://www.mendeley.com/documents/?uuid=bd961247-19fa-4cf7-8cfd-736ec7a629c9"]}],"mendeley":{"formattedCitation":"&lt;sup&gt;103&lt;/sup&gt;","plainTextFormattedCitation":"103","previouslyFormattedCitation":"&lt;sup&gt;103&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103</w:t>
      </w:r>
      <w:r>
        <w:rPr>
          <w:color w:val="000000" w:themeColor="text1"/>
        </w:rPr>
        <w:fldChar w:fldCharType="end"/>
      </w:r>
      <w:r>
        <w:rPr>
          <w:color w:val="000000" w:themeColor="text1"/>
        </w:rPr>
        <w:t xml:space="preserve"> After oral administration of 2–5 g </w:t>
      </w:r>
      <w:r w:rsidRPr="002D2BF2">
        <w:rPr>
          <w:rFonts w:ascii="Cambria" w:hAnsi="Cambria"/>
          <w:color w:val="000000" w:themeColor="text1"/>
        </w:rPr>
        <w:t>β</w:t>
      </w:r>
      <w:r w:rsidRPr="002D2BF2">
        <w:rPr>
          <w:color w:val="000000" w:themeColor="text1"/>
        </w:rPr>
        <w:t>-APN</w:t>
      </w:r>
      <w:r>
        <w:rPr>
          <w:color w:val="000000" w:themeColor="text1"/>
        </w:rPr>
        <w:t xml:space="preserve"> for 12–21 days, urinary hydroxyproline content was increased in all patients, along with an increase in saline-extractable soluble collagen, suggesting a reduction in collagen cross-linking. However, the trial was halted after reports of serious adverse effects including gastrointestinal irritability, increases in serum glutamic oxalo</w:t>
      </w:r>
      <w:r w:rsidRPr="00C60F82">
        <w:rPr>
          <w:color w:val="000000" w:themeColor="text1"/>
        </w:rPr>
        <w:t>cetic transaminase</w:t>
      </w:r>
      <w:r>
        <w:rPr>
          <w:color w:val="000000" w:themeColor="text1"/>
        </w:rPr>
        <w:t xml:space="preserve"> (SGOT) </w:t>
      </w:r>
      <w:r w:rsidRPr="00C60F82">
        <w:rPr>
          <w:color w:val="000000" w:themeColor="text1"/>
        </w:rPr>
        <w:t>levels</w:t>
      </w:r>
      <w:r>
        <w:rPr>
          <w:color w:val="000000" w:themeColor="text1"/>
        </w:rPr>
        <w:t xml:space="preserve">, fever and development of a rash. </w:t>
      </w:r>
    </w:p>
    <w:p w14:paraId="7062E664" w14:textId="533D929D" w:rsidR="009A585B" w:rsidRPr="001D4CB6" w:rsidRDefault="009A585B" w:rsidP="009A585B">
      <w:pPr>
        <w:rPr>
          <w:color w:val="000000" w:themeColor="text1"/>
        </w:rPr>
      </w:pPr>
      <w:r w:rsidRPr="00C60F82">
        <w:rPr>
          <w:color w:val="000000" w:themeColor="text1"/>
        </w:rPr>
        <w:t>Following these trials,</w:t>
      </w:r>
      <w:r>
        <w:rPr>
          <w:color w:val="000000" w:themeColor="text1"/>
        </w:rPr>
        <w:t xml:space="preserve"> the use of</w:t>
      </w:r>
      <w:r w:rsidRPr="00C60F82">
        <w:rPr>
          <w:color w:val="000000" w:themeColor="text1"/>
        </w:rPr>
        <w:t xml:space="preserve"> </w:t>
      </w:r>
      <w:r w:rsidRPr="00C60F82">
        <w:rPr>
          <w:rFonts w:ascii="Cambria" w:hAnsi="Cambria"/>
          <w:color w:val="000000" w:themeColor="text1"/>
        </w:rPr>
        <w:t>β</w:t>
      </w:r>
      <w:r w:rsidRPr="00C60F82">
        <w:rPr>
          <w:color w:val="000000" w:themeColor="text1"/>
        </w:rPr>
        <w:t xml:space="preserve">-APN </w:t>
      </w:r>
      <w:r>
        <w:rPr>
          <w:color w:val="000000" w:themeColor="text1"/>
        </w:rPr>
        <w:t xml:space="preserve">in the treatment of connective tissue disorders was treated with caution. </w:t>
      </w:r>
      <w:r>
        <w:t xml:space="preserve">Peacock and Madden suggested that previous issues with </w:t>
      </w:r>
      <w:r w:rsidRPr="00981F9B">
        <w:rPr>
          <w:rFonts w:ascii="Cambria" w:hAnsi="Cambria"/>
          <w:color w:val="000000" w:themeColor="text1"/>
        </w:rPr>
        <w:t>β</w:t>
      </w:r>
      <w:r w:rsidR="001C0F27">
        <w:rPr>
          <w:color w:val="000000" w:themeColor="text1"/>
        </w:rPr>
        <w:noBreakHyphen/>
      </w:r>
      <w:r w:rsidRPr="00981F9B">
        <w:rPr>
          <w:color w:val="000000" w:themeColor="text1"/>
        </w:rPr>
        <w:t>APN</w:t>
      </w:r>
      <w:r>
        <w:rPr>
          <w:color w:val="000000" w:themeColor="text1"/>
        </w:rPr>
        <w:t xml:space="preserve"> treatment could be due to the purity of the </w:t>
      </w:r>
      <w:r w:rsidRPr="00981F9B">
        <w:rPr>
          <w:rFonts w:ascii="Cambria" w:hAnsi="Cambria"/>
          <w:color w:val="000000" w:themeColor="text1"/>
        </w:rPr>
        <w:t>β</w:t>
      </w:r>
      <w:r w:rsidRPr="00981F9B">
        <w:rPr>
          <w:color w:val="000000" w:themeColor="text1"/>
        </w:rPr>
        <w:t>-APN</w:t>
      </w:r>
      <w:r>
        <w:rPr>
          <w:color w:val="000000" w:themeColor="text1"/>
        </w:rPr>
        <w:t xml:space="preserve"> used. They conducted a study </w:t>
      </w:r>
      <w:r w:rsidRPr="001D4CB6">
        <w:rPr>
          <w:color w:val="000000" w:themeColor="text1"/>
        </w:rPr>
        <w:t xml:space="preserve">administering highly pure </w:t>
      </w:r>
      <w:r w:rsidRPr="001D4CB6">
        <w:rPr>
          <w:rFonts w:ascii="Cambria" w:hAnsi="Cambria"/>
          <w:color w:val="000000" w:themeColor="text1"/>
        </w:rPr>
        <w:t>β</w:t>
      </w:r>
      <w:r w:rsidRPr="001D4CB6">
        <w:rPr>
          <w:color w:val="000000" w:themeColor="text1"/>
        </w:rPr>
        <w:t>-APN fumarate salt to patients with urethral strictures.</w:t>
      </w:r>
      <w:r w:rsidRPr="001D4CB6">
        <w:rPr>
          <w:color w:val="000000" w:themeColor="text1"/>
        </w:rPr>
        <w:fldChar w:fldCharType="begin" w:fldLock="1"/>
      </w:r>
      <w:r>
        <w:rPr>
          <w:color w:val="000000" w:themeColor="text1"/>
        </w:rPr>
        <w:instrText>ADDIN CSL_CITATION {"citationItems":[{"id":"ITEM-1","itemData":{"author":[{"dropping-particle":"","family":"Peacock","given":"E E","non-dropping-particle":"","parse-names":false,"suffix":""},{"dropping-particle":"","family":"Madden","given":"J W","non-dropping-particle":"","parse-names":false,"suffix":""}],"container-title":"American Journal of Surgery","id":"ITEM-1","issued":{"date-parts":[["1978"]]},"page":"600-605","title":"Administration of beta-aminopropionitrile to human beings with urethal strictures: a preliminary report","type":"article-journal","volume":"136"},"uris":["http://www.mendeley.com/documents/?uuid=35fcea1b-2f6b-4c6c-b6f3-c779c8df70df"]}],"mendeley":{"formattedCitation":"&lt;sup&gt;104&lt;/sup&gt;","plainTextFormattedCitation":"104","previouslyFormattedCitation":"&lt;sup&gt;104&lt;/sup&gt;"},"properties":{"noteIndex":0},"schema":"https://github.com/citation-style-language/schema/raw/master/csl-citation.json"}</w:instrText>
      </w:r>
      <w:r w:rsidRPr="001D4CB6">
        <w:rPr>
          <w:color w:val="000000" w:themeColor="text1"/>
        </w:rPr>
        <w:fldChar w:fldCharType="separate"/>
      </w:r>
      <w:r w:rsidRPr="00E8189C">
        <w:rPr>
          <w:noProof/>
          <w:color w:val="000000" w:themeColor="text1"/>
          <w:vertAlign w:val="superscript"/>
        </w:rPr>
        <w:t>104</w:t>
      </w:r>
      <w:r w:rsidRPr="001D4CB6">
        <w:rPr>
          <w:color w:val="000000" w:themeColor="text1"/>
        </w:rPr>
        <w:fldChar w:fldCharType="end"/>
      </w:r>
      <w:r w:rsidRPr="001D4CB6">
        <w:rPr>
          <w:color w:val="000000" w:themeColor="text1"/>
        </w:rPr>
        <w:t xml:space="preserve"> Treatment with 1 g </w:t>
      </w:r>
      <w:r w:rsidRPr="001D4CB6">
        <w:rPr>
          <w:rFonts w:ascii="Cambria" w:hAnsi="Cambria"/>
          <w:color w:val="000000" w:themeColor="text1"/>
        </w:rPr>
        <w:t>β</w:t>
      </w:r>
      <w:r w:rsidRPr="001D4CB6">
        <w:rPr>
          <w:color w:val="000000" w:themeColor="text1"/>
        </w:rPr>
        <w:t>-APN</w:t>
      </w:r>
      <w:r>
        <w:rPr>
          <w:color w:val="000000" w:themeColor="text1"/>
        </w:rPr>
        <w:t xml:space="preserve"> fumarate</w:t>
      </w:r>
      <w:r w:rsidRPr="001D4CB6">
        <w:rPr>
          <w:color w:val="000000" w:themeColor="text1"/>
        </w:rPr>
        <w:t xml:space="preserve"> </w:t>
      </w:r>
      <w:r>
        <w:rPr>
          <w:color w:val="000000" w:themeColor="text1"/>
        </w:rPr>
        <w:t xml:space="preserve">salt </w:t>
      </w:r>
      <w:r w:rsidRPr="001D4CB6">
        <w:rPr>
          <w:color w:val="000000" w:themeColor="text1"/>
        </w:rPr>
        <w:t>per patient</w:t>
      </w:r>
      <w:r>
        <w:rPr>
          <w:color w:val="000000" w:themeColor="text1"/>
        </w:rPr>
        <w:t>,</w:t>
      </w:r>
      <w:r w:rsidRPr="001D4CB6">
        <w:rPr>
          <w:color w:val="000000" w:themeColor="text1"/>
        </w:rPr>
        <w:t xml:space="preserve"> per day, for 21 days, resulted in increased soluble collagen content but caused no adverse effects. The authors suggested this was due to higher purity of the </w:t>
      </w:r>
      <w:r w:rsidRPr="001D4CB6">
        <w:rPr>
          <w:rFonts w:ascii="Cambria" w:hAnsi="Cambria"/>
          <w:color w:val="000000" w:themeColor="text1"/>
        </w:rPr>
        <w:t>β</w:t>
      </w:r>
      <w:r w:rsidRPr="001D4CB6">
        <w:rPr>
          <w:color w:val="000000" w:themeColor="text1"/>
        </w:rPr>
        <w:t>-APN used in the trial. The timescale for this study was still relatively short compared to the previous trial by Keiser and Sjoerdsma, therefore length of treatment could not be ruled out as a potential cause of the adverse effects observed previously.</w:t>
      </w:r>
      <w:r>
        <w:rPr>
          <w:color w:val="000000" w:themeColor="text1"/>
        </w:rPr>
        <w:t xml:space="preserve"> </w:t>
      </w:r>
      <w:r>
        <w:t xml:space="preserve">Following this relatively successful outcome, Peacock initiated a further study administering </w:t>
      </w:r>
      <w:r w:rsidRPr="00981F9B">
        <w:rPr>
          <w:rFonts w:ascii="Cambria" w:hAnsi="Cambria"/>
          <w:color w:val="000000" w:themeColor="text1"/>
        </w:rPr>
        <w:t>β</w:t>
      </w:r>
      <w:r w:rsidRPr="00981F9B">
        <w:rPr>
          <w:color w:val="000000" w:themeColor="text1"/>
        </w:rPr>
        <w:t>-APN</w:t>
      </w:r>
      <w:r>
        <w:rPr>
          <w:color w:val="000000" w:themeColor="text1"/>
        </w:rPr>
        <w:t xml:space="preserve">, penicillamine and colchicine to </w:t>
      </w:r>
      <w:r>
        <w:t>ten patients with significant keloid scarring, following keloid excision and grafting.</w:t>
      </w:r>
      <w:r>
        <w:fldChar w:fldCharType="begin" w:fldLock="1"/>
      </w:r>
      <w:r>
        <w:instrText>ADDIN CSL_CITATION {"citationItems":[{"id":"ITEM-1","itemData":{"DOI":"10.1097/00000658-198105000-00008","ISBN":"0003-4932","ISSN":"00034932","abstract":"A hypothetical basis for control of surface scar in human beings is: lathyrism produces poorly cross-linked collagen in healing wounds: poorly cross-linked collagen is more susceptible to digestion by tissue collagenase than is normally cross-linked collagen; and colchicine stimulates tissue collagenase activity. Therefore, treatment of patients with abnormal deposits of surface scar by excising the scar, inducing lathyrism, and administering colchicine should tend to correct abnormal balance between collagen synthesis and collagenolysis and result in a small scar with improved physical properties. Ten patients with massive keloids, resistant to conventional therapy by excision, grafting, and/or intralesional injection of steroids, have been treated by excising the keloid, grafting the defect, inducing lathyrism with Beta aminopropionitrile fumarate or penicillamine and administering colchicine. Patients were followed for 18 months to five years. No toxicity or untoward side effects from therapy were observed. No patients developed recurrent keloids while undergoing treatment. All patients showed some change in the amount of scar which persisted during the period of study. This data supports the hypothesis that lathyrism and colchicine therapy exert a measurable beneficial effect on surface scar in human beings.","author":[{"dropping-particle":"","family":"Peacock","given":"E. E.","non-dropping-particle":"","parse-names":false,"suffix":""}],"container-title":"Annals of Surgery","id":"ITEM-1","issue":"5","issued":{"date-parts":[["1981"]]},"page":"592-597","title":"Pharmacologic control of surface scarring in human beings","type":"article-journal","volume":"193"},"uris":["http://www.mendeley.com/documents/?uuid=ef7e3a0c-0a53-4974-86c7-d099e638a315"]}],"mendeley":{"formattedCitation":"&lt;sup&gt;105&lt;/sup&gt;","plainTextFormattedCitation":"105","previouslyFormattedCitation":"&lt;sup&gt;105&lt;/sup&gt;"},"properties":{"noteIndex":0},"schema":"https://github.com/citation-style-language/schema/raw/master/csl-citation.json"}</w:instrText>
      </w:r>
      <w:r>
        <w:fldChar w:fldCharType="separate"/>
      </w:r>
      <w:r w:rsidRPr="00E8189C">
        <w:rPr>
          <w:noProof/>
          <w:vertAlign w:val="superscript"/>
        </w:rPr>
        <w:t>105</w:t>
      </w:r>
      <w:r>
        <w:fldChar w:fldCharType="end"/>
      </w:r>
      <w:r>
        <w:t xml:space="preserve"> It was observed that none of the patients had recurrent </w:t>
      </w:r>
      <w:r>
        <w:lastRenderedPageBreak/>
        <w:t>keloids and no toxicity or hypersensitivity w</w:t>
      </w:r>
      <w:r w:rsidR="009352BF">
        <w:t>as</w:t>
      </w:r>
      <w:r>
        <w:t xml:space="preserve"> observed in any of the patients. This study suggested that low doses of </w:t>
      </w:r>
      <w:r w:rsidRPr="00981F9B">
        <w:rPr>
          <w:rFonts w:ascii="Cambria" w:hAnsi="Cambria"/>
          <w:color w:val="000000" w:themeColor="text1"/>
        </w:rPr>
        <w:t>β</w:t>
      </w:r>
      <w:r w:rsidRPr="00981F9B">
        <w:rPr>
          <w:color w:val="000000" w:themeColor="text1"/>
        </w:rPr>
        <w:t>-APN</w:t>
      </w:r>
      <w:r>
        <w:rPr>
          <w:color w:val="000000" w:themeColor="text1"/>
        </w:rPr>
        <w:t xml:space="preserve"> could be tolerated by humans for short time periods. However, due to the mixture of agents used to treat each patient, the positive outcome of scar healing could not be attributed to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treatment alone. </w:t>
      </w:r>
    </w:p>
    <w:p w14:paraId="1D2D8151" w14:textId="77777777" w:rsidR="009A585B" w:rsidRDefault="009A585B" w:rsidP="009A585B">
      <w:pPr>
        <w:rPr>
          <w:color w:val="000000" w:themeColor="text1"/>
        </w:rPr>
      </w:pPr>
      <w:r>
        <w:t xml:space="preserve">These clinical trials, along with animal studies, suggest that </w:t>
      </w:r>
      <w:r w:rsidRPr="00981F9B">
        <w:rPr>
          <w:rFonts w:ascii="Cambria" w:hAnsi="Cambria"/>
          <w:color w:val="000000" w:themeColor="text1"/>
        </w:rPr>
        <w:t>β</w:t>
      </w:r>
      <w:r w:rsidRPr="00981F9B">
        <w:rPr>
          <w:color w:val="000000" w:themeColor="text1"/>
        </w:rPr>
        <w:t>-APN</w:t>
      </w:r>
      <w:r>
        <w:rPr>
          <w:color w:val="000000" w:themeColor="text1"/>
        </w:rPr>
        <w:t xml:space="preserve"> is able to inhibit LOX </w:t>
      </w:r>
      <w:r w:rsidRPr="00562881">
        <w:rPr>
          <w:i/>
          <w:color w:val="000000" w:themeColor="text1"/>
        </w:rPr>
        <w:t>in vivo</w:t>
      </w:r>
      <w:r>
        <w:rPr>
          <w:color w:val="000000" w:themeColor="text1"/>
        </w:rPr>
        <w:t xml:space="preserve"> and in doing so, reduce covalent collagen crosslinks. A reduction in collagen cross-linking has been associated with more ordered collagen organisation</w:t>
      </w:r>
      <w:r>
        <w:rPr>
          <w:color w:val="000000" w:themeColor="text1"/>
        </w:rPr>
        <w:fldChar w:fldCharType="begin" w:fldLock="1"/>
      </w:r>
      <w:r>
        <w:rPr>
          <w:color w:val="000000" w:themeColor="text1"/>
        </w:rPr>
        <w:instrText>ADDIN CSL_CITATION {"citationItems":[{"id":"ITEM-1","itemData":{"DOI":"10.1016/S0737-0806(01)70076-7","ISBN":"0737-0806","ISSN":"07370806","abstract":"In the present study, the effects of intralesional injections of beta-aminopropionitrile fumarate (BAPN-F) was assessed in equine experimental tendinitis. BAPN-F is a lathyrogen which inhibits cros slinking of collagen, permitting more time for parallel reorientation of the repair tissue. Sixteen two-year-old Arabian horses without health problems were used in this experiment. The animals were divided into two groups: group one was left in box rest, and group two was submitted to controlled exercise during the experiment. Tendinitis was induced with collagenase in the superficial flexor tendon of both forelimbs. Twenty days after the induction of tendinitis, intralesional treatment with BAPN-F was performed and the contralateral limbs received saline. A biopsy was obtained and gross and histopathological analysis was performed on the 150th day of the experiment. The collagen fibrillar alignment pattern in the healing area was better in the BAPN-F group submitted to controlled exercise than in the other group, as observed by sonographic and histopathologic examination. The present results indicate that BAPN-F in combination with controlled loading improved scar remodeling and tendon wound collagen maturation.","author":[{"dropping-particle":"","family":"Alves","given":"A. L.G.","non-dropping-particle":"","parse-names":false,"suffix":""},{"dropping-particle":"","family":"Rodrigues","given":"M. A.M.","non-dropping-particle":"","parse-names":false,"suffix":""},{"dropping-particle":"","family":"Aguiar","given":"A. J.A.","non-dropping-particle":"","parse-names":false,"suffix":""},{"dropping-particle":"","family":"Thomassian","given":"A.","non-dropping-particle":"","parse-names":false,"suffix":""},{"dropping-particle":"","family":"Nicoletti","given":"J. L.M.","non-dropping-particle":"","parse-names":false,"suffix":""},{"dropping-particle":"","family":"Hussni","given":"C. A.","non-dropping-particle":"","parse-names":false,"suffix":""},{"dropping-particle":"","family":"Borges","given":"A. S.","non-dropping-particle":"","parse-names":false,"suffix":""}],"container-title":"Journal of Equine Veterinary Science","id":"ITEM-1","issue":"7","issued":{"date-parts":[["2001"]]},"page":"335-340","title":"Effects of beta-aminopropionitrile fumarate and exercise on equine tendon healing: Gross and histological aspects","type":"article-journal","volume":"21"},"uris":["http://www.mendeley.com/documents/?uuid=b85d7cc8-8643-4dbf-a4c8-365ba2fbad7f"]}],"mendeley":{"formattedCitation":"&lt;sup&gt;106&lt;/sup&gt;","plainTextFormattedCitation":"106","previouslyFormattedCitation":"&lt;sup&gt;106&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106</w:t>
      </w:r>
      <w:r>
        <w:rPr>
          <w:color w:val="000000" w:themeColor="text1"/>
        </w:rPr>
        <w:fldChar w:fldCharType="end"/>
      </w:r>
      <w:r>
        <w:rPr>
          <w:color w:val="000000" w:themeColor="text1"/>
        </w:rPr>
        <w:t xml:space="preserve"> and a reduction in wound contraction.</w:t>
      </w:r>
      <w:r>
        <w:rPr>
          <w:color w:val="000000" w:themeColor="text1"/>
        </w:rPr>
        <w:fldChar w:fldCharType="begin" w:fldLock="1"/>
      </w:r>
      <w:r>
        <w:rPr>
          <w:color w:val="000000" w:themeColor="text1"/>
        </w:rPr>
        <w:instrText>ADDIN CSL_CITATION {"citationItems":[{"id":"ITEM-1","itemData":{"DOI":"10.1007/s00580-008-0789-0","ISSN":"16185641","author":[{"dropping-particle":"","family":"Sardari","given":"Kamran","non-dropping-particle":"","parse-names":false,"suffix":""},{"dropping-particle":"","family":"Kazemi","given":"Hossein","non-dropping-particle":"","parse-names":false,"suffix":""},{"dropping-particle":"","family":"Emami","given":"Mohamad Reza","non-dropping-particle":"","parse-names":false,"suffix":""},{"dropping-particle":"","family":"Movasaghi","given":"Ahmad Reza","non-dropping-particle":"","parse-names":false,"suffix":""},{"dropping-particle":"","family":"Goli","given":"Amir Afkhami","non-dropping-particle":"","parse-names":false,"suffix":""}],"container-title":"Comparative Clinical Pathology","id":"ITEM-1","issue":"3","issued":{"date-parts":[["2009"]]},"page":"239-247","title":"Role of collagen cross-linking on equine wound contraction and healing","type":"article-journal","volume":"18"},"uris":["http://www.mendeley.com/documents/?uuid=0a14c948-a8da-449d-b1cb-6303c5d264e8"]}],"mendeley":{"formattedCitation":"&lt;sup&gt;100&lt;/sup&gt;","plainTextFormattedCitation":"100","previouslyFormattedCitation":"&lt;sup&gt;100&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100</w:t>
      </w:r>
      <w:r>
        <w:rPr>
          <w:color w:val="000000" w:themeColor="text1"/>
        </w:rPr>
        <w:fldChar w:fldCharType="end"/>
      </w:r>
      <w:r>
        <w:rPr>
          <w:color w:val="000000" w:themeColor="text1"/>
        </w:rPr>
        <w:t xml:space="preserve"> However, the toxicity associated with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treatment has halted its development for clinical use. The abundance of collagen and lysyl oxidase throughout the body and the non-specific nature of the small-molecule inhibitor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means that oral and systemic administration of the drug lacks any targeting towards the site of injury. For example, in the case of burn scar contracture, oral administration would require higher doses to allow a sufficient level of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to reach LOX in the skin and in doing so, LOX in other areas of the body would likely be inhibited too. </w:t>
      </w:r>
    </w:p>
    <w:p w14:paraId="75C6C4FB" w14:textId="77777777" w:rsidR="009A585B" w:rsidRPr="00763F67" w:rsidRDefault="009A585B" w:rsidP="009A585B">
      <w:pPr>
        <w:rPr>
          <w:color w:val="000000" w:themeColor="text1"/>
        </w:rPr>
      </w:pPr>
      <w:r>
        <w:rPr>
          <w:color w:val="000000" w:themeColor="text1"/>
        </w:rPr>
        <w:t xml:space="preserve">An alternative suggestion for the treatment of burn scar contracture is the topical delivery of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targeting the drug at the site where the contracture is most likely to form. Delivery to the skin would likely allow lower doses of </w:t>
      </w:r>
      <w:r w:rsidRPr="00981F9B">
        <w:rPr>
          <w:rFonts w:ascii="Cambria" w:hAnsi="Cambria"/>
          <w:color w:val="000000" w:themeColor="text1"/>
        </w:rPr>
        <w:t>β</w:t>
      </w:r>
      <w:r>
        <w:rPr>
          <w:color w:val="000000" w:themeColor="text1"/>
        </w:rPr>
        <w:noBreakHyphen/>
      </w:r>
      <w:r w:rsidRPr="00981F9B">
        <w:rPr>
          <w:color w:val="000000" w:themeColor="text1"/>
        </w:rPr>
        <w:t>APN</w:t>
      </w:r>
      <w:r>
        <w:rPr>
          <w:color w:val="000000" w:themeColor="text1"/>
        </w:rPr>
        <w:t xml:space="preserve"> to be administered whilst hopefully obtaining a similar therapeutic effect.</w:t>
      </w:r>
    </w:p>
    <w:p w14:paraId="657FD91A" w14:textId="77777777" w:rsidR="009A585B" w:rsidRDefault="009A585B" w:rsidP="009A585B">
      <w:pPr>
        <w:pStyle w:val="Heading2"/>
      </w:pPr>
      <w:bookmarkStart w:id="40" w:name="_Toc2450984"/>
      <w:r>
        <w:t>Topical drug delivery</w:t>
      </w:r>
      <w:bookmarkEnd w:id="40"/>
    </w:p>
    <w:p w14:paraId="74B8A777" w14:textId="77777777" w:rsidR="009A585B" w:rsidRPr="002702BE" w:rsidRDefault="009A585B" w:rsidP="009A585B">
      <w:pPr>
        <w:rPr>
          <w:color w:val="000000" w:themeColor="text1"/>
        </w:rPr>
      </w:pPr>
      <w:r>
        <w:t xml:space="preserve">Topical drug delivery </w:t>
      </w:r>
      <w:r w:rsidRPr="00B867BD">
        <w:rPr>
          <w:color w:val="000000" w:themeColor="text1"/>
        </w:rPr>
        <w:t xml:space="preserve">involves the application of a drug to the skin in order to produce either a local or systemic effect. This approach has been used for centuries as a rapid, non-invasive method of drug delivery. Topical </w:t>
      </w:r>
      <w:r w:rsidRPr="00051B53">
        <w:rPr>
          <w:color w:val="000000" w:themeColor="text1"/>
        </w:rPr>
        <w:t>drug delivery offers numerous advantages over alternative routes of drug administration</w:t>
      </w:r>
      <w:r w:rsidRPr="002702BE">
        <w:rPr>
          <w:color w:val="000000" w:themeColor="text1"/>
        </w:rPr>
        <w:t xml:space="preserve">. </w:t>
      </w:r>
      <w:r>
        <w:rPr>
          <w:color w:val="000000" w:themeColor="text1"/>
        </w:rPr>
        <w:t>For example, t</w:t>
      </w:r>
      <w:r w:rsidRPr="002702BE">
        <w:rPr>
          <w:color w:val="000000" w:themeColor="text1"/>
        </w:rPr>
        <w:t>opical formulations can be easily</w:t>
      </w:r>
      <w:r w:rsidRPr="005757D8">
        <w:rPr>
          <w:color w:val="000000" w:themeColor="text1"/>
        </w:rPr>
        <w:t xml:space="preserve"> </w:t>
      </w:r>
      <w:r w:rsidRPr="002702BE">
        <w:rPr>
          <w:color w:val="000000" w:themeColor="text1"/>
        </w:rPr>
        <w:t xml:space="preserve">administered, </w:t>
      </w:r>
      <w:r>
        <w:rPr>
          <w:color w:val="000000" w:themeColor="text1"/>
        </w:rPr>
        <w:t xml:space="preserve">often allowing patients to apply their own treatment, and are relatively painless, which </w:t>
      </w:r>
      <w:r w:rsidRPr="002702BE">
        <w:rPr>
          <w:color w:val="000000" w:themeColor="text1"/>
        </w:rPr>
        <w:t>afford</w:t>
      </w:r>
      <w:r>
        <w:rPr>
          <w:color w:val="000000" w:themeColor="text1"/>
        </w:rPr>
        <w:t>s</w:t>
      </w:r>
      <w:r w:rsidRPr="002702BE">
        <w:rPr>
          <w:color w:val="000000" w:themeColor="text1"/>
        </w:rPr>
        <w:t xml:space="preserve"> good patient compliance.</w:t>
      </w:r>
      <w:r>
        <w:rPr>
          <w:color w:val="000000" w:themeColor="text1"/>
        </w:rPr>
        <w:fldChar w:fldCharType="begin" w:fldLock="1"/>
      </w:r>
      <w:r>
        <w:rPr>
          <w:color w:val="000000" w:themeColor="text1"/>
        </w:rPr>
        <w:instrText>ADDIN CSL_CITATION {"citationItems":[{"id":"ITEM-1","itemData":{"DOI":"10.1016/S1461-5347(00)00295-9","ISBN":"1461-5347","ISSN":"14615347","PMID":"10996573","abstract":"The skin represents an extraordinary evolutionary feat. Not only does it physically encapsulate the organism and provide a multifunctional interface between us and our surroundings, but it is perpetually engaged in the assembly of a highly efficient homeostatic barrier to the outward loss of water. In so doing, it furnishes a membrane that is equally adept at limiting molecular transport both from and into the body. Overcoming this barrier function then, for the purpose of transdermal drug delivery, has been a necessarily challenging task for the pharmaceutical scientist, and one that boasts significant progress.","author":[{"dropping-particle":"","family":"Naik","given":"Aarti","non-dropping-particle":"","parse-names":false,"suffix":""},{"dropping-particle":"","family":"Kalia","given":"Yogeshvar N.","non-dropping-particle":"","parse-names":false,"suffix":""},{"dropping-particle":"","family":"Guy","given":"Richard H.","non-dropping-particle":"","parse-names":false,"suffix":""}],"container-title":"Pharmaceutical Science and Technology Today","id":"ITEM-1","issue":"9","issued":{"date-parts":[["2000"]]},"page":"318-326","title":"Transdermal drug delivery: Overcoming the skin's barrier function","type":"article-journal","volume":"3"},"uris":["http://www.mendeley.com/documents/?uuid=ee4bf3dd-6da3-4128-9838-919347f41830"]}],"mendeley":{"formattedCitation":"&lt;sup&gt;107&lt;/sup&gt;","plainTextFormattedCitation":"107","previouslyFormattedCitation":"&lt;sup&gt;107&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107</w:t>
      </w:r>
      <w:r>
        <w:rPr>
          <w:color w:val="000000" w:themeColor="text1"/>
        </w:rPr>
        <w:fldChar w:fldCharType="end"/>
      </w:r>
      <w:r w:rsidRPr="002702BE">
        <w:rPr>
          <w:color w:val="000000" w:themeColor="text1"/>
        </w:rPr>
        <w:t xml:space="preserve"> </w:t>
      </w:r>
      <w:r w:rsidRPr="00051B53">
        <w:rPr>
          <w:color w:val="000000" w:themeColor="text1"/>
        </w:rPr>
        <w:t>In addition, topical drugs are inexpensive compared to the associated costs of parenteral administration and reduce the production of hazardous waste such as hypodermic needles.</w:t>
      </w:r>
      <w:r>
        <w:rPr>
          <w:color w:val="000000" w:themeColor="text1"/>
        </w:rPr>
        <w:fldChar w:fldCharType="begin" w:fldLock="1"/>
      </w:r>
      <w:r>
        <w:rPr>
          <w:color w:val="000000" w:themeColor="text1"/>
        </w:rPr>
        <w:instrText>ADDIN CSL_CITATION {"citationItems":[{"id":"ITEM-1","itemData":{"DOI":"10.1039/c2nr11606e","ISBN":"2040-3364\\r2040-3372","ISSN":"2040-3364","PMID":"22334401","abstract":"Delivery across skin offers many advantages compared to oral or intravenous routes of drug administration. Skin however is highly impermeable to most molecules on the basis of size, hydrophilicity, lipophilicity and charge. For this reason it is often necessary to temporarily alter the barrier properties of skin for effective administration. This can be done by applying chemical enhancers, which alter the lipid structure of the top layer of skin (the stratum corneum, SC), by applying external forces such as electric currents and ultrasounds, by bypassing the stratum corneum via minimally invasive microneedles or by using nano-delivery vehicles that can cross and deliver their payload to the deeper layers of skin. Here we present a critical summary of the latest technologies used to increase transdermal delivery.","author":[{"dropping-particle":"","family":"Pegoraro","given":"Carla","non-dropping-particle":"","parse-names":false,"suffix":""},{"dropping-particle":"","family":"MacNeil","given":"Sheila","non-dropping-particle":"","parse-names":false,"suffix":""},{"dropping-particle":"","family":"Battaglia","given":"Giuseppe","non-dropping-particle":"","parse-names":false,"suffix":""}],"container-title":"Nanoscale","id":"ITEM-1","issue":"6","issued":{"date-parts":[["2012"]]},"page":"1881","title":"Transdermal drug delivery: from micro to nano","type":"article-journal","volume":"4"},"uris":["http://www.mendeley.com/documents/?uuid=29eaf924-c5ad-48f7-a1e6-4a1fcb508221"]}],"mendeley":{"formattedCitation":"&lt;sup&gt;108&lt;/sup&gt;","plainTextFormattedCitation":"108","previouslyFormattedCitation":"&lt;sup&gt;108&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108</w:t>
      </w:r>
      <w:r>
        <w:rPr>
          <w:color w:val="000000" w:themeColor="text1"/>
        </w:rPr>
        <w:fldChar w:fldCharType="end"/>
      </w:r>
      <w:r>
        <w:rPr>
          <w:color w:val="000000" w:themeColor="text1"/>
        </w:rPr>
        <w:t xml:space="preserve"> Unlike oral administration, d</w:t>
      </w:r>
      <w:r w:rsidRPr="00051B53">
        <w:rPr>
          <w:color w:val="000000" w:themeColor="text1"/>
        </w:rPr>
        <w:t>elivery of drugs through the skin</w:t>
      </w:r>
      <w:r>
        <w:rPr>
          <w:color w:val="000000" w:themeColor="text1"/>
        </w:rPr>
        <w:t xml:space="preserve"> </w:t>
      </w:r>
      <w:r w:rsidRPr="00051B53">
        <w:rPr>
          <w:color w:val="000000" w:themeColor="text1"/>
        </w:rPr>
        <w:t>bypasses hepatic first pass metabolism, thereby improving the bioavailability of the drug.</w:t>
      </w:r>
      <w:r>
        <w:rPr>
          <w:color w:val="000000" w:themeColor="text1"/>
        </w:rPr>
        <w:fldChar w:fldCharType="begin" w:fldLock="1"/>
      </w:r>
      <w:r>
        <w:rPr>
          <w:color w:val="000000" w:themeColor="text1"/>
        </w:rPr>
        <w:instrText>ADDIN CSL_CITATION {"citationItems":[{"id":"ITEM-1","itemData":{"DOI":"10.1038/nbt.1504","ISBN":"1546-1696 (Electronic)\\r1087-0156 (Linking)","ISSN":"1087-0156","PMID":"18997767","abstract":"Transdermal drug delivery has made an important contribution to medical practice, but has yet to fully achieve its potential as an alternative to oral delivery and hypodermic injections. First-generation transdermal delivery systems have continued their steady increase in clinical use for delivery of small, lipophilic, low-dose drugs. Second-generation delivery systems using chemical enhancers, noncavitational ultrasound and iontophoresis have also resulted in clinical products; the ability of iontophoresis to control delivery rates in real time provides added functionality. Third-generation delivery systems target their effects to skin's barrier layer of stratum corneum using microneedles, thermal ablation, microdermabrasion, electroporation and cavitational ultrasound. Microneedles and thermal ablation are currently progressing through clinical trials for delivery of macromolecules and vaccines, such as insulin, parathyroid hormone and influenza vaccine. Using these novel second- and third-generation enhancement strategies, transdermal delivery is poised to significantly increase its impact on medicine.","author":[{"dropping-particle":"","family":"Prausnitz","given":"Mark R","non-dropping-particle":"","parse-names":false,"suffix":""},{"dropping-particle":"","family":"Langer","given":"Robert","non-dropping-particle":"","parse-names":false,"suffix":""}],"container-title":"Nature biotechnology","id":"ITEM-1","issue":"11","issued":{"date-parts":[["2008"]]},"page":"1261-1268","title":"Transdermal drug delivery.","type":"article-journal","volume":"26"},"uris":["http://www.mendeley.com/documents/?uuid=9bcd2e4c-ff11-479f-bd90-5946a243099f"]}],"mendeley":{"formattedCitation":"&lt;sup&gt;109&lt;/sup&gt;","plainTextFormattedCitation":"109","previouslyFormattedCitation":"&lt;sup&gt;109&lt;/sup&gt;"},"properties":{"noteIndex":0},"schema":"https://github.com/citation-style-language/schema/raw/master/csl-citation.json"}</w:instrText>
      </w:r>
      <w:r>
        <w:rPr>
          <w:color w:val="000000" w:themeColor="text1"/>
        </w:rPr>
        <w:fldChar w:fldCharType="separate"/>
      </w:r>
      <w:r w:rsidRPr="00E8189C">
        <w:rPr>
          <w:noProof/>
          <w:color w:val="000000" w:themeColor="text1"/>
          <w:vertAlign w:val="superscript"/>
        </w:rPr>
        <w:t>109</w:t>
      </w:r>
      <w:r>
        <w:rPr>
          <w:color w:val="000000" w:themeColor="text1"/>
        </w:rPr>
        <w:fldChar w:fldCharType="end"/>
      </w:r>
    </w:p>
    <w:p w14:paraId="6AFD6515" w14:textId="2F60FB6A" w:rsidR="009A585B" w:rsidRPr="00B867BD" w:rsidRDefault="009A585B" w:rsidP="009A585B">
      <w:r w:rsidRPr="00100BA2">
        <w:rPr>
          <w:color w:val="000000" w:themeColor="text1"/>
        </w:rPr>
        <w:t xml:space="preserve">However, topical drug delivery is not without its flaws. The skin is an incredibly effective barrier against </w:t>
      </w:r>
      <w:r>
        <w:rPr>
          <w:color w:val="000000" w:themeColor="text1"/>
        </w:rPr>
        <w:t>external chemical and microbiological</w:t>
      </w:r>
      <w:r w:rsidRPr="00100BA2">
        <w:rPr>
          <w:color w:val="000000" w:themeColor="text1"/>
        </w:rPr>
        <w:t xml:space="preserve"> contaminants. As a </w:t>
      </w:r>
      <w:r w:rsidRPr="00100BA2">
        <w:rPr>
          <w:color w:val="000000" w:themeColor="text1"/>
        </w:rPr>
        <w:lastRenderedPageBreak/>
        <w:t>result, the greatest obstacle in the development of new therapies for topical delivery is the limited number of drugs that are able to cross the skin barrier to reach their intended physiological target.</w:t>
      </w:r>
      <w:r>
        <w:rPr>
          <w:color w:val="000000" w:themeColor="text1"/>
        </w:rPr>
        <w:fldChar w:fldCharType="begin" w:fldLock="1"/>
      </w:r>
      <w:r>
        <w:rPr>
          <w:color w:val="000000" w:themeColor="text1"/>
        </w:rPr>
        <w:instrText>ADDIN CSL_CITATION {"citationItems":[{"id":"ITEM-1","itemData":{"DOI":"10.1016/S1461-5347(00)00295-9","ISBN":"1461-5347","ISSN":"14615347","PMID":"10996573","abstract":"The skin represents an extraordinary evolutionary feat. Not only does it physically encapsulate the organism and provide a multifunctional interface between us and our surroundings, but it is perpetually engaged in the assembly of a highly efficient homeostatic barrier to the outward loss of water. In so doing, it furnishes a membrane that is equally adept at limiting molecular transport both from and into the body. Overcoming this barrier function then, for the purpose of transdermal drug delivery, has been a necessarily challenging task for the pharmaceutical scientist, and one that boasts significant progress.","author":[{"dropping-particle":"","family":"Naik","given":"Aarti","non-dropping-particle":"","parse-names":false,"suffix":""},{"dropping-particle":"","family":"Kalia","given":"Yogeshvar N.","non-dropping-particle":"","parse-names":false,"suffix":""},{"dropping-particle":"","family":"Guy","given":"Richard H.","non-dropping-particle":"","parse-names":false,"suffix":""}],"container-title":"Pharmaceutical Science and Technology Today","id":"ITEM-1","issue":"9","issued":{"date-parts":[["2000"]]},"page":"318-326","title":"Transdermal drug delivery: Overcoming the skin's barrier function","type":"article-journal","volume":"3"},"uris":["http://www.mendeley.com/documents/?uuid=ee4bf3dd-6da3-4128-9838-919347f41830"]}],"mendeley":{"formattedCitation":"&lt;sup&gt;107&lt;/sup&gt;","plainTextFormattedCitation":"107","previouslyFormattedCitation":"&lt;sup&gt;107&lt;/sup&gt;"},"properties":{"noteIndex":0},"schema":"https://github.com/citation-style-language/schema/raw/master/csl-citation.json"}</w:instrText>
      </w:r>
      <w:r>
        <w:rPr>
          <w:color w:val="000000" w:themeColor="text1"/>
        </w:rPr>
        <w:fldChar w:fldCharType="separate"/>
      </w:r>
      <w:r w:rsidRPr="00B75AC2">
        <w:rPr>
          <w:noProof/>
          <w:color w:val="000000" w:themeColor="text1"/>
          <w:vertAlign w:val="superscript"/>
        </w:rPr>
        <w:t>107</w:t>
      </w:r>
      <w:r>
        <w:rPr>
          <w:color w:val="000000" w:themeColor="text1"/>
        </w:rPr>
        <w:fldChar w:fldCharType="end"/>
      </w:r>
      <w:r>
        <w:rPr>
          <w:color w:val="000000" w:themeColor="text1"/>
        </w:rPr>
        <w:t xml:space="preserve"> </w:t>
      </w:r>
      <w:r>
        <w:t>As described earlier in this chapter, the skin is divided into distinct layers comprising the epidermis, the dermis and the subcutaneous fat layer. The epidermis is further divided into five layers; the stratum corneum, stratum lucidum, stratum granulosum, stratum spinosum and the stratum basal (</w:t>
      </w:r>
      <w:r>
        <w:fldChar w:fldCharType="begin"/>
      </w:r>
      <w:r>
        <w:instrText xml:space="preserve"> REF _Ref524592769 \h </w:instrText>
      </w:r>
      <w:r>
        <w:fldChar w:fldCharType="separate"/>
      </w:r>
      <w:r w:rsidR="00E6157A" w:rsidRPr="009D71E0">
        <w:t xml:space="preserve">Figure </w:t>
      </w:r>
      <w:r w:rsidR="00E6157A">
        <w:rPr>
          <w:noProof/>
        </w:rPr>
        <w:t>1</w:t>
      </w:r>
      <w:r w:rsidR="00E6157A">
        <w:t>.</w:t>
      </w:r>
      <w:r w:rsidR="00E6157A">
        <w:rPr>
          <w:noProof/>
        </w:rPr>
        <w:t>6</w:t>
      </w:r>
      <w:r>
        <w:fldChar w:fldCharType="end"/>
      </w:r>
      <w:r>
        <w:t>).</w:t>
      </w:r>
    </w:p>
    <w:p w14:paraId="161BC35A" w14:textId="77777777" w:rsidR="009A585B" w:rsidRDefault="009A585B" w:rsidP="009A585B">
      <w:pPr>
        <w:keepNext/>
        <w:jc w:val="center"/>
      </w:pPr>
      <w:r>
        <w:rPr>
          <w:noProof/>
        </w:rPr>
        <w:drawing>
          <wp:inline distT="0" distB="0" distL="0" distR="0" wp14:anchorId="6F96468E" wp14:editId="731DAB4C">
            <wp:extent cx="5201920" cy="29006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pi2.png"/>
                    <pic:cNvPicPr/>
                  </pic:nvPicPr>
                  <pic:blipFill>
                    <a:blip r:embed="rId18">
                      <a:extLst>
                        <a:ext uri="{28A0092B-C50C-407E-A947-70E740481C1C}">
                          <a14:useLocalDpi xmlns:a14="http://schemas.microsoft.com/office/drawing/2010/main" val="0"/>
                        </a:ext>
                      </a:extLst>
                    </a:blip>
                    <a:stretch>
                      <a:fillRect/>
                    </a:stretch>
                  </pic:blipFill>
                  <pic:spPr>
                    <a:xfrm>
                      <a:off x="0" y="0"/>
                      <a:ext cx="5201920" cy="2900680"/>
                    </a:xfrm>
                    <a:prstGeom prst="rect">
                      <a:avLst/>
                    </a:prstGeom>
                  </pic:spPr>
                </pic:pic>
              </a:graphicData>
            </a:graphic>
          </wp:inline>
        </w:drawing>
      </w:r>
    </w:p>
    <w:p w14:paraId="42221CC0" w14:textId="44CB91D7" w:rsidR="009A585B" w:rsidRPr="009D71E0" w:rsidRDefault="009A585B" w:rsidP="009A585B">
      <w:pPr>
        <w:pStyle w:val="Caption"/>
        <w:jc w:val="center"/>
        <w:rPr>
          <w:b w:val="0"/>
        </w:rPr>
      </w:pPr>
      <w:bookmarkStart w:id="41" w:name="_Ref524592769"/>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6</w:t>
      </w:r>
      <w:r w:rsidR="00BE21E4">
        <w:rPr>
          <w:noProof/>
        </w:rPr>
        <w:fldChar w:fldCharType="end"/>
      </w:r>
      <w:bookmarkEnd w:id="41"/>
      <w:r w:rsidRPr="009D71E0">
        <w:t>.</w:t>
      </w:r>
      <w:r w:rsidRPr="009D71E0">
        <w:rPr>
          <w:b w:val="0"/>
        </w:rPr>
        <w:t xml:space="preserve"> Layers of the epidermis in human skin</w:t>
      </w:r>
      <w:r w:rsidR="009352BF">
        <w:rPr>
          <w:b w:val="0"/>
        </w:rPr>
        <w:t>.</w:t>
      </w:r>
      <w:r w:rsidRPr="009D71E0">
        <w:rPr>
          <w:b w:val="0"/>
        </w:rPr>
        <w:fldChar w:fldCharType="begin" w:fldLock="1"/>
      </w:r>
      <w:r w:rsidRPr="009D71E0">
        <w:rPr>
          <w:b w:val="0"/>
        </w:rPr>
        <w:instrText>ADDIN CSL_CITATION {"citationItems":[{"id":"ITEM-1","itemData":{"DOI":"10.1089/wound.2013.0467","ISBN":"2162-1918 (Print)\\r2162-1918 (Linking)","ISSN":"2162-1918","PMID":"24761361","abstract":"Significance: During gestation, fetal skin progresses from a single layer derived from ectoderm to a complex, multi-layer tissue with the stratum corneum (SC) as the outermost layer. Innate immunity is a conferred complex process involving a balance of pro- and anti-inflammatory cytokines, structural proteins, and specific antigen-presenting cells. The SC is a part of the innate immune system as an impermeable physical barrier containing anti-microbial lipids and host defense proteins. Postnatally, the epidermis continually replenishes itself, provides a protective barrier, and repairs injuries. Recent Advances: Vernix caseosa protects the fetus during gestation and facilitates development of the SC in the aqueous uterine environment. The anti-infective, hydrating, acidification, and wound-healing properties post birth provide insights for the development of strategies that facilitate SC maturation and repair in the premature infant. Critical Issues: Reduction of infant mortality is a global health priority. Premature infants have an incompetent skin barrier putting them at risk for irritant exposure, skin compromise and life-threatening infections. Effective interventions to accelerate skin barrier maturation are compelling. Future Directions: Investigations to determine the ontogeny of barrier maturation, that is, SC structure, composition, cohesiveness, permeability, susceptibility to injury, and microflora, as a function of gestational age are essential. Clinicians need to know when the premature skin barrier becomes fully competent and comparable to healthy newborn skin. This will guide the development of innovative strategies for optimizing skin barrier development.","author":[{"dropping-particle":"","family":"Visscher","given":"Marty","non-dropping-particle":"","parse-names":false,"suffix":""},{"dropping-particle":"","family":"Narendran","given":"Vivek","non-dropping-particle":"","parse-names":false,"suffix":""}],"container-title":"Advances in Wound Care","id":"ITEM-1","issue":"4","issued":{"date-parts":[["2014"]]},"page":"291-303","title":"The Ontogeny of Skin","type":"article-journal","volume":"3"},"uris":["http://www.mendeley.com/documents/?uuid=b3d2dd0f-62b6-483e-bd8b-99ee04087801"]}],"mendeley":{"formattedCitation":"&lt;sup&gt;110&lt;/sup&gt;","plainTextFormattedCitation":"110","previouslyFormattedCitation":"&lt;sup&gt;110&lt;/sup&gt;"},"properties":{"noteIndex":0},"schema":"https://github.com/citation-style-language/schema/raw/master/csl-citation.json"}</w:instrText>
      </w:r>
      <w:r w:rsidRPr="009D71E0">
        <w:rPr>
          <w:b w:val="0"/>
        </w:rPr>
        <w:fldChar w:fldCharType="separate"/>
      </w:r>
      <w:r w:rsidRPr="009D71E0">
        <w:rPr>
          <w:b w:val="0"/>
          <w:i/>
          <w:noProof/>
          <w:vertAlign w:val="superscript"/>
        </w:rPr>
        <w:t>110</w:t>
      </w:r>
      <w:r w:rsidRPr="009D71E0">
        <w:rPr>
          <w:b w:val="0"/>
        </w:rPr>
        <w:fldChar w:fldCharType="end"/>
      </w:r>
    </w:p>
    <w:p w14:paraId="31B5CF69" w14:textId="77777777" w:rsidR="009A585B" w:rsidRDefault="009A585B" w:rsidP="009A585B">
      <w:pPr>
        <w:rPr>
          <w:color w:val="000000" w:themeColor="text1"/>
        </w:rPr>
      </w:pPr>
      <w:r w:rsidRPr="00E81C91">
        <w:rPr>
          <w:color w:val="000000" w:themeColor="text1"/>
        </w:rPr>
        <w:t xml:space="preserve">Keratinocytes, the major cell of the epidermis, are formed in the stratum basale from resident stem cells. </w:t>
      </w:r>
      <w:r>
        <w:rPr>
          <w:color w:val="000000" w:themeColor="text1"/>
        </w:rPr>
        <w:t>As new cells are produced, existing keratinocytes in the stratum basale migrate upwards through the subsequent layers of the epidermis.</w:t>
      </w:r>
      <w:r>
        <w:rPr>
          <w:color w:val="000000" w:themeColor="text1"/>
        </w:rPr>
        <w:fldChar w:fldCharType="begin" w:fldLock="1"/>
      </w:r>
      <w:r>
        <w:rPr>
          <w:color w:val="000000" w:themeColor="text1"/>
        </w:rPr>
        <w:instrText>ADDIN CSL_CITATION {"citationItems":[{"id":"ITEM-1","itemData":{"DOI":"10.1016/j.clindermatol.2011.08.007","ISBN":"1879-1131 (Electronic)\\r0738-081X (Linking)","ISSN":"0738081X","PMID":"22507037","abstract":"The most important function of the skin is the formation of a barrier between the \"inside\" and the \"outside\" of the organism, which prevents invasion of pathogens and fends off chemical assaults as well as the unregulated loss of water and solutes. The physical barrier is mainly localized in the stratum corneum, which consists of protein-enriched cells and lipid-enriched intercellular domains. Any modifications in epidermal differentiation and lipid composition results in altered barrier function, a central event in various skin alterations and diseases. This contribution presents a brief description of the structure of the skin, paying attention to the most important components responsible for skin barrier function. © 2012 .","author":[{"dropping-particle":"","family":"Baroni","given":"Adone","non-dropping-particle":"","parse-names":false,"suffix":""},{"dropping-particle":"","family":"Buommino","given":"Elisabetta","non-dropping-particle":"","parse-names":false,"suffix":""},{"dropping-particle":"","family":"Gregorio","given":"Vincenza","non-dropping-particle":"De","parse-names":false,"suffix":""},{"dropping-particle":"","family":"Ruocco","given":"Eleonora","non-dropping-particle":"","parse-names":false,"suffix":""},{"dropping-particle":"","family":"Ruocco","given":"Vincenzo","non-dropping-particle":"","parse-names":false,"suffix":""},{"dropping-particle":"","family":"Wolf","given":"Ronni","non-dropping-particle":"","parse-names":false,"suffix":""}],"container-title":"Clinics in Dermatology","id":"ITEM-1","issue":"3","issued":{"date-parts":[["2012"]]},"page":"257-262","publisher":"Elsevier B.V.","title":"Structure and function of the epidermis related to barrier properties","type":"article-journal","volume":"30"},"uris":["http://www.mendeley.com/documents/?uuid=9d54180b-3533-4643-861e-c43da7dfddcb"]}],"mendeley":{"formattedCitation":"&lt;sup&gt;111&lt;/sup&gt;","plainTextFormattedCitation":"111","previouslyFormattedCitation":"&lt;sup&gt;111&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111</w:t>
      </w:r>
      <w:r>
        <w:rPr>
          <w:color w:val="000000" w:themeColor="text1"/>
        </w:rPr>
        <w:fldChar w:fldCharType="end"/>
      </w:r>
      <w:r>
        <w:rPr>
          <w:color w:val="000000" w:themeColor="text1"/>
        </w:rPr>
        <w:t xml:space="preserve"> By the time they reach the stratum granulosum, the keratinocytes begin to produce a lipid envelope that coats the cells. This lipid envelope protects the cells by producing a water-resistant layer. However, the presence of this layer also reduces nutrient diffusion into the cells, causing them to become </w:t>
      </w:r>
      <w:r w:rsidRPr="00C33F1F">
        <w:rPr>
          <w:color w:val="000000" w:themeColor="text1"/>
        </w:rPr>
        <w:t>anucleate and die. The dead keratinocytes, termed corneocytes, are pushed further towards the skin surface and flatten, produc</w:t>
      </w:r>
      <w:r>
        <w:rPr>
          <w:color w:val="000000" w:themeColor="text1"/>
        </w:rPr>
        <w:t>ing</w:t>
      </w:r>
      <w:r w:rsidRPr="00C33F1F">
        <w:rPr>
          <w:color w:val="000000" w:themeColor="text1"/>
        </w:rPr>
        <w:t xml:space="preserve"> a water-tight network that forms the stratum corneum. This network of dead cells is the </w:t>
      </w:r>
      <w:r>
        <w:rPr>
          <w:color w:val="000000" w:themeColor="text1"/>
        </w:rPr>
        <w:t xml:space="preserve">skin’s </w:t>
      </w:r>
      <w:r w:rsidRPr="00C33F1F">
        <w:rPr>
          <w:color w:val="000000" w:themeColor="text1"/>
        </w:rPr>
        <w:t>major barrier to external penetrants.</w:t>
      </w:r>
    </w:p>
    <w:p w14:paraId="26E2CAEF" w14:textId="77777777" w:rsidR="009A585B" w:rsidRPr="00DF3F3B" w:rsidRDefault="009A585B" w:rsidP="009A585B">
      <w:pPr>
        <w:rPr>
          <w:color w:val="000000" w:themeColor="text1"/>
        </w:rPr>
      </w:pPr>
      <w:r w:rsidRPr="002651E9">
        <w:rPr>
          <w:color w:val="000000" w:themeColor="text1"/>
        </w:rPr>
        <w:t xml:space="preserve">The structure of the stratum corneum is often described as a brick and mortar </w:t>
      </w:r>
      <w:r>
        <w:rPr>
          <w:color w:val="000000" w:themeColor="text1"/>
        </w:rPr>
        <w:t>assembly</w:t>
      </w:r>
      <w:r w:rsidRPr="002651E9">
        <w:rPr>
          <w:color w:val="000000" w:themeColor="text1"/>
        </w:rPr>
        <w:t>, com</w:t>
      </w:r>
      <w:r>
        <w:rPr>
          <w:color w:val="000000" w:themeColor="text1"/>
        </w:rPr>
        <w:t xml:space="preserve">prising of corneocyte </w:t>
      </w:r>
      <w:r w:rsidRPr="002651E9">
        <w:rPr>
          <w:color w:val="000000" w:themeColor="text1"/>
        </w:rPr>
        <w:t>‘bricks’ surrounded by a lipid bilayer ‘mortar’.</w:t>
      </w:r>
      <w:r>
        <w:rPr>
          <w:color w:val="000000" w:themeColor="text1"/>
        </w:rPr>
        <w:fldChar w:fldCharType="begin" w:fldLock="1"/>
      </w:r>
      <w:r>
        <w:rPr>
          <w:color w:val="000000" w:themeColor="text1"/>
        </w:rPr>
        <w:instrText>ADDIN CSL_CITATION {"citationItems":[{"id":"ITEM-1","itemData":{"DOI":"10.1016/j.ijpharm.2013.02.040","ISBN":"0-13-220468-1","ISSN":"03785173","PMID":"23462366","abstract":"The skin has evolved to prevent excessive water loss from the internal organs and to limit the ability of xenobiotics and hazardous substances to enter the body. Notwithstanding this barrier function, a number of strategies have been developed by scientists to deliver drugs to and through the skin. The aim of this review is to consider the various types of chemical penetration enhancers (CPEs) which have been investigated in the scientific literature. Potential pathways for CPEs to exert their action are examined with reference to the physical chemistry of passive skin transport. The emphasis is on those studies which have focussed on human and porcine skin because of the limitations associated with skin permeation data collated from other species. Where known, the mechanisms of action of these compounds are also discussed. Examples of enhancers used in commercial topical and transdermal formulations are provided. It is proposed that overall the effects of CPEs on the skin barrier may best be explained by a Diffusion-Partition-Solubility theory. Finally, some of the limitations of studies in the literature are considered and the importance of monitoring the fate of the penetration enhancer as well as the active is highlighted. © 2013 Elsevier B.V.","author":[{"dropping-particle":"","family":"Lane","given":"Majella E.","non-dropping-particle":"","parse-names":false,"suffix":""}],"container-title":"International Journal of Pharmaceutics","id":"ITEM-1","issue":"1-2","issued":{"date-parts":[["2013"]]},"page":"12-21","publisher":"Elsevier B.V.","title":"Skin penetration enhancers","type":"article-journal","volume":"447"},"uris":["http://www.mendeley.com/documents/?uuid=93589f1e-14ec-4613-8e26-45807810d783"]}],"mendeley":{"formattedCitation":"&lt;sup&gt;112&lt;/sup&gt;","plainTextFormattedCitation":"112","previouslyFormattedCitation":"&lt;sup&gt;112&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112</w:t>
      </w:r>
      <w:r>
        <w:rPr>
          <w:color w:val="000000" w:themeColor="text1"/>
        </w:rPr>
        <w:fldChar w:fldCharType="end"/>
      </w:r>
      <w:r w:rsidRPr="002651E9">
        <w:rPr>
          <w:color w:val="000000" w:themeColor="text1"/>
        </w:rPr>
        <w:t xml:space="preserve"> The primary route of drug transport into the skin is </w:t>
      </w:r>
      <w:r>
        <w:rPr>
          <w:color w:val="000000" w:themeColor="text1"/>
        </w:rPr>
        <w:t xml:space="preserve">by </w:t>
      </w:r>
      <w:r w:rsidRPr="002651E9">
        <w:rPr>
          <w:color w:val="000000" w:themeColor="text1"/>
        </w:rPr>
        <w:t xml:space="preserve">diffusion through this lipid bilayer. </w:t>
      </w:r>
      <w:r>
        <w:rPr>
          <w:color w:val="000000" w:themeColor="text1"/>
        </w:rPr>
        <w:t xml:space="preserve">Therefore, compounds need to be lipophilic enough to penetrate the lipid </w:t>
      </w:r>
      <w:r>
        <w:rPr>
          <w:color w:val="000000" w:themeColor="text1"/>
        </w:rPr>
        <w:lastRenderedPageBreak/>
        <w:t xml:space="preserve">bilayer, without being so lipophilic that they remain trapped in the stratum corneum. They must also be small enough to diffuse through the intercellular channels between the corneocyte cells. Acknowledging this, medicinal chemists developed a set of criteria that topical drug candidates should meet. </w:t>
      </w:r>
      <w:r w:rsidRPr="00EF4F45">
        <w:rPr>
          <w:color w:val="000000" w:themeColor="text1"/>
        </w:rPr>
        <w:t>The criteria suggest</w:t>
      </w:r>
      <w:r>
        <w:rPr>
          <w:color w:val="000000" w:themeColor="text1"/>
        </w:rPr>
        <w:t>ed</w:t>
      </w:r>
      <w:r w:rsidRPr="00EF4F45">
        <w:rPr>
          <w:color w:val="000000" w:themeColor="text1"/>
        </w:rPr>
        <w:t xml:space="preserve"> that drug molecules for topical delivery should be less than a few hundred Daltons in weight, have a partition coefficient between 1</w:t>
      </w:r>
      <w:r>
        <w:rPr>
          <w:color w:val="000000" w:themeColor="text1"/>
        </w:rPr>
        <w:t> </w:t>
      </w:r>
      <w:r w:rsidRPr="00EF4F45">
        <w:rPr>
          <w:color w:val="000000" w:themeColor="text1"/>
        </w:rPr>
        <w:t>&lt; Log P &lt;</w:t>
      </w:r>
      <w:r>
        <w:rPr>
          <w:color w:val="000000" w:themeColor="text1"/>
        </w:rPr>
        <w:t> </w:t>
      </w:r>
      <w:r w:rsidRPr="00EF4F45">
        <w:rPr>
          <w:color w:val="000000" w:themeColor="text1"/>
        </w:rPr>
        <w:t xml:space="preserve">10, and require a very low </w:t>
      </w:r>
      <w:r>
        <w:rPr>
          <w:color w:val="000000" w:themeColor="text1"/>
        </w:rPr>
        <w:t xml:space="preserve">daily </w:t>
      </w:r>
      <w:r w:rsidRPr="00EF4F45">
        <w:rPr>
          <w:color w:val="000000" w:themeColor="text1"/>
        </w:rPr>
        <w:t>dosage (&lt; 10 </w:t>
      </w:r>
      <w:r>
        <w:rPr>
          <w:color w:val="000000" w:themeColor="text1"/>
        </w:rPr>
        <w:t xml:space="preserve">mg per </w:t>
      </w:r>
      <w:r w:rsidRPr="00B6550F">
        <w:rPr>
          <w:color w:val="000000" w:themeColor="text1"/>
        </w:rPr>
        <w:t>day).</w:t>
      </w:r>
      <w:r w:rsidRPr="00B6550F">
        <w:rPr>
          <w:color w:val="000000" w:themeColor="text1"/>
        </w:rPr>
        <w:fldChar w:fldCharType="begin" w:fldLock="1"/>
      </w:r>
      <w:r>
        <w:rPr>
          <w:color w:val="000000" w:themeColor="text1"/>
        </w:rPr>
        <w:instrText>ADDIN CSL_CITATION {"citationItems":[{"id":"ITEM-1","itemData":{"DOI":"10.1016/S1461-5347(00)00295-9","ISBN":"1461-5347","ISSN":"14615347","PMID":"10996573","abstract":"The skin represents an extraordinary evolutionary feat. Not only does it physically encapsulate the organism and provide a multifunctional interface between us and our surroundings, but it is perpetually engaged in the assembly of a highly efficient homeostatic barrier to the outward loss of water. In so doing, it furnishes a membrane that is equally adept at limiting molecular transport both from and into the body. Overcoming this barrier function then, for the purpose of transdermal drug delivery, has been a necessarily challenging task for the pharmaceutical scientist, and one that boasts significant progress.","author":[{"dropping-particle":"","family":"Naik","given":"Aarti","non-dropping-particle":"","parse-names":false,"suffix":""},{"dropping-particle":"","family":"Kalia","given":"Yogeshvar N.","non-dropping-particle":"","parse-names":false,"suffix":""},{"dropping-particle":"","family":"Guy","given":"Richard H.","non-dropping-particle":"","parse-names":false,"suffix":""}],"container-title":"Pharmaceutical Science and Technology Today","id":"ITEM-1","issue":"9","issued":{"date-parts":[["2000"]]},"page":"318-326","title":"Transdermal drug delivery: Overcoming the skin's barrier function","type":"article-journal","volume":"3"},"uris":["http://www.mendeley.com/documents/?uuid=ee4bf3dd-6da3-4128-9838-919347f41830"]}],"mendeley":{"formattedCitation":"&lt;sup&gt;107&lt;/sup&gt;","plainTextFormattedCitation":"107","previouslyFormattedCitation":"&lt;sup&gt;107&lt;/sup&gt;"},"properties":{"noteIndex":0},"schema":"https://github.com/citation-style-language/schema/raw/master/csl-citation.json"}</w:instrText>
      </w:r>
      <w:r w:rsidRPr="00B6550F">
        <w:rPr>
          <w:color w:val="000000" w:themeColor="text1"/>
        </w:rPr>
        <w:fldChar w:fldCharType="separate"/>
      </w:r>
      <w:r w:rsidRPr="00E8189C">
        <w:rPr>
          <w:noProof/>
          <w:color w:val="000000" w:themeColor="text1"/>
          <w:vertAlign w:val="superscript"/>
        </w:rPr>
        <w:t>107</w:t>
      </w:r>
      <w:r w:rsidRPr="00B6550F">
        <w:rPr>
          <w:color w:val="000000" w:themeColor="text1"/>
        </w:rPr>
        <w:fldChar w:fldCharType="end"/>
      </w:r>
      <w:r w:rsidRPr="00B6550F">
        <w:rPr>
          <w:color w:val="000000" w:themeColor="text1"/>
        </w:rPr>
        <w:t xml:space="preserve"> </w:t>
      </w:r>
      <w:r>
        <w:rPr>
          <w:color w:val="000000" w:themeColor="text1"/>
        </w:rPr>
        <w:t>Unfortunately, a</w:t>
      </w:r>
      <w:r w:rsidRPr="00B6550F">
        <w:rPr>
          <w:color w:val="000000" w:themeColor="text1"/>
        </w:rPr>
        <w:t xml:space="preserve"> limited number of drugs possess </w:t>
      </w:r>
      <w:r>
        <w:rPr>
          <w:color w:val="000000" w:themeColor="text1"/>
        </w:rPr>
        <w:t xml:space="preserve">all of </w:t>
      </w:r>
      <w:r w:rsidRPr="00B6550F">
        <w:rPr>
          <w:color w:val="000000" w:themeColor="text1"/>
        </w:rPr>
        <w:t>these characteristics</w:t>
      </w:r>
      <w:r>
        <w:rPr>
          <w:color w:val="000000" w:themeColor="text1"/>
        </w:rPr>
        <w:t xml:space="preserve">. </w:t>
      </w:r>
      <w:r w:rsidRPr="00B07A2C">
        <w:rPr>
          <w:color w:val="000000" w:themeColor="text1"/>
        </w:rPr>
        <w:t>For drugs that are unable to permeate that stratum corneum alone, chemical and mechanical enhancers can be used to increase the permeability of a drug into the skin.</w:t>
      </w:r>
      <w:r>
        <w:rPr>
          <w:color w:val="000000" w:themeColor="text1"/>
        </w:rPr>
        <w:t xml:space="preserve"> These have been reviewed extensively by Sinha and Kaur,</w:t>
      </w:r>
      <w:r>
        <w:rPr>
          <w:color w:val="000000" w:themeColor="text1"/>
        </w:rPr>
        <w:fldChar w:fldCharType="begin" w:fldLock="1"/>
      </w:r>
      <w:r>
        <w:rPr>
          <w:color w:val="000000" w:themeColor="text1"/>
        </w:rPr>
        <w:instrText>ADDIN CSL_CITATION {"citationItems":[{"id":"ITEM-1","itemData":{"DOI":"10.1081/DDC-100100984","ISBN":"0363-9045","ISSN":"0363-9045","PMID":"11068686","abstract":"The transdermal route has been recognized as one of the highly potential routes of systemic drug delivery and provides the advantage of avoidance of the first-pass effect, ease of use and withdrawal (in case of side effects), and better patient compliance. However, the major limitation of this route is the difficulty of permeation of drug through the skin. Studies have been carried out to find safe and suitable permeation enhancers to promote the percutaneous absorption of a number of drugs. The present review includes the classification of permeation enhancers and their mechanism of action; thus, it will help in the selection of a suitable enhancer(s) for improving the transdermal permeation of poorly absorbed drugs.","author":[{"dropping-particle":"","family":"Sinha","given":"V R","non-dropping-particle":"","parse-names":false,"suffix":""},{"dropping-particle":"","family":"Kaur","given":"M P","non-dropping-particle":"","parse-names":false,"suffix":""}],"container-title":"Drug development and industrial pharmacy","id":"ITEM-1","issue":"11","issued":{"date-parts":[["2000"]]},"page":"1131-1140","title":"Permeation enhancers for transdermal drug delivery.","type":"article-journal","volume":"26"},"uris":["http://www.mendeley.com/documents/?uuid=ddf4e4b5-cf16-4fbf-9c7a-572519da827d"]}],"mendeley":{"formattedCitation":"&lt;sup&gt;113&lt;/sup&gt;","plainTextFormattedCitation":"113","previouslyFormattedCitation":"&lt;sup&gt;113&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113</w:t>
      </w:r>
      <w:r>
        <w:rPr>
          <w:color w:val="000000" w:themeColor="text1"/>
        </w:rPr>
        <w:fldChar w:fldCharType="end"/>
      </w:r>
      <w:r>
        <w:rPr>
          <w:color w:val="000000" w:themeColor="text1"/>
        </w:rPr>
        <w:t xml:space="preserve"> and by Alexander </w:t>
      </w:r>
      <w:r w:rsidRPr="00B6550F">
        <w:rPr>
          <w:i/>
          <w:color w:val="000000" w:themeColor="text1"/>
        </w:rPr>
        <w:t>et al</w:t>
      </w:r>
      <w:r>
        <w:rPr>
          <w:color w:val="000000" w:themeColor="text1"/>
        </w:rPr>
        <w:t>.</w:t>
      </w:r>
      <w:r>
        <w:rPr>
          <w:color w:val="000000" w:themeColor="text1"/>
        </w:rPr>
        <w:fldChar w:fldCharType="begin" w:fldLock="1"/>
      </w:r>
      <w:r>
        <w:rPr>
          <w:color w:val="000000" w:themeColor="text1"/>
        </w:rPr>
        <w:instrText>ADDIN CSL_CITATION {"citationItems":[{"id":"ITEM-1","itemData":{"DOI":"10.1016/j.jconrel.2012.09.017","ISSN":"01683659","PMID":"23064010","abstract":"Transdermal drug delivery system (TDDS) utilizes the skin as executable route for drug administration but the foremost barrier against drug permeability is the stratum corneum and therefore, it limits therapeutic bioavailability of the bioactive. This review focuses on the recent advancements in the TDDS which include iontophoresis, sonophoresis, electroporation, microneedles, magnetophoresis, photomechanical waves and electron beam irradiation. These advancements are exhaustively discussed with techniques involved with their beneficial claims for different categories of bioactive. However, a lot of research has been carried out in TDDS, still the system has many pros and cons such as inconsistent drug release, prevention of burst release formulation and problems related to toxicity. In addition to that, to exploit the TDDS more efficiently scientists have worked on some combinational approaches for manufacturing TDDS viz., chemical-iontophoresis, chemical-electroporation, chemical-ultrasound, iontophoresis-ultrasound, electroporation-iontophoresis electroporation-ultrasound and pressure waves-chemicals and reported the synergistic effect of the same for safe, effective and practical use of TDDS. The present article covers all the above-mentioned aspects in detail and hence the article will assuredly serve as an enlightening tool for the visionaries working in the concerned area. © 2012 Elsevier B.V. All rights reserved.","author":[{"dropping-particle":"","family":"Alexander","given":"Amit","non-dropping-particle":"","parse-names":false,"suffix":""},{"dropping-particle":"","family":"Dwivedi","given":"Shubhangi","non-dropping-particle":"","parse-names":false,"suffix":""},{"dropping-particle":"","family":"Ajazuddin","given":"","non-dropping-particle":"","parse-names":false,"suffix":""},{"dropping-particle":"","family":"Giri","given":"Tapan K.","non-dropping-particle":"","parse-names":false,"suffix":""},{"dropping-particle":"","family":"Saraf","given":"Swarnlata","non-dropping-particle":"","parse-names":false,"suffix":""},{"dropping-particle":"","family":"Saraf","given":"Shailendra","non-dropping-particle":"","parse-names":false,"suffix":""},{"dropping-particle":"","family":"Tripathi","given":"Dulal Krishna","non-dropping-particle":"","parse-names":false,"suffix":""}],"container-title":"Journal of Controlled Release","id":"ITEM-1","issue":"1","issued":{"date-parts":[["2012"]]},"page":"26-40","publisher":"Elsevier B.V.","title":"Approaches for breaking the barriers of drug permeation through transdermal drug delivery","type":"article-journal","volume":"164"},"uris":["http://www.mendeley.com/documents/?uuid=e5467155-1b49-4239-b67a-a89304b5b30e"]}],"mendeley":{"formattedCitation":"&lt;sup&gt;114&lt;/sup&gt;","plainTextFormattedCitation":"114","previouslyFormattedCitation":"&lt;sup&gt;114&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114</w:t>
      </w:r>
      <w:r>
        <w:rPr>
          <w:color w:val="000000" w:themeColor="text1"/>
        </w:rPr>
        <w:fldChar w:fldCharType="end"/>
      </w:r>
      <w:r>
        <w:rPr>
          <w:color w:val="000000" w:themeColor="text1"/>
        </w:rPr>
        <w:t xml:space="preserve"> </w:t>
      </w:r>
      <w:r w:rsidRPr="00A572C3">
        <w:rPr>
          <w:color w:val="000000" w:themeColor="text1"/>
        </w:rPr>
        <w:t xml:space="preserve">Whilst permeation enhancers have demonstrated a large degree of success, </w:t>
      </w:r>
      <w:r w:rsidRPr="00B6550F">
        <w:rPr>
          <w:color w:val="000000" w:themeColor="text1"/>
        </w:rPr>
        <w:t xml:space="preserve">many </w:t>
      </w:r>
      <w:r>
        <w:rPr>
          <w:color w:val="000000" w:themeColor="text1"/>
        </w:rPr>
        <w:t>of these strategies</w:t>
      </w:r>
      <w:r w:rsidRPr="00B6550F">
        <w:rPr>
          <w:color w:val="000000" w:themeColor="text1"/>
        </w:rPr>
        <w:t xml:space="preserve"> focus on delivering the drug to t</w:t>
      </w:r>
      <w:r>
        <w:rPr>
          <w:color w:val="000000" w:themeColor="text1"/>
        </w:rPr>
        <w:t>he vascular network of the skin</w:t>
      </w:r>
      <w:r w:rsidRPr="00B6550F">
        <w:rPr>
          <w:color w:val="000000" w:themeColor="text1"/>
        </w:rPr>
        <w:t xml:space="preserve"> to achieve systemic delivery of a compound</w:t>
      </w:r>
      <w:r>
        <w:rPr>
          <w:color w:val="000000" w:themeColor="text1"/>
        </w:rPr>
        <w:t>, which is unfavourable for the application described here</w:t>
      </w:r>
      <w:r w:rsidRPr="00B6550F">
        <w:rPr>
          <w:color w:val="000000" w:themeColor="text1"/>
        </w:rPr>
        <w:t xml:space="preserve">. In addition, penetration enhancers can </w:t>
      </w:r>
      <w:r>
        <w:rPr>
          <w:color w:val="000000" w:themeColor="text1"/>
        </w:rPr>
        <w:t>result in increased irritat</w:t>
      </w:r>
      <w:r w:rsidRPr="00B6550F">
        <w:rPr>
          <w:color w:val="000000" w:themeColor="text1"/>
        </w:rPr>
        <w:t>ion an</w:t>
      </w:r>
      <w:r>
        <w:rPr>
          <w:color w:val="000000" w:themeColor="text1"/>
        </w:rPr>
        <w:t>d</w:t>
      </w:r>
      <w:r w:rsidRPr="00B6550F">
        <w:rPr>
          <w:color w:val="000000" w:themeColor="text1"/>
        </w:rPr>
        <w:t xml:space="preserve"> localised toxicity</w:t>
      </w:r>
      <w:r>
        <w:rPr>
          <w:color w:val="000000" w:themeColor="text1"/>
        </w:rPr>
        <w:fldChar w:fldCharType="begin" w:fldLock="1"/>
      </w:r>
      <w:r>
        <w:rPr>
          <w:color w:val="000000" w:themeColor="text1"/>
        </w:rPr>
        <w:instrText>ADDIN CSL_CITATION {"citationItems":[{"id":"ITEM-1","itemData":{"DOI":"10.1073/pnas.0501176102","ISBN":"0027-8424 (Print)","ISSN":"0027-8424","PMID":"15774584","abstract":"Chemical penetration enhancers (CPEs) are present in a large number of transdermal, dermatological, and cosmetic products to aid dermal absorption of curatives and aesthetics. This wide spectrum of use is based on only a handful of molecules, the majority of which belong to three to four typical chemical functionalities, sporadically introduced as CPEs in the last 50 years. Using &gt;100 CPEs representing several chemical functionalities, we report on the fundamental mechanisms that determine the barrier disruption potential of CPEs and skin safety in their presence. Fourier transform infrared spectroscopy studies revealed that regardless of their chemical make-up, CPEs perturb the skin barrier via extraction or fluidization of lipid bilayers. Irritation response of CPEs, on the other hand, correlated with the denaturation of stratum corneum proteins, making it feasible to use protein conformation changes to map CPE safety in vitro. Most interestingly, the understanding of underlying molecular forces responsible for CPE safety and potency reveals inherent constraints that limit CPE performance. Reengineering this knowledge back into molecular structure, we designed &gt;300 potential CPEs. These molecules were screened in silico and subsequently tested in vitro for molecular delivery. These molecules significantly broaden the repertoire of CPEs that can aid the design of optimized transdermal, dermatological, and cosmetic formulations in the future.","author":[{"dropping-particle":"","family":"Karande","given":"Pankaj","non-dropping-particle":"","parse-names":false,"suffix":""},{"dropping-particle":"","family":"Jain","given":"Amit","non-dropping-particle":"","parse-names":false,"suffix":""},{"dropping-particle":"","family":"Ergun","given":"Kaitlin","non-dropping-particle":"","parse-names":false,"suffix":""},{"dropping-particle":"","family":"Kispersky","given":"Vincent","non-dropping-particle":"","parse-names":false,"suffix":""},{"dropping-particle":"","family":"Mitragotri","given":"Samir","non-dropping-particle":"","parse-names":false,"suffix":""}],"container-title":"Proceedings of the National Academy of Sciences of the United States of America","id":"ITEM-1","issue":"13","issued":{"date-parts":[["2005"]]},"page":"4688-4693","title":"Design principles of chemical penetration enhancers for transdermal drug delivery.","type":"article-journal","volume":"102"},"uris":["http://www.mendeley.com/documents/?uuid=0792b5b2-e32c-4b02-a20a-9ac39e577dc4"]}],"mendeley":{"formattedCitation":"&lt;sup&gt;115&lt;/sup&gt;","plainTextFormattedCitation":"115","previouslyFormattedCitation":"&lt;sup&gt;115&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115</w:t>
      </w:r>
      <w:r>
        <w:rPr>
          <w:color w:val="000000" w:themeColor="text1"/>
        </w:rPr>
        <w:fldChar w:fldCharType="end"/>
      </w:r>
      <w:r w:rsidRPr="00B6550F">
        <w:rPr>
          <w:color w:val="000000" w:themeColor="text1"/>
        </w:rPr>
        <w:t xml:space="preserve"> and therefore should be avoided when treating damaged or healing skin.</w:t>
      </w:r>
    </w:p>
    <w:p w14:paraId="658FF9DB" w14:textId="77777777" w:rsidR="009A585B" w:rsidRDefault="009A585B" w:rsidP="009A585B">
      <w:pPr>
        <w:pStyle w:val="Heading3"/>
      </w:pPr>
      <w:bookmarkStart w:id="42" w:name="_Toc2450985"/>
      <w:r>
        <w:t>Types of topical dosage forms</w:t>
      </w:r>
      <w:bookmarkEnd w:id="42"/>
    </w:p>
    <w:p w14:paraId="5F7127E4" w14:textId="77777777" w:rsidR="009A585B" w:rsidRDefault="009A585B" w:rsidP="009A585B">
      <w:r>
        <w:t xml:space="preserve">Topical delivery is often used as a broad term to refer to all types of drug delivery to the skin, incorporating both local and systemic delivery. In the context of this thesis, topical delivery is referred to solely as the delivery of a drug to the localised area of the skin. </w:t>
      </w:r>
    </w:p>
    <w:p w14:paraId="13142DCC" w14:textId="77777777" w:rsidR="009A585B" w:rsidRPr="00FD2A37" w:rsidRDefault="009A585B" w:rsidP="009A585B">
      <w:pPr>
        <w:rPr>
          <w:color w:val="000000" w:themeColor="text1"/>
        </w:rPr>
      </w:pPr>
      <w:r w:rsidRPr="00E01AC2">
        <w:rPr>
          <w:color w:val="000000" w:themeColor="text1"/>
        </w:rPr>
        <w:t>Topical dosage forms are categorised by their physical properties into solid, semi-solid and liquid forms, each with distinct advantages and disadvantages.</w:t>
      </w:r>
      <w:r>
        <w:rPr>
          <w:color w:val="000000" w:themeColor="text1"/>
        </w:rPr>
        <w:t xml:space="preserve"> Solid dosage forms include dusting powders, which are applied to the skin and to open wounds and are most commonly used to deliver antibacterial and antifungal medications.</w:t>
      </w:r>
      <w:r>
        <w:rPr>
          <w:color w:val="000000" w:themeColor="text1"/>
        </w:rPr>
        <w:fldChar w:fldCharType="begin" w:fldLock="1"/>
      </w:r>
      <w:r>
        <w:rPr>
          <w:color w:val="000000" w:themeColor="text1"/>
        </w:rPr>
        <w:instrText>ADDIN CSL_CITATION {"citationItems":[{"id":"ITEM-1","itemData":{"DOI":"10.1016/j.jhin.2003.10.015","ISBN":"0195-6701","ISSN":"01956701","PMID":"15019229","abstract":"We routinely phage-type Staphylococcus aureus isolates from high-risk inpatients each week. This surveillance approach previously identified a five-year outbreak of a methicillin-susceptible S. aureus strain (MSSA, PT 53,85), which affected 202 babies on a regional neonatal unit. We previously reported this outbreak and the multiple staged infection control measures that were required to end it. These included strict emphasis on hand hygiene, environmental and staff surveillance sampling, application of topical triclosan solution and hexachlorophane powder, aseptic handling of a skin protectant material, and use of topical mupirocin for staff nasal carriers of the endemic MSSA strain and for babies colonized or infected with S. aureus. In summer 2000 topical hexachlorophane powder became unavailable and we therefore substituted topical 1% chlorhexidine powder as part of routine umbilical decontamination. We have continued prospective S. aureus surveillance for the past five years to monitor the effect of this practice change. We observed a continued decline in the numbers of monthly MSSA isolates from neonatal unit babies. Since the substitution of chlorhexidine for hexachlorophane, the median monthly number of MRSA isolates has been 0.5 (range 0-4). Only sporadic S. aureus PT 53,85 isolates were recovered. Control of S. aureus in our regional neonatal unit, in particular an endemic MSSA strain, was maintained when topical umbilical hexachlorophane powder was substituted with 1% chlorhexidine powder. © 2003 The Hospital Infection Society. Published by Elsevier Ltd. All rights reserved.","author":[{"dropping-particle":"","family":"Wilcox","given":"Mark H.","non-dropping-particle":"","parse-names":false,"suffix":""},{"dropping-particle":"","family":"Hall","given":"J.","non-dropping-particle":"","parse-names":false,"suffix":""},{"dropping-particle":"","family":"Gill","given":"A. B.","non-dropping-particle":"","parse-names":false,"suffix":""},{"dropping-particle":"","family":"Fawley","given":"W. N.","non-dropping-particle":"","parse-names":false,"suffix":""},{"dropping-particle":"","family":"Parnell","given":"P.","non-dropping-particle":"","parse-names":false,"suffix":""},{"dropping-particle":"","family":"Verity","given":"P.","non-dropping-particle":"","parse-names":false,"suffix":""}],"container-title":"Journal of Hospital Infection","id":"ITEM-1","issue":"2","issued":{"date-parts":[["2004"]]},"page":"156-159","title":"Effectiveness of topical chlorhexidine powder as an alternative to hexachlorophane for the control of Staphylococccus aureus in neonates","type":"article-journal","volume":"56"},"uris":["http://www.mendeley.com/documents/?uuid=d98b9229-97fb-4d6d-80b2-9ec2946f1fb9"]}],"mendeley":{"formattedCitation":"&lt;sup&gt;116&lt;/sup&gt;","plainTextFormattedCitation":"116","previouslyFormattedCitation":"&lt;sup&gt;116&lt;/sup&gt;"},"properties":{"noteIndex":0},"schema":"https://github.com/citation-style-language/schema/raw/master/csl-citation.json"}</w:instrText>
      </w:r>
      <w:r>
        <w:rPr>
          <w:color w:val="000000" w:themeColor="text1"/>
        </w:rPr>
        <w:fldChar w:fldCharType="separate"/>
      </w:r>
      <w:r w:rsidRPr="005E2CBA">
        <w:rPr>
          <w:noProof/>
          <w:color w:val="000000" w:themeColor="text1"/>
          <w:vertAlign w:val="superscript"/>
        </w:rPr>
        <w:t>116</w:t>
      </w:r>
      <w:r>
        <w:rPr>
          <w:color w:val="000000" w:themeColor="text1"/>
        </w:rPr>
        <w:fldChar w:fldCharType="end"/>
      </w:r>
      <w:r>
        <w:rPr>
          <w:color w:val="000000" w:themeColor="text1"/>
        </w:rPr>
        <w:t xml:space="preserve"> Dusting powders are generally used for short-term applications due to their lack of adhesiveness. On the other hand, semisolid dosage forms, such as creams, gels and ointments, are able to adhere to the skin or </w:t>
      </w:r>
      <w:r w:rsidRPr="00DC2251">
        <w:rPr>
          <w:color w:val="000000" w:themeColor="text1"/>
        </w:rPr>
        <w:t xml:space="preserve">wound. </w:t>
      </w:r>
      <w:r>
        <w:rPr>
          <w:color w:val="000000" w:themeColor="text1"/>
        </w:rPr>
        <w:t>In their simplest form, semisolids comprise of a base medium along with additives and active ingredients. The base medium can be formulated as hydrophilic or hydrophobic, allowing a range of drugs to be incorporated.</w:t>
      </w:r>
      <w:r w:rsidRPr="00B24385">
        <w:rPr>
          <w:color w:val="FF0000"/>
        </w:rPr>
        <w:t xml:space="preserve"> </w:t>
      </w:r>
      <w:r>
        <w:rPr>
          <w:color w:val="000000" w:themeColor="text1"/>
        </w:rPr>
        <w:t>Semisolids have the advantage that they do not occlude the skin, therefore local irritation is less widely observed than for other topical dosage forms, such as patches.</w:t>
      </w:r>
      <w:r>
        <w:rPr>
          <w:color w:val="000000" w:themeColor="text1"/>
        </w:rPr>
        <w:fldChar w:fldCharType="begin" w:fldLock="1"/>
      </w:r>
      <w:r>
        <w:rPr>
          <w:color w:val="000000" w:themeColor="text1"/>
        </w:rPr>
        <w:instrText>ADDIN CSL_CITATION {"citationItems":[{"id":"ITEM-1","itemData":{"DOI":"10.1093/bjaceaccp/mkq054","ISSN":"1743-1816","author":[{"dropping-particle":"","family":"Bajaj","given":"Sanjay","non-dropping-particle":"","parse-names":false,"suffix":""},{"dropping-particle":"","family":"Whiteman","given":"Abigail","non-dropping-particle":"","parse-names":false,"suffix":""},{"dropping-particle":"","family":"Brandner","given":"Brigitta","non-dropping-particle":"","parse-names":false,"suffix":""}],"container-title":"Continuing Education in Anaesthesia, Critical Care &amp; Pain","id":"ITEM-1","issue":"2","issued":{"date-parts":[["2011"]]},"page":"39-43","title":"Transdermal drug delivery in pain management","type":"article-journal","volume":"11"},"uris":["http://www.mendeley.com/documents/?uuid=38531854-0bf9-4dcc-bd6c-773ec0519ece"]}],"mendeley":{"formattedCitation":"&lt;sup&gt;117&lt;/sup&gt;","plainTextFormattedCitation":"117","previouslyFormattedCitation":"&lt;sup&gt;117&lt;/sup&gt;"},"properties":{"noteIndex":0},"schema":"https://github.com/citation-style-language/schema/raw/master/csl-citation.json"}</w:instrText>
      </w:r>
      <w:r>
        <w:rPr>
          <w:color w:val="000000" w:themeColor="text1"/>
        </w:rPr>
        <w:fldChar w:fldCharType="separate"/>
      </w:r>
      <w:r w:rsidRPr="00C113F2">
        <w:rPr>
          <w:noProof/>
          <w:color w:val="000000" w:themeColor="text1"/>
          <w:vertAlign w:val="superscript"/>
        </w:rPr>
        <w:t>117</w:t>
      </w:r>
      <w:r>
        <w:rPr>
          <w:color w:val="000000" w:themeColor="text1"/>
        </w:rPr>
        <w:fldChar w:fldCharType="end"/>
      </w:r>
      <w:r>
        <w:rPr>
          <w:color w:val="000000" w:themeColor="text1"/>
        </w:rPr>
        <w:t xml:space="preserve"> However, semisolids can be easily wiped off and they tend to </w:t>
      </w:r>
      <w:r>
        <w:rPr>
          <w:color w:val="000000" w:themeColor="text1"/>
        </w:rPr>
        <w:lastRenderedPageBreak/>
        <w:t>require daily application.</w:t>
      </w:r>
      <w:r>
        <w:rPr>
          <w:color w:val="000000" w:themeColor="text1"/>
        </w:rPr>
        <w:fldChar w:fldCharType="begin" w:fldLock="1"/>
      </w:r>
      <w:r>
        <w:rPr>
          <w:color w:val="000000" w:themeColor="text1"/>
        </w:rPr>
        <w:instrText>ADDIN CSL_CITATION {"citationItems":[{"id":"ITEM-1","itemData":{"DOI":"10.1016/j.ajps.2017.07.004","ISSN":"2221285X","abstract":"Skin is considered as an important route of administration of drugs for both local and systemic effects. The effectiveness of topical therapy depends on the physicochemical properties of the drug and adherence of the patient to the treatment regimen as well as the system's ability to adhere to skin during the therapy so as to promote drug penetration through the skin barrier. Conventional formulations for topical and dermatological administration of drugs have certain limitations like poor adherence to skin, poor permeability and compromised patient compliance. For the treatment of diseases of body tissues and wounds, the drug has to be maintained at the site of treatment for an effective period of time. Topical film forming systems are such developing drug delivery systems meant for topical application to the skin, which adhere to the body, forming a thin transparent film and provide delivery of the active ingredients to the body tissue. These are intended for skin application as emollient or protective and for local action or transdermal penetration of medicament for systemic action. The transparency is an appreciable feature of this polymeric system which greatly influences the patient acceptance. In the current discussion, the film forming systems are described as a promising choice for topical and transdermal drug delivery. Further the various types of film forming systems (sprays/solutions, gels and emulsions) along with their evaluation parameters have also been reviewed.","author":[{"dropping-particle":"","family":"Kathe","given":"Kashmira","non-dropping-particle":"","parse-names":false,"suffix":""},{"dropping-particle":"","family":"Kathpalia","given":"Harsha","non-dropping-particle":"","parse-names":false,"suffix":""}],"container-title":"Asian Journal of Pharmaceutical Sciences","id":"ITEM-1","issue":"6","issued":{"date-parts":[["2017"]]},"page":"487-497","publisher":"Elsevier B.V.","title":"Film forming systems for topical and transdermal drug delivery","type":"article-journal","volume":"12"},"uris":["http://www.mendeley.com/documents/?uuid=2f3d6700-ab86-4810-ba4f-e5a56337c680"]}],"mendeley":{"formattedCitation":"&lt;sup&gt;118&lt;/sup&gt;","plainTextFormattedCitation":"118","previouslyFormattedCitation":"&lt;sup&gt;118&lt;/sup&gt;"},"properties":{"noteIndex":0},"schema":"https://github.com/citation-style-language/schema/raw/master/csl-citation.json"}</w:instrText>
      </w:r>
      <w:r>
        <w:rPr>
          <w:color w:val="000000" w:themeColor="text1"/>
        </w:rPr>
        <w:fldChar w:fldCharType="separate"/>
      </w:r>
      <w:r w:rsidRPr="00D441F3">
        <w:rPr>
          <w:noProof/>
          <w:color w:val="000000" w:themeColor="text1"/>
          <w:vertAlign w:val="superscript"/>
        </w:rPr>
        <w:t>118</w:t>
      </w:r>
      <w:r>
        <w:rPr>
          <w:color w:val="000000" w:themeColor="text1"/>
        </w:rPr>
        <w:fldChar w:fldCharType="end"/>
      </w:r>
      <w:r>
        <w:rPr>
          <w:color w:val="000000" w:themeColor="text1"/>
        </w:rPr>
        <w:t xml:space="preserve"> </w:t>
      </w:r>
      <w:r w:rsidRPr="00FD2A37">
        <w:rPr>
          <w:color w:val="000000" w:themeColor="text1"/>
        </w:rPr>
        <w:t xml:space="preserve">Liquid dosage forms </w:t>
      </w:r>
      <w:r>
        <w:rPr>
          <w:color w:val="000000" w:themeColor="text1"/>
        </w:rPr>
        <w:t>are prepared as</w:t>
      </w:r>
      <w:r w:rsidRPr="00FD2A37">
        <w:rPr>
          <w:color w:val="000000" w:themeColor="text1"/>
        </w:rPr>
        <w:t xml:space="preserve"> lotions or liniments (low viscosity liquids that are rubbed onto the skin)</w:t>
      </w:r>
      <w:r>
        <w:rPr>
          <w:color w:val="000000" w:themeColor="text1"/>
        </w:rPr>
        <w:t xml:space="preserve"> and are applied to unbroken skin.</w:t>
      </w:r>
      <w:r>
        <w:rPr>
          <w:color w:val="000000" w:themeColor="text1"/>
        </w:rPr>
        <w:fldChar w:fldCharType="begin" w:fldLock="1"/>
      </w:r>
      <w:r>
        <w:rPr>
          <w:color w:val="000000" w:themeColor="text1"/>
        </w:rPr>
        <w:instrText>ADDIN CSL_CITATION {"citationItems":[{"id":"ITEM-1","itemData":{"DOI":"10.3109/10717544.2013.879355","ISBN":"1071-7544","ISSN":"15210464","PMID":"24456019","abstract":"Skin is the largest organ of the human body and plays the most important role in protecting against pathogen and foreign matter. Three important modes such as topical, regional and transdermal are widely used for delivery of various dosage forms. Among these modes, the topical dosage forms are preferred because it provides local therapeutic activity when applied to the skin or mucous membranes. Additives or pharmaceutical excipients (non-drug component of dosage form) are used as inactive ingredients in dosage form or tools for structuring dosage forms. The main use of topical dosage form additives are controling the extent of absorption, maintaining the viscosity, improving the stability as well as organoleptic property and increasing the bulk of the formulation. The overall goal of this article is to provide the clinician with information related to the topical dosage form additives and their current major applications against various diseases.","author":[{"dropping-particle":"","family":"Garg","given":"Tarun","non-dropping-particle":"","parse-names":false,"suffix":""},{"dropping-particle":"","family":"Rath","given":"Goutam","non-dropping-particle":"","parse-names":false,"suffix":""},{"dropping-particle":"","family":"Goyal","given":"Amit K.","non-dropping-particle":"","parse-names":false,"suffix":""}],"container-title":"Drug Delivery","id":"ITEM-1","issue":"8","issued":{"date-parts":[["2015"]]},"page":"969-987","title":"Comprehensive review on additives of topical dosage forms for drug delivery","type":"article-journal","volume":"22"},"uris":["http://www.mendeley.com/documents/?uuid=d497ef4d-55a6-4fad-985a-01f93b9ffd71"]}],"mendeley":{"formattedCitation":"&lt;sup&gt;119&lt;/sup&gt;","plainTextFormattedCitation":"119","previouslyFormattedCitation":"&lt;sup&gt;119&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119</w:t>
      </w:r>
      <w:r>
        <w:rPr>
          <w:color w:val="000000" w:themeColor="text1"/>
        </w:rPr>
        <w:fldChar w:fldCharType="end"/>
      </w:r>
    </w:p>
    <w:p w14:paraId="082DA808" w14:textId="31B277B2" w:rsidR="009A585B" w:rsidRDefault="009A585B" w:rsidP="009A585B">
      <w:pPr>
        <w:rPr>
          <w:color w:val="000000" w:themeColor="text1"/>
        </w:rPr>
      </w:pPr>
      <w:r w:rsidRPr="00585EDE">
        <w:rPr>
          <w:color w:val="000000" w:themeColor="text1"/>
        </w:rPr>
        <w:t>Topical patches have been described as a new method to allow the localised delivery of a therapeutic to the skin. Patches are able to remain in place for the whole period of treatment and, unlike semisolid preparations, are able to deliver drugs for a sustained period of time.</w:t>
      </w:r>
      <w:r>
        <w:rPr>
          <w:color w:val="000000" w:themeColor="text1"/>
        </w:rPr>
        <w:fldChar w:fldCharType="begin" w:fldLock="1"/>
      </w:r>
      <w:r w:rsidR="00B02713">
        <w:rPr>
          <w:color w:val="000000" w:themeColor="text1"/>
        </w:rPr>
        <w:instrText>ADDIN CSL_CITATION {"citationItems":[{"id":"ITEM-1","itemData":{"DOI":"10.1016/S1461-5347(00)00295-9","ISBN":"1461-5347","ISSN":"14615347","PMID":"10996573","abstract":"The skin represents an extraordinary evolutionary feat. Not only does it physically encapsulate the organism and provide a multifunctional interface between us and our surroundings, but it is perpetually engaged in the assembly of a highly efficient homeostatic barrier to the outward loss of water. In so doing, it furnishes a membrane that is equally adept at limiting molecular transport both from and into the body. Overcoming this barrier function then, for the purpose of transdermal drug delivery, has been a necessarily challenging task for the pharmaceutical scientist, and one that boasts significant progress.","author":[{"dropping-particle":"","family":"Naik","given":"Aarti","non-dropping-particle":"","parse-names":false,"suffix":""},{"dropping-particle":"","family":"Kalia","given":"Yogeshvar N.","non-dropping-particle":"","parse-names":false,"suffix":""},{"dropping-particle":"","family":"Guy","given":"Richard H.","non-dropping-particle":"","parse-names":false,"suffix":""}],"container-title":"Pharmaceutical Science and Technology Today","id":"ITEM-1","issue":"9","issued":{"date-parts":[["2000"]]},"page":"318-326","title":"Transdermal drug delivery: Overcoming the skin's barrier function","type":"article-journal","volume":"3"},"uris":["http://www.mendeley.com/documents/?uuid=ee4bf3dd-6da3-4128-9838-919347f41830"]}],"mendeley":{"formattedCitation":"&lt;sup&gt;107&lt;/sup&gt;","plainTextFormattedCitation":"107","previouslyFormattedCitation":"&lt;sup&gt;107&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107</w:t>
      </w:r>
      <w:r>
        <w:rPr>
          <w:color w:val="000000" w:themeColor="text1"/>
        </w:rPr>
        <w:fldChar w:fldCharType="end"/>
      </w:r>
      <w:r w:rsidRPr="00585EDE">
        <w:rPr>
          <w:color w:val="000000" w:themeColor="text1"/>
        </w:rPr>
        <w:t xml:space="preserve"> However, reports have suggested that the occlusive properties of topical patches often lead</w:t>
      </w:r>
      <w:r>
        <w:rPr>
          <w:color w:val="000000" w:themeColor="text1"/>
        </w:rPr>
        <w:t>s</w:t>
      </w:r>
      <w:r w:rsidRPr="00585EDE">
        <w:rPr>
          <w:color w:val="000000" w:themeColor="text1"/>
        </w:rPr>
        <w:t xml:space="preserve"> to skin irritation.</w:t>
      </w:r>
      <w:r>
        <w:rPr>
          <w:color w:val="000000" w:themeColor="text1"/>
        </w:rPr>
        <w:fldChar w:fldCharType="begin" w:fldLock="1"/>
      </w:r>
      <w:r>
        <w:rPr>
          <w:color w:val="000000" w:themeColor="text1"/>
        </w:rPr>
        <w:instrText>ADDIN CSL_CITATION {"citationItems":[{"id":"ITEM-1","itemData":{"DOI":"10.1016/j.ajps.2017.07.004","ISSN":"2221285X","abstract":"Skin is considered as an important route of administration of drugs for both local and systemic effects. The effectiveness of topical therapy depends on the physicochemical properties of the drug and adherence of the patient to the treatment regimen as well as the system's ability to adhere to skin during the therapy so as to promote drug penetration through the skin barrier. Conventional formulations for topical and dermatological administration of drugs have certain limitations like poor adherence to skin, poor permeability and compromised patient compliance. For the treatment of diseases of body tissues and wounds, the drug has to be maintained at the site of treatment for an effective period of time. Topical film forming systems are such developing drug delivery systems meant for topical application to the skin, which adhere to the body, forming a thin transparent film and provide delivery of the active ingredients to the body tissue. These are intended for skin application as emollient or protective and for local action or transdermal penetration of medicament for systemic action. The transparency is an appreciable feature of this polymeric system which greatly influences the patient acceptance. In the current discussion, the film forming systems are described as a promising choice for topical and transdermal drug delivery. Further the various types of film forming systems (sprays/solutions, gels and emulsions) along with their evaluation parameters have also been reviewed.","author":[{"dropping-particle":"","family":"Kathe","given":"Kashmira","non-dropping-particle":"","parse-names":false,"suffix":""},{"dropping-particle":"","family":"Kathpalia","given":"Harsha","non-dropping-particle":"","parse-names":false,"suffix":""}],"container-title":"Asian Journal of Pharmaceutical Sciences","id":"ITEM-1","issue":"6","issued":{"date-parts":[["2017"]]},"page":"487-497","publisher":"Elsevier B.V.","title":"Film forming systems for topical and transdermal drug delivery","type":"article-journal","volume":"12"},"uris":["http://www.mendeley.com/documents/?uuid=2f3d6700-ab86-4810-ba4f-e5a56337c680"]}],"mendeley":{"formattedCitation":"&lt;sup&gt;118&lt;/sup&gt;","plainTextFormattedCitation":"118","previouslyFormattedCitation":"&lt;sup&gt;118&lt;/sup&gt;"},"properties":{"noteIndex":0},"schema":"https://github.com/citation-style-language/schema/raw/master/csl-citation.json"}</w:instrText>
      </w:r>
      <w:r>
        <w:rPr>
          <w:color w:val="000000" w:themeColor="text1"/>
        </w:rPr>
        <w:fldChar w:fldCharType="separate"/>
      </w:r>
      <w:r w:rsidRPr="00C113F2">
        <w:rPr>
          <w:noProof/>
          <w:color w:val="000000" w:themeColor="text1"/>
          <w:vertAlign w:val="superscript"/>
        </w:rPr>
        <w:t>118</w:t>
      </w:r>
      <w:r>
        <w:rPr>
          <w:color w:val="000000" w:themeColor="text1"/>
        </w:rPr>
        <w:fldChar w:fldCharType="end"/>
      </w:r>
      <w:r>
        <w:rPr>
          <w:color w:val="000000" w:themeColor="text1"/>
        </w:rPr>
        <w:t xml:space="preserve"> More recently</w:t>
      </w:r>
      <w:r w:rsidRPr="00585EDE">
        <w:rPr>
          <w:color w:val="000000" w:themeColor="text1"/>
        </w:rPr>
        <w:t>, film forming systems have been trialled as an alternative to topical patches.</w:t>
      </w:r>
      <w:r>
        <w:rPr>
          <w:color w:val="000000" w:themeColor="text1"/>
        </w:rPr>
        <w:fldChar w:fldCharType="begin" w:fldLock="1"/>
      </w:r>
      <w:r>
        <w:rPr>
          <w:color w:val="000000" w:themeColor="text1"/>
        </w:rPr>
        <w:instrText>ADDIN CSL_CITATION {"citationItems":[{"id":"ITEM-1","itemData":{"DOI":"10.1016/j.ajps.2016.05.004","ISBN":"1818-0876","ISSN":"2221285X","abstract":"Pharmaceutical scientists throughout the world are trying to explore thin films as a novel drug delivery tool. Thin films have been identified as an alternative approach to conventional dosage forms. The thin films are considered to be convenient to swallow, self-administrable, and fast dissolving dosage form, all of which make it as a versatile platform for drug delivery. This delivery system has been used for both systemic and local action via several routes such as oral, buccal, sublingual, ocular, and transdermal routes. The design of efficient thin films requires a comprehensive knowledge of the pharmacological and pharmaceutical properties of drugs and polymers along with an appropriate selection of manufacturing processes. Therefore, the aim of this review is to provide an overview of the critical factors affecting the formulation of thin films, including the physico-chemical properties of polymers and drugs, anatomical and physiological constraints, as well as the characterization methods and quality specifications to circumvent the difficulties associated with formulation design. It also highlights the recent trends and perspectives to develop thin film products by various companies.","author":[{"dropping-particle":"","family":"Karki","given":"Sandeep","non-dropping-particle":"","parse-names":false,"suffix":""},{"dropping-particle":"","family":"Kim","given":"Hyeongmin","non-dropping-particle":"","parse-names":false,"suffix":""},{"dropping-particle":"","family":"Na","given":"Seon Jeong","non-dropping-particle":"","parse-names":false,"suffix":""},{"dropping-particle":"","family":"Shin","given":"Dohyun","non-dropping-particle":"","parse-names":false,"suffix":""},{"dropping-particle":"","family":"Jo","given":"Kanghee","non-dropping-particle":"","parse-names":false,"suffix":""},{"dropping-particle":"","family":"Lee","given":"Jaehwi","non-dropping-particle":"","parse-names":false,"suffix":""}],"container-title":"Asian Journal of Pharmaceutical Sciences","id":"ITEM-1","issue":"5","issued":{"date-parts":[["2016"]]},"page":"559-574","publisher":"Elsevier B.V.","title":"Thin films as an emerging platform for drug delivery","type":"article-journal","volume":"11"},"uris":["http://www.mendeley.com/documents/?uuid=0228a0cb-c655-41e2-9dd5-72c678b6d546"]}],"mendeley":{"formattedCitation":"&lt;sup&gt;120&lt;/sup&gt;","plainTextFormattedCitation":"120","previouslyFormattedCitation":"&lt;sup&gt;120&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120</w:t>
      </w:r>
      <w:r>
        <w:rPr>
          <w:color w:val="000000" w:themeColor="text1"/>
        </w:rPr>
        <w:fldChar w:fldCharType="end"/>
      </w:r>
      <w:r w:rsidRPr="00585EDE">
        <w:rPr>
          <w:color w:val="000000" w:themeColor="text1"/>
        </w:rPr>
        <w:t xml:space="preserve"> </w:t>
      </w:r>
      <w:r>
        <w:rPr>
          <w:color w:val="000000" w:themeColor="text1"/>
        </w:rPr>
        <w:t>Film forming systems are polymeric solutions applied to the skin that rapidly form a thin film following solvent evaporation. Topical films allow more water vapour permeation through the skin than patches, leading to reduced irritation.</w:t>
      </w:r>
      <w:r>
        <w:rPr>
          <w:color w:val="000000" w:themeColor="text1"/>
        </w:rPr>
        <w:fldChar w:fldCharType="begin" w:fldLock="1"/>
      </w:r>
      <w:r>
        <w:rPr>
          <w:color w:val="000000" w:themeColor="text1"/>
        </w:rPr>
        <w:instrText>ADDIN CSL_CITATION {"citationItems":[{"id":"ITEM-1","itemData":{"DOI":"10.1016/j.ajps.2016.05.004","ISBN":"1818-0876","ISSN":"2221285X","abstract":"Pharmaceutical scientists throughout the world are trying to explore thin films as a novel drug delivery tool. Thin films have been identified as an alternative approach to conventional dosage forms. The thin films are considered to be convenient to swallow, self-administrable, and fast dissolving dosage form, all of which make it as a versatile platform for drug delivery. This delivery system has been used for both systemic and local action via several routes such as oral, buccal, sublingual, ocular, and transdermal routes. The design of efficient thin films requires a comprehensive knowledge of the pharmacological and pharmaceutical properties of drugs and polymers along with an appropriate selection of manufacturing processes. Therefore, the aim of this review is to provide an overview of the critical factors affecting the formulation of thin films, including the physico-chemical properties of polymers and drugs, anatomical and physiological constraints, as well as the characterization methods and quality specifications to circumvent the difficulties associated with formulation design. It also highlights the recent trends and perspectives to develop thin film products by various companies.","author":[{"dropping-particle":"","family":"Karki","given":"Sandeep","non-dropping-particle":"","parse-names":false,"suffix":""},{"dropping-particle":"","family":"Kim","given":"Hyeongmin","non-dropping-particle":"","parse-names":false,"suffix":""},{"dropping-particle":"","family":"Na","given":"Seon Jeong","non-dropping-particle":"","parse-names":false,"suffix":""},{"dropping-particle":"","family":"Shin","given":"Dohyun","non-dropping-particle":"","parse-names":false,"suffix":""},{"dropping-particle":"","family":"Jo","given":"Kanghee","non-dropping-particle":"","parse-names":false,"suffix":""},{"dropping-particle":"","family":"Lee","given":"Jaehwi","non-dropping-particle":"","parse-names":false,"suffix":""}],"container-title":"Asian Journal of Pharmaceutical Sciences","id":"ITEM-1","issue":"5","issued":{"date-parts":[["2016"]]},"page":"559-574","publisher":"Elsevier B.V.","title":"Thin films as an emerging platform for drug delivery","type":"article-journal","volume":"11"},"uris":["http://www.mendeley.com/documents/?uuid=0228a0cb-c655-41e2-9dd5-72c678b6d546"]}],"mendeley":{"formattedCitation":"&lt;sup&gt;120&lt;/sup&gt;","plainTextFormattedCitation":"120","previouslyFormattedCitation":"&lt;sup&gt;120&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120</w:t>
      </w:r>
      <w:r>
        <w:rPr>
          <w:color w:val="000000" w:themeColor="text1"/>
        </w:rPr>
        <w:fldChar w:fldCharType="end"/>
      </w:r>
    </w:p>
    <w:p w14:paraId="5A93E1DE" w14:textId="77777777" w:rsidR="009A585B" w:rsidRPr="0054660A" w:rsidRDefault="009A585B" w:rsidP="009A585B">
      <w:pPr>
        <w:rPr>
          <w:color w:val="000000" w:themeColor="text1"/>
        </w:rPr>
      </w:pPr>
      <w:r w:rsidRPr="0054660A">
        <w:rPr>
          <w:color w:val="000000" w:themeColor="text1"/>
        </w:rPr>
        <w:t>Regardless of the dosage form used, topical delivery of</w:t>
      </w:r>
      <w:r w:rsidRPr="0054660A">
        <w:rPr>
          <w:rFonts w:ascii="Cambria" w:hAnsi="Cambria"/>
          <w:color w:val="000000" w:themeColor="text1"/>
        </w:rPr>
        <w:t xml:space="preserve"> β</w:t>
      </w:r>
      <w:r w:rsidRPr="0054660A">
        <w:rPr>
          <w:color w:val="000000" w:themeColor="text1"/>
        </w:rPr>
        <w:t xml:space="preserve">-APN may provide a </w:t>
      </w:r>
      <w:r>
        <w:rPr>
          <w:color w:val="000000" w:themeColor="text1"/>
        </w:rPr>
        <w:t xml:space="preserve">targeted </w:t>
      </w:r>
      <w:r w:rsidRPr="0054660A">
        <w:rPr>
          <w:color w:val="000000" w:themeColor="text1"/>
        </w:rPr>
        <w:t xml:space="preserve">route of administration to treat burn scar contracture, potentially decreasing the necessary dose and therefore reducing adverse side effects. To achieve this, an understanding of the ability of </w:t>
      </w:r>
      <w:r w:rsidRPr="0054660A">
        <w:rPr>
          <w:rFonts w:ascii="Cambria" w:hAnsi="Cambria"/>
          <w:color w:val="000000" w:themeColor="text1"/>
        </w:rPr>
        <w:t>β</w:t>
      </w:r>
      <w:r w:rsidRPr="0054660A">
        <w:rPr>
          <w:color w:val="000000" w:themeColor="text1"/>
        </w:rPr>
        <w:t>-APN to penetrate the skin is required.</w:t>
      </w:r>
    </w:p>
    <w:p w14:paraId="764CECDE" w14:textId="77777777" w:rsidR="009A585B" w:rsidRDefault="009A585B" w:rsidP="009A585B">
      <w:pPr>
        <w:pStyle w:val="Heading3"/>
      </w:pPr>
      <w:bookmarkStart w:id="43" w:name="_Toc2450986"/>
      <w:r>
        <w:t xml:space="preserve">Topical delivery of </w:t>
      </w:r>
      <w:r>
        <w:sym w:font="Symbol" w:char="F062"/>
      </w:r>
      <w:r>
        <w:noBreakHyphen/>
        <w:t>aminopropionitrile</w:t>
      </w:r>
      <w:bookmarkEnd w:id="43"/>
    </w:p>
    <w:p w14:paraId="0027FE15" w14:textId="77777777" w:rsidR="009A585B" w:rsidRDefault="009A585B" w:rsidP="009A585B">
      <w:pPr>
        <w:rPr>
          <w:color w:val="000000" w:themeColor="text1"/>
        </w:rPr>
      </w:pPr>
      <w:r w:rsidRPr="00662922">
        <w:rPr>
          <w:color w:val="000000" w:themeColor="text1"/>
        </w:rPr>
        <w:t xml:space="preserve">There are a </w:t>
      </w:r>
      <w:r>
        <w:rPr>
          <w:color w:val="000000" w:themeColor="text1"/>
        </w:rPr>
        <w:t>few reports in the literature on</w:t>
      </w:r>
      <w:r w:rsidRPr="00662922">
        <w:rPr>
          <w:color w:val="000000" w:themeColor="text1"/>
        </w:rPr>
        <w:t xml:space="preserve"> the topical delivery of </w:t>
      </w:r>
      <w:r w:rsidRPr="00662922">
        <w:rPr>
          <w:rFonts w:ascii="Cambria" w:hAnsi="Cambria"/>
          <w:color w:val="000000" w:themeColor="text1"/>
        </w:rPr>
        <w:t>β</w:t>
      </w:r>
      <w:r w:rsidRPr="00662922">
        <w:rPr>
          <w:color w:val="000000" w:themeColor="text1"/>
        </w:rPr>
        <w:noBreakHyphen/>
        <w:t>APN</w:t>
      </w:r>
      <w:r>
        <w:rPr>
          <w:color w:val="000000" w:themeColor="text1"/>
        </w:rPr>
        <w:t>, either in its free base form or as a fumarate salt,</w:t>
      </w:r>
      <w:r w:rsidRPr="00662922">
        <w:rPr>
          <w:color w:val="000000" w:themeColor="text1"/>
        </w:rPr>
        <w:t xml:space="preserve"> to treat a variety of morbidities. For example, Moorhead </w:t>
      </w:r>
      <w:r w:rsidRPr="00662922">
        <w:rPr>
          <w:i/>
          <w:color w:val="000000" w:themeColor="text1"/>
        </w:rPr>
        <w:t>et al</w:t>
      </w:r>
      <w:r w:rsidRPr="00662922">
        <w:rPr>
          <w:color w:val="000000" w:themeColor="text1"/>
        </w:rPr>
        <w:t>. reported positive outcomes from topical treatment</w:t>
      </w:r>
      <w:r w:rsidRPr="00662922">
        <w:rPr>
          <w:rFonts w:ascii="Cambria" w:hAnsi="Cambria"/>
          <w:color w:val="000000" w:themeColor="text1"/>
        </w:rPr>
        <w:t xml:space="preserve"> </w:t>
      </w:r>
      <w:r>
        <w:rPr>
          <w:rFonts w:ascii="Cambria" w:hAnsi="Cambria"/>
          <w:color w:val="000000" w:themeColor="text1"/>
        </w:rPr>
        <w:t xml:space="preserve"> of </w:t>
      </w:r>
      <w:r w:rsidRPr="00662922">
        <w:rPr>
          <w:rFonts w:ascii="Cambria" w:hAnsi="Cambria"/>
          <w:color w:val="000000" w:themeColor="text1"/>
        </w:rPr>
        <w:t>β</w:t>
      </w:r>
      <w:r w:rsidRPr="00662922">
        <w:rPr>
          <w:color w:val="000000" w:themeColor="text1"/>
        </w:rPr>
        <w:noBreakHyphen/>
        <w:t>APN</w:t>
      </w:r>
      <w:r>
        <w:rPr>
          <w:color w:val="000000" w:themeColor="text1"/>
        </w:rPr>
        <w:t xml:space="preserve"> fumarate salt</w:t>
      </w:r>
      <w:r w:rsidRPr="00662922">
        <w:rPr>
          <w:color w:val="000000" w:themeColor="text1"/>
        </w:rPr>
        <w:t xml:space="preserve"> in rabbits following eye surgery by demonstrating an increase </w:t>
      </w:r>
      <w:r w:rsidRPr="00F66B99">
        <w:rPr>
          <w:color w:val="000000" w:themeColor="text1"/>
        </w:rPr>
        <w:t>in corneal flexibility.</w:t>
      </w:r>
      <w:r w:rsidRPr="00F66B99">
        <w:rPr>
          <w:color w:val="000000" w:themeColor="text1"/>
        </w:rPr>
        <w:fldChar w:fldCharType="begin" w:fldLock="1"/>
      </w:r>
      <w:r>
        <w:rPr>
          <w:color w:val="000000" w:themeColor="text1"/>
        </w:rPr>
        <w:instrText>ADDIN CSL_CITATION {"citationItems":[{"id":"ITEM-1","itemData":{"ISSN":"0003-9950 (Print)","PMID":"6696678","abstract":"This study assessed the effect of beta-aminopropionitrile treatment on the long-term curvature and compliance of corneal tissue subjected to radial keratotomy (RK). beta-Aminopropionitrile is known to inhibit cross-linking of collagen and is expected to enhance the flexibility of scar tissue, thereby reducing wound contracture and regression after RK. Seventeen adult New Zealand rabbits, weighing about 4.5 kg each, underwent RK in both eyes (eight incisions, 90% deep, 3-mm pupillary zone). Their mean preoperative corneal curvature was 44.25 diopters (+/- 0.32D at 95% confidence level). Nine of the rabbits were treated topically with beta-aminopropionitrile ointment (33 weight % in petroleum three times daily), while the control group received the petrolatum base only. The remainder of the animals received bland petrolatum gel as a control. The animals were given periodic keratometric examinations and were killed after six to eight weeks. At that time, the beta-aminopropionitrile group showed a mean reduction of 1.85 +/- 0.13 D in corneal curvature, compared with 1.18 +/- 0.08 D in the control group. The compliance and strength of the corneas were measured in vitro immediately after death. In the pressure range from 10 to 40 mm Hg, the beta-aminopropionitrile-treated corneas changed in curvature by an average of 1.4 D as compared with 0.5-D flattening for the controls. These results indicate the effectiveness of beta-aminopropionitrile treatment in enhancing longterm compliance and reducing refractive regression after RK.","author":[{"dropping-particle":"","family":"Moorhead","given":"Louise Cope","non-dropping-particle":"","parse-names":false,"suffix":""},{"dropping-particle":"","family":"Carroll","given":"Jeanne","non-dropping-particle":"","parse-names":false,"suffix":""},{"dropping-particle":"","family":"Constance","given":"George","non-dropping-particle":"","parse-names":false,"suffix":""},{"dropping-particle":"","family":"Jenkins III","given":"Daniel E.","non-dropping-particle":"","parse-names":false,"suffix":""},{"dropping-particle":"","family":"Armeniades","given":"C.D.","non-dropping-particle":"","parse-names":false,"suffix":""}],"container-title":"Archives of Opthamology","id":"ITEM-1","issued":{"date-parts":[["1984"]]},"page":"304-307","title":"Topical Treatment With Beta-Aminopropionitrile After Radial Keratotomy in the Rabbit","type":"article-journal","volume":"102"},"uris":["http://www.mendeley.com/documents/?uuid=7a48b57a-d6fe-49cd-86f1-9c3894f8129c"]}],"mendeley":{"formattedCitation":"&lt;sup&gt;121&lt;/sup&gt;","plainTextFormattedCitation":"121","previouslyFormattedCitation":"&lt;sup&gt;121&lt;/sup&gt;"},"properties":{"noteIndex":0},"schema":"https://github.com/citation-style-language/schema/raw/master/csl-citation.json"}</w:instrText>
      </w:r>
      <w:r w:rsidRPr="00F66B99">
        <w:rPr>
          <w:color w:val="000000" w:themeColor="text1"/>
        </w:rPr>
        <w:fldChar w:fldCharType="separate"/>
      </w:r>
      <w:r w:rsidRPr="00962DB8">
        <w:rPr>
          <w:noProof/>
          <w:color w:val="000000" w:themeColor="text1"/>
          <w:vertAlign w:val="superscript"/>
        </w:rPr>
        <w:t>121</w:t>
      </w:r>
      <w:r w:rsidRPr="00F66B99">
        <w:rPr>
          <w:color w:val="000000" w:themeColor="text1"/>
        </w:rPr>
        <w:fldChar w:fldCharType="end"/>
      </w:r>
      <w:r w:rsidRPr="00F66B99">
        <w:rPr>
          <w:color w:val="000000" w:themeColor="text1"/>
        </w:rPr>
        <w:t xml:space="preserve"> However, ocular delivery is somewhat different to delivery </w:t>
      </w:r>
      <w:r w:rsidRPr="00F66B99">
        <w:rPr>
          <w:i/>
          <w:color w:val="000000" w:themeColor="text1"/>
        </w:rPr>
        <w:t>via</w:t>
      </w:r>
      <w:r w:rsidRPr="00F66B99">
        <w:rPr>
          <w:color w:val="000000" w:themeColor="text1"/>
        </w:rPr>
        <w:t xml:space="preserve"> the skin, since the barrier properties of the eyes and skin are </w:t>
      </w:r>
      <w:r>
        <w:rPr>
          <w:color w:val="000000" w:themeColor="text1"/>
        </w:rPr>
        <w:t xml:space="preserve">dissimilar. </w:t>
      </w:r>
    </w:p>
    <w:p w14:paraId="194B21CE" w14:textId="77777777" w:rsidR="009A585B" w:rsidRDefault="009A585B" w:rsidP="009A585B">
      <w:pPr>
        <w:rPr>
          <w:color w:val="000000" w:themeColor="text1"/>
        </w:rPr>
      </w:pPr>
      <w:r>
        <w:rPr>
          <w:color w:val="000000" w:themeColor="text1"/>
        </w:rPr>
        <w:t xml:space="preserve">Other studies have reported the use of topical </w:t>
      </w:r>
      <w:r w:rsidRPr="00763F67">
        <w:rPr>
          <w:rFonts w:ascii="Cambria" w:hAnsi="Cambria"/>
          <w:color w:val="000000" w:themeColor="text1"/>
        </w:rPr>
        <w:t>β</w:t>
      </w:r>
      <w:r>
        <w:rPr>
          <w:color w:val="000000" w:themeColor="text1"/>
        </w:rPr>
        <w:noBreakHyphen/>
        <w:t>APN on incisions or splinted skin wounds, which lack a continuous stra</w:t>
      </w:r>
      <w:r w:rsidRPr="00F66B99">
        <w:rPr>
          <w:color w:val="000000" w:themeColor="text1"/>
        </w:rPr>
        <w:t xml:space="preserve">tum corneum. </w:t>
      </w:r>
      <w:r w:rsidRPr="004F3654">
        <w:t xml:space="preserve">Using the Lindsay chicken foot tendon model, </w:t>
      </w:r>
      <w:r>
        <w:t xml:space="preserve">Speer and colleagues investigated the effect of topically applied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to reduce joint stiffness in healing tendons.</w:t>
      </w:r>
      <w:r>
        <w:rPr>
          <w:color w:val="000000" w:themeColor="text1"/>
        </w:rPr>
        <w:fldChar w:fldCharType="begin" w:fldLock="1"/>
      </w:r>
      <w:r>
        <w:rPr>
          <w:color w:val="000000" w:themeColor="text1"/>
        </w:rPr>
        <w:instrText>ADDIN CSL_CITATION {"citationItems":[{"id":"ITEM-1","itemData":{"DOI":"10.1016/0022-4804(85)90034-4","ISSN":"10958673","PMID":"3982018","abstract":"The Lindsay chicken foot tendon model was utilized to test the effect of topically applied β-aminopropionitrile base upon the tensile strength of peritendinous adhesions following tenolysis of a scarified flexor tendon. The agent reduced by one-third the force required to effect tendon gliding and flexion of the joints in the involved digit. The results show that topical β-aminopropionitrile is effective in the control of peritendinous adhesions and, therefore, achieves sufficient depth of penetration topically to affect the peritendinous location. No adverse effects of the topically applied agent were demonstrated. The principle of topical therapeutics that may have significant benefits to patients with tendon injuries is demonstrated. © 1985.","author":[{"dropping-particle":"","family":"Speer","given":"Donald P.","non-dropping-particle":"","parse-names":false,"suffix":""},{"dropping-particle":"","family":"Feldman","given":"Stefanie","non-dropping-particle":"","parse-names":false,"suffix":""},{"dropping-particle":"","family":"Chvapil","given":"Milos","non-dropping-particle":"","parse-names":false,"suffix":""}],"container-title":"Journal of Surgical Research","id":"ITEM-1","issue":"3","issued":{"date-parts":[["1985"]]},"page":"252-257","title":"The control of peritendinous adhesions using topical β-aminopropionitrile base","type":"article-journal","volume":"38"},"uris":["http://www.mendeley.com/documents/?uuid=f32e32cd-c5b7-4b2f-993d-5e4ad8dc355e"]}],"mendeley":{"formattedCitation":"&lt;sup&gt;122&lt;/sup&gt;","plainTextFormattedCitation":"122","previouslyFormattedCitation":"&lt;sup&gt;122&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122</w:t>
      </w:r>
      <w:r>
        <w:rPr>
          <w:color w:val="000000" w:themeColor="text1"/>
        </w:rPr>
        <w:fldChar w:fldCharType="end"/>
      </w:r>
      <w:r>
        <w:rPr>
          <w:color w:val="000000" w:themeColor="text1"/>
        </w:rPr>
        <w:t xml:space="preserve"> After 5 days of topical treatment with </w:t>
      </w:r>
      <w:r w:rsidRPr="00763F67">
        <w:rPr>
          <w:rFonts w:ascii="Cambria" w:hAnsi="Cambria"/>
          <w:color w:val="000000" w:themeColor="text1"/>
        </w:rPr>
        <w:t>β</w:t>
      </w:r>
      <w:r w:rsidRPr="00763F67">
        <w:rPr>
          <w:color w:val="000000" w:themeColor="text1"/>
        </w:rPr>
        <w:noBreakHyphen/>
        <w:t>APN</w:t>
      </w:r>
      <w:r>
        <w:rPr>
          <w:color w:val="000000" w:themeColor="text1"/>
        </w:rPr>
        <w:t xml:space="preserve">, the authors were able to demonstrate a reduction in the tensile strength required to flex tendons in treated chickens compared to controls. However, it was suggested that the </w:t>
      </w:r>
      <w:r w:rsidRPr="00763F67">
        <w:rPr>
          <w:rFonts w:ascii="Cambria" w:hAnsi="Cambria"/>
          <w:color w:val="000000" w:themeColor="text1"/>
        </w:rPr>
        <w:t>β</w:t>
      </w:r>
      <w:r w:rsidRPr="00763F67">
        <w:rPr>
          <w:color w:val="000000" w:themeColor="text1"/>
        </w:rPr>
        <w:noBreakHyphen/>
        <w:t>APN</w:t>
      </w:r>
      <w:r w:rsidRPr="00ED7327">
        <w:rPr>
          <w:color w:val="000000" w:themeColor="text1"/>
        </w:rPr>
        <w:t xml:space="preserve"> </w:t>
      </w:r>
      <w:r>
        <w:rPr>
          <w:color w:val="000000" w:themeColor="text1"/>
        </w:rPr>
        <w:t xml:space="preserve">free base may have been transported to the injured tendon </w:t>
      </w:r>
      <w:r w:rsidRPr="00880E4A">
        <w:rPr>
          <w:i/>
          <w:color w:val="000000" w:themeColor="text1"/>
        </w:rPr>
        <w:t>via</w:t>
      </w:r>
      <w:r>
        <w:rPr>
          <w:color w:val="000000" w:themeColor="text1"/>
        </w:rPr>
        <w:t xml:space="preserve"> the surgical incision, therefore the concentration of </w:t>
      </w:r>
      <w:r w:rsidRPr="00763F67">
        <w:rPr>
          <w:rFonts w:ascii="Cambria" w:hAnsi="Cambria"/>
          <w:color w:val="000000" w:themeColor="text1"/>
        </w:rPr>
        <w:t>β</w:t>
      </w:r>
      <w:r w:rsidRPr="00763F67">
        <w:rPr>
          <w:color w:val="000000" w:themeColor="text1"/>
        </w:rPr>
        <w:noBreakHyphen/>
        <w:t>APN</w:t>
      </w:r>
      <w:r>
        <w:rPr>
          <w:color w:val="000000" w:themeColor="text1"/>
        </w:rPr>
        <w:t xml:space="preserve"> the tendon was exposed to was greater than if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had been applied to intact skin. </w:t>
      </w:r>
    </w:p>
    <w:p w14:paraId="725C9BD3" w14:textId="22D05712" w:rsidR="009A585B" w:rsidRPr="00B27BAF" w:rsidRDefault="009A585B" w:rsidP="009A585B">
      <w:pPr>
        <w:rPr>
          <w:color w:val="000000" w:themeColor="text1"/>
        </w:rPr>
      </w:pPr>
      <w:r w:rsidRPr="00F66B99">
        <w:rPr>
          <w:color w:val="000000" w:themeColor="text1"/>
        </w:rPr>
        <w:lastRenderedPageBreak/>
        <w:t xml:space="preserve">Gibeault </w:t>
      </w:r>
      <w:r w:rsidRPr="00F66B99">
        <w:rPr>
          <w:i/>
          <w:color w:val="000000" w:themeColor="text1"/>
        </w:rPr>
        <w:t>et al</w:t>
      </w:r>
      <w:r w:rsidRPr="00F66B99">
        <w:rPr>
          <w:color w:val="000000" w:themeColor="text1"/>
        </w:rPr>
        <w:t xml:space="preserve">. monitored the transport of </w:t>
      </w:r>
      <w:r w:rsidRPr="00F66B99">
        <w:rPr>
          <w:color w:val="000000" w:themeColor="text1"/>
          <w:vertAlign w:val="superscript"/>
        </w:rPr>
        <w:t>14</w:t>
      </w:r>
      <w:r w:rsidRPr="00F66B99">
        <w:rPr>
          <w:color w:val="000000" w:themeColor="text1"/>
        </w:rPr>
        <w:t xml:space="preserve">C-labelled </w:t>
      </w:r>
      <w:r w:rsidRPr="00F66B99">
        <w:rPr>
          <w:rFonts w:ascii="Cambria" w:hAnsi="Cambria"/>
          <w:color w:val="000000" w:themeColor="text1"/>
        </w:rPr>
        <w:t>β</w:t>
      </w:r>
      <w:r w:rsidRPr="00F66B99">
        <w:rPr>
          <w:color w:val="000000" w:themeColor="text1"/>
        </w:rPr>
        <w:noBreakHyphen/>
        <w:t>APN</w:t>
      </w:r>
      <w:r>
        <w:rPr>
          <w:color w:val="000000" w:themeColor="text1"/>
        </w:rPr>
        <w:t xml:space="preserve"> fumarate salt into</w:t>
      </w:r>
      <w:r w:rsidRPr="00F66B99">
        <w:rPr>
          <w:color w:val="000000" w:themeColor="text1"/>
        </w:rPr>
        <w:t xml:space="preserve"> healing tissue in rats, using K-Y jelly and saline solution as vehicles.</w:t>
      </w:r>
      <w:r>
        <w:rPr>
          <w:color w:val="000000" w:themeColor="text1"/>
        </w:rPr>
        <w:fldChar w:fldCharType="begin" w:fldLock="1"/>
      </w:r>
      <w:r>
        <w:rPr>
          <w:color w:val="000000" w:themeColor="text1"/>
        </w:rPr>
        <w:instrText>ADDIN CSL_CITATION {"citationItems":[{"id":"ITEM-1","itemData":{"abstract":"A lathyrogen, [C’4]aminopropionitrile @APN), was administered to 34 rats either in K-Y jelly or saline ve- hicles onto intact shaven skin or onto a healed splinted deep excision wound. The dynamics of b-APN transport and content in the skin or repair tissue was observed after 2, 5, 8, and 24 hr of topical administration. The repair tissue quickly absorbed the lathyrogen and reached maximum at the 2-hr sampling. The content of BAPN in the repair tissue was twice as high as that in K-Y jelly vehicle and remained high and stable for at least 24 hr only when /3APN was administered through a saline vehicle. The transport of BAPN through intact skin, irrespective of the vehicle tested, was slow and continuously increased. The study showed that almost 20% of the @APN administered onto the wounded skin area was transported into the repair tissue within 2 hr. We suggest that, due to the absence of epidermal stratum corneum from the repair tissue, drugs, such as BAPN, penetrate","author":[{"dropping-particle":"","family":"Gibeault","given":"David J","non-dropping-particle":"","parse-names":false,"suffix":""},{"dropping-particle":"","family":"Cravens","given":"Robert B","non-dropping-particle":"","parse-names":false,"suffix":""},{"dropping-particle":"","family":"Chvapil","given":"Milos","non-dropping-particle":"","parse-names":false,"suffix":""}],"container-title":"Journal of Surgical Research","id":"ITEM-1","issued":{"date-parts":[["1989"]]},"page":"155-158","title":"Transport of beta-Aminopropionitrile through Intact Skin or Scar Tissue","type":"article-journal","volume":"47"},"uris":["http://www.mendeley.com/documents/?uuid=599561f1-aa8c-4fbe-9527-7c1c2ba0be34"]}],"mendeley":{"formattedCitation":"&lt;sup&gt;123&lt;/sup&gt;","plainTextFormattedCitation":"123","previouslyFormattedCitation":"&lt;sup&gt;123&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123</w:t>
      </w:r>
      <w:r>
        <w:rPr>
          <w:color w:val="000000" w:themeColor="text1"/>
        </w:rPr>
        <w:fldChar w:fldCharType="end"/>
      </w:r>
      <w:r w:rsidRPr="00F66B99">
        <w:rPr>
          <w:color w:val="000000" w:themeColor="text1"/>
        </w:rPr>
        <w:t xml:space="preserve"> In this study, 1.5 cm diameter full-thickness wounds were prepared to produce an area for topical drug delivery that lacked a stratum corneum. In addition, the wound edges were splinted to prevent contraction of the wound. It was found that </w:t>
      </w:r>
      <w:r>
        <w:rPr>
          <w:color w:val="000000" w:themeColor="text1"/>
        </w:rPr>
        <w:t>the</w:t>
      </w:r>
      <w:r w:rsidRPr="00F66B99">
        <w:rPr>
          <w:color w:val="000000" w:themeColor="text1"/>
        </w:rPr>
        <w:t xml:space="preserve"> </w:t>
      </w:r>
      <w:r>
        <w:rPr>
          <w:color w:val="000000" w:themeColor="text1"/>
        </w:rPr>
        <w:t xml:space="preserve">wounded </w:t>
      </w:r>
      <w:r w:rsidRPr="00F66B99">
        <w:rPr>
          <w:color w:val="000000" w:themeColor="text1"/>
        </w:rPr>
        <w:t xml:space="preserve">tissue absorbed </w:t>
      </w:r>
      <w:r w:rsidRPr="00F66B99">
        <w:rPr>
          <w:rFonts w:ascii="Cambria" w:hAnsi="Cambria"/>
          <w:color w:val="000000" w:themeColor="text1"/>
        </w:rPr>
        <w:t>β</w:t>
      </w:r>
      <w:r w:rsidRPr="00F66B99">
        <w:rPr>
          <w:color w:val="000000" w:themeColor="text1"/>
        </w:rPr>
        <w:noBreakHyphen/>
        <w:t xml:space="preserve">APN quickly, </w:t>
      </w:r>
      <w:r w:rsidRPr="001D78F8">
        <w:rPr>
          <w:color w:val="000000" w:themeColor="text1"/>
        </w:rPr>
        <w:t xml:space="preserve">reaching a maximum detection of </w:t>
      </w:r>
      <w:r w:rsidRPr="001D78F8">
        <w:rPr>
          <w:color w:val="000000" w:themeColor="text1"/>
          <w:vertAlign w:val="superscript"/>
        </w:rPr>
        <w:t>14</w:t>
      </w:r>
      <w:r w:rsidRPr="001D78F8">
        <w:rPr>
          <w:color w:val="000000" w:themeColor="text1"/>
        </w:rPr>
        <w:t xml:space="preserve">C in the tissue homogenate after </w:t>
      </w:r>
      <w:r w:rsidRPr="00F66B99">
        <w:rPr>
          <w:color w:val="000000" w:themeColor="text1"/>
        </w:rPr>
        <w:t xml:space="preserve">2 hours, before decreasing as the drug </w:t>
      </w:r>
      <w:r>
        <w:rPr>
          <w:color w:val="000000" w:themeColor="text1"/>
        </w:rPr>
        <w:t>appeared to enter</w:t>
      </w:r>
      <w:r w:rsidRPr="00F66B99">
        <w:rPr>
          <w:color w:val="000000" w:themeColor="text1"/>
        </w:rPr>
        <w:t xml:space="preserve"> the </w:t>
      </w:r>
      <w:r w:rsidRPr="006A00F5">
        <w:rPr>
          <w:color w:val="000000" w:themeColor="text1"/>
        </w:rPr>
        <w:t xml:space="preserve">circulatory system. </w:t>
      </w:r>
      <w:r>
        <w:rPr>
          <w:color w:val="000000" w:themeColor="text1"/>
        </w:rPr>
        <w:t xml:space="preserve">This maximum corresponded to 10 % of the total radioactively labelled </w:t>
      </w:r>
      <w:r w:rsidRPr="006A00F5">
        <w:rPr>
          <w:rFonts w:ascii="Cambria" w:hAnsi="Cambria"/>
          <w:color w:val="000000" w:themeColor="text1"/>
        </w:rPr>
        <w:t>β</w:t>
      </w:r>
      <w:r w:rsidRPr="006A00F5">
        <w:rPr>
          <w:color w:val="000000" w:themeColor="text1"/>
        </w:rPr>
        <w:noBreakHyphen/>
        <w:t>APN</w:t>
      </w:r>
      <w:r>
        <w:rPr>
          <w:color w:val="000000" w:themeColor="text1"/>
        </w:rPr>
        <w:t xml:space="preserve">. </w:t>
      </w:r>
      <w:r w:rsidRPr="006A00F5">
        <w:rPr>
          <w:color w:val="000000" w:themeColor="text1"/>
        </w:rPr>
        <w:t xml:space="preserve">In terms of scar contracture, </w:t>
      </w:r>
      <w:r>
        <w:rPr>
          <w:color w:val="000000" w:themeColor="text1"/>
        </w:rPr>
        <w:t xml:space="preserve">treatment would only commence after the skin had healed </w:t>
      </w:r>
      <w:r w:rsidR="003753FE">
        <w:rPr>
          <w:color w:val="000000" w:themeColor="text1"/>
        </w:rPr>
        <w:t>(in doing so, forming</w:t>
      </w:r>
      <w:r w:rsidRPr="006A00F5">
        <w:rPr>
          <w:color w:val="000000" w:themeColor="text1"/>
        </w:rPr>
        <w:t xml:space="preserve"> a continuous epithelium with a stratum corneum</w:t>
      </w:r>
      <w:r w:rsidR="003753FE">
        <w:rPr>
          <w:color w:val="000000" w:themeColor="text1"/>
        </w:rPr>
        <w:t>)</w:t>
      </w:r>
      <w:r w:rsidRPr="006A00F5">
        <w:rPr>
          <w:color w:val="000000" w:themeColor="text1"/>
        </w:rPr>
        <w:t xml:space="preserve">. Therefore, whilst these results may be of use when considering application of </w:t>
      </w:r>
      <w:r w:rsidRPr="006A00F5">
        <w:rPr>
          <w:rFonts w:ascii="Cambria" w:hAnsi="Cambria"/>
          <w:color w:val="000000" w:themeColor="text1"/>
        </w:rPr>
        <w:t>β</w:t>
      </w:r>
      <w:r w:rsidRPr="006A00F5">
        <w:rPr>
          <w:color w:val="000000" w:themeColor="text1"/>
        </w:rPr>
        <w:noBreakHyphen/>
        <w:t xml:space="preserve">APN to healing wounds, they do not represent an appropriate model when considering </w:t>
      </w:r>
      <w:r>
        <w:rPr>
          <w:color w:val="000000" w:themeColor="text1"/>
        </w:rPr>
        <w:t xml:space="preserve">long-term treatment of scar contractures and intact skin. In the same study, the authors investigated the transport of </w:t>
      </w:r>
      <w:r w:rsidRPr="00763F67">
        <w:rPr>
          <w:rFonts w:ascii="Cambria" w:hAnsi="Cambria"/>
          <w:color w:val="000000" w:themeColor="text1"/>
        </w:rPr>
        <w:t>β</w:t>
      </w:r>
      <w:r w:rsidRPr="00763F67">
        <w:rPr>
          <w:color w:val="000000" w:themeColor="text1"/>
        </w:rPr>
        <w:noBreakHyphen/>
        <w:t>APN</w:t>
      </w:r>
      <w:r>
        <w:rPr>
          <w:color w:val="000000" w:themeColor="text1"/>
        </w:rPr>
        <w:t xml:space="preserve"> fumarate salt </w:t>
      </w:r>
      <w:r w:rsidRPr="00B27BAF">
        <w:rPr>
          <w:color w:val="000000" w:themeColor="text1"/>
        </w:rPr>
        <w:t xml:space="preserve">through intact skin. After 2 hours, only 1.4 % of the </w:t>
      </w:r>
      <w:r>
        <w:rPr>
          <w:color w:val="000000" w:themeColor="text1"/>
        </w:rPr>
        <w:t xml:space="preserve">radioactively labelled </w:t>
      </w:r>
      <w:r w:rsidRPr="00763F67">
        <w:rPr>
          <w:rFonts w:ascii="Cambria" w:hAnsi="Cambria"/>
          <w:color w:val="000000" w:themeColor="text1"/>
        </w:rPr>
        <w:t>β</w:t>
      </w:r>
      <w:r w:rsidRPr="00763F67">
        <w:rPr>
          <w:color w:val="000000" w:themeColor="text1"/>
        </w:rPr>
        <w:noBreakHyphen/>
        <w:t>APN</w:t>
      </w:r>
      <w:r>
        <w:rPr>
          <w:color w:val="000000" w:themeColor="text1"/>
        </w:rPr>
        <w:t xml:space="preserve"> </w:t>
      </w:r>
      <w:r w:rsidRPr="00B27BAF">
        <w:rPr>
          <w:color w:val="000000" w:themeColor="text1"/>
        </w:rPr>
        <w:t xml:space="preserve">was detected in tissue homogenates of intact skin, which rose to 5.5 % </w:t>
      </w:r>
      <w:r w:rsidR="00AB360F">
        <w:rPr>
          <w:color w:val="000000" w:themeColor="text1"/>
        </w:rPr>
        <w:t>after</w:t>
      </w:r>
      <w:r w:rsidRPr="00B27BAF">
        <w:rPr>
          <w:color w:val="000000" w:themeColor="text1"/>
        </w:rPr>
        <w:t xml:space="preserve"> 24 hours. This suggested that intact skin allowed a steadier delivery of </w:t>
      </w:r>
      <w:r w:rsidRPr="00B27BAF">
        <w:rPr>
          <w:rFonts w:ascii="Cambria" w:hAnsi="Cambria"/>
          <w:color w:val="000000" w:themeColor="text1"/>
        </w:rPr>
        <w:t>β</w:t>
      </w:r>
      <w:r w:rsidRPr="00B27BAF">
        <w:rPr>
          <w:color w:val="000000" w:themeColor="text1"/>
        </w:rPr>
        <w:noBreakHyphen/>
        <w:t xml:space="preserve">APN </w:t>
      </w:r>
      <w:r>
        <w:rPr>
          <w:color w:val="000000" w:themeColor="text1"/>
        </w:rPr>
        <w:t>which was</w:t>
      </w:r>
      <w:r w:rsidRPr="00B27BAF">
        <w:rPr>
          <w:color w:val="000000" w:themeColor="text1"/>
        </w:rPr>
        <w:t xml:space="preserve"> achieved over a longer time period.</w:t>
      </w:r>
    </w:p>
    <w:p w14:paraId="65D2DA81" w14:textId="77777777" w:rsidR="009A585B" w:rsidRPr="00847B7F" w:rsidRDefault="009A585B" w:rsidP="009A585B">
      <w:pPr>
        <w:rPr>
          <w:color w:val="000000" w:themeColor="text1"/>
        </w:rPr>
      </w:pPr>
      <w:r>
        <w:rPr>
          <w:color w:val="000000" w:themeColor="text1"/>
        </w:rPr>
        <w:t>In a similar study,</w:t>
      </w:r>
      <w:r w:rsidRPr="006A00F5">
        <w:rPr>
          <w:color w:val="000000" w:themeColor="text1"/>
        </w:rPr>
        <w:t xml:space="preserve"> Hoffman </w:t>
      </w:r>
      <w:r w:rsidRPr="00F66B99">
        <w:rPr>
          <w:i/>
          <w:color w:val="000000" w:themeColor="text1"/>
        </w:rPr>
        <w:t>et al</w:t>
      </w:r>
      <w:r>
        <w:rPr>
          <w:color w:val="000000" w:themeColor="text1"/>
        </w:rPr>
        <w:t xml:space="preserve">. monitored the transport of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into wounded and intact skin in rats, to study its effect on wound healing.</w:t>
      </w:r>
      <w:r>
        <w:rPr>
          <w:color w:val="000000" w:themeColor="text1"/>
        </w:rPr>
        <w:fldChar w:fldCharType="begin" w:fldLock="1"/>
      </w:r>
      <w:r>
        <w:rPr>
          <w:color w:val="000000" w:themeColor="text1"/>
        </w:rPr>
        <w:instrText>ADDIN CSL_CITATION {"citationItems":[{"id":"ITEM-1","itemData":{"DOI":"10.1016/0014-4800(83)90048-5","ISBN":"0014480018","ISSN":"10960945","abstract":"β-Aminopropionitrile as free base (BAPN) was applied onto the incised or intact skin of rats at the dose of 5, 20, 100, and 200 μl for 9 days, twice daily. Breaking strength of the skin wound or intact skin was significantly reduced at doses of 20 μl and higher; body weight growth was significantly retarded at the two highest dosages. It is concluded that at a given dose (20 μl) collagen polymerization (evaluated by reduced breaking strength and increased extractability of collagen) was specifically inhibited by BAPN. Furthermore, no evidence of topical or general toxic effects were observed, as reflected in histology, body weight growth, and behavior of the rats. Acute LD50of BAPN base and fumarate, administered either ip or topically, was determined in mice. While BAPN base in ip administration shows LD50of 1.15 g/kg, in cutaneous application it is more than 12.8 g/kg. It is suggested that topically applied BAPN base is percutaneously absorbed and affects collagen polymerization in the skin and adjacent tissues. © 1983.","author":[{"dropping-particle":"","family":"Hoffman","given":"Dara L.","non-dropping-particle":"","parse-names":false,"suffix":""},{"dropping-particle":"","family":"Owen","given":"James A.","non-dropping-particle":"","parse-names":false,"suffix":""},{"dropping-particle":"","family":"Chvapil","given":"Milos","non-dropping-particle":"","parse-names":false,"suffix":""}],"container-title":"Experimental and Molecular Pathology","id":"ITEM-1","issue":"2","issued":{"date-parts":[["1983"]]},"page":"154-162","title":"Healing of skin incision wounds treated with topically applied BAPN free base in the rat","type":"article-journal","volume":"39"},"uris":["http://www.mendeley.com/documents/?uuid=5b866b78-44df-4efa-b70d-16778e46f0be"]}],"mendeley":{"formattedCitation":"&lt;sup&gt;124&lt;/sup&gt;","plainTextFormattedCitation":"124","previouslyFormattedCitation":"&lt;sup&gt;124&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124</w:t>
      </w:r>
      <w:r>
        <w:rPr>
          <w:color w:val="000000" w:themeColor="text1"/>
        </w:rPr>
        <w:fldChar w:fldCharType="end"/>
      </w:r>
      <w:r>
        <w:rPr>
          <w:color w:val="000000" w:themeColor="text1"/>
        </w:rPr>
        <w:t xml:space="preserve"> Twice-daily treatments with 10 mg/cm</w:t>
      </w:r>
      <w:r w:rsidRPr="00AC0B40">
        <w:rPr>
          <w:color w:val="000000" w:themeColor="text1"/>
          <w:vertAlign w:val="superscript"/>
        </w:rPr>
        <w:t>2</w:t>
      </w:r>
      <w:r>
        <w:rPr>
          <w:color w:val="000000" w:themeColor="text1"/>
        </w:rPr>
        <w:t xml:space="preserv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for 9 days post-surgery resulted in a decrease in breaking strength of the incision wounds (units for drug administration were reported as dose over a given area). This is unsurprising, given that an incision provides a more direct route of administration through the skin, as opposed to passing through the stratum corneum. However, a decrease was also observed for the breaking strength of intact skin, suggesting that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was able to penetrate the skin effectively. The authors also investigated the </w:t>
      </w:r>
      <w:r>
        <w:t>LD</w:t>
      </w:r>
      <w:r w:rsidRPr="002434EC">
        <w:rPr>
          <w:vertAlign w:val="subscript"/>
        </w:rPr>
        <w:t>50</w:t>
      </w:r>
      <w:r>
        <w:t xml:space="preserve"> of both the </w:t>
      </w:r>
      <w:r w:rsidRPr="00763F67">
        <w:rPr>
          <w:rFonts w:ascii="Cambria" w:hAnsi="Cambria"/>
          <w:color w:val="000000" w:themeColor="text1"/>
        </w:rPr>
        <w:t>β</w:t>
      </w:r>
      <w:r w:rsidRPr="00763F67">
        <w:rPr>
          <w:color w:val="000000" w:themeColor="text1"/>
        </w:rPr>
        <w:noBreakHyphen/>
        <w:t>APN</w:t>
      </w:r>
      <w:r>
        <w:t xml:space="preserve"> free base and </w:t>
      </w:r>
      <w:r w:rsidRPr="00763F67">
        <w:rPr>
          <w:rFonts w:ascii="Cambria" w:hAnsi="Cambria"/>
          <w:color w:val="000000" w:themeColor="text1"/>
        </w:rPr>
        <w:t>β</w:t>
      </w:r>
      <w:r w:rsidRPr="00763F67">
        <w:rPr>
          <w:color w:val="000000" w:themeColor="text1"/>
        </w:rPr>
        <w:noBreakHyphen/>
        <w:t xml:space="preserve">APN </w:t>
      </w:r>
      <w:r>
        <w:rPr>
          <w:color w:val="000000" w:themeColor="text1"/>
        </w:rPr>
        <w:t xml:space="preserve">fumarate salt by </w:t>
      </w:r>
      <w:r>
        <w:t>intraperitoneal injection and topical administration. Interestingly, whilst an LD</w:t>
      </w:r>
      <w:r w:rsidRPr="0016215D">
        <w:rPr>
          <w:vertAlign w:val="subscript"/>
        </w:rPr>
        <w:t>50</w:t>
      </w:r>
      <w:r>
        <w:t xml:space="preserve"> could be reported for intraperitoneal injection of the </w:t>
      </w:r>
      <w:r w:rsidRPr="00763F67">
        <w:rPr>
          <w:rFonts w:ascii="Cambria" w:hAnsi="Cambria"/>
          <w:color w:val="000000" w:themeColor="text1"/>
        </w:rPr>
        <w:t>β</w:t>
      </w:r>
      <w:r w:rsidRPr="00763F67">
        <w:rPr>
          <w:color w:val="000000" w:themeColor="text1"/>
        </w:rPr>
        <w:noBreakHyphen/>
        <w:t>APN</w:t>
      </w:r>
      <w:r>
        <w:t xml:space="preserve"> free base and </w:t>
      </w:r>
      <w:r w:rsidRPr="00763F67">
        <w:rPr>
          <w:rFonts w:ascii="Cambria" w:hAnsi="Cambria"/>
          <w:color w:val="000000" w:themeColor="text1"/>
        </w:rPr>
        <w:t>β</w:t>
      </w:r>
      <w:r w:rsidRPr="00763F67">
        <w:rPr>
          <w:color w:val="000000" w:themeColor="text1"/>
        </w:rPr>
        <w:noBreakHyphen/>
        <w:t xml:space="preserve">APN </w:t>
      </w:r>
      <w:r>
        <w:rPr>
          <w:color w:val="000000" w:themeColor="text1"/>
        </w:rPr>
        <w:t xml:space="preserve">fumarate salt </w:t>
      </w:r>
      <w:r>
        <w:t xml:space="preserve">(measured to be 1.15 and 2.97 g/kg respectively), a value could not be obtained for the topical delivery of these compounds due to the immense doses required. This clearly demonstrates that topical </w:t>
      </w:r>
      <w:r>
        <w:lastRenderedPageBreak/>
        <w:t xml:space="preserve">administration of </w:t>
      </w:r>
      <w:r w:rsidRPr="00763F67">
        <w:rPr>
          <w:rFonts w:ascii="Cambria" w:hAnsi="Cambria"/>
          <w:color w:val="000000" w:themeColor="text1"/>
        </w:rPr>
        <w:t>β</w:t>
      </w:r>
      <w:r w:rsidRPr="00763F67">
        <w:rPr>
          <w:color w:val="000000" w:themeColor="text1"/>
        </w:rPr>
        <w:noBreakHyphen/>
        <w:t>APN</w:t>
      </w:r>
      <w:r>
        <w:rPr>
          <w:color w:val="000000" w:themeColor="text1"/>
        </w:rPr>
        <w:t xml:space="preserve">, as either the free base or the fumarate salt, can be tolerated to a far greater extent than when administered systemically. </w:t>
      </w:r>
    </w:p>
    <w:p w14:paraId="651565A5" w14:textId="77777777" w:rsidR="009A585B" w:rsidRDefault="009A585B" w:rsidP="009A585B">
      <w:pPr>
        <w:rPr>
          <w:color w:val="000000" w:themeColor="text1"/>
        </w:rPr>
      </w:pPr>
      <w:r w:rsidRPr="00847B7F">
        <w:rPr>
          <w:color w:val="000000" w:themeColor="text1"/>
        </w:rPr>
        <w:t xml:space="preserve">Focussing </w:t>
      </w:r>
      <w:r>
        <w:rPr>
          <w:color w:val="000000" w:themeColor="text1"/>
        </w:rPr>
        <w:t>only</w:t>
      </w:r>
      <w:r w:rsidRPr="00847B7F">
        <w:rPr>
          <w:color w:val="000000" w:themeColor="text1"/>
        </w:rPr>
        <w:t xml:space="preserve"> on intact skin, early work by Fleisher </w:t>
      </w:r>
      <w:r w:rsidRPr="00847B7F">
        <w:rPr>
          <w:i/>
          <w:color w:val="000000" w:themeColor="text1"/>
        </w:rPr>
        <w:t>et al</w:t>
      </w:r>
      <w:r w:rsidRPr="00847B7F">
        <w:rPr>
          <w:color w:val="000000" w:themeColor="text1"/>
        </w:rPr>
        <w:t xml:space="preserve">. monitored the transport of </w:t>
      </w:r>
      <w:r w:rsidRPr="00847B7F">
        <w:rPr>
          <w:color w:val="000000" w:themeColor="text1"/>
          <w:vertAlign w:val="superscript"/>
        </w:rPr>
        <w:t>14</w:t>
      </w:r>
      <w:r w:rsidRPr="00847B7F">
        <w:rPr>
          <w:color w:val="000000" w:themeColor="text1"/>
        </w:rPr>
        <w:t xml:space="preserve">C-labelled </w:t>
      </w:r>
      <w:r w:rsidRPr="00847B7F">
        <w:rPr>
          <w:rFonts w:ascii="Cambria" w:hAnsi="Cambria"/>
          <w:color w:val="000000" w:themeColor="text1"/>
        </w:rPr>
        <w:t>β</w:t>
      </w:r>
      <w:r w:rsidRPr="00847B7F">
        <w:rPr>
          <w:color w:val="000000" w:themeColor="text1"/>
        </w:rPr>
        <w:noBreakHyphen/>
        <w:t xml:space="preserve">APN free base and </w:t>
      </w:r>
      <w:r w:rsidRPr="00847B7F">
        <w:rPr>
          <w:rFonts w:ascii="Cambria" w:hAnsi="Cambria"/>
          <w:color w:val="000000" w:themeColor="text1"/>
        </w:rPr>
        <w:t>β</w:t>
      </w:r>
      <w:r w:rsidRPr="00847B7F">
        <w:rPr>
          <w:color w:val="000000" w:themeColor="text1"/>
        </w:rPr>
        <w:noBreakHyphen/>
        <w:t xml:space="preserve">APN fumarate </w:t>
      </w:r>
      <w:r w:rsidRPr="00763F67">
        <w:rPr>
          <w:color w:val="000000" w:themeColor="text1"/>
        </w:rPr>
        <w:t xml:space="preserve">salt through the </w:t>
      </w:r>
      <w:r>
        <w:rPr>
          <w:color w:val="000000" w:themeColor="text1"/>
        </w:rPr>
        <w:t xml:space="preserve">intact </w:t>
      </w:r>
      <w:r w:rsidRPr="00763F67">
        <w:rPr>
          <w:color w:val="000000" w:themeColor="text1"/>
        </w:rPr>
        <w:t>skin of rats.</w:t>
      </w:r>
      <w:r w:rsidRPr="00763F67">
        <w:rPr>
          <w:color w:val="000000" w:themeColor="text1"/>
        </w:rPr>
        <w:fldChar w:fldCharType="begin" w:fldLock="1"/>
      </w:r>
      <w:r>
        <w:rPr>
          <w:color w:val="000000" w:themeColor="text1"/>
        </w:rPr>
        <w:instrText>ADDIN CSL_CITATION {"citationItems":[{"id":"ITEM-1","itemData":{"DOI":"10.1016/0024-3205(81)90711-6","ISSN":"00243205","abstract":"Application of14CB-aminopropionitrile (BAPN) to the skin of rats followed by measurement of urinary radioactivity was used for comparative studies of the absorption of14C-BAPN fumarate and14C-BAPN free base (F.B.).14C-BAPN (F.B.) was absorbed more rapidly and to a greater extent than the fumarate salt. Six hours after topical administration of14C-BAPN (F.B.) only traces of14C were found on the skin and less than 1% of the dose within the skin section suggesting rapid drug absorption. Lysyl oxidase activity of sponge granuloma tissue was significantly inhibited by a single small dose (20 μl) of BAPN (F.B.) applied to the intact skin over the implant. Chronic application of twice daily 5 μl doses of BAPN (F.B.) significantly inhibited lysyl oxidase of the granuloma tissue underlying the area of topical application as well as that on the opposite side not receiving BAPN. Extractibility of collagen was significantly increased only in the granuloma tissue under the skin receiving BAPN. © 1981.","author":[{"dropping-particle":"","family":"Fleisher","given":"J. H.","non-dropping-particle":"","parse-names":false,"suffix":""},{"dropping-particle":"","family":"Misiorowski","given":"R.","non-dropping-particle":"","parse-names":false,"suffix":""},{"dropping-particle":"","family":"Owen","given":"J. A.","non-dropping-particle":"","parse-names":false,"suffix":""},{"dropping-particle":"","family":"Chvapil","given":"M.","non-dropping-particle":"","parse-names":false,"suffix":""}],"container-title":"Life Sciences","id":"ITEM-1","issue":"24","issued":{"date-parts":[["1981"]]},"page":"2553-2560","title":"Topical application of B-aminopropionitrile","type":"article-journal","volume":"29"},"uris":["http://www.mendeley.com/documents/?uuid=7b5b7807-cc14-4440-9443-e0c10665effd"]}],"mendeley":{"formattedCitation":"&lt;sup&gt;125&lt;/sup&gt;","plainTextFormattedCitation":"125","previouslyFormattedCitation":"&lt;sup&gt;125&lt;/sup&gt;"},"properties":{"noteIndex":0},"schema":"https://github.com/citation-style-language/schema/raw/master/csl-citation.json"}</w:instrText>
      </w:r>
      <w:r w:rsidRPr="00763F67">
        <w:rPr>
          <w:color w:val="000000" w:themeColor="text1"/>
        </w:rPr>
        <w:fldChar w:fldCharType="separate"/>
      </w:r>
      <w:r w:rsidRPr="00962DB8">
        <w:rPr>
          <w:noProof/>
          <w:color w:val="000000" w:themeColor="text1"/>
          <w:vertAlign w:val="superscript"/>
        </w:rPr>
        <w:t>125</w:t>
      </w:r>
      <w:r w:rsidRPr="00763F67">
        <w:rPr>
          <w:color w:val="000000" w:themeColor="text1"/>
        </w:rPr>
        <w:fldChar w:fldCharType="end"/>
      </w:r>
      <w:r>
        <w:rPr>
          <w:color w:val="000000" w:themeColor="text1"/>
        </w:rPr>
        <w:t xml:space="preserve"> Two different vehicles, 70 % dimethyl sulfoxide (DMSO) and saline, were used to apply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solutions. </w:t>
      </w:r>
      <w:r w:rsidRPr="00F24EA7">
        <w:rPr>
          <w:color w:val="000000" w:themeColor="text1"/>
        </w:rPr>
        <w:t xml:space="preserve">Analysis of the radioactivity of urine collected from rats after 4 and 8 hours suggested that the </w:t>
      </w:r>
      <w:r w:rsidRPr="00F24EA7">
        <w:rPr>
          <w:rFonts w:ascii="Cambria" w:hAnsi="Cambria"/>
          <w:color w:val="000000" w:themeColor="text1"/>
        </w:rPr>
        <w:t>β</w:t>
      </w:r>
      <w:r w:rsidRPr="00F24EA7">
        <w:rPr>
          <w:color w:val="000000" w:themeColor="text1"/>
        </w:rPr>
        <w:noBreakHyphen/>
        <w:t>APN free base</w:t>
      </w:r>
      <w:r>
        <w:rPr>
          <w:color w:val="000000" w:themeColor="text1"/>
        </w:rPr>
        <w:t xml:space="preserve"> (in 70 % DMSO) </w:t>
      </w:r>
      <w:r w:rsidRPr="00F24EA7">
        <w:rPr>
          <w:color w:val="000000" w:themeColor="text1"/>
        </w:rPr>
        <w:t>was more readily absorbed through the skin</w:t>
      </w:r>
      <w:r>
        <w:rPr>
          <w:color w:val="000000" w:themeColor="text1"/>
        </w:rPr>
        <w:t>,</w:t>
      </w:r>
      <w:r w:rsidRPr="00F24EA7">
        <w:rPr>
          <w:color w:val="000000" w:themeColor="text1"/>
        </w:rPr>
        <w:t xml:space="preserve"> indicated by a 3-fold increase recovered in the urine compared to the fumarate salt.</w:t>
      </w:r>
      <w:r>
        <w:rPr>
          <w:color w:val="000000" w:themeColor="text1"/>
        </w:rPr>
        <w:t xml:space="preserve"> DMSO is a well-known skin penetrant and therefore will have clearly aided the penetration of the compounds into the skin.</w:t>
      </w:r>
      <w:r>
        <w:rPr>
          <w:color w:val="000000" w:themeColor="text1"/>
        </w:rPr>
        <w:fldChar w:fldCharType="begin" w:fldLock="1"/>
      </w:r>
      <w:r>
        <w:rPr>
          <w:color w:val="000000" w:themeColor="text1"/>
        </w:rPr>
        <w:instrText>ADDIN CSL_CITATION {"citationItems":[{"id":"ITEM-1","itemData":{"DOI":"10.3233/SPE-2008-0358","ISSN":"07124813","abstract":"The penetrationmechanism of dimethyl sulfoxide (DMSO) in human skin in vivo and in vitro and pig ear skin in vitro was studied using attenuated total reflectance (ATR) Fourier transform (FT) infrared (IR) and near-FT-Raman spectroscopy. The results showed changes in the conformation of the skin keratins from an α-helical to a β-sheet conformation. These changes were proved to depend on the concentration of free water in the sample as DMSO tended to bind to free water before the protein-bound water was replaced and the protein conformational changes were induced. The induced conformational changes were shown to be completely reversible as the proteins are returned to their original state within 20 h after the treatment with DMSO. The penetration depth of DMSO was shown to depend on the time of exposure – however, after only 15 min DMSO has penetrated the stratum corneum, which is the skin barrier.","author":[{"dropping-particle":"","family":"Greve","given":"Tanja M.","non-dropping-particle":"","parse-names":false,"suffix":""},{"dropping-particle":"","family":"Andersen","given":"Kristine B.","non-dropping-particle":"","parse-names":false,"suffix":""},{"dropping-particle":"","family":"Nielsen","given":"Ole F.","non-dropping-particle":"","parse-names":false,"suffix":""}],"container-title":"Spectroscopy","id":"ITEM-1","issue":"5","issued":{"date-parts":[["2008"]]},"page":"405-417","title":"Penetration mechanism of dimethyl sulfoxide in human and pig ear skin: An ATR-FTIR and near-FT Raman spectroscopic in vivo and in vitro study","type":"article-journal","volume":"22"},"uris":["http://www.mendeley.com/documents/?uuid=02fc799d-f0bb-466f-b580-34f3fe4af685"]}],"mendeley":{"formattedCitation":"&lt;sup&gt;126&lt;/sup&gt;","plainTextFormattedCitation":"126","previouslyFormattedCitation":"&lt;sup&gt;126&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126</w:t>
      </w:r>
      <w:r>
        <w:rPr>
          <w:color w:val="000000" w:themeColor="text1"/>
        </w:rPr>
        <w:fldChar w:fldCharType="end"/>
      </w:r>
      <w:r w:rsidRPr="00F24EA7">
        <w:rPr>
          <w:color w:val="000000" w:themeColor="text1"/>
        </w:rPr>
        <w:t xml:space="preserve"> In</w:t>
      </w:r>
      <w:r>
        <w:rPr>
          <w:color w:val="000000" w:themeColor="text1"/>
        </w:rPr>
        <w:t xml:space="preserve"> saline solution, detection of both forms of </w:t>
      </w:r>
      <w:r w:rsidRPr="00763F67">
        <w:rPr>
          <w:rFonts w:ascii="Cambria" w:hAnsi="Cambria"/>
          <w:color w:val="000000" w:themeColor="text1"/>
        </w:rPr>
        <w:t>β</w:t>
      </w:r>
      <w:r w:rsidRPr="00763F67">
        <w:rPr>
          <w:color w:val="000000" w:themeColor="text1"/>
        </w:rPr>
        <w:noBreakHyphen/>
        <w:t>APN</w:t>
      </w:r>
      <w:r>
        <w:rPr>
          <w:color w:val="000000" w:themeColor="text1"/>
        </w:rPr>
        <w:t xml:space="preserve"> was reduced compared to using DMSO as the vehicle, however after 8 hours radioactivity was still markedly increased in urine from rats treated with the</w:t>
      </w:r>
      <w:r w:rsidRPr="0016215D">
        <w:rPr>
          <w:rFonts w:ascii="Cambria" w:hAnsi="Cambria"/>
          <w:color w:val="000000" w:themeColor="text1"/>
        </w:rPr>
        <w:t xml:space="preserve"> </w:t>
      </w:r>
      <w:r>
        <w:rPr>
          <w:rFonts w:ascii="Cambria" w:hAnsi="Cambria"/>
          <w:color w:val="000000" w:themeColor="text1"/>
        </w:rPr>
        <w:t xml:space="preserv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w:t>
      </w:r>
      <w:r w:rsidRPr="00F24EA7">
        <w:rPr>
          <w:color w:val="000000" w:themeColor="text1"/>
        </w:rPr>
        <w:t xml:space="preserve"> </w:t>
      </w:r>
      <w:r>
        <w:rPr>
          <w:color w:val="000000" w:themeColor="text1"/>
        </w:rPr>
        <w:t xml:space="preserve">compared to the fumarate salt subjects. Due to this difference, the authors continued their investigations using only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Application of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every 12 hours for 7 days resulted in a decrease in LOX activity in granuloma tissue in subcutaneously implanted polyvinyl alcohol (PVA) sponges and an increase in salt-soluble collagen. These findings indicated that the </w:t>
      </w:r>
      <w:r w:rsidRPr="00763F67">
        <w:rPr>
          <w:rFonts w:ascii="Cambria" w:hAnsi="Cambria"/>
          <w:color w:val="000000" w:themeColor="text1"/>
        </w:rPr>
        <w:t>β</w:t>
      </w:r>
      <w:r w:rsidRPr="00763F67">
        <w:rPr>
          <w:color w:val="000000" w:themeColor="text1"/>
        </w:rPr>
        <w:noBreakHyphen/>
        <w:t>APN</w:t>
      </w:r>
      <w:r>
        <w:rPr>
          <w:color w:val="000000" w:themeColor="text1"/>
        </w:rPr>
        <w:t xml:space="preserve"> free base was eliciting an effect on collagen cross-linking </w:t>
      </w:r>
      <w:r w:rsidRPr="00750F25">
        <w:rPr>
          <w:i/>
          <w:color w:val="000000" w:themeColor="text1"/>
        </w:rPr>
        <w:t>in vivo</w:t>
      </w:r>
      <w:r>
        <w:rPr>
          <w:color w:val="000000" w:themeColor="text1"/>
        </w:rPr>
        <w:t xml:space="preserve"> following topical administration. </w:t>
      </w:r>
    </w:p>
    <w:p w14:paraId="00E96288" w14:textId="77777777" w:rsidR="009A585B" w:rsidRDefault="009A585B" w:rsidP="009A585B">
      <w:pPr>
        <w:rPr>
          <w:color w:val="000000" w:themeColor="text1"/>
        </w:rPr>
      </w:pPr>
      <w:r>
        <w:rPr>
          <w:color w:val="000000" w:themeColor="text1"/>
        </w:rPr>
        <w:t xml:space="preserve">A study by </w:t>
      </w:r>
      <w:r>
        <w:t xml:space="preserve">Lata </w:t>
      </w:r>
      <w:r w:rsidRPr="007B58E3">
        <w:rPr>
          <w:i/>
        </w:rPr>
        <w:t>et al</w:t>
      </w:r>
      <w:r>
        <w:t xml:space="preserve">. investigated the effect of </w:t>
      </w:r>
      <w:r w:rsidRPr="006A00F5">
        <w:rPr>
          <w:rFonts w:ascii="Cambria" w:hAnsi="Cambria"/>
          <w:color w:val="000000" w:themeColor="text1"/>
        </w:rPr>
        <w:t>β</w:t>
      </w:r>
      <w:r w:rsidRPr="006A00F5">
        <w:rPr>
          <w:color w:val="000000" w:themeColor="text1"/>
        </w:rPr>
        <w:noBreakHyphen/>
        <w:t>APN</w:t>
      </w:r>
      <w:r>
        <w:rPr>
          <w:color w:val="000000" w:themeColor="text1"/>
        </w:rPr>
        <w:t xml:space="preserve"> fumarate salt delivered topically, in both saline and DMSO, to the intact skin of rats.</w:t>
      </w:r>
      <w:r>
        <w:rPr>
          <w:color w:val="000000" w:themeColor="text1"/>
        </w:rPr>
        <w:fldChar w:fldCharType="begin" w:fldLock="1"/>
      </w:r>
      <w:r>
        <w:rPr>
          <w:color w:val="000000" w:themeColor="text1"/>
        </w:rPr>
        <w:instrText>ADDIN CSL_CITATION {"citationItems":[{"id":"ITEM-1","itemData":{"abstract":"The changes of connective tissue in granuloma development were studied up to 20 days following subcutaneous implantation of polyvinyl alcohol (PVA) sponges in rats. The total protein and collagen content were found to increase from the 4th to 12th days of implantation while the content of DNA continuously decreased with the age of the granuloma. Administration of P-aminopropionitrile (PAPN) fumarate on the intact skin overlying the implanted PVA sponge in the presence and absence of dimethyl sulfoxide (DMSO) during the growth phase of granuloma development (4th through 12th days after implantation) was accompanied by significant inhibition of collagen polymerization. This was documented by a significant increase of collagen extractable into 1 N NaCl, by a significantly reduced content of aldehydes in collagens extractable into neutral salt solution, and by a significant increase of (Y subunits and a/@ ratio. Topical pAPN administration had no effect on the content of DNA, noncollagenous proteins, or total hydroxyproline. We conclude that topically administered @APN fumarate onto the intact skin penetrates the stratum comeum and effectively inhibits collagen crosslinking in the underlying granuloma tissue. The extent of the effectiveness was found to be significantly greater in the presence of DMSO. o","author":[{"dropping-particle":"","family":"Lata","given":"A","non-dropping-particle":"","parse-names":false,"suffix":""},{"dropping-particle":"","family":"Gowri","given":"C","non-dropping-particle":"","parse-names":false,"suffix":""},{"dropping-particle":"","family":"Dhar","given":"S C","non-dropping-particle":"","parse-names":false,"suffix":""},{"dropping-particle":"","family":"Chvapil","given":"M","non-dropping-particle":"","parse-names":false,"suffix":""}],"container-title":"Journal of Surgical Research","id":"ITEM-1","issued":{"date-parts":[["1988"]]},"page":"67-72","title":"Topical beta-Aminopropionitrile of Granuloma Tissue Extraction of Collagen Estimation of Aldehyde Content Polyacrylamide Gel Electrophoresis","type":"article-journal","volume":"44"},"uris":["http://www.mendeley.com/documents/?uuid=495b7930-32a7-4b2e-aacd-4d5bf906d3dd"]}],"mendeley":{"formattedCitation":"&lt;sup&gt;127&lt;/sup&gt;","plainTextFormattedCitation":"127","previouslyFormattedCitation":"&lt;sup&gt;127&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127</w:t>
      </w:r>
      <w:r>
        <w:rPr>
          <w:color w:val="000000" w:themeColor="text1"/>
        </w:rPr>
        <w:fldChar w:fldCharType="end"/>
      </w:r>
      <w:r>
        <w:rPr>
          <w:color w:val="000000" w:themeColor="text1"/>
        </w:rPr>
        <w:t xml:space="preserve"> They measured the salt-soluble collagen and hydroxyproline content of granulomas, induced by subcutaneously implanted PVA sponges. After 12 days following treatment with 200 mg/mL </w:t>
      </w:r>
      <w:r w:rsidRPr="006A00F5">
        <w:rPr>
          <w:rFonts w:ascii="Cambria" w:hAnsi="Cambria"/>
          <w:color w:val="000000" w:themeColor="text1"/>
        </w:rPr>
        <w:t>β</w:t>
      </w:r>
      <w:r w:rsidRPr="006A00F5">
        <w:rPr>
          <w:color w:val="000000" w:themeColor="text1"/>
        </w:rPr>
        <w:noBreakHyphen/>
        <w:t>APN</w:t>
      </w:r>
      <w:r>
        <w:rPr>
          <w:color w:val="000000" w:themeColor="text1"/>
        </w:rPr>
        <w:t xml:space="preserve"> fumarate salt, they concluded that both the salt-soluble collagen and hydroxyproline content had increased, indicating a reduction in collagen cross-linking in the newly synthesised granuloma tissue. No changes to the body weight of rats was observed during the study, suggesting a lack of systemic toxicity. </w:t>
      </w:r>
    </w:p>
    <w:p w14:paraId="1475AAFD" w14:textId="1AC6D9B1" w:rsidR="009A585B" w:rsidRDefault="009A585B" w:rsidP="009A585B">
      <w:pPr>
        <w:rPr>
          <w:color w:val="000000" w:themeColor="text1"/>
        </w:rPr>
      </w:pPr>
      <w:r>
        <w:rPr>
          <w:color w:val="000000" w:themeColor="text1"/>
        </w:rPr>
        <w:t>These studies present conflicting evidence for the</w:t>
      </w:r>
      <w:r w:rsidRPr="003F4FC2">
        <w:rPr>
          <w:color w:val="000000" w:themeColor="text1"/>
        </w:rPr>
        <w:t xml:space="preserve"> </w:t>
      </w:r>
      <w:r w:rsidRPr="00603FB8">
        <w:rPr>
          <w:color w:val="000000" w:themeColor="text1"/>
        </w:rPr>
        <w:t xml:space="preserve">topical administration of </w:t>
      </w:r>
      <w:r w:rsidRPr="00603FB8">
        <w:rPr>
          <w:rFonts w:ascii="Cambria" w:hAnsi="Cambria"/>
          <w:color w:val="000000" w:themeColor="text1"/>
        </w:rPr>
        <w:t>β</w:t>
      </w:r>
      <w:r w:rsidRPr="00603FB8">
        <w:rPr>
          <w:color w:val="000000" w:themeColor="text1"/>
        </w:rPr>
        <w:noBreakHyphen/>
        <w:t>APN to treat connective tissue disorders</w:t>
      </w:r>
      <w:r>
        <w:rPr>
          <w:color w:val="000000" w:themeColor="text1"/>
        </w:rPr>
        <w:t xml:space="preserve">. </w:t>
      </w:r>
      <w:r w:rsidRPr="00603FB8">
        <w:rPr>
          <w:color w:val="000000" w:themeColor="text1"/>
        </w:rPr>
        <w:t xml:space="preserve">The form of </w:t>
      </w:r>
      <w:r w:rsidRPr="00603FB8">
        <w:rPr>
          <w:rFonts w:ascii="Cambria" w:hAnsi="Cambria"/>
          <w:color w:val="000000" w:themeColor="text1"/>
        </w:rPr>
        <w:t>β</w:t>
      </w:r>
      <w:r w:rsidRPr="00603FB8">
        <w:rPr>
          <w:color w:val="000000" w:themeColor="text1"/>
        </w:rPr>
        <w:noBreakHyphen/>
        <w:t xml:space="preserve">APN, the state of the skin and the </w:t>
      </w:r>
      <w:r>
        <w:rPr>
          <w:color w:val="000000" w:themeColor="text1"/>
        </w:rPr>
        <w:t>type of biochemical output</w:t>
      </w:r>
      <w:r w:rsidRPr="00603FB8">
        <w:rPr>
          <w:color w:val="000000" w:themeColor="text1"/>
        </w:rPr>
        <w:t xml:space="preserve"> all differ</w:t>
      </w:r>
      <w:r w:rsidR="003753FE">
        <w:rPr>
          <w:color w:val="000000" w:themeColor="text1"/>
        </w:rPr>
        <w:t>ed</w:t>
      </w:r>
      <w:r w:rsidRPr="00603FB8">
        <w:rPr>
          <w:color w:val="000000" w:themeColor="text1"/>
        </w:rPr>
        <w:t xml:space="preserve"> between studies, making it difficult to form any solid conclusions. </w:t>
      </w:r>
      <w:r>
        <w:rPr>
          <w:color w:val="000000" w:themeColor="text1"/>
        </w:rPr>
        <w:t>To date, no study has investigated the topical delivery of</w:t>
      </w:r>
      <w:r w:rsidRPr="00603FB8">
        <w:rPr>
          <w:rFonts w:ascii="Cambria" w:hAnsi="Cambria"/>
          <w:color w:val="000000" w:themeColor="text1"/>
        </w:rPr>
        <w:t xml:space="preserve"> β</w:t>
      </w:r>
      <w:r w:rsidRPr="00603FB8">
        <w:rPr>
          <w:color w:val="000000" w:themeColor="text1"/>
        </w:rPr>
        <w:noBreakHyphen/>
        <w:t>APN</w:t>
      </w:r>
      <w:r>
        <w:rPr>
          <w:color w:val="000000" w:themeColor="text1"/>
        </w:rPr>
        <w:t xml:space="preserve"> to human skin. From previous experience, large discrepancies are often observed </w:t>
      </w:r>
      <w:r>
        <w:rPr>
          <w:color w:val="000000" w:themeColor="text1"/>
        </w:rPr>
        <w:lastRenderedPageBreak/>
        <w:t xml:space="preserve">between animal and human trials, therefore the application of </w:t>
      </w:r>
      <w:r w:rsidRPr="00603FB8">
        <w:rPr>
          <w:rFonts w:ascii="Cambria" w:hAnsi="Cambria"/>
          <w:color w:val="000000" w:themeColor="text1"/>
        </w:rPr>
        <w:t>β</w:t>
      </w:r>
      <w:r w:rsidRPr="00603FB8">
        <w:rPr>
          <w:color w:val="000000" w:themeColor="text1"/>
        </w:rPr>
        <w:noBreakHyphen/>
        <w:t>APN</w:t>
      </w:r>
      <w:r>
        <w:rPr>
          <w:color w:val="000000" w:themeColor="text1"/>
        </w:rPr>
        <w:t xml:space="preserve"> to intact human skin warrants investigation. Up-to-date analytical techniques provide the opportunity to carry out these experiments </w:t>
      </w:r>
      <w:r w:rsidRPr="003C215E">
        <w:rPr>
          <w:i/>
          <w:color w:val="000000" w:themeColor="text1"/>
        </w:rPr>
        <w:t>in vitro</w:t>
      </w:r>
      <w:r>
        <w:rPr>
          <w:color w:val="000000" w:themeColor="text1"/>
        </w:rPr>
        <w:t xml:space="preserve"> using explanted human skin. However, these were determined to be outside the scope of this thesis.</w:t>
      </w:r>
    </w:p>
    <w:p w14:paraId="012D6C81" w14:textId="77777777" w:rsidR="009A585B" w:rsidRDefault="009A585B" w:rsidP="009A585B">
      <w:pPr>
        <w:rPr>
          <w:color w:val="000000" w:themeColor="text1"/>
        </w:rPr>
      </w:pPr>
      <w:r w:rsidRPr="009C3CE7">
        <w:rPr>
          <w:color w:val="000000" w:themeColor="text1"/>
        </w:rPr>
        <w:t xml:space="preserve">Several of these studies highlighted the instability of the </w:t>
      </w:r>
      <w:r w:rsidRPr="009C3CE7">
        <w:rPr>
          <w:rFonts w:ascii="Cambria" w:hAnsi="Cambria"/>
          <w:color w:val="000000" w:themeColor="text1"/>
        </w:rPr>
        <w:t>β</w:t>
      </w:r>
      <w:r w:rsidRPr="009C3CE7">
        <w:rPr>
          <w:color w:val="000000" w:themeColor="text1"/>
        </w:rPr>
        <w:noBreakHyphen/>
        <w:t>APN free base, suggesting that this form of the drug had a limited shelf life and was unsuitable for clinical use.</w:t>
      </w:r>
      <w:r w:rsidRPr="009C3CE7">
        <w:rPr>
          <w:color w:val="000000" w:themeColor="text1"/>
        </w:rPr>
        <w:fldChar w:fldCharType="begin" w:fldLock="1"/>
      </w:r>
      <w:r>
        <w:rPr>
          <w:color w:val="000000" w:themeColor="text1"/>
        </w:rPr>
        <w:instrText>ADDIN CSL_CITATION {"citationItems":[{"id":"ITEM-1","itemData":{"abstract":"A lathyrogen, [C’4]aminopropionitrile @APN), was administered to 34 rats either in K-Y jelly or saline ve- hicles onto intact shaven skin or onto a healed splinted deep excision wound. The dynamics of b-APN transport and content in the skin or repair tissue was observed after 2, 5, 8, and 24 hr of topical administration. The repair tissue quickly absorbed the lathyrogen and reached maximum at the 2-hr sampling. The content of BAPN in the repair tissue was twice as high as that in K-Y jelly vehicle and remained high and stable for at least 24 hr only when /3APN was administered through a saline vehicle. The transport of BAPN through intact skin, irrespective of the vehicle tested, was slow and continuously increased. The study showed that almost 20% of the @APN administered onto the wounded skin area was transported into the repair tissue within 2 hr. We suggest that, due to the absence of epidermal stratum corneum from the repair tissue, drugs, such as BAPN, penetrate","author":[{"dropping-particle":"","family":"Gibeault","given":"David J","non-dropping-particle":"","parse-names":false,"suffix":""},{"dropping-particle":"","family":"Cravens","given":"Robert B","non-dropping-particle":"","parse-names":false,"suffix":""},{"dropping-particle":"","family":"Chvapil","given":"Milos","non-dropping-particle":"","parse-names":false,"suffix":""}],"container-title":"Journal of Surgical Research","id":"ITEM-1","issued":{"date-parts":[["1989"]]},"page":"155-158","title":"Transport of beta-Aminopropionitrile through Intact Skin or Scar Tissue","type":"article-journal","volume":"47"},"uris":["http://www.mendeley.com/documents/?uuid=599561f1-aa8c-4fbe-9527-7c1c2ba0be34"]},{"id":"ITEM-2","itemData":{"DOI":"10.1016/0022-4804(85)90034-4","ISSN":"10958673","PMID":"3982018","abstract":"The Lindsay chicken foot tendon model was utilized to test the effect of topically applied β-aminopropionitrile base upon the tensile strength of peritendinous adhesions following tenolysis of a scarified flexor tendon. The agent reduced by one-third the force required to effect tendon gliding and flexion of the joints in the involved digit. The results show that topical β-aminopropionitrile is effective in the control of peritendinous adhesions and, therefore, achieves sufficient depth of penetration topically to affect the peritendinous location. No adverse effects of the topically applied agent were demonstrated. The principle of topical therapeutics that may have significant benefits to patients with tendon injuries is demonstrated. © 1985.","author":[{"dropping-particle":"","family":"Speer","given":"Donald P.","non-dropping-particle":"","parse-names":false,"suffix":""},{"dropping-particle":"","family":"Feldman","given":"Stefanie","non-dropping-particle":"","parse-names":false,"suffix":""},{"dropping-particle":"","family":"Chvapil","given":"Milos","non-dropping-particle":"","parse-names":false,"suffix":""}],"container-title":"Journal of Surgical Research","id":"ITEM-2","issue":"3","issued":{"date-parts":[["1985"]]},"page":"252-257","title":"The control of peritendinous adhesions using topical β-aminopropionitrile base","type":"article-journal","volume":"38"},"uris":["http://www.mendeley.com/documents/?uuid=f32e32cd-c5b7-4b2f-993d-5e4ad8dc355e"]}],"mendeley":{"formattedCitation":"&lt;sup&gt;122,123&lt;/sup&gt;","plainTextFormattedCitation":"122,123","previouslyFormattedCitation":"&lt;sup&gt;122,123&lt;/sup&gt;"},"properties":{"noteIndex":0},"schema":"https://github.com/citation-style-language/schema/raw/master/csl-citation.json"}</w:instrText>
      </w:r>
      <w:r w:rsidRPr="009C3CE7">
        <w:rPr>
          <w:color w:val="000000" w:themeColor="text1"/>
        </w:rPr>
        <w:fldChar w:fldCharType="separate"/>
      </w:r>
      <w:r w:rsidRPr="00962DB8">
        <w:rPr>
          <w:noProof/>
          <w:color w:val="000000" w:themeColor="text1"/>
          <w:vertAlign w:val="superscript"/>
        </w:rPr>
        <w:t>122,123</w:t>
      </w:r>
      <w:r w:rsidRPr="009C3CE7">
        <w:rPr>
          <w:color w:val="000000" w:themeColor="text1"/>
        </w:rPr>
        <w:fldChar w:fldCharType="end"/>
      </w:r>
      <w:r w:rsidRPr="009C3CE7">
        <w:rPr>
          <w:color w:val="000000" w:themeColor="text1"/>
        </w:rPr>
        <w:t xml:space="preserve"> Whilst no reference was made to specific toxic metabolites or pathways, the consensus was that only the fumarate salt of </w:t>
      </w:r>
      <w:r w:rsidRPr="009C3CE7">
        <w:rPr>
          <w:rFonts w:ascii="Cambria" w:hAnsi="Cambria"/>
          <w:color w:val="000000" w:themeColor="text1"/>
        </w:rPr>
        <w:t>β</w:t>
      </w:r>
      <w:r w:rsidRPr="009C3CE7">
        <w:rPr>
          <w:color w:val="000000" w:themeColor="text1"/>
        </w:rPr>
        <w:noBreakHyphen/>
        <w:t>APN should be investigated for future clinical applications.</w:t>
      </w:r>
      <w:r>
        <w:rPr>
          <w:color w:val="000000" w:themeColor="text1"/>
        </w:rPr>
        <w:t xml:space="preserve"> However, this raises a further issue, since the fumarate salt of </w:t>
      </w:r>
      <w:r w:rsidRPr="009C3CE7">
        <w:rPr>
          <w:rFonts w:ascii="Cambria" w:hAnsi="Cambria"/>
          <w:color w:val="000000" w:themeColor="text1"/>
        </w:rPr>
        <w:t>β</w:t>
      </w:r>
      <w:r w:rsidRPr="009C3CE7">
        <w:rPr>
          <w:color w:val="000000" w:themeColor="text1"/>
        </w:rPr>
        <w:noBreakHyphen/>
        <w:t>APN</w:t>
      </w:r>
      <w:r>
        <w:rPr>
          <w:color w:val="000000" w:themeColor="text1"/>
        </w:rPr>
        <w:t xml:space="preserve"> is highly hydrophilic. As discussed in the previous section, hydrophilic compounds struggle to penetrate the lipophilic stratum corneum. One way to circumvent this issue would be to modify </w:t>
      </w:r>
      <w:r w:rsidRPr="009C3CE7">
        <w:rPr>
          <w:rFonts w:ascii="Cambria" w:hAnsi="Cambria"/>
          <w:color w:val="000000" w:themeColor="text1"/>
        </w:rPr>
        <w:t>β</w:t>
      </w:r>
      <w:r w:rsidRPr="009C3CE7">
        <w:rPr>
          <w:color w:val="000000" w:themeColor="text1"/>
        </w:rPr>
        <w:noBreakHyphen/>
        <w:t>APN</w:t>
      </w:r>
      <w:r>
        <w:rPr>
          <w:color w:val="000000" w:themeColor="text1"/>
        </w:rPr>
        <w:t xml:space="preserve"> to increase its lipophilicity.</w:t>
      </w:r>
    </w:p>
    <w:p w14:paraId="46A83F82" w14:textId="3F2D76B8" w:rsidR="009A585B" w:rsidRDefault="009A585B" w:rsidP="009A585B">
      <w:r>
        <w:rPr>
          <w:color w:val="000000" w:themeColor="text1"/>
        </w:rPr>
        <w:t xml:space="preserve">This approach was taken by </w:t>
      </w:r>
      <w:r w:rsidRPr="00675DD4">
        <w:rPr>
          <w:color w:val="000000" w:themeColor="text1"/>
        </w:rPr>
        <w:t>Chvapil and colleagues</w:t>
      </w:r>
      <w:r>
        <w:rPr>
          <w:color w:val="000000" w:themeColor="text1"/>
        </w:rPr>
        <w:t xml:space="preserve">, who </w:t>
      </w:r>
      <w:r w:rsidRPr="00675DD4">
        <w:rPr>
          <w:color w:val="000000" w:themeColor="text1"/>
        </w:rPr>
        <w:t xml:space="preserve">sought </w:t>
      </w:r>
      <w:r>
        <w:rPr>
          <w:color w:val="000000" w:themeColor="text1"/>
        </w:rPr>
        <w:t xml:space="preserve">to increase the lipophilicity of </w:t>
      </w:r>
      <w:r w:rsidRPr="009C3CE7">
        <w:rPr>
          <w:rFonts w:ascii="Cambria" w:hAnsi="Cambria"/>
          <w:color w:val="000000" w:themeColor="text1"/>
        </w:rPr>
        <w:t>β</w:t>
      </w:r>
      <w:r w:rsidRPr="009C3CE7">
        <w:rPr>
          <w:color w:val="000000" w:themeColor="text1"/>
        </w:rPr>
        <w:noBreakHyphen/>
        <w:t>APN</w:t>
      </w:r>
      <w:r>
        <w:rPr>
          <w:color w:val="000000" w:themeColor="text1"/>
        </w:rPr>
        <w:t xml:space="preserve"> and </w:t>
      </w:r>
      <w:r w:rsidRPr="0055577A">
        <w:rPr>
          <w:color w:val="000000" w:themeColor="text1"/>
          <w:sz w:val="21"/>
        </w:rPr>
        <w:t>D</w:t>
      </w:r>
      <w:r>
        <w:rPr>
          <w:color w:val="000000" w:themeColor="text1"/>
        </w:rPr>
        <w:noBreakHyphen/>
        <w:t>penicillamine to improve sustained local drug release.</w:t>
      </w:r>
      <w:r>
        <w:rPr>
          <w:color w:val="000000" w:themeColor="text1"/>
        </w:rPr>
        <w:fldChar w:fldCharType="begin" w:fldLock="1"/>
      </w:r>
      <w:r>
        <w:rPr>
          <w:color w:val="000000" w:themeColor="text1"/>
        </w:rPr>
        <w:instrText>ADDIN CSL_CITATION {"citationItems":[{"id":"ITEM-1","itemData":{"DOI":"10.1080/03008200500416690","ISBN":"0300-8207 (Print)\r0300-8207","ISSN":"03008207","PMID":"16546828","abstract":"This study extends the use of two lathyrogens, ss-aminopropionitrile (BAPN) and D-penicillamine (DPA) from daily systemic or local-topical administration to long-time acting agents. This was achieved by converting the hydrophilic drugs into lipophilic derivatives. The synthesis of functional derivatives of DPA consisted in esterification with methyl-, hexyl-, or benzyl alcohols in the presence of thionylchloride. The esters formed were hydrochlorides, acidic and soluble in water. During neutralization in vitro or in vivo by tissue fluid, an oily substance is formed that elutes from a hydrogel polymer at a much slower rate than hydroplilic DPA itself. The degree of lipophilicity, measured as a partition coefficient between octanol/water, was highest for hexyl ester and lowest for methyl ester DPA. A single injection of either DPA hexyl ester HCl or 3-hexyl(amino) propionitrile into the full thickness skin incision wound in rats significantly lowered the breaking strength of the wound 12 days after injection, indicating the interference with collagen cross-linking. Both agents injected into the breast adenocarcinoma in Fisher rats significantly inhibited tumor growth without any signs of local or systemic toxicity. We conclude that these lipophilic lathyrogens with prolonged effectiveness are suitable in the treatment of pathologies, consisting of excessively cross-linked or deposited collagen (fibrotic adhesions, strictures, stenosis, and scar contractures) and in the treatment of single, solitary tumors, malignant and benign","author":[{"dropping-particle":"","family":"Chvapil","given":"Milos","non-dropping-particle":"","parse-names":false,"suffix":""},{"dropping-particle":"","family":"Kielar","given":"Filip","non-dropping-particle":"","parse-names":false,"suffix":""},{"dropping-particle":"","family":"Liska","given":"Frantisek","non-dropping-particle":"","parse-names":false,"suffix":""},{"dropping-particle":"","family":"Silhankova","given":"Alexandra","non-dropping-particle":"","parse-names":false,"suffix":""},{"dropping-particle":"","family":"Brendel","given":"Klaus","non-dropping-particle":"","parse-names":false,"suffix":""}],"container-title":"Connective Tissue Research","id":"ITEM-1","issue":"4-5","issued":{"date-parts":[["2005"]]},"page":"242-250","title":"Synthesis and evaluation of long-acting D-penicillamine derivatives","type":"article-journal","volume":"46"},"uris":["http://www.mendeley.com/documents/?uuid=92040c33-657a-4064-afdd-d2131c590d61"]}],"mendeley":{"formattedCitation":"&lt;sup&gt;128&lt;/sup&gt;","plainTextFormattedCitation":"128","previouslyFormattedCitation":"&lt;sup&gt;128&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128</w:t>
      </w:r>
      <w:r>
        <w:rPr>
          <w:color w:val="000000" w:themeColor="text1"/>
        </w:rPr>
        <w:fldChar w:fldCharType="end"/>
      </w:r>
      <w:r>
        <w:rPr>
          <w:color w:val="000000" w:themeColor="text1"/>
        </w:rPr>
        <w:t xml:space="preserve"> Initial attempts to increase the lipophilicity of the two lathyrogens by palmitoylation resulted in a lack of biological activity. It was suggested this was due to masking of the functional groups that were required to produce a biological effect. Taking a different approach, the authors tested</w:t>
      </w:r>
      <w:r w:rsidRPr="00212339">
        <w:t xml:space="preserve"> </w:t>
      </w:r>
      <w:r>
        <w:rPr>
          <w:color w:val="000000" w:themeColor="text1"/>
        </w:rPr>
        <w:t>3-hexyl(amino)</w:t>
      </w:r>
      <w:r w:rsidRPr="00212339">
        <w:rPr>
          <w:color w:val="000000" w:themeColor="text1"/>
        </w:rPr>
        <w:t>propionitrile</w:t>
      </w:r>
      <w:r>
        <w:rPr>
          <w:color w:val="000000" w:themeColor="text1"/>
        </w:rPr>
        <w:t xml:space="preserve">, a commercial analogue of </w:t>
      </w:r>
      <w:r w:rsidRPr="009C3CE7">
        <w:rPr>
          <w:rFonts w:ascii="Cambria" w:hAnsi="Cambria"/>
          <w:color w:val="000000" w:themeColor="text1"/>
        </w:rPr>
        <w:t>β</w:t>
      </w:r>
      <w:r w:rsidRPr="009C3CE7">
        <w:rPr>
          <w:color w:val="000000" w:themeColor="text1"/>
        </w:rPr>
        <w:noBreakHyphen/>
        <w:t>APN</w:t>
      </w:r>
      <w:r>
        <w:rPr>
          <w:color w:val="000000" w:themeColor="text1"/>
        </w:rPr>
        <w:t xml:space="preserve">, in both wound healing and tumour growth studies. They found that this more lipophilic adduct of </w:t>
      </w:r>
      <w:r w:rsidRPr="009C3CE7">
        <w:rPr>
          <w:rFonts w:ascii="Cambria" w:hAnsi="Cambria"/>
          <w:color w:val="000000" w:themeColor="text1"/>
        </w:rPr>
        <w:t>β</w:t>
      </w:r>
      <w:r w:rsidRPr="009C3CE7">
        <w:rPr>
          <w:color w:val="000000" w:themeColor="text1"/>
        </w:rPr>
        <w:noBreakHyphen/>
        <w:t>APN</w:t>
      </w:r>
      <w:r>
        <w:rPr>
          <w:color w:val="000000" w:themeColor="text1"/>
        </w:rPr>
        <w:t xml:space="preserve"> was able to inhibit wound healing and tumour growth in rats for up to 12 days after a single dose. These results suggested that increasing the lipophilicity of </w:t>
      </w:r>
      <w:r w:rsidRPr="009C3CE7">
        <w:rPr>
          <w:rFonts w:ascii="Cambria" w:hAnsi="Cambria"/>
          <w:color w:val="000000" w:themeColor="text1"/>
        </w:rPr>
        <w:t>β</w:t>
      </w:r>
      <w:r w:rsidRPr="009C3CE7">
        <w:rPr>
          <w:color w:val="000000" w:themeColor="text1"/>
        </w:rPr>
        <w:noBreakHyphen/>
        <w:t>APN</w:t>
      </w:r>
      <w:r>
        <w:rPr>
          <w:color w:val="000000" w:themeColor="text1"/>
        </w:rPr>
        <w:t xml:space="preserve"> allowed an increase in the drug retention in the local area. Interestingly, 3-hexyl(amino)</w:t>
      </w:r>
      <w:r w:rsidRPr="00212339">
        <w:rPr>
          <w:color w:val="000000" w:themeColor="text1"/>
        </w:rPr>
        <w:t>propionitrile</w:t>
      </w:r>
      <w:r>
        <w:rPr>
          <w:color w:val="000000" w:themeColor="text1"/>
        </w:rPr>
        <w:t xml:space="preserve"> contains a secondary amine with a hexyl group in the position that </w:t>
      </w:r>
      <w:r w:rsidRPr="002D7E4A">
        <w:rPr>
          <w:rFonts w:cs="Lucida Grande"/>
          <w:color w:val="000000"/>
        </w:rPr>
        <w:t>β</w:t>
      </w:r>
      <w:r>
        <w:t>-APN has a primary amine (</w:t>
      </w:r>
      <w:r>
        <w:fldChar w:fldCharType="begin"/>
      </w:r>
      <w:r>
        <w:instrText xml:space="preserve"> REF _Ref525119371 \h </w:instrText>
      </w:r>
      <w:r>
        <w:fldChar w:fldCharType="separate"/>
      </w:r>
      <w:r w:rsidR="00E6157A">
        <w:t xml:space="preserve">Figure </w:t>
      </w:r>
      <w:r w:rsidR="00E6157A">
        <w:rPr>
          <w:noProof/>
        </w:rPr>
        <w:t>1</w:t>
      </w:r>
      <w:r w:rsidR="00E6157A">
        <w:t>.</w:t>
      </w:r>
      <w:r w:rsidR="00E6157A">
        <w:rPr>
          <w:noProof/>
        </w:rPr>
        <w:t>7</w:t>
      </w:r>
      <w:r>
        <w:fldChar w:fldCharType="end"/>
      </w:r>
      <w:r>
        <w:t xml:space="preserve">). </w:t>
      </w:r>
      <w:r>
        <w:rPr>
          <w:color w:val="000000" w:themeColor="text1"/>
        </w:rPr>
        <w:t xml:space="preserve">Previous work has suggested that the primary amine of </w:t>
      </w:r>
      <w:r w:rsidRPr="002D7E4A">
        <w:rPr>
          <w:rFonts w:cs="Lucida Grande"/>
          <w:color w:val="000000"/>
        </w:rPr>
        <w:t>β</w:t>
      </w:r>
      <w:r>
        <w:t>-APN is essential for LOX inhibition, as it reacts to form a covalent bond with the active site of the enzyme.</w:t>
      </w:r>
      <w:r>
        <w:fldChar w:fldCharType="begin" w:fldLock="1"/>
      </w:r>
      <w:r>
        <w:instrText>ADDIN CSL_CITATION {"citationItems":[{"id":"ITEM-1","itemData":{"ISBN":"0021-9258","ISSN":"00219258","PMID":"6131892","abstract":"beta-Aminopropionitrile (BAPN) is a potent irreversible inhibitor of lysyl oxidase, the enzyme which initiates cross-linkage formation in elastin and collagen. The initial interaction of BAPN with aortic lysyl oxidase is competitive with elastin or alkyl amine substrates. Irreversible inhibition develops in a time- and temperature-dependent fashion upon incubation of enzyme with BAPN in the absence of substrate with a limiting inactivation rate constant of 0.16 min-1 and a KI of 6 microM at 37 degrees C. The labeled carbons of [1,2-14C]BAPN and [3-14C]BAPN covalently bind to the enzyme to equivalent extents and in parallel with the development of inactivation, negating the possibility that the nitrile moiety is eliminated from BAPN by enzymatic action. The copper content of the enzyme is not significantly altered upon interaction with BAPN. The extent of labeling by [14C]BAPN is reduced by prior treatment of the enzyme with carbonyl-modifying reagents, suggesting the possibility of enzyme-inhibitor Schiff base formation. However, BAPN is not processed to a free aldehyde product upon incubation with lysyl oxidase. A mechanism of inhibition is postulated which involves the formation of a covalent bond between an enzyme nucleophile and a ketenimine formed from BAPN by enzyme-assisted beta-proton abstraction.","author":[{"dropping-particle":"","family":"Tang","given":"S. S.","non-dropping-particle":"","parse-names":false,"suffix":""},{"dropping-particle":"","family":"Trackman","given":"P. C.","non-dropping-particle":"","parse-names":false,"suffix":""},{"dropping-particle":"","family":"Kagan","given":"H. M.","non-dropping-particle":"","parse-names":false,"suffix":""}],"container-title":"Journal of Biological Chemistry","id":"ITEM-1","issue":"7","issued":{"date-parts":[["1983"]]},"page":"4331-4338","title":"Reaction of aortic lysyl oxidase with beta-aminopropionitrile","type":"article-journal","volume":"258"},"uris":["http://www.mendeley.com/documents/?uuid=a4e82644-6228-471e-bce0-265ada2e7ecb"]}],"mendeley":{"formattedCitation":"&lt;sup&gt;93&lt;/sup&gt;","plainTextFormattedCitation":"93","previouslyFormattedCitation":"&lt;sup&gt;93&lt;/sup&gt;"},"properties":{"noteIndex":0},"schema":"https://github.com/citation-style-language/schema/raw/master/csl-citation.json"}</w:instrText>
      </w:r>
      <w:r>
        <w:fldChar w:fldCharType="separate"/>
      </w:r>
      <w:r w:rsidRPr="00E8189C">
        <w:rPr>
          <w:noProof/>
          <w:vertAlign w:val="superscript"/>
        </w:rPr>
        <w:t>93</w:t>
      </w:r>
      <w:r>
        <w:fldChar w:fldCharType="end"/>
      </w:r>
      <w:r>
        <w:t xml:space="preserve"> Therefore, it is unusual that a biological effect was still observed with this compound. </w:t>
      </w:r>
    </w:p>
    <w:p w14:paraId="3F99279F" w14:textId="77777777" w:rsidR="009A585B" w:rsidRDefault="009A585B" w:rsidP="009A585B">
      <w:pPr>
        <w:keepNext/>
        <w:jc w:val="center"/>
      </w:pPr>
      <w:r w:rsidRPr="00DB3111">
        <w:rPr>
          <w:noProof/>
        </w:rPr>
        <w:drawing>
          <wp:inline distT="0" distB="0" distL="0" distR="0" wp14:anchorId="54416A3C" wp14:editId="6C9561BA">
            <wp:extent cx="3319144" cy="7639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41255" cy="769019"/>
                    </a:xfrm>
                    <a:prstGeom prst="rect">
                      <a:avLst/>
                    </a:prstGeom>
                  </pic:spPr>
                </pic:pic>
              </a:graphicData>
            </a:graphic>
          </wp:inline>
        </w:drawing>
      </w:r>
    </w:p>
    <w:p w14:paraId="7191CDBC" w14:textId="5EF103A9" w:rsidR="009A585B" w:rsidRPr="00261341" w:rsidRDefault="009A585B" w:rsidP="009D71E0">
      <w:pPr>
        <w:pStyle w:val="Caption"/>
        <w:jc w:val="both"/>
        <w:rPr>
          <w:color w:val="000000" w:themeColor="text1"/>
        </w:rPr>
      </w:pPr>
      <w:bookmarkStart w:id="44" w:name="_Ref525119371"/>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7</w:t>
      </w:r>
      <w:r w:rsidR="00BE21E4">
        <w:rPr>
          <w:noProof/>
        </w:rPr>
        <w:fldChar w:fldCharType="end"/>
      </w:r>
      <w:bookmarkEnd w:id="44"/>
      <w:r w:rsidRPr="009D71E0">
        <w:rPr>
          <w:b w:val="0"/>
          <w:color w:val="000000" w:themeColor="text1"/>
        </w:rPr>
        <w:t xml:space="preserve">. Chemical structures of A) </w:t>
      </w:r>
      <w:r w:rsidRPr="009D71E0">
        <w:rPr>
          <w:b w:val="0"/>
          <w:color w:val="000000" w:themeColor="text1"/>
        </w:rPr>
        <w:sym w:font="Symbol" w:char="F062"/>
      </w:r>
      <w:r w:rsidRPr="009D71E0">
        <w:rPr>
          <w:b w:val="0"/>
          <w:color w:val="000000" w:themeColor="text1"/>
        </w:rPr>
        <w:t>-aminopropionitrile and B) 3-hexyl(amino)propionitrile</w:t>
      </w:r>
    </w:p>
    <w:p w14:paraId="018E9060" w14:textId="77777777" w:rsidR="009A585B" w:rsidRPr="00AA6631" w:rsidRDefault="009A585B" w:rsidP="009A585B">
      <w:pPr>
        <w:rPr>
          <w:color w:val="000000" w:themeColor="text1"/>
        </w:rPr>
      </w:pPr>
      <w:r>
        <w:rPr>
          <w:color w:val="000000" w:themeColor="text1"/>
        </w:rPr>
        <w:lastRenderedPageBreak/>
        <w:t xml:space="preserve">This work aims to </w:t>
      </w:r>
      <w:r w:rsidRPr="00AA6631">
        <w:rPr>
          <w:color w:val="000000" w:themeColor="text1"/>
        </w:rPr>
        <w:t xml:space="preserve">find a way to deliver </w:t>
      </w:r>
      <w:r w:rsidRPr="00AA6631">
        <w:rPr>
          <w:rFonts w:ascii="Cambria" w:hAnsi="Cambria"/>
          <w:color w:val="000000" w:themeColor="text1"/>
        </w:rPr>
        <w:t>β</w:t>
      </w:r>
      <w:r w:rsidRPr="00AA6631">
        <w:rPr>
          <w:color w:val="000000" w:themeColor="text1"/>
        </w:rPr>
        <w:t xml:space="preserve">-APN in a safe manner, for a sustained period without inducing systemic lathyritic effects. Topical delivery of </w:t>
      </w:r>
      <w:r w:rsidRPr="00AA6631">
        <w:rPr>
          <w:rFonts w:ascii="Cambria" w:hAnsi="Cambria"/>
          <w:color w:val="000000" w:themeColor="text1"/>
        </w:rPr>
        <w:t>β</w:t>
      </w:r>
      <w:r w:rsidRPr="00AA6631">
        <w:rPr>
          <w:color w:val="000000" w:themeColor="text1"/>
        </w:rPr>
        <w:t xml:space="preserve">-APN has been discussed in the literature and remains a promising method for local drug delivery to scar contracture. Due to the inherent hydrophilicity of the </w:t>
      </w:r>
      <w:r w:rsidRPr="00AA6631">
        <w:rPr>
          <w:rFonts w:ascii="Cambria" w:hAnsi="Cambria"/>
          <w:color w:val="000000" w:themeColor="text1"/>
        </w:rPr>
        <w:t>β</w:t>
      </w:r>
      <w:r>
        <w:rPr>
          <w:color w:val="000000" w:themeColor="text1"/>
        </w:rPr>
        <w:noBreakHyphen/>
      </w:r>
      <w:r w:rsidRPr="00AA6631">
        <w:rPr>
          <w:color w:val="000000" w:themeColor="text1"/>
        </w:rPr>
        <w:t xml:space="preserve">APN, altering the properties of </w:t>
      </w:r>
      <w:r w:rsidRPr="00AA6631">
        <w:rPr>
          <w:rFonts w:ascii="Cambria" w:hAnsi="Cambria"/>
          <w:color w:val="000000" w:themeColor="text1"/>
        </w:rPr>
        <w:t>β</w:t>
      </w:r>
      <w:r w:rsidRPr="00AA6631">
        <w:rPr>
          <w:color w:val="000000" w:themeColor="text1"/>
        </w:rPr>
        <w:t>-APN to make the drug more lipophilic wound be beneficial. To achieve this, the development of a more lipophilic</w:t>
      </w:r>
      <w:r>
        <w:rPr>
          <w:color w:val="000000" w:themeColor="text1"/>
        </w:rPr>
        <w:t xml:space="preserve"> </w:t>
      </w:r>
      <w:r w:rsidRPr="00AA6631">
        <w:rPr>
          <w:rFonts w:ascii="Cambria" w:hAnsi="Cambria"/>
          <w:color w:val="000000" w:themeColor="text1"/>
        </w:rPr>
        <w:t>β</w:t>
      </w:r>
      <w:r>
        <w:rPr>
          <w:color w:val="000000" w:themeColor="text1"/>
        </w:rPr>
        <w:noBreakHyphen/>
      </w:r>
      <w:r w:rsidRPr="00AA6631">
        <w:rPr>
          <w:color w:val="000000" w:themeColor="text1"/>
        </w:rPr>
        <w:t xml:space="preserve">APN prodrug has been suggested. </w:t>
      </w:r>
    </w:p>
    <w:p w14:paraId="554555B7" w14:textId="77777777" w:rsidR="009A585B" w:rsidRDefault="009A585B" w:rsidP="009A585B">
      <w:pPr>
        <w:pStyle w:val="Heading2"/>
      </w:pPr>
      <w:bookmarkStart w:id="45" w:name="_Toc2450987"/>
      <w:r>
        <w:t>Prodrugs</w:t>
      </w:r>
      <w:bookmarkEnd w:id="45"/>
    </w:p>
    <w:p w14:paraId="5FF63914" w14:textId="77777777" w:rsidR="009A585B" w:rsidRPr="00690A63" w:rsidRDefault="009A585B" w:rsidP="009A585B">
      <w:pPr>
        <w:rPr>
          <w:color w:val="000000" w:themeColor="text1"/>
        </w:rPr>
      </w:pPr>
      <w:r>
        <w:rPr>
          <w:color w:val="000000" w:themeColor="text1"/>
        </w:rPr>
        <w:t>Prodrugs are inactive or ‘masked’ forms of active drug molecules that are designed to improve drug characteristics such as solubility, metabolism and toxicity. Scientists have been developing prodrugs since the early 20</w:t>
      </w:r>
      <w:r w:rsidRPr="00160B63">
        <w:rPr>
          <w:color w:val="000000" w:themeColor="text1"/>
          <w:vertAlign w:val="superscript"/>
        </w:rPr>
        <w:t>th</w:t>
      </w:r>
      <w:r>
        <w:rPr>
          <w:color w:val="000000" w:themeColor="text1"/>
        </w:rPr>
        <w:t xml:space="preserve"> century, though the term ‘prodrug’ was only first officially used in 1958.</w:t>
      </w:r>
      <w:r>
        <w:rPr>
          <w:color w:val="000000" w:themeColor="text1"/>
        </w:rPr>
        <w:fldChar w:fldCharType="begin" w:fldLock="1"/>
      </w:r>
      <w:r>
        <w:rPr>
          <w:color w:val="000000" w:themeColor="text1"/>
        </w:rPr>
        <w:instrText>ADDIN CSL_CITATION {"citationItems":[{"id":"ITEM-1","itemData":{"author":[{"dropping-particle":"","family":"Albert","given":"Adrien","non-dropping-particle":"","parse-names":false,"suffix":""}],"container-title":"Nature","id":"ITEM-1","issued":{"date-parts":[["1958","8","16"]]},"page":"421","publisher":"Nature Publishing Group","title":"Chemical Aspects of Selective Toxicity","type":"article-journal","volume":"182"},"uris":["http://www.mendeley.com/documents/?uuid=7d26e803-713a-40c3-8bb8-e29ebc2819b4"]}],"mendeley":{"formattedCitation":"&lt;sup&gt;129&lt;/sup&gt;","plainTextFormattedCitation":"129","previouslyFormattedCitation":"&lt;sup&gt;129&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129</w:t>
      </w:r>
      <w:r>
        <w:rPr>
          <w:color w:val="000000" w:themeColor="text1"/>
        </w:rPr>
        <w:fldChar w:fldCharType="end"/>
      </w:r>
      <w:r>
        <w:rPr>
          <w:color w:val="000000" w:themeColor="text1"/>
        </w:rPr>
        <w:t xml:space="preserve"> </w:t>
      </w:r>
      <w:r w:rsidRPr="0050383B">
        <w:rPr>
          <w:color w:val="000000" w:themeColor="text1"/>
        </w:rPr>
        <w:t xml:space="preserve">Although they’re sometimes seen as a last resort to deal with undesirable properties of candidate drug compounds, prodrugs are now becoming </w:t>
      </w:r>
      <w:r>
        <w:rPr>
          <w:color w:val="000000" w:themeColor="text1"/>
        </w:rPr>
        <w:t xml:space="preserve">a more integral </w:t>
      </w:r>
      <w:r w:rsidRPr="0050383B">
        <w:rPr>
          <w:color w:val="000000" w:themeColor="text1"/>
        </w:rPr>
        <w:t>part of the initial drug discovery process.</w:t>
      </w:r>
      <w:r>
        <w:rPr>
          <w:color w:val="000000" w:themeColor="text1"/>
        </w:rPr>
        <w:t xml:space="preserve"> This is demonstrated by the increasing </w:t>
      </w:r>
      <w:r w:rsidRPr="00690A63">
        <w:rPr>
          <w:color w:val="000000" w:themeColor="text1"/>
        </w:rPr>
        <w:t>number of prodrugs approved for clinical use in recent years. For example, 15 % of all drugs approved by the FDA in 2015 were prodrugs.</w:t>
      </w:r>
      <w:r w:rsidRPr="00690A63">
        <w:rPr>
          <w:color w:val="000000" w:themeColor="text1"/>
        </w:rPr>
        <w:fldChar w:fldCharType="begin" w:fldLock="1"/>
      </w:r>
      <w:r>
        <w:rPr>
          <w:color w:val="000000" w:themeColor="text1"/>
        </w:rPr>
        <w:instrText>ADDIN CSL_CITATION {"citationItems":[{"id":"ITEM-1","itemData":{"DOI":"10.1016/j.ejps.2017.08.002","ISSN":"18790720","PMID":"28782609","abstract":"Prodrugs offer a versatile strategy to overcome flaws of viable drug candidates or clinically approved drugs. However, the strategic importance of prodrugs in the pharmaceutical industry has often been challenged, and prodrugs are often considered as the last option after lead optimization and when the selected drug candidate has faced significant pharmaceutical and pharmacokinetic limitations. Based on recent success in marketed drugs, prodrug strategy should clearly be considered already in early stages of lead optimization. During the past five years or so, prodrugs have accounted for about 10% of all small molecular weight drugs that have come to the market. In 2015 alone, the FDA approved seven prodrugs, which gives a prodrug prevalence of over 20% among the small molecules or over 15% among the total amount of the FDA approved drugs that year. A great number of various prodrugs are also undergoing late stage clinical trials. The pharmaceutical industry will therefore continue to depend on prodrugs for the foreseeable future. In this review, we will present the state of the art in the design of the prodrugs launched by the FDA since 2015. We will also provide an overview of some interesting late stage clinical prodrug candidates. We hope this review will demonstrate potential of prodrug strategies and facilitates the use of prodrugs in drug discovery projects.","author":[{"dropping-particle":"","family":"Rautio","given":"Jarkko","non-dropping-particle":"","parse-names":false,"suffix":""},{"dropping-particle":"","family":"Kärkkäinen","given":"Jussi","non-dropping-particle":"","parse-names":false,"suffix":""},{"dropping-particle":"","family":"Sloan","given":"Kenneth B.","non-dropping-particle":"","parse-names":false,"suffix":""}],"container-title":"European Journal of Pharmaceutical Sciences","id":"ITEM-1","issue":"August","issued":{"date-parts":[["2017"]]},"page":"146-161","publisher":"Elsevier","title":"Prodrugs – Recent approvals and a glimpse of the pipeline","type":"article-journal","volume":"109"},"uris":["http://www.mendeley.com/documents/?uuid=82db6293-6464-4051-b933-55464ce5b439"]}],"mendeley":{"formattedCitation":"&lt;sup&gt;130&lt;/sup&gt;","plainTextFormattedCitation":"130","previouslyFormattedCitation":"&lt;sup&gt;130&lt;/sup&gt;"},"properties":{"noteIndex":0},"schema":"https://github.com/citation-style-language/schema/raw/master/csl-citation.json"}</w:instrText>
      </w:r>
      <w:r w:rsidRPr="00690A63">
        <w:rPr>
          <w:color w:val="000000" w:themeColor="text1"/>
        </w:rPr>
        <w:fldChar w:fldCharType="separate"/>
      </w:r>
      <w:r w:rsidRPr="00962DB8">
        <w:rPr>
          <w:noProof/>
          <w:color w:val="000000" w:themeColor="text1"/>
          <w:vertAlign w:val="superscript"/>
        </w:rPr>
        <w:t>130</w:t>
      </w:r>
      <w:r w:rsidRPr="00690A63">
        <w:rPr>
          <w:color w:val="000000" w:themeColor="text1"/>
        </w:rPr>
        <w:fldChar w:fldCharType="end"/>
      </w:r>
      <w:r w:rsidRPr="00690A63">
        <w:rPr>
          <w:color w:val="000000" w:themeColor="text1"/>
        </w:rPr>
        <w:t xml:space="preserve"> </w:t>
      </w:r>
    </w:p>
    <w:p w14:paraId="03F89347" w14:textId="2F448625" w:rsidR="009A585B" w:rsidRDefault="00EE054F" w:rsidP="009A585B">
      <w:pPr>
        <w:rPr>
          <w:color w:val="000000" w:themeColor="text1"/>
        </w:rPr>
      </w:pPr>
      <w:r>
        <w:rPr>
          <w:color w:val="000000" w:themeColor="text1"/>
        </w:rPr>
        <w:t xml:space="preserve">Prodrugs are divided into two main categories; </w:t>
      </w:r>
      <w:r w:rsidRPr="00BA693D">
        <w:rPr>
          <w:color w:val="000000" w:themeColor="text1"/>
        </w:rPr>
        <w:t>carrier-linked</w:t>
      </w:r>
      <w:r>
        <w:rPr>
          <w:color w:val="000000" w:themeColor="text1"/>
        </w:rPr>
        <w:t xml:space="preserve"> (or promoiety)</w:t>
      </w:r>
      <w:r w:rsidRPr="00BA693D">
        <w:rPr>
          <w:color w:val="000000" w:themeColor="text1"/>
        </w:rPr>
        <w:t xml:space="preserve"> compounds, where the active component is temporarily linked</w:t>
      </w:r>
      <w:r>
        <w:rPr>
          <w:color w:val="000000" w:themeColor="text1"/>
        </w:rPr>
        <w:t xml:space="preserve"> to another chemical moiety, and </w:t>
      </w:r>
      <w:r w:rsidRPr="00BA693D">
        <w:rPr>
          <w:color w:val="000000" w:themeColor="text1"/>
        </w:rPr>
        <w:t xml:space="preserve">bioprecursors, which are inactive compounds that undergo a modification </w:t>
      </w:r>
      <w:r w:rsidRPr="00BA693D">
        <w:rPr>
          <w:i/>
          <w:color w:val="000000" w:themeColor="text1"/>
        </w:rPr>
        <w:t>in vivo</w:t>
      </w:r>
      <w:r w:rsidRPr="00BA693D">
        <w:rPr>
          <w:color w:val="000000" w:themeColor="text1"/>
        </w:rPr>
        <w:t xml:space="preserve"> to</w:t>
      </w:r>
      <w:r>
        <w:rPr>
          <w:color w:val="000000" w:themeColor="text1"/>
        </w:rPr>
        <w:t xml:space="preserve"> become active and produce a</w:t>
      </w:r>
      <w:r w:rsidRPr="00BA693D">
        <w:rPr>
          <w:color w:val="000000" w:themeColor="text1"/>
        </w:rPr>
        <w:t xml:space="preserve"> physiological effect</w:t>
      </w:r>
      <w:r>
        <w:rPr>
          <w:color w:val="000000" w:themeColor="text1"/>
        </w:rPr>
        <w:t xml:space="preserve"> </w:t>
      </w:r>
      <w:r w:rsidR="009A585B" w:rsidRPr="0051336C">
        <w:rPr>
          <w:color w:val="000000" w:themeColor="text1"/>
        </w:rPr>
        <w:t>(</w:t>
      </w:r>
      <w:r w:rsidR="009A585B" w:rsidRPr="0051336C">
        <w:rPr>
          <w:color w:val="000000" w:themeColor="text1"/>
        </w:rPr>
        <w:fldChar w:fldCharType="begin"/>
      </w:r>
      <w:r w:rsidR="009A585B" w:rsidRPr="0051336C">
        <w:rPr>
          <w:color w:val="000000" w:themeColor="text1"/>
        </w:rPr>
        <w:instrText xml:space="preserve"> REF _Ref524700197 \h </w:instrText>
      </w:r>
      <w:r w:rsidR="009A585B" w:rsidRPr="0051336C">
        <w:rPr>
          <w:color w:val="000000" w:themeColor="text1"/>
        </w:rPr>
      </w:r>
      <w:r w:rsidR="009A585B" w:rsidRPr="0051336C">
        <w:rPr>
          <w:color w:val="000000" w:themeColor="text1"/>
        </w:rPr>
        <w:fldChar w:fldCharType="separate"/>
      </w:r>
      <w:r w:rsidR="00E6157A">
        <w:t xml:space="preserve">Figure </w:t>
      </w:r>
      <w:r w:rsidR="00E6157A">
        <w:rPr>
          <w:noProof/>
        </w:rPr>
        <w:t>1</w:t>
      </w:r>
      <w:r w:rsidR="00E6157A">
        <w:t>.</w:t>
      </w:r>
      <w:r w:rsidR="00E6157A">
        <w:rPr>
          <w:noProof/>
        </w:rPr>
        <w:t>8</w:t>
      </w:r>
      <w:r w:rsidR="009A585B" w:rsidRPr="0051336C">
        <w:rPr>
          <w:color w:val="000000" w:themeColor="text1"/>
        </w:rPr>
        <w:fldChar w:fldCharType="end"/>
      </w:r>
      <w:r w:rsidR="009A585B" w:rsidRPr="0051336C">
        <w:rPr>
          <w:color w:val="000000" w:themeColor="text1"/>
        </w:rPr>
        <w:t xml:space="preserve">). </w:t>
      </w:r>
      <w:r w:rsidRPr="0051336C">
        <w:rPr>
          <w:color w:val="000000" w:themeColor="text1"/>
        </w:rPr>
        <w:t xml:space="preserve">After administration to the body, </w:t>
      </w:r>
      <w:r>
        <w:rPr>
          <w:color w:val="000000" w:themeColor="text1"/>
        </w:rPr>
        <w:t>prodrugs</w:t>
      </w:r>
      <w:r w:rsidRPr="0051336C">
        <w:rPr>
          <w:color w:val="000000" w:themeColor="text1"/>
        </w:rPr>
        <w:t xml:space="preserve"> undergo either a chemical or enzymatic reaction which liberates the active drug</w:t>
      </w:r>
      <w:r>
        <w:rPr>
          <w:color w:val="000000" w:themeColor="text1"/>
        </w:rPr>
        <w:t>.</w:t>
      </w:r>
    </w:p>
    <w:p w14:paraId="51AAE912" w14:textId="4723C758" w:rsidR="000517BC" w:rsidRDefault="000517BC" w:rsidP="000517BC">
      <w:pPr>
        <w:jc w:val="center"/>
        <w:rPr>
          <w:color w:val="000000" w:themeColor="text1"/>
        </w:rPr>
      </w:pPr>
    </w:p>
    <w:p w14:paraId="7236CA8E" w14:textId="5586A8A1" w:rsidR="009A585B" w:rsidRDefault="00EE054F" w:rsidP="0077772F">
      <w:pPr>
        <w:keepNext/>
        <w:jc w:val="center"/>
      </w:pPr>
      <w:r>
        <w:rPr>
          <w:noProof/>
        </w:rPr>
        <w:lastRenderedPageBreak/>
        <w:drawing>
          <wp:inline distT="0" distB="0" distL="0" distR="0" wp14:anchorId="2A000943" wp14:editId="03F839D7">
            <wp:extent cx="5201920" cy="335597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othprodrugs_fig_all.png"/>
                    <pic:cNvPicPr/>
                  </pic:nvPicPr>
                  <pic:blipFill>
                    <a:blip r:embed="rId20">
                      <a:extLst>
                        <a:ext uri="{28A0092B-C50C-407E-A947-70E740481C1C}">
                          <a14:useLocalDpi xmlns:a14="http://schemas.microsoft.com/office/drawing/2010/main" val="0"/>
                        </a:ext>
                      </a:extLst>
                    </a:blip>
                    <a:stretch>
                      <a:fillRect/>
                    </a:stretch>
                  </pic:blipFill>
                  <pic:spPr>
                    <a:xfrm>
                      <a:off x="0" y="0"/>
                      <a:ext cx="5201920" cy="3355975"/>
                    </a:xfrm>
                    <a:prstGeom prst="rect">
                      <a:avLst/>
                    </a:prstGeom>
                  </pic:spPr>
                </pic:pic>
              </a:graphicData>
            </a:graphic>
          </wp:inline>
        </w:drawing>
      </w:r>
    </w:p>
    <w:p w14:paraId="3B059988" w14:textId="492E76D3" w:rsidR="009A585B" w:rsidRPr="00B54F28" w:rsidRDefault="009A585B" w:rsidP="00EE054F">
      <w:pPr>
        <w:pStyle w:val="Caption"/>
        <w:jc w:val="both"/>
      </w:pPr>
      <w:bookmarkStart w:id="46" w:name="_Ref524700197"/>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1</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8</w:t>
      </w:r>
      <w:r w:rsidR="00BE21E4">
        <w:rPr>
          <w:noProof/>
        </w:rPr>
        <w:fldChar w:fldCharType="end"/>
      </w:r>
      <w:bookmarkEnd w:id="46"/>
      <w:r>
        <w:t xml:space="preserve">. </w:t>
      </w:r>
      <w:r w:rsidR="00EE054F">
        <w:rPr>
          <w:b w:val="0"/>
        </w:rPr>
        <w:t>Prodrug transport through a biological membrane</w:t>
      </w:r>
      <w:r w:rsidRPr="009D71E0">
        <w:rPr>
          <w:b w:val="0"/>
        </w:rPr>
        <w:t>, adapted from Jornada et al.</w:t>
      </w:r>
      <w:r w:rsidRPr="009D71E0">
        <w:rPr>
          <w:b w:val="0"/>
        </w:rPr>
        <w:fldChar w:fldCharType="begin" w:fldLock="1"/>
      </w:r>
      <w:r w:rsidRPr="009D71E0">
        <w:rPr>
          <w:b w:val="0"/>
        </w:rPr>
        <w:instrText>ADDIN CSL_CITATION {"citationItems":[{"id":"ITEM-1","itemData":{"DOI":"10.3390/molecules21010042","ISSN":"14203049","PMID":"26729077","abstract":"Prodrug design is a widely known molecular modification strategy that aims to optimize the physicochemical and pharmacological properties of drugs to improve their solubility and pharmacokinetic features and decrease their toxicity. A lack of solubility is one of the main obstacles to drug development. This review aims to describe recent advances in the improvement of solubility via the prodrug approach. The main chemical carriers and examples of successful strategies will be discussed, highlighting the advances of this field in the last ten years.","author":[{"dropping-particle":"","family":"Jornada","given":"Daniela Hartmann","non-dropping-particle":"","parse-names":false,"suffix":""},{"dropping-particle":"","family":"Santos Fernandes","given":"Guilherme Felipe","non-dropping-particle":"Dos","parse-names":false,"suffix":""},{"dropping-particle":"","family":"Chiba","given":"Diego Eidy","non-dropping-particle":"","parse-names":false,"suffix":""},{"dropping-particle":"","family":"Melo","given":"Thais Regina Ferreira","non-dropping-particle":"De","parse-names":false,"suffix":""},{"dropping-particle":"","family":"Santos","given":"Jean Leandro","non-dropping-particle":"Dos","parse-names":false,"suffix":""},{"dropping-particle":"","family":"Chung","given":"Man Chin","non-dropping-particle":"","parse-names":false,"suffix":""}],"container-title":"Molecules","id":"ITEM-1","issue":"1","issued":{"date-parts":[["2016"]]},"title":"The prodrug approach: A successful tool for improving drug solubility","type":"article-journal","volume":"21"},"uris":["http://www.mendeley.com/documents/?uuid=4ecc3b9d-ae75-4b66-a7db-971ec0553e77"]}],"mendeley":{"formattedCitation":"&lt;sup&gt;131&lt;/sup&gt;","plainTextFormattedCitation":"131","previouslyFormattedCitation":"&lt;sup&gt;131&lt;/sup&gt;"},"properties":{"noteIndex":0},"schema":"https://github.com/citation-style-language/schema/raw/master/csl-citation.json"}</w:instrText>
      </w:r>
      <w:r w:rsidRPr="009D71E0">
        <w:rPr>
          <w:b w:val="0"/>
        </w:rPr>
        <w:fldChar w:fldCharType="separate"/>
      </w:r>
      <w:r w:rsidRPr="009D71E0">
        <w:rPr>
          <w:b w:val="0"/>
          <w:i/>
          <w:noProof/>
          <w:vertAlign w:val="superscript"/>
        </w:rPr>
        <w:t>131</w:t>
      </w:r>
      <w:r w:rsidRPr="009D71E0">
        <w:rPr>
          <w:b w:val="0"/>
        </w:rPr>
        <w:fldChar w:fldCharType="end"/>
      </w:r>
      <w:r w:rsidR="00EE054F">
        <w:rPr>
          <w:b w:val="0"/>
        </w:rPr>
        <w:t xml:space="preserve"> A) Poor penetration of the drug molecule through the physiological barrier, B) Prodrug route 1: </w:t>
      </w:r>
      <w:r w:rsidR="00EE054F" w:rsidRPr="00EE054F">
        <w:rPr>
          <w:b w:val="0"/>
        </w:rPr>
        <w:t xml:space="preserve">Inactive bioprecursor molecule passes through the biological membrane and undergoes modification </w:t>
      </w:r>
      <w:r w:rsidR="00EE054F" w:rsidRPr="00EE054F">
        <w:rPr>
          <w:b w:val="0"/>
          <w:i/>
        </w:rPr>
        <w:t>in vivo</w:t>
      </w:r>
      <w:r w:rsidR="00EE054F" w:rsidRPr="00EE054F">
        <w:rPr>
          <w:b w:val="0"/>
        </w:rPr>
        <w:t xml:space="preserve"> to the active drug, C) </w:t>
      </w:r>
      <w:r w:rsidR="00EE054F">
        <w:rPr>
          <w:b w:val="0"/>
        </w:rPr>
        <w:t xml:space="preserve">Prodrug route 2: </w:t>
      </w:r>
      <w:r w:rsidR="00EE054F" w:rsidRPr="00EE054F">
        <w:rPr>
          <w:b w:val="0"/>
        </w:rPr>
        <w:t>Drug molecule attached to a carrier compound to allow transport through the biological membrane. Chemical or enzymatic cleavage results in release of the active drug compound.</w:t>
      </w:r>
    </w:p>
    <w:p w14:paraId="60DFB844" w14:textId="77777777" w:rsidR="009A585B" w:rsidRPr="008110F0" w:rsidRDefault="009A585B" w:rsidP="009A585B">
      <w:pPr>
        <w:rPr>
          <w:color w:val="FF0000"/>
        </w:rPr>
      </w:pPr>
      <w:r w:rsidRPr="00621DA6">
        <w:rPr>
          <w:color w:val="000000" w:themeColor="text1"/>
        </w:rPr>
        <w:t>The majority of carrier-linked prodrugs use either ester or amide linkages, but other functional groups including carbonates, oximes, imines and phosphates have also been used.</w:t>
      </w:r>
      <w:r>
        <w:rPr>
          <w:color w:val="000000" w:themeColor="text1"/>
        </w:rPr>
        <w:fldChar w:fldCharType="begin" w:fldLock="1"/>
      </w:r>
      <w:r>
        <w:rPr>
          <w:color w:val="000000" w:themeColor="text1"/>
        </w:rPr>
        <w:instrText>ADDIN CSL_CITATION {"citationItems":[{"id":"ITEM-1","itemData":{"DOI":"10.1016/S1734-1140(13)70959-9","ISBN":"1734-1140 (Print)\\r1734-1140 (Linking)","ISSN":"17341140","PMID":"23563019","abstract":"It is estimated that about 10% of the drugs approved worldwide can be classified as prodrugs. Prodrugs, which have no or poor biological activity, are chemically modified versions of a pharmacologically active agent, which must undergo transformation in vivo to release the active drug. They are designed in order to improve the physicochemical, biopharmaceutical and/or pharmacokinetic properties of pharmacologically potent compounds. This article describes the basic functional groups that are amenable to prodrug design, and highlights the major applications of the prodrug strategy, including the ability to improve oral absorption and aqueous solubility, increase lipophilicity, enhance active transport, as well as achieve site-selective delivery. Special emphasis is given to the role of the prodrug concept in the design of new anticancer therapies, including antibody-directed enzyme prodrug therapy (ADEPT) and gene-directed enzyme prodrug therapy (GDEPT). Copyright © 2013 by Institute of Pharmacology Polish Academy of Sciences.","author":[{"dropping-particle":"","family":"Zawilska","given":"Jolanta B.","non-dropping-particle":"","parse-names":false,"suffix":""},{"dropping-particle":"","family":"Wojcieszak","given":"Jakub","non-dropping-particle":"","parse-names":false,"suffix":""},{"dropping-particle":"","family":"Olejniczak","given":"Agnieszka B.","non-dropping-particle":"","parse-names":false,"suffix":""}],"container-title":"Pharmacological Reports","id":"ITEM-1","issue":"1","issued":{"date-parts":[["2013"]]},"page":"1-14","title":"Prodrugs: A challenge for the drug development","type":"article-journal","volume":"65"},"uris":["http://www.mendeley.com/documents/?uuid=d1a23da1-cde9-4e24-86b1-ad036ec3ae57"]}],"mendeley":{"formattedCitation":"&lt;sup&gt;132&lt;/sup&gt;","plainTextFormattedCitation":"132","previouslyFormattedCitation":"&lt;sup&gt;132&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132</w:t>
      </w:r>
      <w:r>
        <w:rPr>
          <w:color w:val="000000" w:themeColor="text1"/>
        </w:rPr>
        <w:fldChar w:fldCharType="end"/>
      </w:r>
      <w:r w:rsidRPr="00621DA6">
        <w:rPr>
          <w:color w:val="000000" w:themeColor="text1"/>
        </w:rPr>
        <w:t xml:space="preserve"> Carrier </w:t>
      </w:r>
      <w:r w:rsidRPr="0051336C">
        <w:rPr>
          <w:color w:val="000000" w:themeColor="text1"/>
        </w:rPr>
        <w:t xml:space="preserve">linked compounds can be </w:t>
      </w:r>
      <w:r>
        <w:rPr>
          <w:color w:val="000000" w:themeColor="text1"/>
        </w:rPr>
        <w:t xml:space="preserve">classified as </w:t>
      </w:r>
      <w:r w:rsidRPr="0051336C">
        <w:rPr>
          <w:color w:val="000000" w:themeColor="text1"/>
        </w:rPr>
        <w:t>bipartite, where the carrier moiety is directly linked to the active compound, or tripartite, where a spacer is used between the carrier and the drug.</w:t>
      </w:r>
      <w:r>
        <w:rPr>
          <w:color w:val="000000" w:themeColor="text1"/>
        </w:rPr>
        <w:fldChar w:fldCharType="begin" w:fldLock="1"/>
      </w:r>
      <w:r>
        <w:rPr>
          <w:color w:val="000000" w:themeColor="text1"/>
        </w:rPr>
        <w:instrText>ADDIN CSL_CITATION {"citationItems":[{"id":"ITEM-1","itemData":{"ISBN":"9781631177019","author":[{"dropping-particle":"","family":"Karaman","given":"Rafik","non-dropping-particle":"","parse-names":false,"suffix":""},{"dropping-particle":"","family":"Abu-jaish","given":"Ala","non-dropping-particle":"","parse-names":false,"suffix":""},{"dropping-particle":"","family":"Jum","given":"Salma","non-dropping-particle":"","parse-names":false,"suffix":""},{"dropping-particle":"","family":"Fattash","given":"Beesan","non-dropping-particle":"","parse-names":false,"suffix":""}],"edition":"First","editor":[{"dropping-particle":"","family":"Karaman","given":"Rafik","non-dropping-particle":"","parse-names":false,"suffix":""}],"id":"ITEM-1","issue":"November 2015","issued":{"date-parts":[["2014"]]},"publisher":"Nova Science Publishers","publisher-place":"New York","title":"Prodrugs Design: A new era","type":"book"},"uris":["http://www.mendeley.com/documents/?uuid=9218b284-0197-4d05-ad57-c1e80584f9b7"]}],"mendeley":{"formattedCitation":"&lt;sup&gt;133&lt;/sup&gt;","plainTextFormattedCitation":"133","previouslyFormattedCitation":"&lt;sup&gt;133&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133</w:t>
      </w:r>
      <w:r>
        <w:rPr>
          <w:color w:val="000000" w:themeColor="text1"/>
        </w:rPr>
        <w:fldChar w:fldCharType="end"/>
      </w:r>
      <w:r>
        <w:rPr>
          <w:color w:val="000000" w:themeColor="text1"/>
        </w:rPr>
        <w:t xml:space="preserve"> As well as simple carrier architectures, mutual prodrugs, sometimes termed ‘codrugs’, have been developed which are a combination of two active components linked together. These have been shown to be more effective than the action of the two individual drugs, due to synergy between the two active </w:t>
      </w:r>
      <w:r w:rsidRPr="00AD0CE1">
        <w:rPr>
          <w:color w:val="000000" w:themeColor="text1"/>
        </w:rPr>
        <w:t xml:space="preserve">compounds. </w:t>
      </w:r>
      <w:r>
        <w:rPr>
          <w:color w:val="000000" w:themeColor="text1"/>
        </w:rPr>
        <w:t>An</w:t>
      </w:r>
      <w:r w:rsidRPr="00AD0CE1">
        <w:rPr>
          <w:color w:val="000000" w:themeColor="text1"/>
        </w:rPr>
        <w:t xml:space="preserve"> example</w:t>
      </w:r>
      <w:r>
        <w:rPr>
          <w:color w:val="000000" w:themeColor="text1"/>
        </w:rPr>
        <w:t xml:space="preserve"> of a mutual prodrug in clinical use is</w:t>
      </w:r>
      <w:r w:rsidRPr="00AD0CE1">
        <w:rPr>
          <w:color w:val="000000" w:themeColor="text1"/>
        </w:rPr>
        <w:t xml:space="preserve"> </w:t>
      </w:r>
      <w:r>
        <w:rPr>
          <w:color w:val="000000" w:themeColor="text1"/>
        </w:rPr>
        <w:t>benorylate; a</w:t>
      </w:r>
      <w:r w:rsidRPr="00AD0CE1">
        <w:rPr>
          <w:color w:val="000000" w:themeColor="text1"/>
        </w:rPr>
        <w:t xml:space="preserve"> lipophilic ester consisting of salicylic acid (aspirin) linked to </w:t>
      </w:r>
      <w:r w:rsidRPr="00AD0CE1">
        <w:rPr>
          <w:i/>
          <w:color w:val="000000" w:themeColor="text1"/>
        </w:rPr>
        <w:t>N</w:t>
      </w:r>
      <w:r w:rsidRPr="00AD0CE1">
        <w:rPr>
          <w:color w:val="000000" w:themeColor="text1"/>
        </w:rPr>
        <w:t xml:space="preserve">-acetyl </w:t>
      </w:r>
      <w:r w:rsidRPr="0055577A">
        <w:rPr>
          <w:i/>
          <w:color w:val="000000" w:themeColor="text1"/>
        </w:rPr>
        <w:t>p</w:t>
      </w:r>
      <w:r w:rsidRPr="00AD0CE1">
        <w:rPr>
          <w:color w:val="000000" w:themeColor="text1"/>
        </w:rPr>
        <w:t>-aminophenol (paracetamol)</w:t>
      </w:r>
      <w:r>
        <w:rPr>
          <w:color w:val="000000" w:themeColor="text1"/>
        </w:rPr>
        <w:t>.</w:t>
      </w:r>
      <w:r>
        <w:rPr>
          <w:color w:val="000000" w:themeColor="text1"/>
        </w:rPr>
        <w:fldChar w:fldCharType="begin" w:fldLock="1"/>
      </w:r>
      <w:r>
        <w:rPr>
          <w:color w:val="000000" w:themeColor="text1"/>
        </w:rPr>
        <w:instrText>ADDIN CSL_CITATION {"citationItems":[{"id":"ITEM-1","itemData":{"DOI":"10.1136/bmj.3.5826.545","ISSN":"00071447","abstract":"Benorylate (4-acetamidophenyl 2-acetoxybenzoate) is a new esterified aspirin preparation whose antirheumatic properties are reported to be as good as those of aspirin. Gastrointestinal blood loss, measured with (51)Cr-labelled red cells, during benorylate therapy was compared with that during therapy with soluble aspirin in 15 subjects, a simplified crossover procedure being used. Mean blood loss during benorylate therapy was 1.7 ml/day which was significantly less than that during therapy with soluble aspirin (5.1 ml/day; P &lt;0.001). In 12 of the 15 patients blood loss with benorylate was less than 2.5 ml/day. Benorylate appears to be a definite improvement on current formulations of aspirin and should be a useful drug for the treatment of patients with chronic rheumatic disorders.","author":[{"dropping-particle":"","family":"Croft","given":"D N","non-dropping-particle":"","parse-names":false,"suffix":""},{"dropping-particle":"","family":"Cuddigan","given":"J H P","non-dropping-particle":"","parse-names":false,"suffix":""},{"dropping-particle":"","family":"Sweetland","given":"Carole","non-dropping-particle":"","parse-names":false,"suffix":""}],"container-title":"British Medical Journal","id":"ITEM-1","issued":{"date-parts":[["1972"]]},"page":"545-547","title":"Gastric Bleeding and Benorylate, a New Aspirin","type":"article-journal","volume":"3"},"uris":["http://www.mendeley.com/documents/?uuid=15954b0a-a380-4a5c-ac97-1cd9453ebf56"]}],"mendeley":{"formattedCitation":"&lt;sup&gt;134&lt;/sup&gt;","plainTextFormattedCitation":"134","previouslyFormattedCitation":"&lt;sup&gt;134&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134</w:t>
      </w:r>
      <w:r>
        <w:rPr>
          <w:color w:val="000000" w:themeColor="text1"/>
        </w:rPr>
        <w:fldChar w:fldCharType="end"/>
      </w:r>
      <w:r>
        <w:rPr>
          <w:color w:val="FF0000"/>
        </w:rPr>
        <w:t xml:space="preserve"> </w:t>
      </w:r>
      <w:r w:rsidRPr="00514AA2">
        <w:rPr>
          <w:color w:val="000000" w:themeColor="text1"/>
        </w:rPr>
        <w:t>Whilst carrier prodrugs require the cleavage of a particular functional group, bioprecursors rely on molecular modification</w:t>
      </w:r>
      <w:r>
        <w:rPr>
          <w:color w:val="000000" w:themeColor="text1"/>
        </w:rPr>
        <w:t xml:space="preserve"> by metabolism</w:t>
      </w:r>
      <w:r w:rsidRPr="00514AA2">
        <w:rPr>
          <w:color w:val="000000" w:themeColor="text1"/>
        </w:rPr>
        <w:t xml:space="preserve"> into an active comp</w:t>
      </w:r>
      <w:r w:rsidRPr="001124AB">
        <w:rPr>
          <w:color w:val="000000" w:themeColor="text1"/>
        </w:rPr>
        <w:t xml:space="preserve">ound. For example, the compound levodopa is used in the treatment of Parkinson’s disease as a bioprecursor for dopamine. Levodopa is able to cross the blood brain barrier (BBB) where it is readily metabolised to dopamine by </w:t>
      </w:r>
      <w:r>
        <w:rPr>
          <w:color w:val="000000" w:themeColor="text1"/>
        </w:rPr>
        <w:t xml:space="preserve">enzymatic </w:t>
      </w:r>
      <w:r w:rsidRPr="001124AB">
        <w:rPr>
          <w:color w:val="000000" w:themeColor="text1"/>
        </w:rPr>
        <w:t>decarboxylation.</w:t>
      </w:r>
      <w:r w:rsidRPr="001124AB">
        <w:rPr>
          <w:color w:val="000000" w:themeColor="text1"/>
        </w:rPr>
        <w:fldChar w:fldCharType="begin" w:fldLock="1"/>
      </w:r>
      <w:r>
        <w:rPr>
          <w:color w:val="000000" w:themeColor="text1"/>
        </w:rPr>
        <w:instrText>ADDIN CSL_CITATION {"citationItems":[{"id":"ITEM-1","itemData":{"DOI":"10.3390/molecules23010040","ISSN":"14203049","abstract":"Background: Parkinson’s disease is an aggressive and progressive neurodegenerative disorder that depletes dopamine (DA) in the central nervous system. Dopamine replacement therapy, mainly through actual dopamine and its original prodrug l-dopa (LD), faces many challenges such as poor blood brain barrier penetration and decreased response to therapy with time. Methods: The prodrugs described herein are ester, amide, dimeric amide, carrier-mediated, peptide transport-mediated, cyclic, chemical delivery systems and enzyme-models prodrugs designed and made by chemical means, and their bioavailability was studied in animals. Results: A promising ester prodrug for intranasal delivery has been developed. LD methyl ester is currently in Phase III clinical trials. A series of amide prodrugs were synthesized with better stability than ester prodrugs. Both amide and dimeric amide prodrugs offer enhanced blood brain barrier (BBB) penetration and better pharmacokinetics. Attaching LD to sugars has been used to exploit glucose transport mechanisms into the brain. Conclusions: Till now, no DA prodrug has reached the pharmaceutical market, nevertheless, the future of utilizing prodrugs for the treatment of PD seems to be bright. For instance, LD ester prodrugs have demonstrated an adequate intranasal delivery of LD, thus enabling the absorption of therapeutic agents to the brain. Most of the amide, cyclic, peptidyl or chemical delivery systems of DA prodrugs demonstrated enhanced pharmacokinetic properties.","author":[{"dropping-particle":"","family":"Haddad","given":"Fatma","non-dropping-particle":"","parse-names":false,"suffix":""},{"dropping-particle":"","family":"Sawalha","given":"Maryam","non-dropping-particle":"","parse-names":false,"suffix":""},{"dropping-particle":"","family":"Khawaja","given":"Yahya","non-dropping-particle":"","parse-names":false,"suffix":""},{"dropping-particle":"","family":"Najjar","given":"Anas","non-dropping-particle":"","parse-names":false,"suffix":""},{"dropping-particle":"","family":"Karaman","given":"Rafik","non-dropping-particle":"","parse-names":false,"suffix":""}],"container-title":"Molecules","id":"ITEM-1","issue":"1","issued":{"date-parts":[["2018"]]},"title":"Dopamine and levodopa prodrugs for the treatment of Parkinson’s disease","type":"article-journal","volume":"23"},"uris":["http://www.mendeley.com/documents/?uuid=31745f05-be1d-413b-8cca-882eefb0f9e8"]}],"mendeley":{"formattedCitation":"&lt;sup&gt;135&lt;/sup&gt;","plainTextFormattedCitation":"135","previouslyFormattedCitation":"&lt;sup&gt;135&lt;/sup&gt;"},"properties":{"noteIndex":0},"schema":"https://github.com/citation-style-language/schema/raw/master/csl-citation.json"}</w:instrText>
      </w:r>
      <w:r w:rsidRPr="001124AB">
        <w:rPr>
          <w:color w:val="000000" w:themeColor="text1"/>
        </w:rPr>
        <w:fldChar w:fldCharType="separate"/>
      </w:r>
      <w:r w:rsidRPr="00962DB8">
        <w:rPr>
          <w:noProof/>
          <w:color w:val="000000" w:themeColor="text1"/>
          <w:vertAlign w:val="superscript"/>
        </w:rPr>
        <w:t>135</w:t>
      </w:r>
      <w:r w:rsidRPr="001124AB">
        <w:rPr>
          <w:color w:val="000000" w:themeColor="text1"/>
        </w:rPr>
        <w:fldChar w:fldCharType="end"/>
      </w:r>
    </w:p>
    <w:p w14:paraId="01ACFBF2" w14:textId="77777777" w:rsidR="009A585B" w:rsidRDefault="009A585B" w:rsidP="009A585B">
      <w:pPr>
        <w:rPr>
          <w:color w:val="000000" w:themeColor="text1"/>
        </w:rPr>
      </w:pPr>
      <w:r w:rsidRPr="00854118">
        <w:rPr>
          <w:color w:val="000000" w:themeColor="text1"/>
        </w:rPr>
        <w:lastRenderedPageBreak/>
        <w:t>The prodrug approach is incredibly versatile and has been used to alter many different aspects of a drugs’</w:t>
      </w:r>
      <w:r>
        <w:rPr>
          <w:color w:val="000000" w:themeColor="text1"/>
        </w:rPr>
        <w:t xml:space="preserve"> profile in the body. Prodrugs have been used extensively to improve suboptimal pharmacokinetics, with different approaches focussing specifically on drug absorption, distribution, metabolism and excretion (ADME).</w:t>
      </w:r>
      <w:r>
        <w:rPr>
          <w:color w:val="000000" w:themeColor="text1"/>
        </w:rPr>
        <w:fldChar w:fldCharType="begin" w:fldLock="1"/>
      </w:r>
      <w:r>
        <w:rPr>
          <w:color w:val="000000" w:themeColor="text1"/>
        </w:rPr>
        <w:instrText>ADDIN CSL_CITATION {"citationItems":[{"id":"ITEM-1","itemData":{"DOI":"10.1124/pr.110.003459.enzymatic","ISBN":"1879-1220 (Electronic)\\r0960-0760 (Linking)","ISSN":"1521-0081","PMID":"21737530","abstract":"The prodrug concept has been used to improve undesirable properties of drugs since the late 19th century, although it was only at the end of the 1950s that the actual term prodrug was introduced for the first time. Prodrugs are inactive, bioreversible derivatives of active drug molecules that must undergo an enzymatic and/or chemical transformation in vivo to release the active parent drug, which can then elicit its desired pharmacological effect in the body. In most cases, prodrugs are simple chemical derivatives that are only one or two chemical or enzymatic steps away from the active parent drug. However, some prodrugs lack an obvious carrier or promoiety but instead result from a molecular modification of the prodrug itself, which generates a new active compound. Numerous prodrugs designed to overcome formulation, delivery, and toxicity barriers to drug utilization have reached the market. In fact, approximately 20% of all small molecular drugs approved during the period 2000 to 2008 were prodrugs. Although the development of a prodrug can be very challenging, the prodrug approach represents a feasible way to improve the erratic properties of investigational drugs or drugs already on the market. This review introduces in depth the rationale behind the use of the prodrug approach from past to present, and also considers the possible problems that can arise from inadequate activation of prodrugs.","author":[{"dropping-particle":"","family":"Huttunen","given":"Kristiina M","non-dropping-particle":"","parse-names":false,"suffix":""},{"dropping-particle":"","family":"Raunio","given":"Hannu","non-dropping-particle":"","parse-names":false,"suffix":""},{"dropping-particle":"","family":"Rautio","given":"Jarkko","non-dropping-particle":"","parse-names":false,"suffix":""}],"container-title":"Pharmacological Reviews","id":"ITEM-1","issue":"3","issued":{"date-parts":[["2011"]]},"page":"750-71","title":"Prodrugs - from serendipity to rational design.","type":"article-journal","volume":"63"},"uris":["http://www.mendeley.com/documents/?uuid=8709713c-6bdd-42be-a468-066df3ebf629"]}],"mendeley":{"formattedCitation":"&lt;sup&gt;136&lt;/sup&gt;","plainTextFormattedCitation":"136","previouslyFormattedCitation":"&lt;sup&gt;136&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136</w:t>
      </w:r>
      <w:r>
        <w:rPr>
          <w:color w:val="000000" w:themeColor="text1"/>
        </w:rPr>
        <w:fldChar w:fldCharType="end"/>
      </w:r>
      <w:r>
        <w:rPr>
          <w:color w:val="000000" w:themeColor="text1"/>
        </w:rPr>
        <w:t xml:space="preserve"> </w:t>
      </w:r>
      <w:r w:rsidRPr="00351F1F">
        <w:rPr>
          <w:color w:val="000000" w:themeColor="text1"/>
        </w:rPr>
        <w:t xml:space="preserve">Prodrugs have </w:t>
      </w:r>
      <w:r>
        <w:rPr>
          <w:color w:val="000000" w:themeColor="text1"/>
        </w:rPr>
        <w:t xml:space="preserve">also </w:t>
      </w:r>
      <w:r w:rsidRPr="00351F1F">
        <w:rPr>
          <w:color w:val="000000" w:themeColor="text1"/>
        </w:rPr>
        <w:t xml:space="preserve">been </w:t>
      </w:r>
      <w:r>
        <w:rPr>
          <w:color w:val="000000" w:themeColor="text1"/>
        </w:rPr>
        <w:t>used to aid</w:t>
      </w:r>
      <w:r w:rsidRPr="00351F1F">
        <w:rPr>
          <w:color w:val="000000" w:themeColor="text1"/>
        </w:rPr>
        <w:t xml:space="preserve"> drug targeting in the body</w:t>
      </w:r>
      <w:r>
        <w:rPr>
          <w:color w:val="000000" w:themeColor="text1"/>
        </w:rPr>
        <w:t>, with a wealth of research focussing on tumour targeting</w:t>
      </w:r>
      <w:r w:rsidRPr="00351F1F">
        <w:rPr>
          <w:color w:val="000000" w:themeColor="text1"/>
        </w:rPr>
        <w:t>.</w:t>
      </w:r>
      <w:r>
        <w:rPr>
          <w:color w:val="000000" w:themeColor="text1"/>
        </w:rPr>
        <w:fldChar w:fldCharType="begin" w:fldLock="1"/>
      </w:r>
      <w:r>
        <w:rPr>
          <w:color w:val="000000" w:themeColor="text1"/>
        </w:rPr>
        <w:instrText>ADDIN CSL_CITATION {"citationItems":[{"id":"ITEM-1","itemData":{"DOI":"10.1016/j.addr.2011.02.002","ISBN":"0169409X (ISSN)","ISSN":"0169409X","PMID":"21333700","abstract":"As the mainstay in the treatment of various cancers for several decades, chemotherapy is successful but still faces challenges including non-selectivity and high toxicity. Improving the selectivity is therefore a critical step to improve the therapeutic efficacy of chemotherapy. Prodrug is one of the most promising approaches to increase the selectivity and efficacy of a chemotherapy drug. The classical prodrug approach is to improve the pharmaceutical properties (solubility, stability, permeability, irritation, distribution, etc.) via a simple chemical modification. This review will focus on various targeted prodrug designs that have been developed to increase the selectivity of chemotherapy drugs. Various tumor-targeting ligands, transporter-associated ligands, and polymers can be incorporated in a prodrug to enhance the tumor uptake. Prodrugs can also be activated by enzymes that are specifically expressed at a higher level in tumors, leading to a selective anti-tumor effect. This can be achieved by conjugating the enzyme to a tumor-specific antibody, or delivering a vector expressing the enzyme into tumor cells. © 2011 Elsevier B.V.","author":[{"dropping-particle":"","family":"Mahato","given":"Rubi","non-dropping-particle":"","parse-names":false,"suffix":""},{"dropping-particle":"","family":"Tai","given":"Wanyi","non-dropping-particle":"","parse-names":false,"suffix":""},{"dropping-particle":"","family":"Cheng","given":"Kun","non-dropping-particle":"","parse-names":false,"suffix":""}],"container-title":"Advanced Drug Delivery Reviews","id":"ITEM-1","issue":"8","issued":{"date-parts":[["2011"]]},"page":"659-670","title":"Prodrugs for improving tumor targetability and efficiency","type":"article-journal","volume":"63"},"uris":["http://www.mendeley.com/documents/?uuid=7b3ce069-df77-49a4-af1f-a18fee7aec7c"]}],"mendeley":{"formattedCitation":"&lt;sup&gt;137&lt;/sup&gt;","plainTextFormattedCitation":"137","previouslyFormattedCitation":"&lt;sup&gt;137&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137</w:t>
      </w:r>
      <w:r>
        <w:rPr>
          <w:color w:val="000000" w:themeColor="text1"/>
        </w:rPr>
        <w:fldChar w:fldCharType="end"/>
      </w:r>
      <w:r w:rsidRPr="00351F1F">
        <w:rPr>
          <w:color w:val="000000" w:themeColor="text1"/>
        </w:rPr>
        <w:t xml:space="preserve"> </w:t>
      </w:r>
      <w:r>
        <w:rPr>
          <w:color w:val="000000" w:themeColor="text1"/>
        </w:rPr>
        <w:t xml:space="preserve">As well as increasing the efficacy of the drug, this approach can also reduce adverse side effects associated with the low specificity of some anti-cancer agents. </w:t>
      </w:r>
    </w:p>
    <w:p w14:paraId="644A3453" w14:textId="77777777" w:rsidR="009A585B" w:rsidRPr="00FD1B1B" w:rsidRDefault="009A585B" w:rsidP="009A585B">
      <w:pPr>
        <w:rPr>
          <w:color w:val="000000" w:themeColor="text1"/>
        </w:rPr>
      </w:pPr>
      <w:r>
        <w:rPr>
          <w:color w:val="000000" w:themeColor="text1"/>
        </w:rPr>
        <w:t>A key issue in drug development is poor drug solubility. The low aqueous solubility of some drugs has severely hampered their clinical development. One example of this is the HIV protease inhibitor amprenavir. When amprenavir was first developed it exhibited such poor oral availability that it had to be formulated into 150 mg capsules, to be taken eight at a time, twice a day, to achieve the desired dose.</w:t>
      </w:r>
      <w:r>
        <w:rPr>
          <w:color w:val="000000" w:themeColor="text1"/>
        </w:rPr>
        <w:fldChar w:fldCharType="begin" w:fldLock="1"/>
      </w:r>
      <w:r>
        <w:rPr>
          <w:color w:val="000000" w:themeColor="text1"/>
        </w:rPr>
        <w:instrText>ADDIN CSL_CITATION {"citationItems":[{"id":"ITEM-1","itemData":{"DOI":"10.1016/j.addr.2007.05.013","ISBN":"0169-409X","ISSN":"0169409X","PMID":"17628203","abstract":"Drug design in recent years has attempted to explore new chemical spaces resulting in more complex, larger molecular weight molecules, often with limited water solubility. To deliver molecules with these properties, pharmaceutical scientists have explored many different techniques. An older but time-tested strategy is the design of bioreversible, more water-soluble derivatives of the problematic molecule, or prodrugs. This review explores the use of prodrugs to effect improved oral and parenteral delivery of poorly water-soluble problematic drugs, using both marketed as well as investigational prodrugs as examples. Prodrug interventions should be considered early in the drug discovery paradigm rather than as a technique of last resort. Their importance is supported by the increasing percentage of approved new drug entities that are, in fact, prodrugs. © 2007 Elsevier B.V. All rights reserved.","author":[{"dropping-particle":"","family":"Stella","given":"Valentino J.","non-dropping-particle":"","parse-names":false,"suffix":""},{"dropping-particle":"","family":"Nti-Addae","given":"Kwame W.","non-dropping-particle":"","parse-names":false,"suffix":""}],"container-title":"Advanced Drug Delivery Reviews","id":"ITEM-1","issue":"7","issued":{"date-parts":[["2007"]]},"page":"677-694","title":"Prodrug strategies to overcome poor water solubility","type":"article-journal","volume":"59"},"uris":["http://www.mendeley.com/documents/?uuid=277d4910-3baf-487a-8d95-e5c2bd6b1366"]}],"mendeley":{"formattedCitation":"&lt;sup&gt;138&lt;/sup&gt;","plainTextFormattedCitation":"138","previouslyFormattedCitation":"&lt;sup&gt;138&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138</w:t>
      </w:r>
      <w:r>
        <w:rPr>
          <w:color w:val="000000" w:themeColor="text1"/>
        </w:rPr>
        <w:fldChar w:fldCharType="end"/>
      </w:r>
      <w:r>
        <w:rPr>
          <w:color w:val="000000" w:themeColor="text1"/>
        </w:rPr>
        <w:t xml:space="preserve"> The lack of convenient dosing led to poor patient compliance and drug sales suffered compared to more easily formulated competitors. The development of a prodrug of amprenavir by the addition of a phosphate group, through phosphorylation of a secondary hydroxyl group, increased the aqueous solubility of the drug 10-fold and reduced the dosing frequency to two 700 mg capsules twice daily. As well as the addition of phosphate groups, the aqueous solubility of compounds can be improved by the addition of amino acids and sugar moieties due to the introduction of charged and highly polar groups.</w:t>
      </w:r>
      <w:r>
        <w:rPr>
          <w:color w:val="000000" w:themeColor="text1"/>
        </w:rPr>
        <w:fldChar w:fldCharType="begin" w:fldLock="1"/>
      </w:r>
      <w:r>
        <w:rPr>
          <w:color w:val="000000" w:themeColor="text1"/>
        </w:rPr>
        <w:instrText>ADDIN CSL_CITATION {"citationItems":[{"id":"ITEM-1","itemData":{"DOI":"10.1016/j.addr.2012.10.001","ISSN":"0169409X","PMID":"23099277","abstract":"Prodrugs are biologically inactive agents that upon biotransformation in vivo result in active drug molecules. Since prodrugs might alter the tissue distribution, efficacy and the toxicity of the parent drug, prodrug design should be considered at the early stages of preclinical development. In this regard, natural and synthetic amino acids offer wide structural diversity and physicochemical properties. This review covers the use of amino acid prodrugs to improve poor solubility, poor permeability, sustained release, intravenous delivery, drug targeting, and metabolic stability of the parent drug. In addition, practical considerations and challenges associated with the development of amino acid prodrugs are also covered. © 2012 Elsevier B.V.","author":[{"dropping-particle":"","family":"Vig","given":"Balvinder S.","non-dropping-particle":"","parse-names":false,"suffix":""},{"dropping-particle":"","family":"Huttunen","given":"Kristiina M.","non-dropping-particle":"","parse-names":false,"suffix":""},{"dropping-particle":"","family":"Laine","given":"Krista","non-dropping-particle":"","parse-names":false,"suffix":""},{"dropping-particle":"","family":"Rautio","given":"Jarkko","non-dropping-particle":"","parse-names":false,"suffix":""}],"container-title":"Advanced Drug Delivery Reviews","id":"ITEM-1","issue":"10","issued":{"date-parts":[["2013"]]},"page":"1370-1385","publisher":"Elsevier B.V.","title":"Amino acids as promoieties in prodrug design and development","type":"article-journal","volume":"65"},"uris":["http://www.mendeley.com/documents/?uuid=3b00de3b-7dc3-473a-b402-9acad9ce0e8a"]}],"mendeley":{"formattedCitation":"&lt;sup&gt;139&lt;/sup&gt;","plainTextFormattedCitation":"139","previouslyFormattedCitation":"&lt;sup&gt;139&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139</w:t>
      </w:r>
      <w:r>
        <w:rPr>
          <w:color w:val="000000" w:themeColor="text1"/>
        </w:rPr>
        <w:fldChar w:fldCharType="end"/>
      </w:r>
      <w:r>
        <w:rPr>
          <w:color w:val="000000" w:themeColor="text1"/>
        </w:rPr>
        <w:t xml:space="preserve"> Brivanib is a dual-inhibitor of vascular endothelial growth factor (VEGF) and fibroblast growth factor (FGF) pathways, which has demonstrated some anti-tumour properties. Its poor water-solubility was circumvented by the addition of alanine </w:t>
      </w:r>
      <w:r w:rsidRPr="00AA1E22">
        <w:rPr>
          <w:i/>
          <w:color w:val="000000" w:themeColor="text1"/>
        </w:rPr>
        <w:t>via</w:t>
      </w:r>
      <w:r>
        <w:rPr>
          <w:color w:val="000000" w:themeColor="text1"/>
        </w:rPr>
        <w:t xml:space="preserve"> an ester linkage to produce brivanib alaninate, which exhibited markedly improved oral bioavailability in animal and human studies.</w:t>
      </w:r>
      <w:r>
        <w:rPr>
          <w:color w:val="000000" w:themeColor="text1"/>
        </w:rPr>
        <w:fldChar w:fldCharType="begin" w:fldLock="1"/>
      </w:r>
      <w:r>
        <w:rPr>
          <w:color w:val="000000" w:themeColor="text1"/>
        </w:rPr>
        <w:instrText xml:space="preserve">ADDIN CSL_CITATION {"citationItems":[{"id":"ITEM-1","itemData":{"DOI":"10.1124/dmd.110.037341.","author":[{"dropping-particle":"","family":"Gong","given":"Jiachang","non-dropping-particle":"","parse-names":false,"suffix":""},{"dropping-particle":"","family":"Gan","given":"Jinping","non-dropping-particle":"","parse-names":false,"suffix":""},{"dropping-particle":"","family":"Caceres-cortes","given":"Janet","non-dropping-particle":"","parse-names":false,"suffix":""},{"dropping-particle":"","family":"Christopher","given":"Lisa J","non-dropping-particle":"","parse-names":false,"suffix":""},{"dropping-particle":"","family":"Arora","given":"Vinod","non-dropping-particle":"","parse-names":false,"suffix":""},{"dropping-particle":"","family":"Masson","given":"Eric","non-dropping-particle":"","parse-names":false,"suffix":""},{"dropping-particle":"","family":"Williams","given":"Daphne","non-dropping-particle":"","parse-names":false,"suffix":""},{"dropping-particle":"","family":"Pursley","given":"Janice","non-dropping-particle":"","parse-names":false,"suffix":""},{"dropping-particle":"","family":"Allentoff","given":"Alban","non-dropping-particle":"","parse-names":false,"suffix":""},{"dropping-particle":"","family":"Lago","given":"Michael","non-dropping-particle":"","parse-names":false,"suffix":""},{"dropping-particle":"","family":"Tran","given":"Scott B","non-dropping-particle":"","parse-names":false,"suffix":""},{"dropping-particle":"","family":"Iyer","given":"Ramaswamy a","non-dropping-particle":"","parse-names":false,"suffix":""}],"id":"ITEM-1","issued":{"date-parts":[["2011"]]},"title":"Metabolism and Disposition of [ 14 C ] Brivanib Alaninate after Oral Administration to Rats , Monkeys , and Humans </w:instrText>
      </w:r>
      <w:r>
        <w:rPr>
          <w:rFonts w:cs="Times New Roman"/>
          <w:color w:val="000000" w:themeColor="text1"/>
        </w:rPr>
        <w:instrText>□</w:instrText>
      </w:r>
      <w:r>
        <w:rPr>
          <w:color w:val="000000" w:themeColor="text1"/>
        </w:rPr>
        <w:instrText xml:space="preserve"> ABSTRACT :","type":"article-journal"},"uris":["http://www.mendeley.com/documents/?uuid=1072b0c6-c3ef-4b43-a92a-35d033332a35"]}],"mendeley":{"formattedCitation":"&lt;sup&gt;140&lt;/sup&gt;","plainTextFormattedCitation":"140","previouslyFormattedCitation":"&lt;sup&gt;140&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140</w:t>
      </w:r>
      <w:r>
        <w:rPr>
          <w:color w:val="000000" w:themeColor="text1"/>
        </w:rPr>
        <w:fldChar w:fldCharType="end"/>
      </w:r>
    </w:p>
    <w:p w14:paraId="0DC643F3" w14:textId="77777777" w:rsidR="009A585B" w:rsidRPr="0067713D" w:rsidRDefault="009A585B" w:rsidP="009A585B">
      <w:r>
        <w:rPr>
          <w:color w:val="000000" w:themeColor="text1"/>
        </w:rPr>
        <w:t xml:space="preserve">On the other hand, some drugs require improved lipophilicity to facilitate their transport through biological membranes. This can be achieved by the inclusion of </w:t>
      </w:r>
      <w:r w:rsidRPr="00093796">
        <w:rPr>
          <w:color w:val="000000" w:themeColor="text1"/>
        </w:rPr>
        <w:t>lipophilic groups such as fatty acids and longer hydrocarbon chains. Ben</w:t>
      </w:r>
      <w:r w:rsidRPr="00093796">
        <w:rPr>
          <w:color w:val="000000" w:themeColor="text1"/>
        </w:rPr>
        <w:noBreakHyphen/>
        <w:t>Shabat and colleagues used this approach to increase the skin permeability of calcipotriol, a compound used in the treatment of psoriasis.</w:t>
      </w:r>
      <w:r w:rsidRPr="00093796">
        <w:rPr>
          <w:color w:val="000000" w:themeColor="text1"/>
        </w:rPr>
        <w:fldChar w:fldCharType="begin" w:fldLock="1"/>
      </w:r>
      <w:r>
        <w:rPr>
          <w:color w:val="000000" w:themeColor="text1"/>
        </w:rPr>
        <w:instrText>ADDIN CSL_CITATION {"citationItems":[{"id":"ITEM-1","itemData":{"DOI":"10.1007/s11095-004-9008-0","ISSN":"07248741","abstract":"PURPOSE: The goals of the experiments reported in this paper were to explore skin bioavailability and cell growth inhibitory activity of new vitamin D3-based conjugates studied as a potential drug complex for psoriasis. METHODS: Conjugation was made between polyunsaturated fatty acids (PUFAs), such as linolenic acid or gamma-linolenic acid, and calcipotriol--a vitamin D3 analogue clinically used for topical treatment of psoriasis. These complexes were prepared by coupling the corresponding fatty acid with calcipotriol in the presence of dicyclohexyl-carbodiimide (DCC) and 4-(dimethylamino)-pyridine (DMAP) to obtain an ester bond. RESULTS: The conjugates were capable of enhancing the penetration of the vitamin into the skin as well as inhibiting proliferation of keratinocytes in cultures. The antiproliferative activity even increased after simulating the full hydrolysis of the conjugates. In vitro skin penetration studies revealed that the conjugates penetrated into the skin at higher levels relative to calcipotriol alone. It was also demonstrated that the conjugate containing n-3 fatty acid penetrated into the skin at higher levels as compared to the conjugate containing n-6 PUFA. High-performance liquid chromatography analysis has shown that after penetration, a major portion of calcipotriol-PUFA conjugate was first converted mainly into another isomer form, presumably by transesterification, and only then it was hydrolyzed to form apparently high local concentrations of both calcipotriol and PUFA. CONCLUSIONS: The unique biotransformation that occurred after penetration into the skin indicates that these conjugates are mutual prodrugs that are able to be bioprocessed in the skin and fully converted to the parent therapeutic agents.","author":[{"dropping-particle":"","family":"Ben-Shabat","given":"Shimon","non-dropping-particle":"","parse-names":false,"suffix":""},{"dropping-particle":"","family":"Benisty","given":"Rachel","non-dropping-particle":"","parse-names":false,"suffix":""},{"dropping-particle":"","family":"Wormser","given":"Uri","non-dropping-particle":"","parse-names":false,"suffix":""},{"dropping-particle":"","family":"Sintov","given":"Amnon C.","non-dropping-particle":"","parse-names":false,"suffix":""}],"container-title":"Pharmaceutical Research","id":"ITEM-1","issue":"1","issued":{"date-parts":[["2005"]]},"page":"50-57","title":"Vitamin D3-based conjugates for topical treatment of psoriasis: Synthesis, antiproliferative activity, and cutaneous penetration studies","type":"article-journal","volume":"22"},"uris":["http://www.mendeley.com/documents/?uuid=adccb385-ec75-4133-879e-7a0a1452f9ca"]}],"mendeley":{"formattedCitation":"&lt;sup&gt;141&lt;/sup&gt;","plainTextFormattedCitation":"141","previouslyFormattedCitation":"&lt;sup&gt;141&lt;/sup&gt;"},"properties":{"noteIndex":0},"schema":"https://github.com/citation-style-language/schema/raw/master/csl-citation.json"}</w:instrText>
      </w:r>
      <w:r w:rsidRPr="00093796">
        <w:rPr>
          <w:color w:val="000000" w:themeColor="text1"/>
        </w:rPr>
        <w:fldChar w:fldCharType="separate"/>
      </w:r>
      <w:r w:rsidRPr="00962DB8">
        <w:rPr>
          <w:noProof/>
          <w:color w:val="000000" w:themeColor="text1"/>
          <w:vertAlign w:val="superscript"/>
        </w:rPr>
        <w:t>141</w:t>
      </w:r>
      <w:r w:rsidRPr="00093796">
        <w:rPr>
          <w:color w:val="000000" w:themeColor="text1"/>
        </w:rPr>
        <w:fldChar w:fldCharType="end"/>
      </w:r>
      <w:r>
        <w:rPr>
          <w:color w:val="000000" w:themeColor="text1"/>
        </w:rPr>
        <w:t xml:space="preserve"> By attaching the poorly skin-permeable calcipotriol to a range of polyunsaturated fatty acids </w:t>
      </w:r>
      <w:r w:rsidRPr="00093796">
        <w:rPr>
          <w:i/>
          <w:color w:val="000000" w:themeColor="text1"/>
        </w:rPr>
        <w:t>via</w:t>
      </w:r>
      <w:r>
        <w:rPr>
          <w:color w:val="000000" w:themeColor="text1"/>
        </w:rPr>
        <w:t xml:space="preserve"> an ester linkage, the authors were able to demonstrate markedly increased skin permeation of the compound, relative to the free drug. A similar method was used by Bhandari </w:t>
      </w:r>
      <w:r w:rsidRPr="00C96756">
        <w:rPr>
          <w:i/>
          <w:color w:val="000000" w:themeColor="text1"/>
        </w:rPr>
        <w:t>et al</w:t>
      </w:r>
      <w:r>
        <w:rPr>
          <w:color w:val="000000" w:themeColor="text1"/>
        </w:rPr>
        <w:t xml:space="preserve">., </w:t>
      </w:r>
      <w:r>
        <w:rPr>
          <w:color w:val="000000" w:themeColor="text1"/>
        </w:rPr>
        <w:lastRenderedPageBreak/>
        <w:t>who synthesised fatty ester prodrugs of ketorolac, a nonsteroidal anti-inflammatory (NSAID) drug, to improve the retention of ketorolac in human skin.</w:t>
      </w:r>
      <w:r>
        <w:rPr>
          <w:color w:val="000000" w:themeColor="text1"/>
        </w:rPr>
        <w:fldChar w:fldCharType="begin" w:fldLock="1"/>
      </w:r>
      <w:r>
        <w:rPr>
          <w:color w:val="000000" w:themeColor="text1"/>
        </w:rPr>
        <w:instrText>ADDIN CSL_CITATION {"citationItems":[{"id":"ITEM-1","itemData":{"author":[{"dropping-particle":"","family":"Bhandari","given":"KH","non-dropping-particle":"","parse-names":false,"suffix":""},{"dropping-particle":"","family":"Newa","given":"M","non-dropping-particle":"","parse-names":false,"suffix":""},{"dropping-particle":"","family":"Yoon","given":"SII","non-dropping-particle":"","parse-names":false,"suffix":""}],"container-title":"Biological and …","id":"ITEM-1","issue":"November","issued":{"date-parts":[["2007"]]},"page":"2211-2216","title":"Evaluation of physicochemical properties, skin permeation and accumulation profiles of ketorolac fatty ester prodrugs","type":"article-journal","volume":"30"},"uris":["http://www.mendeley.com/documents/?uuid=95fe06db-c26a-479c-a4cb-98abae92873b"]}],"mendeley":{"formattedCitation":"&lt;sup&gt;142&lt;/sup&gt;","plainTextFormattedCitation":"142","previouslyFormattedCitation":"&lt;sup&gt;142&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142</w:t>
      </w:r>
      <w:r>
        <w:rPr>
          <w:color w:val="000000" w:themeColor="text1"/>
        </w:rPr>
        <w:fldChar w:fldCharType="end"/>
      </w:r>
      <w:r>
        <w:rPr>
          <w:color w:val="000000" w:themeColor="text1"/>
        </w:rPr>
        <w:t xml:space="preserve"> Alternatively, some strategies focus on masking polar groups to increase the lipophilicity of a compound. Prostaglandin F</w:t>
      </w:r>
      <w:r>
        <w:rPr>
          <w:color w:val="000000" w:themeColor="text1"/>
          <w:vertAlign w:val="subscript"/>
        </w:rPr>
        <w:t>2</w:t>
      </w:r>
      <w:r>
        <w:rPr>
          <w:color w:val="000000" w:themeColor="text1"/>
          <w:vertAlign w:val="subscript"/>
        </w:rPr>
        <w:sym w:font="Symbol" w:char="F061"/>
      </w:r>
      <w:r>
        <w:rPr>
          <w:color w:val="000000" w:themeColor="text1"/>
        </w:rPr>
        <w:t xml:space="preserve"> (PGF</w:t>
      </w:r>
      <w:r>
        <w:rPr>
          <w:color w:val="000000" w:themeColor="text1"/>
          <w:vertAlign w:val="subscript"/>
        </w:rPr>
        <w:t>2</w:t>
      </w:r>
      <w:r>
        <w:rPr>
          <w:color w:val="000000" w:themeColor="text1"/>
          <w:vertAlign w:val="subscript"/>
        </w:rPr>
        <w:sym w:font="Symbol" w:char="F061"/>
      </w:r>
      <w:r>
        <w:rPr>
          <w:color w:val="000000" w:themeColor="text1"/>
        </w:rPr>
        <w:t xml:space="preserve">) analogues, such as </w:t>
      </w:r>
      <w:r w:rsidRPr="0067713D">
        <w:rPr>
          <w:color w:val="000000" w:themeColor="text1"/>
        </w:rPr>
        <w:t>latanoprost acid</w:t>
      </w:r>
      <w:r>
        <w:rPr>
          <w:color w:val="000000" w:themeColor="text1"/>
        </w:rPr>
        <w:t xml:space="preserve">, are used in the treatment of glaucoma. These molecules are hydrophilic and polar due to the presence of a carboxylic acid group, resulting in their poor delivery through biological membranes. The development of an isopropyl ester of </w:t>
      </w:r>
      <w:r w:rsidRPr="0067713D">
        <w:rPr>
          <w:color w:val="000000" w:themeColor="text1"/>
        </w:rPr>
        <w:t>latanoprost acid</w:t>
      </w:r>
      <w:r>
        <w:rPr>
          <w:color w:val="000000" w:themeColor="text1"/>
        </w:rPr>
        <w:t>, which masks the carboxylic acid group, has resulted in a more membrane permeable compound that can be hydrolysed by esterases after transport through the corneal epithelium.</w:t>
      </w:r>
      <w:r>
        <w:rPr>
          <w:color w:val="000000" w:themeColor="text1"/>
        </w:rPr>
        <w:fldChar w:fldCharType="begin" w:fldLock="1"/>
      </w:r>
      <w:r>
        <w:rPr>
          <w:color w:val="000000" w:themeColor="text1"/>
        </w:rPr>
        <w:instrText>ADDIN CSL_CITATION {"citationItems":[{"id":"ITEM-1","itemData":{"DOI":"10.1016/j.survophthal.2008.08.012","ISBN":"0039-6257","ISSN":"00396257","PMID":"19038626","abstract":"Over the last 12 years, the pharmacological management of glaucoma and ocular hypertension has significantly changed with the introduction of the prostaglandin analogs, specifically, latanoprost, bimatoprost, and travoprost. Their ability to effectively reduce intraocular pressure with once-per-day dosing, their comparable ocular tolerability with timolol, and their general lack of systemic side effects have made them the mainstay of pharmacological therapy for glaucoma and ocular hypertension in most parts of the world. A review of their pharmacology reveals that they are all prodrugs that are converted to their respective free acids within the eye to activate the prostanoid FP receptor and to reduce intraocular pressure by enhancing the uveoscleral and the trabecular meshwork outflow pathways. A review of numerous prospective, randomized comparative studies indicates that no clinically significant differences exist among these agents regarding their ability to lower intraocular pressure. © 2008 Elsevier Inc. All rights reserved.","author":[{"dropping-particle":"","family":"Bean","given":"Gerald W.","non-dropping-particle":"","parse-names":false,"suffix":""},{"dropping-particle":"","family":"Camras","given":"Carl B.","non-dropping-particle":"","parse-names":false,"suffix":""}],"container-title":"Survey of Ophthalmology","id":"ITEM-1","issue":"6 SUPPL.","issued":{"date-parts":[["2008"]]},"page":"69-84","publisher":"Elsevier Inc","title":"Commercially Available Prostaglandin Analogs for the Reduction of Intraocular Pressure: Similarities and Differences","type":"article-journal","volume":"53"},"uris":["http://www.mendeley.com/documents/?uuid=495a3e70-2aee-44b3-86ed-7d3de11909b0"]}],"mendeley":{"formattedCitation":"&lt;sup&gt;143&lt;/sup&gt;","plainTextFormattedCitation":"143","previouslyFormattedCitation":"&lt;sup&gt;143&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143</w:t>
      </w:r>
      <w:r>
        <w:rPr>
          <w:color w:val="000000" w:themeColor="text1"/>
        </w:rPr>
        <w:fldChar w:fldCharType="end"/>
      </w:r>
      <w:r>
        <w:rPr>
          <w:color w:val="000000" w:themeColor="text1"/>
        </w:rPr>
        <w:t xml:space="preserve"> </w:t>
      </w:r>
    </w:p>
    <w:p w14:paraId="0A298C0F" w14:textId="77777777" w:rsidR="009A585B" w:rsidRDefault="009A585B" w:rsidP="009A585B">
      <w:pPr>
        <w:rPr>
          <w:color w:val="000000" w:themeColor="text1"/>
        </w:rPr>
      </w:pPr>
      <w:bookmarkStart w:id="47" w:name="_Toc305048977"/>
      <w:r w:rsidRPr="00323FF4">
        <w:rPr>
          <w:color w:val="000000" w:themeColor="text1"/>
        </w:rPr>
        <w:t>There is a single example in the literature on the use of a prodrug to aid the delivery of</w:t>
      </w:r>
      <w:r w:rsidRPr="00323FF4">
        <w:rPr>
          <w:rFonts w:ascii="Cambria" w:hAnsi="Cambria"/>
          <w:color w:val="000000" w:themeColor="text1"/>
        </w:rPr>
        <w:t xml:space="preserve"> β</w:t>
      </w:r>
      <w:r>
        <w:rPr>
          <w:color w:val="000000" w:themeColor="text1"/>
        </w:rPr>
        <w:noBreakHyphen/>
      </w:r>
      <w:r w:rsidRPr="00323FF4">
        <w:rPr>
          <w:color w:val="000000" w:themeColor="text1"/>
        </w:rPr>
        <w:t xml:space="preserve">APN. Granchi </w:t>
      </w:r>
      <w:r w:rsidRPr="00323FF4">
        <w:rPr>
          <w:i/>
          <w:color w:val="000000" w:themeColor="text1"/>
        </w:rPr>
        <w:t>et al</w:t>
      </w:r>
      <w:r w:rsidRPr="00323FF4">
        <w:rPr>
          <w:color w:val="000000" w:themeColor="text1"/>
        </w:rPr>
        <w:t>. report</w:t>
      </w:r>
      <w:r>
        <w:rPr>
          <w:color w:val="000000" w:themeColor="text1"/>
        </w:rPr>
        <w:t>ed the development of four</w:t>
      </w:r>
      <w:r w:rsidRPr="00323FF4">
        <w:rPr>
          <w:color w:val="000000" w:themeColor="text1"/>
        </w:rPr>
        <w:t xml:space="preserve"> </w:t>
      </w:r>
      <w:r>
        <w:rPr>
          <w:color w:val="000000" w:themeColor="text1"/>
        </w:rPr>
        <w:t>prodrugs</w:t>
      </w:r>
      <w:r w:rsidRPr="00323FF4">
        <w:rPr>
          <w:color w:val="000000" w:themeColor="text1"/>
        </w:rPr>
        <w:t xml:space="preserve"> </w:t>
      </w:r>
      <w:r>
        <w:rPr>
          <w:color w:val="000000" w:themeColor="text1"/>
        </w:rPr>
        <w:t xml:space="preserve">to deliver </w:t>
      </w:r>
      <w:r w:rsidRPr="00323FF4">
        <w:rPr>
          <w:rFonts w:ascii="Cambria" w:hAnsi="Cambria"/>
          <w:color w:val="000000" w:themeColor="text1"/>
        </w:rPr>
        <w:t>β</w:t>
      </w:r>
      <w:r>
        <w:rPr>
          <w:color w:val="000000" w:themeColor="text1"/>
        </w:rPr>
        <w:noBreakHyphen/>
      </w:r>
      <w:r w:rsidRPr="00323FF4">
        <w:rPr>
          <w:color w:val="000000" w:themeColor="text1"/>
        </w:rPr>
        <w:t xml:space="preserve">APN to </w:t>
      </w:r>
      <w:r>
        <w:rPr>
          <w:color w:val="000000" w:themeColor="text1"/>
        </w:rPr>
        <w:t xml:space="preserve">inhibit lysyl oxidase in </w:t>
      </w:r>
      <w:r w:rsidRPr="00323FF4">
        <w:rPr>
          <w:color w:val="000000" w:themeColor="text1"/>
        </w:rPr>
        <w:t>hypoxic tumours.</w:t>
      </w:r>
      <w:r w:rsidRPr="00323FF4">
        <w:rPr>
          <w:color w:val="000000" w:themeColor="text1"/>
        </w:rPr>
        <w:fldChar w:fldCharType="begin" w:fldLock="1"/>
      </w:r>
      <w:r>
        <w:rPr>
          <w:color w:val="000000" w:themeColor="text1"/>
        </w:rPr>
        <w:instrText>ADDIN CSL_CITATION {"citationItems":[{"id":"ITEM-1","itemData":{"DOI":"10.1002/cmdc.200900247","ISBN":"1545968309332","ISSN":"1545-9683","PMID":"19318465","author":[{"dropping-particle":"","family":"Granchi","given":"Carlotta","non-dropping-particle":"","parse-names":false,"suffix":""},{"dropping-particle":"","family":"Funaioli","given":"Tiziana","non-dropping-particle":"","parse-names":false,"suffix":""},{"dropping-particle":"","family":"Erler","given":"Janine. T","non-dropping-particle":"","parse-names":false,"suffix":""},{"dropping-particle":"","family":"Giaccia","given":"Amato J.","non-dropping-particle":"","parse-names":false,"suffix":""},{"dropping-particle":"","family":"Macchia","given":"Marco","non-dropping-particle":"","parse-names":false,"suffix":""},{"dropping-particle":"","family":"Minutolo","given":"Filippo","non-dropping-particle":"","parse-names":false,"suffix":""}],"container-title":"ChemMedChem","id":"ITEM-1","issue":"10","issued":{"date-parts":[["2009"]]},"page":"6197-6214","title":"Bioreductively Activated Lysyl Oxidase Inhibitors against Hypoxic Tumours","type":"article-journal","volume":"4"},"uris":["http://www.mendeley.com/documents/?uuid=fb38652e-3bf7-4d34-9764-d5869547097b"]}],"mendeley":{"formattedCitation":"&lt;sup&gt;144&lt;/sup&gt;","plainTextFormattedCitation":"144","previouslyFormattedCitation":"&lt;sup&gt;144&lt;/sup&gt;"},"properties":{"noteIndex":0},"schema":"https://github.com/citation-style-language/schema/raw/master/csl-citation.json"}</w:instrText>
      </w:r>
      <w:r w:rsidRPr="00323FF4">
        <w:rPr>
          <w:color w:val="000000" w:themeColor="text1"/>
        </w:rPr>
        <w:fldChar w:fldCharType="separate"/>
      </w:r>
      <w:r w:rsidRPr="00962DB8">
        <w:rPr>
          <w:noProof/>
          <w:color w:val="000000" w:themeColor="text1"/>
          <w:vertAlign w:val="superscript"/>
        </w:rPr>
        <w:t>144</w:t>
      </w:r>
      <w:r w:rsidRPr="00323FF4">
        <w:rPr>
          <w:color w:val="000000" w:themeColor="text1"/>
        </w:rPr>
        <w:fldChar w:fldCharType="end"/>
      </w:r>
      <w:r>
        <w:rPr>
          <w:color w:val="000000" w:themeColor="text1"/>
        </w:rPr>
        <w:t xml:space="preserve"> Each prodrug contained a nitroaromatic masking group attached to the primary amine </w:t>
      </w:r>
      <w:r w:rsidRPr="000E1CF9">
        <w:rPr>
          <w:color w:val="000000" w:themeColor="text1"/>
        </w:rPr>
        <w:t xml:space="preserve">of </w:t>
      </w:r>
      <w:r w:rsidRPr="000E1CF9">
        <w:rPr>
          <w:rFonts w:ascii="Cambria" w:hAnsi="Cambria"/>
          <w:color w:val="000000" w:themeColor="text1"/>
        </w:rPr>
        <w:t>β</w:t>
      </w:r>
      <w:r>
        <w:rPr>
          <w:color w:val="000000" w:themeColor="text1"/>
        </w:rPr>
        <w:noBreakHyphen/>
      </w:r>
      <w:r w:rsidRPr="000E1CF9">
        <w:rPr>
          <w:color w:val="000000" w:themeColor="text1"/>
        </w:rPr>
        <w:t>APN.</w:t>
      </w:r>
      <w:r>
        <w:rPr>
          <w:color w:val="000000" w:themeColor="text1"/>
        </w:rPr>
        <w:t xml:space="preserve"> This system took advantage of the fact that nitroaromatics have been shown to be selectively reduced by reductase enzymes in hypoxic environments.</w:t>
      </w:r>
      <w:r>
        <w:rPr>
          <w:color w:val="000000" w:themeColor="text1"/>
        </w:rPr>
        <w:fldChar w:fldCharType="begin" w:fldLock="1"/>
      </w:r>
      <w:r>
        <w:rPr>
          <w:color w:val="000000" w:themeColor="text1"/>
        </w:rPr>
        <w:instrText>ADDIN CSL_CITATION {"citationItems":[{"id":"ITEM-1","itemData":{"DOI":"10.1002/med","ISBN":"1098-1128","ISSN":"1098-1128","PMID":"20099266","abstract":"Exogenous 5-aminolevulinic acid (ALA) is taken up directly by bacteria, yeasts, fungi, and some parasites, which then induces the accumulation of protoporphyrin IX (PPIX). Subsequent light irradiation of PPIX leads to the inactivation of these organisms via photodamage to their cellular structures. ALA uptake and light irradiation of PPIX produced by host cells leads to the inactivation of other parasites, along with some viruses, via the induction of an immune response. ALA-mediated PPIX production by host cells and light irradiation result in the inactivation of other viruses via either the induction of a host cell response or direct photodynamic attack on viral particles. This ALA- mediated production of light-activated PPIX has been extensively used as a form of photodynamic therapy (PDT) and has shown varying levels of efficacy in treating conditions that are associated with microbial infection, ranging from acne and verrucae to leishmaniasis and onychomycosis. However, for the treatment of some of these conditions by ALA-based PDT, the role of an antimicrobial effect has been disputed and in general, the mechanisms by which the technique inactivates microbes are not well understood. In this study, we review current understanding of the antimicrobial mechanisms used by ALA-based PDT and its role in the treatment of microbial infections along with its potential medical and nonmedical applications.","author":[{"dropping-particle":"","family":"Chen","given":"Yu","non-dropping-particle":"","parse-names":false,"suffix":""},{"dropping-particle":"","family":"Hu","given":"Longqin","non-dropping-particle":"","parse-names":false,"suffix":""}],"container-title":"Medicinal Research Reviews","id":"ITEM-1","issue":"1","issued":{"date-parts":[["2009"]]},"page":"29-64","title":"Design of Anticancer Prodrugs for ReductiveActivation","type":"article-journal","volume":"29"},"uris":["http://www.mendeley.com/documents/?uuid=9c07bc3e-9d4a-4231-9546-2d98df203e4d"]}],"mendeley":{"formattedCitation":"&lt;sup&gt;145&lt;/sup&gt;","plainTextFormattedCitation":"145","previouslyFormattedCitation":"&lt;sup&gt;145&lt;/sup&gt;"},"properties":{"noteIndex":0},"schema":"https://github.com/citation-style-language/schema/raw/master/csl-citation.json"}</w:instrText>
      </w:r>
      <w:r>
        <w:rPr>
          <w:color w:val="000000" w:themeColor="text1"/>
        </w:rPr>
        <w:fldChar w:fldCharType="separate"/>
      </w:r>
      <w:r w:rsidRPr="00962DB8">
        <w:rPr>
          <w:noProof/>
          <w:color w:val="000000" w:themeColor="text1"/>
          <w:vertAlign w:val="superscript"/>
        </w:rPr>
        <w:t>145</w:t>
      </w:r>
      <w:r>
        <w:rPr>
          <w:color w:val="000000" w:themeColor="text1"/>
        </w:rPr>
        <w:fldChar w:fldCharType="end"/>
      </w:r>
      <w:r>
        <w:rPr>
          <w:color w:val="000000" w:themeColor="text1"/>
        </w:rPr>
        <w:t xml:space="preserve"> On reduction of the nitro group to an amine, the bond between the carrier and </w:t>
      </w:r>
      <w:r w:rsidRPr="00323FF4">
        <w:rPr>
          <w:rFonts w:ascii="Cambria" w:hAnsi="Cambria"/>
          <w:color w:val="000000" w:themeColor="text1"/>
        </w:rPr>
        <w:t>β</w:t>
      </w:r>
      <w:r w:rsidRPr="00323FF4">
        <w:rPr>
          <w:color w:val="000000" w:themeColor="text1"/>
        </w:rPr>
        <w:t>-APN</w:t>
      </w:r>
      <w:r>
        <w:rPr>
          <w:color w:val="000000" w:themeColor="text1"/>
        </w:rPr>
        <w:t xml:space="preserve"> weakened, triggering the facile release</w:t>
      </w:r>
      <w:r w:rsidRPr="00DA57BA">
        <w:rPr>
          <w:color w:val="000000" w:themeColor="text1"/>
        </w:rPr>
        <w:t xml:space="preserve"> </w:t>
      </w:r>
      <w:r>
        <w:rPr>
          <w:color w:val="000000" w:themeColor="text1"/>
        </w:rPr>
        <w:t xml:space="preserve">of the active compound in the tumour. No further studies have been published on the development of these compounds. </w:t>
      </w:r>
    </w:p>
    <w:p w14:paraId="441D5968" w14:textId="537D7ED5" w:rsidR="009A585B" w:rsidRPr="00152CFD" w:rsidRDefault="009A585B" w:rsidP="009A585B">
      <w:pPr>
        <w:rPr>
          <w:color w:val="FF0000"/>
        </w:rPr>
      </w:pPr>
      <w:r w:rsidRPr="000D3E70">
        <w:rPr>
          <w:color w:val="000000" w:themeColor="text1"/>
        </w:rPr>
        <w:t xml:space="preserve">The literature demonstrates that the prodrug approach has been instrumental in drug discovery to improve drug properties and provide superior clinical outcomes. The application of prodrugs is vast and has been employed to solve a wide range of pharmacokinetic and pharmacodynamic issues. It has been demonstrated that prodrugs can be used to successfully alter the lipophilicity of a compound and improve topical drug delivery. </w:t>
      </w:r>
      <w:bookmarkEnd w:id="47"/>
      <w:r w:rsidRPr="000D3E70">
        <w:rPr>
          <w:color w:val="000000" w:themeColor="text1"/>
        </w:rPr>
        <w:t xml:space="preserve">So far, there is no record of this approach being used to increase the topical delivery of the well-known lysyl oxidase inhibitor </w:t>
      </w:r>
      <w:r w:rsidRPr="000D3E70">
        <w:rPr>
          <w:color w:val="000000" w:themeColor="text1"/>
        </w:rPr>
        <w:sym w:font="Symbol" w:char="F062"/>
      </w:r>
      <w:r w:rsidRPr="000D3E70">
        <w:rPr>
          <w:color w:val="000000" w:themeColor="text1"/>
        </w:rPr>
        <w:noBreakHyphen/>
        <w:t xml:space="preserve">APN. The single example of a </w:t>
      </w:r>
      <w:r w:rsidRPr="000D3E70">
        <w:rPr>
          <w:color w:val="000000" w:themeColor="text1"/>
        </w:rPr>
        <w:sym w:font="Symbol" w:char="F062"/>
      </w:r>
      <w:r w:rsidRPr="000D3E70">
        <w:rPr>
          <w:color w:val="000000" w:themeColor="text1"/>
        </w:rPr>
        <w:noBreakHyphen/>
        <w:t xml:space="preserve">APN prodrug is aimed towards systemic delivery and utilises a very different trigger mechanism. </w:t>
      </w:r>
      <w:r>
        <w:rPr>
          <w:color w:val="000000" w:themeColor="text1"/>
        </w:rPr>
        <w:t xml:space="preserve">As a result, this work proposes the development of a more lipophilic prodrug of </w:t>
      </w:r>
      <w:r w:rsidRPr="000D3E70">
        <w:rPr>
          <w:color w:val="000000" w:themeColor="text1"/>
        </w:rPr>
        <w:sym w:font="Symbol" w:char="F062"/>
      </w:r>
      <w:r w:rsidRPr="000D3E70">
        <w:rPr>
          <w:color w:val="000000" w:themeColor="text1"/>
        </w:rPr>
        <w:noBreakHyphen/>
        <w:t>APN</w:t>
      </w:r>
      <w:r>
        <w:rPr>
          <w:color w:val="000000" w:themeColor="text1"/>
        </w:rPr>
        <w:t xml:space="preserve"> to enhance its topical delivery.</w:t>
      </w:r>
    </w:p>
    <w:p w14:paraId="34FBBA6E" w14:textId="77777777" w:rsidR="009A585B" w:rsidRDefault="009A585B" w:rsidP="009A585B">
      <w:pPr>
        <w:pStyle w:val="Heading2"/>
      </w:pPr>
      <w:bookmarkStart w:id="48" w:name="_Toc2450988"/>
      <w:r>
        <w:t>Aims</w:t>
      </w:r>
      <w:bookmarkEnd w:id="48"/>
      <w:r>
        <w:t xml:space="preserve"> </w:t>
      </w:r>
    </w:p>
    <w:p w14:paraId="382BEB06" w14:textId="77777777" w:rsidR="009A585B" w:rsidRPr="00EC72BE" w:rsidRDefault="009A585B" w:rsidP="009A585B">
      <w:pPr>
        <w:rPr>
          <w:color w:val="000000" w:themeColor="text1"/>
        </w:rPr>
      </w:pPr>
      <w:r>
        <w:t xml:space="preserve">Despite a wealth of research into new treatment regimes, therapies to treat burn scar contracture have changed very little in the last 50 years. There is a great need for more targeted therapies, to work either alone or in parallel with the current methods of </w:t>
      </w:r>
      <w:r>
        <w:lastRenderedPageBreak/>
        <w:t xml:space="preserve">contracture prevention. </w:t>
      </w:r>
      <w:r w:rsidRPr="002D7E4A">
        <w:rPr>
          <w:rFonts w:cs="Lucida Grande"/>
          <w:color w:val="000000"/>
        </w:rPr>
        <w:t>β-</w:t>
      </w:r>
      <w:r>
        <w:rPr>
          <w:rFonts w:cs="Lucida Grande"/>
          <w:color w:val="000000"/>
        </w:rPr>
        <w:t>aminopropionitrile (</w:t>
      </w:r>
      <w:r w:rsidRPr="002D7E4A">
        <w:rPr>
          <w:rFonts w:cs="Lucida Grande"/>
          <w:color w:val="000000"/>
        </w:rPr>
        <w:t>β</w:t>
      </w:r>
      <w:r>
        <w:rPr>
          <w:rFonts w:cs="Lucida Grande"/>
          <w:color w:val="000000"/>
        </w:rPr>
        <w:noBreakHyphen/>
        <w:t xml:space="preserve">APN) has previously been identified as a potential drug to reduce burn scar contractures by inhibiting collagen cross-linking, but toxicity associated with its systemic delivery has halted its clinical success. The topical delivery of </w:t>
      </w:r>
      <w:r w:rsidRPr="000D3E70">
        <w:rPr>
          <w:color w:val="000000" w:themeColor="text1"/>
        </w:rPr>
        <w:sym w:font="Symbol" w:char="F062"/>
      </w:r>
      <w:r w:rsidRPr="000D3E70">
        <w:rPr>
          <w:color w:val="000000" w:themeColor="text1"/>
        </w:rPr>
        <w:noBreakHyphen/>
        <w:t>APN</w:t>
      </w:r>
      <w:r>
        <w:rPr>
          <w:color w:val="000000" w:themeColor="text1"/>
        </w:rPr>
        <w:t xml:space="preserve"> has been proposed as an alternative method of administration, however this has produced conflicting outcomes, highlighting the fast wash-out of </w:t>
      </w:r>
      <w:r w:rsidRPr="000D3E70">
        <w:rPr>
          <w:color w:val="000000" w:themeColor="text1"/>
        </w:rPr>
        <w:sym w:font="Symbol" w:char="F062"/>
      </w:r>
      <w:r w:rsidRPr="000D3E70">
        <w:rPr>
          <w:color w:val="000000" w:themeColor="text1"/>
        </w:rPr>
        <w:noBreakHyphen/>
        <w:t>APN</w:t>
      </w:r>
      <w:r>
        <w:rPr>
          <w:color w:val="000000" w:themeColor="text1"/>
        </w:rPr>
        <w:t xml:space="preserve"> free base and the reduced skin permeability of </w:t>
      </w:r>
      <w:r w:rsidRPr="000D3E70">
        <w:rPr>
          <w:color w:val="000000" w:themeColor="text1"/>
        </w:rPr>
        <w:sym w:font="Symbol" w:char="F062"/>
      </w:r>
      <w:r w:rsidRPr="000D3E70">
        <w:rPr>
          <w:color w:val="000000" w:themeColor="text1"/>
        </w:rPr>
        <w:noBreakHyphen/>
        <w:t>APN</w:t>
      </w:r>
      <w:r>
        <w:rPr>
          <w:color w:val="000000" w:themeColor="text1"/>
        </w:rPr>
        <w:t xml:space="preserve"> fumarate salt. This work proposes the development of a more lipophilic analogue of </w:t>
      </w:r>
      <w:r w:rsidRPr="000D3E70">
        <w:rPr>
          <w:color w:val="000000" w:themeColor="text1"/>
        </w:rPr>
        <w:sym w:font="Symbol" w:char="F062"/>
      </w:r>
      <w:r w:rsidRPr="000D3E70">
        <w:rPr>
          <w:color w:val="000000" w:themeColor="text1"/>
        </w:rPr>
        <w:noBreakHyphen/>
        <w:t>APN</w:t>
      </w:r>
      <w:r>
        <w:rPr>
          <w:color w:val="000000" w:themeColor="text1"/>
        </w:rPr>
        <w:t xml:space="preserve">, which is capable of releasing the active compound once skin penetration has been </w:t>
      </w:r>
      <w:r w:rsidRPr="00EC72BE">
        <w:rPr>
          <w:color w:val="000000" w:themeColor="text1"/>
        </w:rPr>
        <w:t xml:space="preserve">achieved. </w:t>
      </w:r>
      <w:r w:rsidRPr="00EC72BE">
        <w:rPr>
          <w:rFonts w:cs="Lucida Grande"/>
          <w:color w:val="000000" w:themeColor="text1"/>
        </w:rPr>
        <w:t>Therefo</w:t>
      </w:r>
      <w:r>
        <w:rPr>
          <w:rFonts w:cs="Lucida Grande"/>
          <w:color w:val="000000" w:themeColor="text1"/>
        </w:rPr>
        <w:t>re, the aim of this thesis</w:t>
      </w:r>
      <w:r w:rsidRPr="00EC72BE">
        <w:rPr>
          <w:rFonts w:cs="Lucida Grande"/>
          <w:color w:val="000000" w:themeColor="text1"/>
        </w:rPr>
        <w:t xml:space="preserve"> is to develop a more lipophilic prodrug of β</w:t>
      </w:r>
      <w:r w:rsidRPr="00EC72BE">
        <w:rPr>
          <w:color w:val="000000" w:themeColor="text1"/>
        </w:rPr>
        <w:t>-APN to allow sustained delivery of the compound to the skin, and to investigate its ability to inhibit the process of contraction.</w:t>
      </w:r>
    </w:p>
    <w:p w14:paraId="07E40F96" w14:textId="77777777" w:rsidR="009A585B" w:rsidRDefault="009A585B" w:rsidP="009A585B">
      <w:r>
        <w:rPr>
          <w:rFonts w:cs="Lucida Grande"/>
          <w:color w:val="000000"/>
        </w:rPr>
        <w:t>To achieve this aim, a series of specific objectives were identified:</w:t>
      </w:r>
    </w:p>
    <w:p w14:paraId="5336AF21" w14:textId="2EFE6418" w:rsidR="009A585B" w:rsidRPr="003F4D1B" w:rsidRDefault="009A585B" w:rsidP="009A585B">
      <w:pPr>
        <w:pStyle w:val="ListParagraph"/>
        <w:numPr>
          <w:ilvl w:val="0"/>
          <w:numId w:val="28"/>
        </w:numPr>
        <w:spacing w:before="120" w:after="240"/>
        <w:rPr>
          <w:u w:val="single"/>
        </w:rPr>
      </w:pPr>
      <w:r w:rsidRPr="003F4D1B">
        <w:rPr>
          <w:u w:val="single"/>
        </w:rPr>
        <w:t xml:space="preserve">To synthesise a series of </w:t>
      </w:r>
      <w:r w:rsidR="00E130DD">
        <w:rPr>
          <w:u w:val="single"/>
        </w:rPr>
        <w:t>compounds</w:t>
      </w:r>
      <w:r w:rsidRPr="003F4D1B">
        <w:rPr>
          <w:u w:val="single"/>
        </w:rPr>
        <w:t xml:space="preserve"> to increase the lipophilicity of </w:t>
      </w:r>
      <w:r w:rsidRPr="003F4D1B">
        <w:rPr>
          <w:rFonts w:cs="Lucida Grande"/>
          <w:color w:val="000000"/>
          <w:u w:val="single"/>
        </w:rPr>
        <w:t>β</w:t>
      </w:r>
      <w:r w:rsidRPr="003F4D1B">
        <w:rPr>
          <w:u w:val="single"/>
        </w:rPr>
        <w:t>-APN</w:t>
      </w:r>
      <w:r w:rsidR="000F2F5A" w:rsidRPr="003F4D1B">
        <w:rPr>
          <w:u w:val="single"/>
        </w:rPr>
        <w:t xml:space="preserve"> </w:t>
      </w:r>
    </w:p>
    <w:p w14:paraId="56DFED86" w14:textId="3F9B9BC2" w:rsidR="005837C4" w:rsidRPr="009C4EDC" w:rsidRDefault="005837C4" w:rsidP="006E1FA2">
      <w:pPr>
        <w:pStyle w:val="ListParagraph"/>
        <w:spacing w:before="120" w:after="240"/>
      </w:pPr>
      <w:r w:rsidRPr="009C4EDC">
        <w:t xml:space="preserve">A range of </w:t>
      </w:r>
      <w:r>
        <w:t xml:space="preserve">chemical compounds will be reacted with </w:t>
      </w:r>
      <w:r w:rsidRPr="009C4EDC">
        <w:rPr>
          <w:rFonts w:cs="Lucida Grande"/>
          <w:color w:val="000000"/>
        </w:rPr>
        <w:t>β</w:t>
      </w:r>
      <w:r w:rsidRPr="009C4EDC">
        <w:t>-APN</w:t>
      </w:r>
      <w:r>
        <w:t xml:space="preserve"> </w:t>
      </w:r>
      <w:r w:rsidRPr="005837C4">
        <w:rPr>
          <w:i/>
        </w:rPr>
        <w:t>via</w:t>
      </w:r>
      <w:r>
        <w:t xml:space="preserve"> different synthetic methods to produce more lipophilic compounds </w:t>
      </w:r>
      <w:r w:rsidR="006E1FA2">
        <w:t xml:space="preserve">containing the </w:t>
      </w:r>
      <w:r w:rsidRPr="005837C4">
        <w:rPr>
          <w:rFonts w:cs="Lucida Grande"/>
          <w:color w:val="000000"/>
        </w:rPr>
        <w:t>β</w:t>
      </w:r>
      <w:r w:rsidR="006E1FA2">
        <w:noBreakHyphen/>
      </w:r>
      <w:r w:rsidRPr="009C4EDC">
        <w:t>APN</w:t>
      </w:r>
      <w:r w:rsidR="006E1FA2">
        <w:t xml:space="preserve"> architecture</w:t>
      </w:r>
      <w:r>
        <w:t xml:space="preserve">. Changes to lipophilicity, compared to </w:t>
      </w:r>
      <w:r w:rsidRPr="005837C4">
        <w:rPr>
          <w:rFonts w:cs="Lucida Grande"/>
          <w:color w:val="000000"/>
        </w:rPr>
        <w:t>β</w:t>
      </w:r>
      <w:r w:rsidRPr="009C4EDC">
        <w:t>-APN</w:t>
      </w:r>
      <w:r>
        <w:t>, will be assessed by both experimental observations (such as a lack of solubility in aqueous solutions) and theoretical calculations, such as comparing par</w:t>
      </w:r>
      <w:r w:rsidR="006E1FA2">
        <w:t>t</w:t>
      </w:r>
      <w:r>
        <w:t>i</w:t>
      </w:r>
      <w:r w:rsidR="006E1FA2">
        <w:t>t</w:t>
      </w:r>
      <w:r>
        <w:t>i</w:t>
      </w:r>
      <w:r w:rsidR="006E1FA2">
        <w:t>o</w:t>
      </w:r>
      <w:r>
        <w:t>n coefficient (LogP) values.</w:t>
      </w:r>
    </w:p>
    <w:p w14:paraId="4B7EB5C1" w14:textId="77777777" w:rsidR="009C4EDC" w:rsidRPr="009C4EDC" w:rsidRDefault="009C4EDC" w:rsidP="009C4EDC">
      <w:pPr>
        <w:pStyle w:val="ListParagraph"/>
        <w:spacing w:before="120" w:after="240"/>
        <w:rPr>
          <w:u w:val="single"/>
        </w:rPr>
      </w:pPr>
    </w:p>
    <w:p w14:paraId="73E96352" w14:textId="76044757" w:rsidR="009A585B" w:rsidRPr="003F4D1B" w:rsidRDefault="009A585B" w:rsidP="009A585B">
      <w:pPr>
        <w:pStyle w:val="ListParagraph"/>
        <w:numPr>
          <w:ilvl w:val="0"/>
          <w:numId w:val="28"/>
        </w:numPr>
        <w:spacing w:before="120" w:after="240"/>
        <w:rPr>
          <w:u w:val="single"/>
        </w:rPr>
      </w:pPr>
      <w:r w:rsidRPr="003F4D1B">
        <w:rPr>
          <w:u w:val="single"/>
        </w:rPr>
        <w:t xml:space="preserve">To </w:t>
      </w:r>
      <w:r w:rsidR="009A2891">
        <w:rPr>
          <w:u w:val="single"/>
        </w:rPr>
        <w:t>investigate</w:t>
      </w:r>
      <w:r w:rsidRPr="003F4D1B">
        <w:rPr>
          <w:u w:val="single"/>
        </w:rPr>
        <w:t xml:space="preserve"> the </w:t>
      </w:r>
      <w:r w:rsidR="00E130DD">
        <w:rPr>
          <w:u w:val="single"/>
        </w:rPr>
        <w:t xml:space="preserve">dissociation </w:t>
      </w:r>
      <w:r w:rsidRPr="003F4D1B">
        <w:rPr>
          <w:u w:val="single"/>
        </w:rPr>
        <w:t xml:space="preserve">ability of </w:t>
      </w:r>
      <w:r w:rsidR="00E130DD">
        <w:rPr>
          <w:u w:val="single"/>
        </w:rPr>
        <w:t>the synthesised compounds</w:t>
      </w:r>
    </w:p>
    <w:p w14:paraId="23A36E4B" w14:textId="47FD74DB" w:rsidR="003203AC" w:rsidRPr="009C4EDC" w:rsidRDefault="009C4EDC" w:rsidP="009F68A2">
      <w:pPr>
        <w:pStyle w:val="ListParagraph"/>
        <w:spacing w:before="120" w:after="240"/>
      </w:pPr>
      <w:r>
        <w:t xml:space="preserve">It is essential to determine whether the new compounds will be capable of dissociating back to </w:t>
      </w:r>
      <w:r w:rsidRPr="009C4EDC">
        <w:rPr>
          <w:rFonts w:cs="Lucida Grande"/>
          <w:color w:val="000000"/>
        </w:rPr>
        <w:t>β</w:t>
      </w:r>
      <w:r w:rsidRPr="009C4EDC">
        <w:t>-APN</w:t>
      </w:r>
      <w:r>
        <w:t xml:space="preserve"> and the carrier moiety, in order to fulfil their role as prodrugs. To do this, the dissociation of the compounds</w:t>
      </w:r>
      <w:r w:rsidR="00C4739E" w:rsidRPr="00C4739E">
        <w:t xml:space="preserve"> </w:t>
      </w:r>
      <w:r w:rsidR="00C4739E">
        <w:t>will be investigated</w:t>
      </w:r>
      <w:r w:rsidR="009F68A2">
        <w:t xml:space="preserve"> in response to an environmental stimulus</w:t>
      </w:r>
      <w:r>
        <w:t xml:space="preserve"> </w:t>
      </w:r>
      <w:r w:rsidR="00A112AA">
        <w:t>over appropriate time scales</w:t>
      </w:r>
      <w:r w:rsidR="009F68A2">
        <w:t xml:space="preserve">. </w:t>
      </w:r>
      <w:r w:rsidR="003203AC">
        <w:t xml:space="preserve">Monitoring this process by </w:t>
      </w:r>
      <w:r w:rsidR="003203AC" w:rsidRPr="009F68A2">
        <w:rPr>
          <w:vertAlign w:val="superscript"/>
        </w:rPr>
        <w:t>1</w:t>
      </w:r>
      <w:r w:rsidR="003203AC">
        <w:t xml:space="preserve">H NMR spectroscopy will allow a </w:t>
      </w:r>
      <w:r w:rsidR="00C4739E">
        <w:t>rapid</w:t>
      </w:r>
      <w:r w:rsidR="003203AC">
        <w:t xml:space="preserve"> and </w:t>
      </w:r>
      <w:r w:rsidR="00A112AA">
        <w:t>quantitative</w:t>
      </w:r>
      <w:r w:rsidR="009F68A2">
        <w:t xml:space="preserve"> assessment of compound dissociation.</w:t>
      </w:r>
    </w:p>
    <w:p w14:paraId="6B052E81" w14:textId="77777777" w:rsidR="009C4EDC" w:rsidRPr="003F4D1B" w:rsidRDefault="009C4EDC" w:rsidP="003F4D1B">
      <w:pPr>
        <w:pStyle w:val="ListParagraph"/>
        <w:spacing w:before="120" w:after="240"/>
        <w:rPr>
          <w:u w:val="single"/>
        </w:rPr>
      </w:pPr>
    </w:p>
    <w:p w14:paraId="5B9434ED" w14:textId="0144DBA3" w:rsidR="009A585B" w:rsidRPr="003F4D1B" w:rsidRDefault="009A585B" w:rsidP="009A585B">
      <w:pPr>
        <w:pStyle w:val="ListParagraph"/>
        <w:numPr>
          <w:ilvl w:val="0"/>
          <w:numId w:val="28"/>
        </w:numPr>
        <w:spacing w:before="120" w:after="240"/>
        <w:rPr>
          <w:u w:val="single"/>
        </w:rPr>
      </w:pPr>
      <w:r w:rsidRPr="003F4D1B">
        <w:rPr>
          <w:u w:val="single"/>
        </w:rPr>
        <w:t>To test the prodrugs’ ability to inhibit the target enzyme lysyl oxidase (LOX)</w:t>
      </w:r>
    </w:p>
    <w:p w14:paraId="43A95933" w14:textId="23A62F0C" w:rsidR="009F68A2" w:rsidRDefault="0080508D" w:rsidP="009F68A2">
      <w:pPr>
        <w:pStyle w:val="ListParagraph"/>
        <w:spacing w:before="120" w:after="240"/>
      </w:pPr>
      <w:r>
        <w:t xml:space="preserve">Once dissociation of the prodrugs has been confirmed by chemical methods, it is important to understand whether the dissociation </w:t>
      </w:r>
      <w:r w:rsidRPr="009F68A2">
        <w:t>is sufficient</w:t>
      </w:r>
      <w:r w:rsidR="009F68A2" w:rsidRPr="009F68A2">
        <w:t xml:space="preserve"> </w:t>
      </w:r>
      <w:r w:rsidRPr="009F68A2">
        <w:t>to</w:t>
      </w:r>
      <w:r>
        <w:t xml:space="preserve"> </w:t>
      </w:r>
      <w:r w:rsidR="00C4739E">
        <w:t>release</w:t>
      </w:r>
      <w:r>
        <w:t xml:space="preserve"> enough </w:t>
      </w:r>
      <w:r>
        <w:sym w:font="Symbol" w:char="F062"/>
      </w:r>
      <w:r>
        <w:noBreakHyphen/>
        <w:t xml:space="preserve">APN to inhibit LOX activity. </w:t>
      </w:r>
      <w:r w:rsidR="009F68A2">
        <w:t xml:space="preserve">This will be assessed using an enzyme assay of LOX activity containing a commercially available LOX enzyme. </w:t>
      </w:r>
      <w:r w:rsidR="009F68A2">
        <w:lastRenderedPageBreak/>
        <w:t xml:space="preserve">Prodrug performance will be compared to </w:t>
      </w:r>
      <w:r w:rsidR="009F68A2">
        <w:sym w:font="Symbol" w:char="F062"/>
      </w:r>
      <w:r w:rsidR="009F68A2">
        <w:noBreakHyphen/>
        <w:t xml:space="preserve">APN alone and different concentrations of each compound will be screened to try and </w:t>
      </w:r>
      <w:r w:rsidR="00E130DD">
        <w:t xml:space="preserve">identify </w:t>
      </w:r>
      <w:r w:rsidR="006E1FA2">
        <w:t>the</w:t>
      </w:r>
      <w:r w:rsidR="009F68A2">
        <w:t xml:space="preserve"> concentration</w:t>
      </w:r>
      <w:r w:rsidR="006E1FA2">
        <w:t xml:space="preserve"> required to inhibit enzyme activity to</w:t>
      </w:r>
      <w:r w:rsidR="009F68A2">
        <w:t xml:space="preserve"> 50 % </w:t>
      </w:r>
      <w:r w:rsidR="006E1FA2">
        <w:t xml:space="preserve">of its maximum </w:t>
      </w:r>
      <w:r w:rsidR="009F68A2">
        <w:t>(IC</w:t>
      </w:r>
      <w:r w:rsidR="009F68A2" w:rsidRPr="009F68A2">
        <w:rPr>
          <w:vertAlign w:val="subscript"/>
        </w:rPr>
        <w:t>50</w:t>
      </w:r>
      <w:r w:rsidR="009F68A2">
        <w:t xml:space="preserve"> values</w:t>
      </w:r>
      <w:r w:rsidR="006E1FA2">
        <w:t>)</w:t>
      </w:r>
      <w:r w:rsidR="009F68A2">
        <w:t>.</w:t>
      </w:r>
    </w:p>
    <w:p w14:paraId="143C92DF" w14:textId="77777777" w:rsidR="00A112AA" w:rsidRPr="003F4D1B" w:rsidRDefault="00A112AA" w:rsidP="003F4D1B">
      <w:pPr>
        <w:pStyle w:val="ListParagraph"/>
        <w:spacing w:before="120" w:after="240"/>
        <w:rPr>
          <w:u w:val="single"/>
        </w:rPr>
      </w:pPr>
    </w:p>
    <w:p w14:paraId="10DC33C9" w14:textId="0459BAD1" w:rsidR="00E130DD" w:rsidRDefault="009A585B" w:rsidP="00E130DD">
      <w:pPr>
        <w:pStyle w:val="ListParagraph"/>
        <w:numPr>
          <w:ilvl w:val="0"/>
          <w:numId w:val="28"/>
        </w:numPr>
        <w:spacing w:before="120" w:after="240"/>
        <w:rPr>
          <w:u w:val="single"/>
        </w:rPr>
      </w:pPr>
      <w:r w:rsidRPr="003F4D1B">
        <w:rPr>
          <w:u w:val="single"/>
        </w:rPr>
        <w:t xml:space="preserve">To test the cytotoxicity of the prodrugs </w:t>
      </w:r>
      <w:r w:rsidR="00E130DD">
        <w:rPr>
          <w:u w:val="single"/>
        </w:rPr>
        <w:t>on</w:t>
      </w:r>
      <w:r w:rsidR="004448D4">
        <w:rPr>
          <w:u w:val="single"/>
        </w:rPr>
        <w:t xml:space="preserve"> human dermal fibroblasts</w:t>
      </w:r>
    </w:p>
    <w:p w14:paraId="36C8E9CB" w14:textId="39B96752" w:rsidR="003F4D1B" w:rsidRPr="00E130DD" w:rsidRDefault="00092720" w:rsidP="00E130DD">
      <w:pPr>
        <w:pStyle w:val="ListParagraph"/>
        <w:spacing w:before="120" w:after="240"/>
        <w:rPr>
          <w:u w:val="single"/>
        </w:rPr>
      </w:pPr>
      <w:r w:rsidRPr="004448D4">
        <w:t>Cytotoxicity</w:t>
      </w:r>
      <w:r w:rsidR="004448D4">
        <w:t xml:space="preserve"> testing will be used to determine whether the synthesised prodrugs have a different toxicity profile to </w:t>
      </w:r>
      <w:r w:rsidR="004448D4">
        <w:sym w:font="Symbol" w:char="F062"/>
      </w:r>
      <w:r w:rsidR="004448D4">
        <w:noBreakHyphen/>
        <w:t>APN.</w:t>
      </w:r>
      <w:r w:rsidR="00E130DD">
        <w:t xml:space="preserve"> Testing will be conducted on human dermal fibroblasts (HDF), which are representative of the target organ (the skin) for this therapeutic application. Both metabolic activity and membrane integrity assays will be used to assess prodrug cytotoxicity in order to gain information on different toxicity pathways.</w:t>
      </w:r>
    </w:p>
    <w:p w14:paraId="6E96DA34" w14:textId="77777777" w:rsidR="009C4EDC" w:rsidRDefault="009C4EDC" w:rsidP="003F4D1B">
      <w:pPr>
        <w:pStyle w:val="ListParagraph"/>
        <w:spacing w:before="120" w:after="240"/>
      </w:pPr>
    </w:p>
    <w:p w14:paraId="41589F7C" w14:textId="17AB1C2B" w:rsidR="003F4D1B" w:rsidRDefault="009A585B" w:rsidP="003F4D1B">
      <w:pPr>
        <w:pStyle w:val="ListParagraph"/>
        <w:numPr>
          <w:ilvl w:val="0"/>
          <w:numId w:val="28"/>
        </w:numPr>
        <w:spacing w:before="120" w:after="240"/>
        <w:rPr>
          <w:u w:val="single"/>
        </w:rPr>
      </w:pPr>
      <w:r w:rsidRPr="003F4D1B">
        <w:rPr>
          <w:u w:val="single"/>
        </w:rPr>
        <w:t xml:space="preserve">To determine the effectiveness of </w:t>
      </w:r>
      <w:r w:rsidR="00E130DD">
        <w:rPr>
          <w:u w:val="single"/>
        </w:rPr>
        <w:t>the</w:t>
      </w:r>
      <w:r w:rsidRPr="003F4D1B">
        <w:rPr>
          <w:u w:val="single"/>
        </w:rPr>
        <w:t xml:space="preserve"> prodrug</w:t>
      </w:r>
      <w:r w:rsidR="00E130DD">
        <w:rPr>
          <w:u w:val="single"/>
        </w:rPr>
        <w:t>s</w:t>
      </w:r>
      <w:r w:rsidRPr="003F4D1B">
        <w:rPr>
          <w:u w:val="single"/>
        </w:rPr>
        <w:t xml:space="preserve"> to inhibit contraction in a 3D tissue</w:t>
      </w:r>
      <w:r w:rsidR="009352BF" w:rsidRPr="003F4D1B">
        <w:rPr>
          <w:u w:val="single"/>
        </w:rPr>
        <w:t>-</w:t>
      </w:r>
      <w:r w:rsidRPr="003F4D1B">
        <w:rPr>
          <w:u w:val="single"/>
        </w:rPr>
        <w:t>engineered model of human skin</w:t>
      </w:r>
    </w:p>
    <w:p w14:paraId="4A71EF55" w14:textId="278FD7C2" w:rsidR="003F4D1B" w:rsidRPr="004448D4" w:rsidRDefault="004448D4" w:rsidP="009A2891">
      <w:pPr>
        <w:pStyle w:val="ListParagraph"/>
      </w:pPr>
      <w:r w:rsidRPr="004448D4">
        <w:t>Finally</w:t>
      </w:r>
      <w:r>
        <w:t>, the prodrugs will be tested in a tissue-engineered model of contraction, to understand their ability to inhibit</w:t>
      </w:r>
      <w:r w:rsidR="009A2891">
        <w:t xml:space="preserve"> the physical process of contraction. The contraction of tissue-engineered skin will be monitored over 28 days by recording skin composite surface area, and composites treated with either </w:t>
      </w:r>
      <w:r w:rsidR="009A2891">
        <w:sym w:font="Symbol" w:char="F062"/>
      </w:r>
      <w:r w:rsidR="009A2891">
        <w:noBreakHyphen/>
        <w:t>APN or a prodrug will be compared to untreated controls. Histological analysis of each composite will be used to assess changes in cellular distribution.</w:t>
      </w:r>
    </w:p>
    <w:p w14:paraId="29F2E7F7" w14:textId="77777777" w:rsidR="003F4D1B" w:rsidRPr="003F4D1B" w:rsidRDefault="003F4D1B" w:rsidP="003F4D1B">
      <w:pPr>
        <w:pStyle w:val="ListParagraph"/>
        <w:spacing w:before="120" w:after="240"/>
        <w:rPr>
          <w:u w:val="single"/>
        </w:rPr>
      </w:pPr>
    </w:p>
    <w:p w14:paraId="2E197DEE" w14:textId="657FE36A" w:rsidR="00764285" w:rsidRPr="00534C00" w:rsidRDefault="00764285" w:rsidP="005A152A">
      <w:pPr>
        <w:sectPr w:rsidR="00764285" w:rsidRPr="00534C00" w:rsidSect="00C0076B">
          <w:pgSz w:w="11900" w:h="16840"/>
          <w:pgMar w:top="1440" w:right="1440" w:bottom="1440" w:left="2268" w:header="720" w:footer="720" w:gutter="0"/>
          <w:pgNumType w:start="1"/>
          <w:cols w:space="720"/>
          <w:docGrid w:linePitch="360"/>
        </w:sectPr>
      </w:pPr>
    </w:p>
    <w:p w14:paraId="700E353E" w14:textId="77777777" w:rsidR="008A122E" w:rsidRDefault="008A122E">
      <w:pPr>
        <w:spacing w:after="0" w:line="240" w:lineRule="auto"/>
        <w:jc w:val="left"/>
        <w:rPr>
          <w:rFonts w:eastAsiaTheme="majorEastAsia" w:cstheme="majorBidi"/>
          <w:b/>
          <w:color w:val="000000" w:themeColor="text1"/>
          <w:sz w:val="36"/>
          <w:szCs w:val="32"/>
        </w:rPr>
      </w:pPr>
      <w:bookmarkStart w:id="49" w:name="_Toc525587669"/>
      <w:r>
        <w:lastRenderedPageBreak/>
        <w:br w:type="page"/>
      </w:r>
    </w:p>
    <w:p w14:paraId="1A39D347" w14:textId="3DF212A3" w:rsidR="00AF52F5" w:rsidRPr="003D132C" w:rsidRDefault="00AF52F5" w:rsidP="00AF52F5">
      <w:pPr>
        <w:pStyle w:val="Heading1"/>
        <w:jc w:val="left"/>
      </w:pPr>
      <w:bookmarkStart w:id="50" w:name="_Toc2450989"/>
      <w:r w:rsidRPr="003D132C">
        <w:lastRenderedPageBreak/>
        <w:t xml:space="preserve">Chapter Two: Synthesis of a </w:t>
      </w:r>
      <w:r w:rsidR="004F4E19">
        <w:t>ß</w:t>
      </w:r>
      <w:r w:rsidRPr="003D132C">
        <w:noBreakHyphen/>
        <w:t>aminopropionitrile prodrug</w:t>
      </w:r>
      <w:bookmarkEnd w:id="49"/>
      <w:bookmarkEnd w:id="50"/>
    </w:p>
    <w:p w14:paraId="376B0623" w14:textId="77777777" w:rsidR="00AF52F5" w:rsidRDefault="00AF52F5" w:rsidP="00AF52F5">
      <w:pPr>
        <w:pStyle w:val="Heading2"/>
      </w:pPr>
      <w:bookmarkStart w:id="51" w:name="_Toc525587670"/>
      <w:bookmarkStart w:id="52" w:name="_Toc2450990"/>
      <w:r>
        <w:t>Introduction</w:t>
      </w:r>
      <w:bookmarkEnd w:id="51"/>
      <w:bookmarkEnd w:id="52"/>
    </w:p>
    <w:p w14:paraId="1FD74129" w14:textId="5978D552" w:rsidR="00AF52F5" w:rsidRPr="00AC3344" w:rsidRDefault="00AF52F5" w:rsidP="00AF52F5">
      <w:r w:rsidRPr="00BE7F11">
        <w:rPr>
          <w:color w:val="000000" w:themeColor="text1"/>
        </w:rPr>
        <w:t xml:space="preserve">The first aim of this thesis was to synthesise a prodrug of the known lysyl oxidase (LOX) inhibitor </w:t>
      </w:r>
      <w:r w:rsidRPr="00BE7F11">
        <w:rPr>
          <w:color w:val="000000" w:themeColor="text1"/>
        </w:rPr>
        <w:sym w:font="Symbol" w:char="F062"/>
      </w:r>
      <w:r w:rsidRPr="00BE7F11">
        <w:rPr>
          <w:color w:val="000000" w:themeColor="text1"/>
        </w:rPr>
        <w:t>-aminopropionitrile (</w:t>
      </w:r>
      <w:r w:rsidRPr="00BE7F11">
        <w:rPr>
          <w:color w:val="000000" w:themeColor="text1"/>
        </w:rPr>
        <w:sym w:font="Symbol" w:char="F062"/>
      </w:r>
      <w:r w:rsidRPr="00BE7F11">
        <w:rPr>
          <w:color w:val="000000" w:themeColor="text1"/>
        </w:rPr>
        <w:t xml:space="preserve">-APN). The formation of prodrugs </w:t>
      </w:r>
      <w:r>
        <w:rPr>
          <w:color w:val="000000" w:themeColor="text1"/>
        </w:rPr>
        <w:t>is</w:t>
      </w:r>
      <w:r w:rsidRPr="00BE7F11">
        <w:rPr>
          <w:color w:val="000000" w:themeColor="text1"/>
        </w:rPr>
        <w:t xml:space="preserve"> a</w:t>
      </w:r>
      <w:r>
        <w:rPr>
          <w:color w:val="000000" w:themeColor="text1"/>
        </w:rPr>
        <w:t xml:space="preserve"> well-used strategy to modify undesirable drug</w:t>
      </w:r>
      <w:r w:rsidRPr="00BE7F11">
        <w:rPr>
          <w:color w:val="000000" w:themeColor="text1"/>
        </w:rPr>
        <w:t xml:space="preserve"> </w:t>
      </w:r>
      <w:r>
        <w:rPr>
          <w:color w:val="000000" w:themeColor="text1"/>
        </w:rPr>
        <w:t xml:space="preserve">characteristics, including altering the </w:t>
      </w:r>
      <w:r w:rsidRPr="00BE7F11">
        <w:rPr>
          <w:color w:val="000000" w:themeColor="text1"/>
        </w:rPr>
        <w:t>solubility of ac</w:t>
      </w:r>
      <w:r>
        <w:rPr>
          <w:color w:val="000000" w:themeColor="text1"/>
        </w:rPr>
        <w:t>tive pharmaceuticals and increasing</w:t>
      </w:r>
      <w:r w:rsidRPr="00BE7F11">
        <w:rPr>
          <w:color w:val="000000" w:themeColor="text1"/>
        </w:rPr>
        <w:t xml:space="preserve"> their delivery to a specific target.</w:t>
      </w:r>
      <w:r>
        <w:rPr>
          <w:color w:val="000000" w:themeColor="text1"/>
        </w:rPr>
        <w:fldChar w:fldCharType="begin" w:fldLock="1"/>
      </w:r>
      <w:r w:rsidR="0085447D">
        <w:rPr>
          <w:color w:val="000000" w:themeColor="text1"/>
        </w:rPr>
        <w:instrText>ADDIN CSL_CITATION {"citationItems":[{"id":"ITEM-1","itemData":{"DOI":"10.3390/molecules21010042","ISSN":"14203049","PMID":"26729077","abstract":"Prodrug design is a widely known molecular modification strategy that aims to optimize the physicochemical and pharmacological properties of drugs to improve their solubility and pharmacokinetic features and decrease their toxicity. A lack of solubility is one of the main obstacles to drug development. This review aims to describe recent advances in the improvement of solubility via the prodrug approach. The main chemical carriers and examples of successful strategies will be discussed, highlighting the advances of this field in the last ten years.","author":[{"dropping-particle":"","family":"Jornada","given":"Daniela Hartmann","non-dropping-particle":"","parse-names":false,"suffix":""},{"dropping-particle":"","family":"Santos Fernandes","given":"Guilherme Felipe","non-dropping-particle":"Dos","parse-names":false,"suffix":""},{"dropping-particle":"","family":"Chiba","given":"Diego Eidy","non-dropping-particle":"","parse-names":false,"suffix":""},{"dropping-particle":"","family":"Melo","given":"Thais Regina Ferreira","non-dropping-particle":"De","parse-names":false,"suffix":""},{"dropping-particle":"","family":"Santos","given":"Jean Leandro","non-dropping-particle":"Dos","parse-names":false,"suffix":""},{"dropping-particle":"","family":"Chung","given":"Man Chin","non-dropping-particle":"","parse-names":false,"suffix":""}],"container-title":"Molecules","id":"ITEM-1","issue":"1","issued":{"date-parts":[["2016"]]},"title":"The prodrug approach: A successful tool for improving drug solubility","type":"article-journal","volume":"21"},"uris":["http://www.mendeley.com/documents/?uuid=4ecc3b9d-ae75-4b66-a7db-971ec0553e77"]}],"mendeley":{"formattedCitation":"&lt;sup&gt;131&lt;/sup&gt;","plainTextFormattedCitation":"131","previouslyFormattedCitation":"&lt;sup&gt;131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131</w:t>
      </w:r>
      <w:r>
        <w:rPr>
          <w:color w:val="000000" w:themeColor="text1"/>
        </w:rPr>
        <w:fldChar w:fldCharType="end"/>
      </w:r>
      <w:r w:rsidRPr="00BE7F11">
        <w:rPr>
          <w:color w:val="000000" w:themeColor="text1"/>
        </w:rPr>
        <w:t xml:space="preserve"> In the case of </w:t>
      </w:r>
      <w:r w:rsidRPr="00BE7F11">
        <w:rPr>
          <w:color w:val="000000" w:themeColor="text1"/>
        </w:rPr>
        <w:sym w:font="Symbol" w:char="F062"/>
      </w:r>
      <w:r w:rsidRPr="00BE7F11">
        <w:rPr>
          <w:color w:val="000000" w:themeColor="text1"/>
        </w:rPr>
        <w:t>-APN, the rati</w:t>
      </w:r>
      <w:r>
        <w:rPr>
          <w:color w:val="000000" w:themeColor="text1"/>
        </w:rPr>
        <w:t>onale to produce a prodrug stemmed</w:t>
      </w:r>
      <w:r w:rsidRPr="00BE7F11">
        <w:rPr>
          <w:color w:val="000000" w:themeColor="text1"/>
        </w:rPr>
        <w:t xml:space="preserve"> from the need to increase the lipophilicity of the compound </w:t>
      </w:r>
      <w:r>
        <w:rPr>
          <w:color w:val="000000" w:themeColor="text1"/>
        </w:rPr>
        <w:t>to enhance</w:t>
      </w:r>
      <w:r w:rsidRPr="00BE7F11">
        <w:rPr>
          <w:color w:val="000000" w:themeColor="text1"/>
        </w:rPr>
        <w:t xml:space="preserve"> its </w:t>
      </w:r>
      <w:r>
        <w:rPr>
          <w:color w:val="000000" w:themeColor="text1"/>
        </w:rPr>
        <w:t>suitability as a topical therapeutic</w:t>
      </w:r>
      <w:r w:rsidRPr="00E809B2">
        <w:rPr>
          <w:color w:val="000000" w:themeColor="text1"/>
        </w:rPr>
        <w:t>. Prodrugs can be synthesised in several forms, from simple linkages,</w:t>
      </w:r>
      <w:r>
        <w:rPr>
          <w:color w:val="000000" w:themeColor="text1"/>
        </w:rPr>
        <w:fldChar w:fldCharType="begin" w:fldLock="1"/>
      </w:r>
      <w:r w:rsidR="0085447D">
        <w:rPr>
          <w:color w:val="000000" w:themeColor="text1"/>
        </w:rPr>
        <w:instrText>ADDIN CSL_CITATION {"citationItems":[{"id":"ITEM-1","itemData":{"DOI":"10.1124/pr.110.003459.enzymatic","ISBN":"1879-1220 (Electronic)\\r0960-0760 (Linking)","ISSN":"1521-0081","PMID":"21737530","abstract":"The prodrug concept has been used to improve undesirable properties of drugs since the late 19th century, although it was only at the end of the 1950s that the actual term prodrug was introduced for the first time. Prodrugs are inactive, bioreversible derivatives of active drug molecules that must undergo an enzymatic and/or chemical transformation in vivo to release the active parent drug, which can then elicit its desired pharmacological effect in the body. In most cases, prodrugs are simple chemical derivatives that are only one or two chemical or enzymatic steps away from the active parent drug. However, some prodrugs lack an obvious carrier or promoiety but instead result from a molecular modification of the prodrug itself, which generates a new active compound. Numerous prodrugs designed to overcome formulation, delivery, and toxicity barriers to drug utilization have reached the market. In fact, approximately 20% of all small molecular drugs approved during the period 2000 to 2008 were prodrugs. Although the development of a prodrug can be very challenging, the prodrug approach represents a feasible way to improve the erratic properties of investigational drugs or drugs already on the market. This review introduces in depth the rationale behind the use of the prodrug approach from past to present, and also considers the possible problems that can arise from inadequate activation of prodrugs.","author":[{"dropping-particle":"","family":"Huttunen","given":"Kristiina M","non-dropping-particle":"","parse-names":false,"suffix":""},{"dropping-particle":"","family":"Raunio","given":"Hannu","non-dropping-particle":"","parse-names":false,"suffix":""},{"dropping-particle":"","family":"Rautio","given":"Jarkko","non-dropping-particle":"","parse-names":false,"suffix":""}],"container-title":"Pharmacological Reviews","id":"ITEM-1","issue":"3","issued":{"date-parts":[["2011"]]},"page":"750-71","title":"Prodrugs - from serendipity to rational design.","type":"article-journal","volume":"63"},"uris":["http://www.mendeley.com/documents/?uuid=8709713c-6bdd-42be-a468-066df3ebf629"]}],"mendeley":{"formattedCitation":"&lt;sup&gt;136&lt;/sup&gt;","plainTextFormattedCitation":"136","previouslyFormattedCitation":"&lt;sup&gt;136&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136</w:t>
      </w:r>
      <w:r>
        <w:rPr>
          <w:color w:val="000000" w:themeColor="text1"/>
        </w:rPr>
        <w:fldChar w:fldCharType="end"/>
      </w:r>
      <w:r w:rsidRPr="00E809B2">
        <w:rPr>
          <w:color w:val="000000" w:themeColor="text1"/>
        </w:rPr>
        <w:t xml:space="preserve"> to polymer carriers</w:t>
      </w:r>
      <w:r>
        <w:rPr>
          <w:color w:val="000000" w:themeColor="text1"/>
        </w:rPr>
        <w:fldChar w:fldCharType="begin" w:fldLock="1"/>
      </w:r>
      <w:r w:rsidR="0085447D">
        <w:rPr>
          <w:color w:val="000000" w:themeColor="text1"/>
        </w:rPr>
        <w:instrText>ADDIN CSL_CITATION {"citationItems":[{"id":"ITEM-1","itemData":{"DOI":"10.1039/c7py01918a","ISBN":"1759-9954, 1759-9962","ISSN":"17599962","abstract":"&lt;p&gt;Facile derivatization of paclitaxel (Ptx) and subsequent “drug-initiated” synthesis of well-defined Ptx-polymer prodrugs was performed from nitroxide-mediated polymerization or reversible addition–fragmentation chain transfer polymerization.&lt;/p&gt;","author":[{"dropping-particle":"","family":"Bao","given":"Yinyin","non-dropping-particle":"","parse-names":false,"suffix":""},{"dropping-particle":"","family":"Guégain","given":"Elise","non-dropping-particle":"","parse-names":false,"suffix":""},{"dropping-particle":"","family":"Mougin","given":"Julie","non-dropping-particle":"","parse-names":false,"suffix":""},{"dropping-particle":"","family":"Nicolas","given":"Julien","non-dropping-particle":"","parse-names":false,"suffix":""}],"container-title":"Polymer Chemistry","id":"ITEM-1","issue":"6","issued":{"date-parts":[["2018"]]},"page":"687-698","title":"Self-stabilized, hydrophobic or PEGylated paclitaxel polymer prodrug nanoparticles for cancer therapy","type":"article-journal","volume":"9"},"uris":["http://www.mendeley.com/documents/?uuid=83a0def3-5596-4051-9f79-17750baf8f83"]}],"mendeley":{"formattedCitation":"&lt;sup&gt;146&lt;/sup&gt;","plainTextFormattedCitation":"146","previouslyFormattedCitation":"&lt;sup&gt;146&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146</w:t>
      </w:r>
      <w:r>
        <w:rPr>
          <w:color w:val="000000" w:themeColor="text1"/>
        </w:rPr>
        <w:fldChar w:fldCharType="end"/>
      </w:r>
      <w:r w:rsidRPr="00E809B2">
        <w:rPr>
          <w:color w:val="000000" w:themeColor="text1"/>
        </w:rPr>
        <w:t xml:space="preserve"> and bioprecursors.</w:t>
      </w:r>
      <w:r>
        <w:rPr>
          <w:color w:val="000000" w:themeColor="text1"/>
        </w:rPr>
        <w:fldChar w:fldCharType="begin" w:fldLock="1"/>
      </w:r>
      <w:r w:rsidR="0085447D">
        <w:rPr>
          <w:color w:val="000000" w:themeColor="text1"/>
        </w:rPr>
        <w:instrText>ADDIN CSL_CITATION {"citationItems":[{"id":"ITEM-1","itemData":{"DOI":"10.1016/j.ejmech.2016.10.061","ISBN":"1768-3254 (Electronic)\r0223-5234 (Linking)","ISSN":"17683254","PMID":"27823878","abstract":"In this review we highlight the most modern trends in the prodrug strategy. In drug research and development, the prodrug concept has found a number of useful applications. Selected examples of this approach are provided in this paper and they are classified according to the aim of their design.","author":[{"dropping-particle":"","family":"Abet","given":"Valentina","non-dropping-particle":"","parse-names":false,"suffix":""},{"dropping-particle":"","family":"Filace","given":"Fabiana","non-dropping-particle":"","parse-names":false,"suffix":""},{"dropping-particle":"","family":"Recio","given":"Javier","non-dropping-particle":"","parse-names":false,"suffix":""},{"dropping-particle":"","family":"Alvarez-Builla","given":"Julio","non-dropping-particle":"","parse-names":false,"suffix":""},{"dropping-particle":"","family":"Burgos","given":"Carolina","non-dropping-particle":"","parse-names":false,"suffix":""}],"container-title":"European Journal of Medicinal Chemistry","id":"ITEM-1","issued":{"date-parts":[["2017"]]},"page":"810-827","publisher":"Elsevier Masson SAS","title":"Prodrug approach: An overview of recent cases","type":"article-journal","volume":"127"},"uris":["http://www.mendeley.com/documents/?uuid=3c267e60-056a-4829-9542-8e0d3695d679"]}],"mendeley":{"formattedCitation":"&lt;sup&gt;147&lt;/sup&gt;","plainTextFormattedCitation":"147","previouslyFormattedCitation":"&lt;sup&gt;147&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147</w:t>
      </w:r>
      <w:r>
        <w:rPr>
          <w:color w:val="000000" w:themeColor="text1"/>
        </w:rPr>
        <w:fldChar w:fldCharType="end"/>
      </w:r>
      <w:r w:rsidRPr="00E809B2">
        <w:rPr>
          <w:color w:val="000000" w:themeColor="text1"/>
        </w:rPr>
        <w:t xml:space="preserve"> </w:t>
      </w:r>
      <w:r>
        <w:rPr>
          <w:color w:val="000000" w:themeColor="text1"/>
        </w:rPr>
        <w:t xml:space="preserve">In all cases, the prodrug must </w:t>
      </w:r>
      <w:r w:rsidRPr="000E2CBA">
        <w:rPr>
          <w:color w:val="000000" w:themeColor="text1"/>
        </w:rPr>
        <w:t xml:space="preserve">subsequently undergo enzymatic or chemical cleavage </w:t>
      </w:r>
      <w:r w:rsidRPr="000E2CBA">
        <w:rPr>
          <w:i/>
          <w:color w:val="000000" w:themeColor="text1"/>
        </w:rPr>
        <w:t>in vivo</w:t>
      </w:r>
      <w:r w:rsidRPr="00E809B2">
        <w:rPr>
          <w:color w:val="000000" w:themeColor="text1"/>
        </w:rPr>
        <w:t xml:space="preserve"> to release the active component</w:t>
      </w:r>
      <w:r>
        <w:rPr>
          <w:color w:val="000000" w:themeColor="text1"/>
        </w:rPr>
        <w:t>.</w:t>
      </w:r>
      <w:r>
        <w:rPr>
          <w:color w:val="000000" w:themeColor="text1"/>
        </w:rPr>
        <w:fldChar w:fldCharType="begin" w:fldLock="1"/>
      </w:r>
      <w:r w:rsidR="0085447D">
        <w:rPr>
          <w:color w:val="000000" w:themeColor="text1"/>
        </w:rPr>
        <w:instrText>ADDIN CSL_CITATION {"citationItems":[{"id":"ITEM-1","itemData":{"DOI":"10.1124/pr.110.003459.enzymatic","ISBN":"1879-1220 (Electronic)\\r0960-0760 (Linking)","ISSN":"1521-0081","PMID":"21737530","abstract":"The prodrug concept has been used to improve undesirable properties of drugs since the late 19th century, although it was only at the end of the 1950s that the actual term prodrug was introduced for the first time. Prodrugs are inactive, bioreversible derivatives of active drug molecules that must undergo an enzymatic and/or chemical transformation in vivo to release the active parent drug, which can then elicit its desired pharmacological effect in the body. In most cases, prodrugs are simple chemical derivatives that are only one or two chemical or enzymatic steps away from the active parent drug. However, some prodrugs lack an obvious carrier or promoiety but instead result from a molecular modification of the prodrug itself, which generates a new active compound. Numerous prodrugs designed to overcome formulation, delivery, and toxicity barriers to drug utilization have reached the market. In fact, approximately 20% of all small molecular drugs approved during the period 2000 to 2008 were prodrugs. Although the development of a prodrug can be very challenging, the prodrug approach represents a feasible way to improve the erratic properties of investigational drugs or drugs already on the market. This review introduces in depth the rationale behind the use of the prodrug approach from past to present, and also considers the possible problems that can arise from inadequate activation of prodrugs.","author":[{"dropping-particle":"","family":"Huttunen","given":"Kristiina M","non-dropping-particle":"","parse-names":false,"suffix":""},{"dropping-particle":"","family":"Raunio","given":"Hannu","non-dropping-particle":"","parse-names":false,"suffix":""},{"dropping-particle":"","family":"Rautio","given":"Jarkko","non-dropping-particle":"","parse-names":false,"suffix":""}],"container-title":"Pharmacological Reviews","id":"ITEM-1","issue":"3","issued":{"date-parts":[["2011"]]},"page":"750-71","title":"Prodrugs - from serendipity to rational design.","type":"article-journal","volume":"63"},"uris":["http://www.mendeley.com/documents/?uuid=8709713c-6bdd-42be-a468-066df3ebf629"]}],"mendeley":{"formattedCitation":"&lt;sup&gt;136&lt;/sup&gt;","plainTextFormattedCitation":"136","previouslyFormattedCitation":"&lt;sup&gt;136&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136</w:t>
      </w:r>
      <w:r>
        <w:rPr>
          <w:color w:val="000000" w:themeColor="text1"/>
        </w:rPr>
        <w:fldChar w:fldCharType="end"/>
      </w:r>
      <w:r>
        <w:rPr>
          <w:color w:val="000000" w:themeColor="text1"/>
        </w:rPr>
        <w:t xml:space="preserve"> For </w:t>
      </w:r>
      <w:r w:rsidRPr="00BE7F11">
        <w:rPr>
          <w:color w:val="000000" w:themeColor="text1"/>
        </w:rPr>
        <w:sym w:font="Symbol" w:char="F062"/>
      </w:r>
      <w:r w:rsidRPr="00BE7F11">
        <w:rPr>
          <w:color w:val="000000" w:themeColor="text1"/>
        </w:rPr>
        <w:t>-APN</w:t>
      </w:r>
      <w:r>
        <w:rPr>
          <w:color w:val="000000" w:themeColor="text1"/>
        </w:rPr>
        <w:t xml:space="preserve">, a carrier-linked approach was considered to be more synthetically realistic within the timeframe of the project. </w:t>
      </w:r>
      <w:r>
        <w:t xml:space="preserve">Considering the structure of </w:t>
      </w:r>
      <w:r>
        <w:sym w:font="Symbol" w:char="F062"/>
      </w:r>
      <w:r>
        <w:noBreakHyphen/>
        <w:t>APN (</w:t>
      </w:r>
      <w:r>
        <w:fldChar w:fldCharType="begin"/>
      </w:r>
      <w:r>
        <w:instrText xml:space="preserve"> REF _Ref517944518 \h </w:instrText>
      </w:r>
      <w:r>
        <w:fldChar w:fldCharType="separate"/>
      </w:r>
      <w:r w:rsidR="00E6157A">
        <w:t xml:space="preserve">Figure </w:t>
      </w:r>
      <w:r w:rsidR="00E6157A">
        <w:rPr>
          <w:noProof/>
        </w:rPr>
        <w:t>2</w:t>
      </w:r>
      <w:r w:rsidR="00E6157A">
        <w:t>.</w:t>
      </w:r>
      <w:r w:rsidR="00E6157A">
        <w:rPr>
          <w:noProof/>
        </w:rPr>
        <w:t>1</w:t>
      </w:r>
      <w:r>
        <w:fldChar w:fldCharType="end"/>
      </w:r>
      <w:r>
        <w:t xml:space="preserve">), both the nitrile and primary amine groups could potentially be used as starting points to form prodrug linkages. </w:t>
      </w:r>
    </w:p>
    <w:p w14:paraId="1FEB9092" w14:textId="77777777" w:rsidR="00AF52F5" w:rsidRDefault="00AF52F5" w:rsidP="00AF52F5">
      <w:pPr>
        <w:keepNext/>
        <w:jc w:val="center"/>
      </w:pPr>
      <w:r w:rsidRPr="000E2CBA">
        <w:rPr>
          <w:noProof/>
          <w:color w:val="FF0000"/>
          <w:lang w:eastAsia="en-GB"/>
        </w:rPr>
        <w:drawing>
          <wp:inline distT="0" distB="0" distL="0" distR="0" wp14:anchorId="2CDC7155" wp14:editId="1FF494BC">
            <wp:extent cx="927100" cy="342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27100" cy="342900"/>
                    </a:xfrm>
                    <a:prstGeom prst="rect">
                      <a:avLst/>
                    </a:prstGeom>
                  </pic:spPr>
                </pic:pic>
              </a:graphicData>
            </a:graphic>
          </wp:inline>
        </w:drawing>
      </w:r>
    </w:p>
    <w:p w14:paraId="2B16003D" w14:textId="1C9F2AC1" w:rsidR="00AF52F5" w:rsidRPr="00BE7F11" w:rsidRDefault="00AF52F5" w:rsidP="00AF52F5">
      <w:pPr>
        <w:pStyle w:val="Caption"/>
        <w:jc w:val="center"/>
        <w:rPr>
          <w:color w:val="FF0000"/>
        </w:rPr>
      </w:pPr>
      <w:bookmarkStart w:id="53" w:name="_Ref517944518"/>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1</w:t>
      </w:r>
      <w:r w:rsidR="009352BF">
        <w:rPr>
          <w:noProof/>
        </w:rPr>
        <w:fldChar w:fldCharType="end"/>
      </w:r>
      <w:bookmarkEnd w:id="53"/>
      <w:r>
        <w:t xml:space="preserve">. </w:t>
      </w:r>
      <w:r w:rsidRPr="00892D3C">
        <w:rPr>
          <w:b w:val="0"/>
        </w:rPr>
        <w:t xml:space="preserve">Structure of </w:t>
      </w:r>
      <w:r w:rsidRPr="00892D3C">
        <w:rPr>
          <w:b w:val="0"/>
        </w:rPr>
        <w:sym w:font="Symbol" w:char="F062"/>
      </w:r>
      <w:r w:rsidRPr="00892D3C">
        <w:rPr>
          <w:b w:val="0"/>
        </w:rPr>
        <w:t>-aminopropionitrile (</w:t>
      </w:r>
      <w:r w:rsidRPr="00892D3C">
        <w:rPr>
          <w:b w:val="0"/>
        </w:rPr>
        <w:sym w:font="Symbol" w:char="F062"/>
      </w:r>
      <w:r w:rsidRPr="00892D3C">
        <w:rPr>
          <w:b w:val="0"/>
        </w:rPr>
        <w:t>-APN)</w:t>
      </w:r>
      <w:r>
        <w:rPr>
          <w:b w:val="0"/>
        </w:rPr>
        <w:t>.</w:t>
      </w:r>
    </w:p>
    <w:p w14:paraId="0613FDC7" w14:textId="77777777" w:rsidR="00AF52F5" w:rsidRDefault="00AF52F5" w:rsidP="00AF52F5">
      <w:pPr>
        <w:rPr>
          <w:color w:val="000000" w:themeColor="text1"/>
        </w:rPr>
      </w:pPr>
    </w:p>
    <w:p w14:paraId="47FB780F" w14:textId="5931AF7C" w:rsidR="00AF52F5" w:rsidRDefault="00AF52F5" w:rsidP="00AF52F5">
      <w:pPr>
        <w:rPr>
          <w:color w:val="000000" w:themeColor="text1"/>
        </w:rPr>
      </w:pPr>
      <w:r w:rsidRPr="001335E7">
        <w:rPr>
          <w:color w:val="000000" w:themeColor="text1"/>
        </w:rPr>
        <w:t>Nitriles can react to form a variety of chemical functionalities, including amines, amides and ketones.</w:t>
      </w:r>
      <w:r w:rsidRPr="001335E7">
        <w:rPr>
          <w:color w:val="000000" w:themeColor="text1"/>
        </w:rPr>
        <w:fldChar w:fldCharType="begin" w:fldLock="1"/>
      </w:r>
      <w:r w:rsidR="0085447D">
        <w:rPr>
          <w:color w:val="000000" w:themeColor="text1"/>
        </w:rPr>
        <w:instrText>ADDIN CSL_CITATION {"citationItems":[{"id":"ITEM-1","itemData":{"DOI":"10.1021/ml400489b","ISSN":"19485875","PMID":"24900869","abstract":"Here, we report on a mechanistic investigation based on DFT calculations and kinetic measures aimed at determining the energetics related to the cysteine nucleophilic attack on nitrile-carrying compounds. Activation energies were found to correlate well with experimental kinetic measures of reactivity with cysteine in phosphate buffer. The agreement between computations and experiments points to this DFT-based approach as a tool for predicting both nitrile reactivity toward cysteines and the toxicity of nitriles as electrophile agents.","author":[{"dropping-particle":"","family":"Berteotti","given":"Anna","non-dropping-particle":"","parse-names":false,"suffix":""},{"dropping-particle":"","family":"Vacondio","given":"Federica","non-dropping-particle":"","parse-names":false,"suffix":""},{"dropping-particle":"","family":"Lodola","given":"Alessio","non-dropping-particle":"","parse-names":false,"suffix":""},{"dropping-particle":"","family":"Bassi","given":"Michele","non-dropping-particle":"","parse-names":false,"suffix":""},{"dropping-particle":"","family":"Silva","given":"Claudia","non-dropping-particle":"","parse-names":false,"suffix":""},{"dropping-particle":"","family":"Mor","given":"Marco","non-dropping-particle":"","parse-names":false,"suffix":""},{"dropping-particle":"","family":"Cavalli","given":"Andrea","non-dropping-particle":"","parse-names":false,"suffix":""}],"container-title":"ACS Medicinal Chemistry Letters","id":"ITEM-1","issue":"5","issued":{"date-parts":[["2014"]]},"page":"501-505","title":"Predicting the reactivity of nitrile-carrying compounds with cysteine: A combined computational and experimental study","type":"article-journal","volume":"5"},"uris":["http://www.mendeley.com/documents/?uuid=6e132a79-f19e-43f9-a108-8559563f9282"]}],"mendeley":{"formattedCitation":"&lt;sup&gt;148&lt;/sup&gt;","plainTextFormattedCitation":"148","previouslyFormattedCitation":"&lt;sup&gt;148&lt;/sup&gt;"},"properties":{"noteIndex":0},"schema":"https://github.com/citation-style-language/schema/raw/master/csl-citation.json"}</w:instrText>
      </w:r>
      <w:r w:rsidRPr="001335E7">
        <w:rPr>
          <w:color w:val="000000" w:themeColor="text1"/>
        </w:rPr>
        <w:fldChar w:fldCharType="separate"/>
      </w:r>
      <w:r w:rsidR="00B02713" w:rsidRPr="00B02713">
        <w:rPr>
          <w:noProof/>
          <w:color w:val="000000" w:themeColor="text1"/>
          <w:vertAlign w:val="superscript"/>
        </w:rPr>
        <w:t>148</w:t>
      </w:r>
      <w:r w:rsidRPr="001335E7">
        <w:rPr>
          <w:color w:val="000000" w:themeColor="text1"/>
        </w:rPr>
        <w:fldChar w:fldCharType="end"/>
      </w:r>
      <w:r w:rsidRPr="001335E7">
        <w:rPr>
          <w:color w:val="000000" w:themeColor="text1"/>
        </w:rPr>
        <w:t xml:space="preserve"> However, there </w:t>
      </w:r>
      <w:r w:rsidRPr="001A2E98">
        <w:rPr>
          <w:color w:val="000000" w:themeColor="text1"/>
        </w:rPr>
        <w:t xml:space="preserve">is </w:t>
      </w:r>
      <w:r>
        <w:rPr>
          <w:color w:val="000000" w:themeColor="text1"/>
        </w:rPr>
        <w:t>only one</w:t>
      </w:r>
      <w:r w:rsidRPr="001A2E98">
        <w:rPr>
          <w:color w:val="000000" w:themeColor="text1"/>
        </w:rPr>
        <w:t xml:space="preserve"> example in the literature of a prodrug that affords a nitrile group</w:t>
      </w:r>
      <w:r>
        <w:rPr>
          <w:color w:val="000000" w:themeColor="text1"/>
        </w:rPr>
        <w:t xml:space="preserve"> (occurring </w:t>
      </w:r>
      <w:r w:rsidRPr="00AC3344">
        <w:rPr>
          <w:i/>
          <w:color w:val="000000" w:themeColor="text1"/>
        </w:rPr>
        <w:t>via</w:t>
      </w:r>
      <w:r w:rsidRPr="001A2E98">
        <w:rPr>
          <w:color w:val="000000" w:themeColor="text1"/>
        </w:rPr>
        <w:t xml:space="preserve"> enzymatic activation </w:t>
      </w:r>
      <w:r w:rsidRPr="001A2E98">
        <w:rPr>
          <w:i/>
          <w:color w:val="000000" w:themeColor="text1"/>
        </w:rPr>
        <w:t>in vivo</w:t>
      </w:r>
      <w:r w:rsidRPr="001335E7">
        <w:rPr>
          <w:color w:val="000000" w:themeColor="text1"/>
        </w:rPr>
        <w:t>).</w:t>
      </w:r>
      <w:r w:rsidRPr="001A2E98">
        <w:rPr>
          <w:color w:val="000000" w:themeColor="text1"/>
        </w:rPr>
        <w:t xml:space="preserve"> The antiparasitic prodrug Nifurtimox has a nitrofuran architecture and is enzymatically cleaved to yield a hydroxylamine, which is subsequently metabolised to form either a primary amine or an open-chain nitrile.</w:t>
      </w:r>
      <w:r w:rsidRPr="001A2E98">
        <w:rPr>
          <w:color w:val="000000" w:themeColor="text1"/>
        </w:rPr>
        <w:fldChar w:fldCharType="begin" w:fldLock="1"/>
      </w:r>
      <w:r w:rsidR="0085447D">
        <w:rPr>
          <w:color w:val="000000" w:themeColor="text1"/>
        </w:rPr>
        <w:instrText>ADDIN CSL_CITATION {"citationItems":[{"id":"ITEM-1","itemData":{"DOI":"10.1074/jbc.M111.230847","ISBN":"1083-351X (Electronic)\\r0021-9258 (Linking)","ISSN":"00219258","PMID":"21345801","abstract":"The prodrug nifurtimox has been used for more than 40 years to treat Chagas disease and forms part of a recently approved combinational therapy that targets West African trypanosomiasis. Despite this, its mode of action is poorly understood. Detection of reactive oxygen and nitrogen intermediates in nifurtimox-treated extracts led to the proposal that this drug induces oxidative stress in the target cell. Here, we outline an alternative mechanism involving reductive activation by a eukaryotic type I nitroreductase. Several enzymes proposed to metabolize nifurtimox, including prostaglandin F2α synthase and cytochrome P450 reductase, were overexpressed in bloodstream-form Trypanosoma brucei. Only cells with elevated levels of the nitroreductase displayed altered susceptibility to this nitrofuran, implying a key role in drug action. Reduction of nifurtimox by this enzyme was shown to be insensitive to oxygen and yields a product characterized by LC/MS as an unsaturated open-chain nitrile. This metabolite was shown to inhibit both parasite and mammalian cell growth at equivalent concentrations, in marked contrast to the parental prodrug. These experiments indicate that the basis for the selectivity of nifurtimox against T. brucei lies in the expression of a parasite-encoded type I nitroreductase.","author":[{"dropping-particle":"","family":"Hall","given":"Belinda S.","non-dropping-particle":"","parse-names":false,"suffix":""},{"dropping-particle":"","family":"Bot","given":"Christopher","non-dropping-particle":"","parse-names":false,"suffix":""},{"dropping-particle":"","family":"Wilkinson","given":"Shane R.","non-dropping-particle":"","parse-names":false,"suffix":""}],"container-title":"Journal of Biological Chemistry","id":"ITEM-1","issue":"15","issued":{"date-parts":[["2011"]]},"page":"13088-13095","title":"Nifurtimox activation by trypanosomal type I nitroreductases generates cytotoxic nitrile metabolites","type":"article-journal","volume":"286"},"uris":["http://www.mendeley.com/documents/?uuid=77f6d446-7f6f-4ee0-9752-5f8074c687b4"]}],"mendeley":{"formattedCitation":"&lt;sup&gt;149&lt;/sup&gt;","plainTextFormattedCitation":"149","previouslyFormattedCitation":"&lt;sup&gt;149&lt;/sup&gt;"},"properties":{"noteIndex":0},"schema":"https://github.com/citation-style-language/schema/raw/master/csl-citation.json"}</w:instrText>
      </w:r>
      <w:r w:rsidRPr="001A2E98">
        <w:rPr>
          <w:color w:val="000000" w:themeColor="text1"/>
        </w:rPr>
        <w:fldChar w:fldCharType="separate"/>
      </w:r>
      <w:r w:rsidR="00B02713" w:rsidRPr="00B02713">
        <w:rPr>
          <w:noProof/>
          <w:color w:val="000000" w:themeColor="text1"/>
          <w:vertAlign w:val="superscript"/>
        </w:rPr>
        <w:t>149</w:t>
      </w:r>
      <w:r w:rsidRPr="001A2E98">
        <w:rPr>
          <w:color w:val="000000" w:themeColor="text1"/>
        </w:rPr>
        <w:fldChar w:fldCharType="end"/>
      </w:r>
      <w:r w:rsidRPr="001A2E98">
        <w:rPr>
          <w:color w:val="000000" w:themeColor="text1"/>
        </w:rPr>
        <w:t xml:space="preserve"> </w:t>
      </w:r>
      <w:r w:rsidRPr="00425AD9">
        <w:rPr>
          <w:color w:val="000000" w:themeColor="text1"/>
        </w:rPr>
        <w:t>The lack of nitrile prodrugs that use a carri</w:t>
      </w:r>
      <w:r>
        <w:rPr>
          <w:color w:val="000000" w:themeColor="text1"/>
        </w:rPr>
        <w:t>er-linked architecture suggests</w:t>
      </w:r>
      <w:r w:rsidRPr="00425AD9">
        <w:rPr>
          <w:color w:val="000000" w:themeColor="text1"/>
        </w:rPr>
        <w:t xml:space="preserve"> difficulties in using this functional group as a basis for a viable prodrug ca</w:t>
      </w:r>
      <w:r>
        <w:rPr>
          <w:color w:val="000000" w:themeColor="text1"/>
        </w:rPr>
        <w:t>n</w:t>
      </w:r>
      <w:r w:rsidRPr="00425AD9">
        <w:rPr>
          <w:color w:val="000000" w:themeColor="text1"/>
        </w:rPr>
        <w:t xml:space="preserve">didate. </w:t>
      </w:r>
    </w:p>
    <w:p w14:paraId="1539BD34" w14:textId="285E1AE9" w:rsidR="00AF52F5" w:rsidRDefault="00AF52F5" w:rsidP="00AF52F5">
      <w:pPr>
        <w:rPr>
          <w:color w:val="FF0000"/>
        </w:rPr>
      </w:pPr>
      <w:r>
        <w:rPr>
          <w:color w:val="000000" w:themeColor="text1"/>
        </w:rPr>
        <w:t xml:space="preserve">On the other hand, there </w:t>
      </w:r>
      <w:r>
        <w:t xml:space="preserve">are multiple examples in the literature of prodrugs formed by masking amino groups, using linkers such as hydrazones, imines, </w:t>
      </w:r>
      <w:r>
        <w:sym w:font="Symbol" w:char="F062"/>
      </w:r>
      <w:r>
        <w:noBreakHyphen/>
        <w:t xml:space="preserve">aminoketones and </w:t>
      </w:r>
      <w:r w:rsidRPr="00B241BF">
        <w:rPr>
          <w:i/>
        </w:rPr>
        <w:t>N</w:t>
      </w:r>
      <w:r>
        <w:t>-Mannich bases</w:t>
      </w:r>
      <w:r>
        <w:rPr>
          <w:color w:val="000000" w:themeColor="text1"/>
        </w:rPr>
        <w:t>.</w:t>
      </w:r>
      <w:r>
        <w:rPr>
          <w:color w:val="000000" w:themeColor="text1"/>
        </w:rPr>
        <w:fldChar w:fldCharType="begin" w:fldLock="1"/>
      </w:r>
      <w:r w:rsidR="0085447D">
        <w:rPr>
          <w:color w:val="000000" w:themeColor="text1"/>
        </w:rPr>
        <w:instrText>ADDIN CSL_CITATION {"citationItems":[{"id":"ITEM-1","itemData":{"DOI":"10.3390/molecules13030519","ISBN":"1420-3049","ISSN":"14203049","PMID":"18463563","abstract":"The purpose of this work is to review the published strategies for the productionof prodrugs of amines. The review is divided in two main groups of approaches: those thatrely on enzymatic activation and those that take advantage of physiological chemicalconditions for release of the drugs. A compilation of the most important approaches ispresented in the form of a table, where the main advantages and disadvantages of eachstrategy are also referred.","author":[{"dropping-particle":"","family":"Simplício","given":"Ana L.","non-dropping-particle":"","parse-names":false,"suffix":""},{"dropping-particle":"","family":"Clancy","given":"John M.","non-dropping-particle":"","parse-names":false,"suffix":""},{"dropping-particle":"","family":"Gilmer","given":"John F.","non-dropping-particle":"","parse-names":false,"suffix":""}],"container-title":"Molecules","id":"ITEM-1","issue":"3","issued":{"date-parts":[["2008"]]},"page":"519-547","title":"Prodrugs for amines","type":"article-journal","volume":"13"},"uris":["http://www.mendeley.com/documents/?uuid=4b28fac0-6d2d-43bc-b3ec-39cea44690d1"]}],"mendeley":{"formattedCitation":"&lt;sup&gt;150&lt;/sup&gt;","plainTextFormattedCitation":"150","previouslyFormattedCitation":"&lt;sup&gt;150&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150</w:t>
      </w:r>
      <w:r>
        <w:rPr>
          <w:color w:val="000000" w:themeColor="text1"/>
        </w:rPr>
        <w:fldChar w:fldCharType="end"/>
      </w:r>
      <w:r w:rsidRPr="00F56CF3">
        <w:rPr>
          <w:color w:val="000000" w:themeColor="text1"/>
        </w:rPr>
        <w:t xml:space="preserve"> In addition, </w:t>
      </w:r>
      <w:r>
        <w:rPr>
          <w:color w:val="000000" w:themeColor="text1"/>
        </w:rPr>
        <w:t>the pK</w:t>
      </w:r>
      <w:r w:rsidRPr="00793B8C">
        <w:rPr>
          <w:color w:val="000000" w:themeColor="text1"/>
          <w:vertAlign w:val="subscript"/>
        </w:rPr>
        <w:t>a</w:t>
      </w:r>
      <w:r>
        <w:rPr>
          <w:color w:val="000000" w:themeColor="text1"/>
        </w:rPr>
        <w:t xml:space="preserve"> of the conjugate acid of a </w:t>
      </w:r>
      <w:r w:rsidRPr="00E17DD0">
        <w:rPr>
          <w:color w:val="000000" w:themeColor="text1"/>
        </w:rPr>
        <w:t xml:space="preserve">primary amine is </w:t>
      </w:r>
      <w:r w:rsidRPr="00E17DD0">
        <w:rPr>
          <w:color w:val="000000" w:themeColor="text1"/>
        </w:rPr>
        <w:lastRenderedPageBreak/>
        <w:t>approximately 10.7,</w:t>
      </w:r>
      <w:r w:rsidRPr="00E17DD0">
        <w:rPr>
          <w:color w:val="000000" w:themeColor="text1"/>
        </w:rPr>
        <w:fldChar w:fldCharType="begin" w:fldLock="1"/>
      </w:r>
      <w:r w:rsidR="0085447D">
        <w:rPr>
          <w:color w:val="000000" w:themeColor="text1"/>
        </w:rPr>
        <w:instrText>ADDIN CSL_CITATION {"citationItems":[{"id":"ITEM-1","itemData":{"author":[{"dropping-particle":"","family":"Clayden","given":"Jonathon","non-dropping-particle":"","parse-names":false,"suffix":""},{"dropping-particle":"","family":"Greeves","given":"Nick","non-dropping-particle":"","parse-names":false,"suffix":""},{"dropping-particle":"","family":"Warren","given":"Stuart","non-dropping-particle":"","parse-names":false,"suffix":""},{"dropping-particle":"","family":"Wothers","given":"Peter","non-dropping-particle":"","parse-names":false,"suffix":""}],"edition":"Second Edi","id":"ITEM-1","issued":{"date-parts":[["2012"]]},"number-of-pages":"199","publisher":"Oxford University Press","publisher-place":"New York","title":"Organic Chemistry","type":"book"},"uris":["http://www.mendeley.com/documents/?uuid=57d137e4-fc40-4ba0-a5ab-81cf0b8b5c22"]}],"mendeley":{"formattedCitation":"&lt;sup&gt;151&lt;/sup&gt;","plainTextFormattedCitation":"151","previouslyFormattedCitation":"&lt;sup&gt;151&lt;/sup&gt;"},"properties":{"noteIndex":0},"schema":"https://github.com/citation-style-language/schema/raw/master/csl-citation.json"}</w:instrText>
      </w:r>
      <w:r w:rsidRPr="00E17DD0">
        <w:rPr>
          <w:color w:val="000000" w:themeColor="text1"/>
        </w:rPr>
        <w:fldChar w:fldCharType="separate"/>
      </w:r>
      <w:r w:rsidR="00B02713" w:rsidRPr="00B02713">
        <w:rPr>
          <w:noProof/>
          <w:color w:val="000000" w:themeColor="text1"/>
          <w:vertAlign w:val="superscript"/>
        </w:rPr>
        <w:t>151</w:t>
      </w:r>
      <w:r w:rsidRPr="00E17DD0">
        <w:rPr>
          <w:color w:val="000000" w:themeColor="text1"/>
        </w:rPr>
        <w:fldChar w:fldCharType="end"/>
      </w:r>
      <w:r w:rsidRPr="00E17DD0">
        <w:rPr>
          <w:color w:val="000000" w:themeColor="text1"/>
        </w:rPr>
        <w:t xml:space="preserve"> leading to its </w:t>
      </w:r>
      <w:r w:rsidRPr="00F56CF3">
        <w:rPr>
          <w:color w:val="000000" w:themeColor="text1"/>
        </w:rPr>
        <w:t>protonation at physiological conditions and consequently poor membrane penetration.</w:t>
      </w:r>
      <w:r>
        <w:rPr>
          <w:color w:val="000000" w:themeColor="text1"/>
        </w:rPr>
        <w:fldChar w:fldCharType="begin" w:fldLock="1"/>
      </w:r>
      <w:r w:rsidR="0085447D">
        <w:rPr>
          <w:color w:val="000000" w:themeColor="text1"/>
        </w:rPr>
        <w:instrText>ADDIN CSL_CITATION {"citationItems":[{"id":"ITEM-1","itemData":{"DOI":"10.3390/molecules13030519","ISBN":"1420-3049","ISSN":"14203049","PMID":"18463563","abstract":"The purpose of this work is to review the published strategies for the productionof prodrugs of amines. The review is divided in two main groups of approaches: those thatrely on enzymatic activation and those that take advantage of physiological chemicalconditions for release of the drugs. A compilation of the most important approaches ispresented in the form of a table, where the main advantages and disadvantages of eachstrategy are also referred.","author":[{"dropping-particle":"","family":"Simplício","given":"Ana L.","non-dropping-particle":"","parse-names":false,"suffix":""},{"dropping-particle":"","family":"Clancy","given":"John M.","non-dropping-particle":"","parse-names":false,"suffix":""},{"dropping-particle":"","family":"Gilmer","given":"John F.","non-dropping-particle":"","parse-names":false,"suffix":""}],"container-title":"Molecules","id":"ITEM-1","issue":"3","issued":{"date-parts":[["2008"]]},"page":"519-547","title":"Prodrugs for amines","type":"article-journal","volume":"13"},"uris":["http://www.mendeley.com/documents/?uuid=4b28fac0-6d2d-43bc-b3ec-39cea44690d1"]}],"mendeley":{"formattedCitation":"&lt;sup&gt;150&lt;/sup&gt;","plainTextFormattedCitation":"150","previouslyFormattedCitation":"&lt;sup&gt;150&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150</w:t>
      </w:r>
      <w:r>
        <w:rPr>
          <w:color w:val="000000" w:themeColor="text1"/>
        </w:rPr>
        <w:fldChar w:fldCharType="end"/>
      </w:r>
      <w:r w:rsidRPr="00F56CF3">
        <w:rPr>
          <w:color w:val="000000" w:themeColor="text1"/>
        </w:rPr>
        <w:t xml:space="preserve"> This is of importance to a topical therapy, which requires the drug to pass through the lipid bilayer of the stratum corneum (the top layer of human skin). Masking the primary amine group of </w:t>
      </w:r>
      <w:r w:rsidRPr="00F56CF3">
        <w:rPr>
          <w:color w:val="000000" w:themeColor="text1"/>
        </w:rPr>
        <w:sym w:font="Symbol" w:char="F062"/>
      </w:r>
      <w:r w:rsidRPr="00F56CF3">
        <w:rPr>
          <w:color w:val="000000" w:themeColor="text1"/>
        </w:rPr>
        <w:noBreakHyphen/>
        <w:t>APN</w:t>
      </w:r>
      <w:r>
        <w:rPr>
          <w:color w:val="000000" w:themeColor="text1"/>
        </w:rPr>
        <w:t>, in addition to increasing its lipophilicity,</w:t>
      </w:r>
      <w:r w:rsidRPr="00F56CF3">
        <w:rPr>
          <w:color w:val="000000" w:themeColor="text1"/>
        </w:rPr>
        <w:t xml:space="preserve"> would likely lead to increased</w:t>
      </w:r>
      <w:r>
        <w:rPr>
          <w:color w:val="000000" w:themeColor="text1"/>
        </w:rPr>
        <w:t xml:space="preserve"> skin penetration. </w:t>
      </w:r>
    </w:p>
    <w:p w14:paraId="631C40FD" w14:textId="480EC308" w:rsidR="00AF52F5" w:rsidRDefault="00AF52F5" w:rsidP="00AF52F5">
      <w:pPr>
        <w:rPr>
          <w:color w:val="000000" w:themeColor="text1"/>
        </w:rPr>
      </w:pPr>
      <w:r w:rsidRPr="007337AB">
        <w:rPr>
          <w:color w:val="000000" w:themeColor="text1"/>
        </w:rPr>
        <w:t>The choice of linker is influenced by multiple factors, often depending on the desired properties of the prodrug. For example</w:t>
      </w:r>
      <w:r>
        <w:rPr>
          <w:color w:val="000000" w:themeColor="text1"/>
        </w:rPr>
        <w:t>,</w:t>
      </w:r>
      <w:r w:rsidRPr="007337AB">
        <w:rPr>
          <w:color w:val="000000" w:themeColor="text1"/>
        </w:rPr>
        <w:t xml:space="preserve"> different linkers will be beneficial for improving delivery to the target, overcoming toxicity issues, altering the </w:t>
      </w:r>
      <w:r>
        <w:rPr>
          <w:color w:val="000000" w:themeColor="text1"/>
        </w:rPr>
        <w:t xml:space="preserve">drug’s </w:t>
      </w:r>
      <w:r w:rsidRPr="007337AB">
        <w:rPr>
          <w:color w:val="000000" w:themeColor="text1"/>
        </w:rPr>
        <w:t xml:space="preserve">solubility or refining the drug’s half-life. </w:t>
      </w:r>
      <w:r>
        <w:rPr>
          <w:color w:val="000000" w:themeColor="text1"/>
        </w:rPr>
        <w:t xml:space="preserve">As described above, there are multiple functional groups available to mask amines to produce prodrugs. These have been reviewed by Simplíco </w:t>
      </w:r>
      <w:r w:rsidRPr="00BF2A61">
        <w:rPr>
          <w:i/>
          <w:color w:val="000000" w:themeColor="text1"/>
        </w:rPr>
        <w:t>et al</w:t>
      </w:r>
      <w:r>
        <w:rPr>
          <w:color w:val="000000" w:themeColor="text1"/>
        </w:rPr>
        <w:t>.</w:t>
      </w:r>
      <w:r>
        <w:rPr>
          <w:color w:val="000000" w:themeColor="text1"/>
        </w:rPr>
        <w:fldChar w:fldCharType="begin" w:fldLock="1"/>
      </w:r>
      <w:r w:rsidR="0085447D">
        <w:rPr>
          <w:color w:val="000000" w:themeColor="text1"/>
        </w:rPr>
        <w:instrText>ADDIN CSL_CITATION {"citationItems":[{"id":"ITEM-1","itemData":{"DOI":"10.3390/molecules13030519","ISBN":"1420-3049","ISSN":"14203049","PMID":"18463563","abstract":"The purpose of this work is to review the published strategies for the productionof prodrugs of amines. The review is divided in two main groups of approaches: those thatrely on enzymatic activation and those that take advantage of physiological chemicalconditions for release of the drugs. A compilation of the most important approaches ispresented in the form of a table, where the main advantages and disadvantages of eachstrategy are also referred.","author":[{"dropping-particle":"","family":"Simplício","given":"Ana L.","non-dropping-particle":"","parse-names":false,"suffix":""},{"dropping-particle":"","family":"Clancy","given":"John M.","non-dropping-particle":"","parse-names":false,"suffix":""},{"dropping-particle":"","family":"Gilmer","given":"John F.","non-dropping-particle":"","parse-names":false,"suffix":""}],"container-title":"Molecules","id":"ITEM-1","issue":"3","issued":{"date-parts":[["2008"]]},"page":"519-547","title":"Prodrugs for amines","type":"article-journal","volume":"13"},"uris":["http://www.mendeley.com/documents/?uuid=4b28fac0-6d2d-43bc-b3ec-39cea44690d1"]}],"mendeley":{"formattedCitation":"&lt;sup&gt;150&lt;/sup&gt;","plainTextFormattedCitation":"150","previouslyFormattedCitation":"&lt;sup&gt;150&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150</w:t>
      </w:r>
      <w:r>
        <w:rPr>
          <w:color w:val="000000" w:themeColor="text1"/>
        </w:rPr>
        <w:fldChar w:fldCharType="end"/>
      </w:r>
    </w:p>
    <w:p w14:paraId="4DF62697" w14:textId="640E1DC0" w:rsidR="00AF52F5" w:rsidRDefault="00AF52F5" w:rsidP="00AF52F5">
      <w:r>
        <w:rPr>
          <w:color w:val="000000" w:themeColor="text1"/>
        </w:rPr>
        <w:t xml:space="preserve">Due to their inherent instability, imines may be an unexpected choice for a prodrug linker. However, there are several examples in the literature of prodrugs with imine linkages that have shown promise as clinical therapies. For example, Muller </w:t>
      </w:r>
      <w:r w:rsidRPr="005F0F51">
        <w:rPr>
          <w:i/>
          <w:color w:val="000000" w:themeColor="text1"/>
        </w:rPr>
        <w:t>et al.</w:t>
      </w:r>
      <w:r>
        <w:rPr>
          <w:color w:val="000000" w:themeColor="text1"/>
        </w:rPr>
        <w:t xml:space="preserve"> successfully synthesised a range of double-prodrugs based on </w:t>
      </w:r>
      <w:r w:rsidRPr="009334EF">
        <w:rPr>
          <w:i/>
          <w:color w:val="000000" w:themeColor="text1"/>
        </w:rPr>
        <w:t>p</w:t>
      </w:r>
      <w:r>
        <w:rPr>
          <w:color w:val="000000" w:themeColor="text1"/>
        </w:rPr>
        <w:t>-aminobenzyl alcohol and benzaldehyde derivatives with an imine linker.</w:t>
      </w:r>
      <w:r>
        <w:rPr>
          <w:color w:val="000000" w:themeColor="text1"/>
        </w:rPr>
        <w:fldChar w:fldCharType="begin" w:fldLock="1"/>
      </w:r>
      <w:r w:rsidR="0085447D">
        <w:rPr>
          <w:color w:val="000000" w:themeColor="text1"/>
        </w:rPr>
        <w:instrText>ADDIN CSL_CITATION {"citationItems":[{"id":"ITEM-1","itemData":{"DOI":"10.1016/j.tetlet.2010.06.055","ISSN":"00404039","abstract":"A number of novel acid-sensitive Schiff bases derived from p-aminobenzyl alcohol and various benzaldehyde derivatives were synthesized and were subsequently shown to trigger benzyl elimination reactions. The kinetics of acid-catalyzed hydrolysis at pH 5.0 as well as stability at pH 7.4 were studied using fluorogenic model compounds. Two fluoro-substituted Schiff bases showed efficient hydrolysis at pH 5.0 combined with a long-term stability at pH 7.4 and are considered suitable candidates for the development of anticancer prodrugs. © 2010 Elsevier Ltd.","author":[{"dropping-particle":"","family":"Müller","given":"Ivonne A.","non-dropping-particle":"","parse-names":false,"suffix":""},{"dropping-particle":"","family":"Kratz","given":"Felix","non-dropping-particle":"","parse-names":false,"suffix":""},{"dropping-particle":"","family":"Jung","given":"Manfred","non-dropping-particle":"","parse-names":false,"suffix":""},{"dropping-particle":"","family":"Warnecke","given":"André","non-dropping-particle":"","parse-names":false,"suffix":""}],"container-title":"Tetrahedron Letters","id":"ITEM-1","issue":"33","issued":{"date-parts":[["2010"]]},"page":"4371-4374","title":"Schiff bases derived from p-aminobenzyl alcohol as trigger groups for pH-dependent prodrug activation","type":"article-journal","volume":"51"},"uris":["http://www.mendeley.com/documents/?uuid=d25721d0-e9a6-4238-bb87-5b358c102d0b"]}],"mendeley":{"formattedCitation":"&lt;sup&gt;152&lt;/sup&gt;","plainTextFormattedCitation":"152","previouslyFormattedCitation":"&lt;sup&gt;152&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152</w:t>
      </w:r>
      <w:r>
        <w:rPr>
          <w:color w:val="000000" w:themeColor="text1"/>
        </w:rPr>
        <w:fldChar w:fldCharType="end"/>
      </w:r>
      <w:r>
        <w:rPr>
          <w:color w:val="000000" w:themeColor="text1"/>
        </w:rPr>
        <w:t xml:space="preserve"> They used the acid-sensitive imine linker to trigger a subsequent benzyl elimination reaction to release the active component. In addition to small molecule prodrugs, imine linkers have been used to construct polymer-drug conjugates. Li </w:t>
      </w:r>
      <w:r w:rsidRPr="005F0F51">
        <w:rPr>
          <w:i/>
          <w:color w:val="000000" w:themeColor="text1"/>
        </w:rPr>
        <w:t>et al</w:t>
      </w:r>
      <w:r>
        <w:rPr>
          <w:color w:val="000000" w:themeColor="text1"/>
        </w:rPr>
        <w:t>. utilised an imine linker to improve the tumour targeting of the well-known anti-cancer drug doxorubicin. They used a benzoic-imine linker to prepare tetra-doxorubicin-tailed PEG, which self-assembled into pH responsive micelles.</w:t>
      </w:r>
      <w:r>
        <w:rPr>
          <w:color w:val="000000" w:themeColor="text1"/>
        </w:rPr>
        <w:fldChar w:fldCharType="begin" w:fldLock="1"/>
      </w:r>
      <w:r w:rsidR="0085447D">
        <w:rPr>
          <w:color w:val="000000" w:themeColor="text1"/>
        </w:rPr>
        <w:instrText>ADDIN CSL_CITATION {"citationItems":[{"id":"ITEM-1","itemData":{"DOI":"10.1039/c5ra27293a","ISBN":"8620841122","ISSN":"20462069","abstract":"© The Royal Society of Chemistry 2016.A novel tetra-doxorubicin-tailed polyethylene glycol via benzoic-imine bond linkage was synthesized and self-assembled to a pH-sensitive prodrug micelle. This micelle not only effectively entered cancer cells but also quickly released doxorubicin (DOX) in tumor sites to exert anticancer activity in vitro.","author":[{"dropping-particle":"","family":"Li","given":"Jingguo","non-dropping-particle":"","parse-names":false,"suffix":""},{"dropping-particle":"","family":"Zhang","given":"Lu","non-dropping-particle":"","parse-names":false,"suffix":""},{"dropping-particle":"","family":"Lin","given":"Yujie","non-dropping-particle":"","parse-names":false,"suffix":""},{"dropping-particle":"","family":"Xiao","given":"Hong","non-dropping-particle":"","parse-names":false,"suffix":""},{"dropping-particle":"","family":"Zuo","given":"Mingxiang","non-dropping-particle":"","parse-names":false,"suffix":""},{"dropping-particle":"","family":"Cheng","given":"Du","non-dropping-particle":"","parse-names":false,"suffix":""},{"dropping-particle":"","family":"Shuai","given":"Xintao","non-dropping-particle":"","parse-names":false,"suffix":""}],"container-title":"RSC Advances","id":"ITEM-1","issue":"11","issued":{"date-parts":[["2016"]]},"page":"9160-9163","publisher":"Royal Society of Chemistry","title":"A pH-sensitive prodrug micelle self-assembled from multi-doxorubicin-tailed polyethylene glycol for cancer therapy","type":"article-journal","volume":"6"},"uris":["http://www.mendeley.com/documents/?uuid=37ddf21a-dd18-45d7-8e2a-5ab142b9f567"]}],"mendeley":{"formattedCitation":"&lt;sup&gt;153&lt;/sup&gt;","plainTextFormattedCitation":"153","previouslyFormattedCitation":"&lt;sup&gt;153&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153</w:t>
      </w:r>
      <w:r>
        <w:rPr>
          <w:color w:val="000000" w:themeColor="text1"/>
        </w:rPr>
        <w:fldChar w:fldCharType="end"/>
      </w:r>
      <w:r>
        <w:rPr>
          <w:color w:val="000000" w:themeColor="text1"/>
        </w:rPr>
        <w:t xml:space="preserve"> The micelles were found to be stable at physiological pH (~7.4) but disassembled and released the active component in the more acidic environment of tumours (~ pH 6.5). Using a similar concept, Li </w:t>
      </w:r>
      <w:r w:rsidRPr="00D40D3B">
        <w:rPr>
          <w:i/>
          <w:color w:val="000000" w:themeColor="text1"/>
        </w:rPr>
        <w:t>et al</w:t>
      </w:r>
      <w:r>
        <w:rPr>
          <w:color w:val="000000" w:themeColor="text1"/>
        </w:rPr>
        <w:t xml:space="preserve">. developed a series of hydroxyethyl starch (HES)-drug conjugates with an imine linker to doxorubicin, and monitored drug release and anti-tumour activity </w:t>
      </w:r>
      <w:r w:rsidRPr="00D40D3B">
        <w:rPr>
          <w:i/>
          <w:color w:val="000000" w:themeColor="text1"/>
        </w:rPr>
        <w:t>in vitro</w:t>
      </w:r>
      <w:r>
        <w:rPr>
          <w:color w:val="000000" w:themeColor="text1"/>
        </w:rPr>
        <w:t xml:space="preserve"> and </w:t>
      </w:r>
      <w:r w:rsidRPr="00D40D3B">
        <w:rPr>
          <w:i/>
          <w:color w:val="000000" w:themeColor="text1"/>
        </w:rPr>
        <w:t>in vivo</w:t>
      </w:r>
      <w:r>
        <w:rPr>
          <w:color w:val="000000" w:themeColor="text1"/>
        </w:rPr>
        <w:t>.</w:t>
      </w:r>
      <w:r>
        <w:rPr>
          <w:color w:val="000000" w:themeColor="text1"/>
        </w:rPr>
        <w:fldChar w:fldCharType="begin" w:fldLock="1"/>
      </w:r>
      <w:r w:rsidR="0085447D">
        <w:rPr>
          <w:color w:val="000000" w:themeColor="text1"/>
        </w:rPr>
        <w:instrText>ADDIN CSL_CITATION {"citationItems":[{"id":"ITEM-1","itemData":{"DOI":"10.1039/c6tb00991c","ISSN":"2050750X","abstract":"© The Royal Society of Chemistry 2016.Three intracellular acid-degradable hydroxyethyl starch-doxorubicin (HESDOX) prodrugs with different drug binding rates (DBRs) were synthesized through the conjugation of oxidized HES and DOX with a pH-responsive Schiff base bond. The DBRs of HESDOX conjugates were determined to be 1.7, 3.3, and 5.9%, which could be facilely adjusted by the feeding molar amount of DOX. All HESDOX conjugates could spontaneously self-assemble into spherical micellar nanoparticles in phosphate-buffered saline. The hydrodynamic diameter decreased from 73.4 ± 5.3, 63.9 ± 5.5, to 51.9 ± 8.5 nm with the increase of the DBR from 1.7, 3.3, to 5.9%. The DOX release from HESDOX could be accelerated by the decrease of pH and the DBR, attributed to the acid-sensitive Schiff base bond and the loose core, respectively. Furthermore, the HESDOX micelle selectively released DOX in the endosome and/or lysosome after cellular uptake, and exhibited excellent proliferation inhibition toward murine melanoma B16F10 cells in vitro and in vivo. Furthermore, the antitumor efficacy was upregulated by the increase of the DBR, benefiting from the selective acidity-triggered DOX release in tumor cells. These results indicated that HESDOX exhibited great potential in the precise chemotherapy of malignancy.","author":[{"dropping-particle":"","family":"Li","given":"Di","non-dropping-particle":"","parse-names":false,"suffix":""},{"dropping-particle":"","family":"Ding","given":"Jianxun","non-dropping-particle":"","parse-names":false,"suffix":""},{"dropping-particle":"","family":"Zhuang","given":"Xiuli","non-dropping-particle":"","parse-names":false,"suffix":""},{"dropping-particle":"","family":"Chen","given":"Li","non-dropping-particle":"","parse-names":false,"suffix":""},{"dropping-particle":"","family":"Chen","given":"Xuesi","non-dropping-particle":"","parse-names":false,"suffix":""}],"container-title":"Journal of Materials Chemistry B","id":"ITEM-1","issue":"30","issued":{"date-parts":[["2016"]]},"page":"5167-5177","title":"Drug binding rate regulates the properties of polysaccharide prodrugs","type":"article-journal","volume":"4"},"uris":["http://www.mendeley.com/documents/?uuid=6db7e806-7c74-4a63-8d43-1c8a2a5e2809"]}],"mendeley":{"formattedCitation":"&lt;sup&gt;154&lt;/sup&gt;","plainTextFormattedCitation":"154","previouslyFormattedCitation":"&lt;sup&gt;154&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154</w:t>
      </w:r>
      <w:r>
        <w:rPr>
          <w:color w:val="000000" w:themeColor="text1"/>
        </w:rPr>
        <w:fldChar w:fldCharType="end"/>
      </w:r>
      <w:r>
        <w:rPr>
          <w:color w:val="FF0000"/>
        </w:rPr>
        <w:t xml:space="preserve"> </w:t>
      </w:r>
      <w:r>
        <w:rPr>
          <w:color w:val="000000" w:themeColor="text1"/>
        </w:rPr>
        <w:t xml:space="preserve">Similar work was conducted by Feng </w:t>
      </w:r>
      <w:r w:rsidRPr="009334EF">
        <w:rPr>
          <w:i/>
          <w:color w:val="000000" w:themeColor="text1"/>
        </w:rPr>
        <w:t>et al</w:t>
      </w:r>
      <w:r>
        <w:rPr>
          <w:color w:val="000000" w:themeColor="text1"/>
        </w:rPr>
        <w:t>., using an imine linker to attach doxorubicin to a dextran backbone to provide pH responsive micelles.</w:t>
      </w:r>
      <w:r>
        <w:rPr>
          <w:color w:val="000000" w:themeColor="text1"/>
        </w:rPr>
        <w:fldChar w:fldCharType="begin" w:fldLock="1"/>
      </w:r>
      <w:r w:rsidR="0085447D">
        <w:rPr>
          <w:color w:val="000000" w:themeColor="text1"/>
        </w:rPr>
        <w:instrText>ADDIN CSL_CITATION {"citationItems":[{"id":"ITEM-1","itemData":{"DOI":"10.1016/j.msec.2017.03.201","ISSN":"09284931","abstract":"The pH-responsive polymer prodrugs were designed to maintain sufficient stability in the bloodstream and promptly release the active drugs when entering the acidic microenvironments, such as tumor tissue and cells. This kind of polymer–drug conjugates has become increasingly intriguing given the specific advantages over traditional drug delivery system. In our work, dextran (Dex) was oxidized into aldehyde-functionalized Dex-CHO before conjugating with doxorubicin (DOX) via efficient Schiff base reaction. The amphiphilic product Dex–DOX aggregated into uniform spherical nanoparticle in aqueous condition. The imine bond in Dex–DOX stayed tough in neutral solution yet quickly fractured when pH was lowered, in which way DOX was locally released and functioned in tumor cells. Our findings proved that the newly-constructed Dex–DOX could obviously promote the pH-dependent drug release, highlight the cell uptake efficiency, and strengthen the antitumor ability toward mouse B16F10 melanoma. In addition, it also largely averted the adverse effects to vital organs, which guaranteed higher level of security. Therefore, Dex–DOX held great potential of becoming a qualified chemotherapeutic drug delivery system.","author":[{"dropping-particle":"","family":"Feng","given":"Xiangru","non-dropping-particle":"","parse-names":false,"suffix":""},{"dropping-particle":"","family":"Li","given":"Di","non-dropping-particle":"","parse-names":false,"suffix":""},{"dropping-particle":"","family":"Han","given":"Jiandong","non-dropping-particle":"","parse-names":false,"suffix":""},{"dropping-particle":"","family":"Zhuang","given":"Xiuli","non-dropping-particle":"","parse-names":false,"suffix":""},{"dropping-particle":"","family":"Ding","given":"Jianxun","non-dropping-particle":"","parse-names":false,"suffix":""}],"container-title":"Materials Science and Engineering C","id":"ITEM-1","issued":{"date-parts":[["2017"]]},"page":"1121-1128","title":"Schiff base bond-linked polysaccharide–doxorubicin conjugate for upregulated cancer therapy","type":"article-journal","volume":"76"},"uris":["http://www.mendeley.com/documents/?uuid=1c5f3098-b888-4598-9882-721082197969"]}],"mendeley":{"formattedCitation":"&lt;sup&gt;155&lt;/sup&gt;","plainTextFormattedCitation":"155","previouslyFormattedCitation":"&lt;sup&gt;155&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155</w:t>
      </w:r>
      <w:r>
        <w:rPr>
          <w:color w:val="000000" w:themeColor="text1"/>
        </w:rPr>
        <w:fldChar w:fldCharType="end"/>
      </w:r>
      <w:r>
        <w:rPr>
          <w:color w:val="000000" w:themeColor="text1"/>
        </w:rPr>
        <w:t xml:space="preserve"> </w:t>
      </w:r>
      <w:r>
        <w:t xml:space="preserve">These examples demonstrate that stable imine prodrugs can be prepared with a physiologically relevant switch in order to release the active component. </w:t>
      </w:r>
    </w:p>
    <w:p w14:paraId="77335248" w14:textId="77777777" w:rsidR="00AF52F5" w:rsidRPr="00995D40" w:rsidRDefault="00AF52F5" w:rsidP="00AF52F5">
      <w:pPr>
        <w:rPr>
          <w:color w:val="000000" w:themeColor="text1"/>
        </w:rPr>
      </w:pPr>
      <w:r>
        <w:t xml:space="preserve">Taken together, it was decided that a prodrug of </w:t>
      </w:r>
      <w:r>
        <w:sym w:font="Symbol" w:char="F062"/>
      </w:r>
      <w:r>
        <w:noBreakHyphen/>
        <w:t xml:space="preserve">APN would be synthesised using an imine linker to mask the primary amine of </w:t>
      </w:r>
      <w:r>
        <w:sym w:font="Symbol" w:char="F062"/>
      </w:r>
      <w:r>
        <w:noBreakHyphen/>
        <w:t xml:space="preserve">APN and increase the lipophilicity. </w:t>
      </w:r>
      <w:r>
        <w:lastRenderedPageBreak/>
        <w:t xml:space="preserve">To achieve this, synthetic methods were trialled for imine formation using a range of aldehydes. </w:t>
      </w:r>
    </w:p>
    <w:p w14:paraId="06E895C9" w14:textId="77777777" w:rsidR="00AF52F5" w:rsidRDefault="00AF52F5" w:rsidP="00AF52F5">
      <w:pPr>
        <w:pStyle w:val="Heading2"/>
      </w:pPr>
      <w:bookmarkStart w:id="54" w:name="_Toc525587671"/>
      <w:bookmarkStart w:id="55" w:name="_Toc2450991"/>
      <w:r>
        <w:t>Materials</w:t>
      </w:r>
      <w:bookmarkEnd w:id="54"/>
      <w:bookmarkEnd w:id="55"/>
    </w:p>
    <w:p w14:paraId="23C6FCCA" w14:textId="77777777" w:rsidR="00AF52F5" w:rsidRDefault="00AF52F5" w:rsidP="00AF52F5">
      <w:r w:rsidRPr="00C84632">
        <w:t xml:space="preserve">Benzaldehyde </w:t>
      </w:r>
      <w:r>
        <w:t xml:space="preserve">(99.5 %) </w:t>
      </w:r>
      <w:r w:rsidRPr="00C84632">
        <w:t>and 3-methoxy-2-hydroxybenzaldehyde were obtained from Acros Organics. 4-methoxy-2-hydroxybenzaldehyde</w:t>
      </w:r>
      <w:r>
        <w:t xml:space="preserve"> (99 %)</w:t>
      </w:r>
      <w:r w:rsidRPr="00C84632">
        <w:t>, 3-methoxy-4-hydroxybenzaldehyde</w:t>
      </w:r>
      <w:r>
        <w:t xml:space="preserve"> (99 %)</w:t>
      </w:r>
      <w:r w:rsidRPr="00C84632">
        <w:t>, β</w:t>
      </w:r>
      <w:r w:rsidRPr="00C84632">
        <w:noBreakHyphen/>
        <w:t>aminopropionitrile fumarate salt</w:t>
      </w:r>
      <w:r>
        <w:t xml:space="preserve"> (&gt; 99 %)</w:t>
      </w:r>
      <w:r w:rsidRPr="00C84632">
        <w:t>, salicylaldehyde</w:t>
      </w:r>
      <w:r>
        <w:t xml:space="preserve"> (99 %)</w:t>
      </w:r>
      <w:r w:rsidRPr="00C84632">
        <w:t xml:space="preserve"> and triethylamine</w:t>
      </w:r>
      <w:r>
        <w:t xml:space="preserve"> (&gt; 99 %)</w:t>
      </w:r>
      <w:r w:rsidRPr="00C84632">
        <w:t xml:space="preserve"> were obtained from Alfa Aesar. Sodium carbonate</w:t>
      </w:r>
      <w:r>
        <w:t xml:space="preserve"> (&gt; 99 %)</w:t>
      </w:r>
      <w:r w:rsidRPr="00C84632">
        <w:t xml:space="preserve"> was obtained from Fisher Scientific. 5-nitro-2-</w:t>
      </w:r>
      <w:r w:rsidRPr="00CF4FC6">
        <w:t>hydroxybenzaldehyde (98 %) was</w:t>
      </w:r>
      <w:r w:rsidRPr="00C84632">
        <w:t xml:space="preserve"> obtained from Merck. Anisaldehyde</w:t>
      </w:r>
      <w:r>
        <w:t xml:space="preserve"> (98 %)</w:t>
      </w:r>
      <w:r w:rsidRPr="00C84632">
        <w:t>, 3-tert-butyl-2-hydroxybenzaldehyde</w:t>
      </w:r>
      <w:r>
        <w:t xml:space="preserve"> (96 %)</w:t>
      </w:r>
      <w:r w:rsidRPr="00C84632">
        <w:t>, deuterated acetone</w:t>
      </w:r>
      <w:r>
        <w:t xml:space="preserve"> (99.99 %)</w:t>
      </w:r>
      <w:r w:rsidRPr="00C84632">
        <w:t>, deuterated dimethyl sulfoxide</w:t>
      </w:r>
      <w:r>
        <w:t xml:space="preserve"> (99.80 %)</w:t>
      </w:r>
      <w:r w:rsidRPr="00C84632">
        <w:t>, dodecyl aldehyde</w:t>
      </w:r>
      <w:r>
        <w:t xml:space="preserve"> (92 %)</w:t>
      </w:r>
      <w:r w:rsidRPr="00C84632">
        <w:t xml:space="preserve">, </w:t>
      </w:r>
      <w:r>
        <w:t xml:space="preserve">ethyl acetate (&gt; 99.5 %), </w:t>
      </w:r>
      <w:r w:rsidRPr="00C84632">
        <w:t>methanol</w:t>
      </w:r>
      <w:r>
        <w:t xml:space="preserve"> (99.99 %)</w:t>
      </w:r>
      <w:r w:rsidRPr="00C84632">
        <w:t>, petroleum ether (40/60)</w:t>
      </w:r>
      <w:r>
        <w:t xml:space="preserve"> (98 %)</w:t>
      </w:r>
      <w:r w:rsidRPr="00C84632">
        <w:t xml:space="preserve"> and toluene</w:t>
      </w:r>
      <w:r>
        <w:t xml:space="preserve"> (99.98 %)</w:t>
      </w:r>
      <w:r w:rsidRPr="00C84632">
        <w:t xml:space="preserve"> were obtained from Sigma Aldrich. Diethyl ether</w:t>
      </w:r>
      <w:r>
        <w:t xml:space="preserve"> (99.8 %)</w:t>
      </w:r>
      <w:r w:rsidRPr="00C84632">
        <w:t>, deuterated chloroform</w:t>
      </w:r>
      <w:r>
        <w:t xml:space="preserve"> (99.80 %)</w:t>
      </w:r>
      <w:r w:rsidRPr="00C84632">
        <w:t xml:space="preserve"> and sodium sulphate anhydrous</w:t>
      </w:r>
      <w:r>
        <w:t xml:space="preserve"> </w:t>
      </w:r>
      <w:r w:rsidRPr="00E04454">
        <w:t>(&gt; 99 %)</w:t>
      </w:r>
      <w:r w:rsidRPr="00C84632">
        <w:t xml:space="preserve"> were obtained from VWR.</w:t>
      </w:r>
      <w:r>
        <w:t xml:space="preserve"> </w:t>
      </w:r>
      <w:r w:rsidRPr="00C84632">
        <w:t>All chemicals were use</w:t>
      </w:r>
      <w:r>
        <w:t>d without further purification.</w:t>
      </w:r>
    </w:p>
    <w:p w14:paraId="23DC90C6" w14:textId="77777777" w:rsidR="00AF52F5" w:rsidRDefault="00AF52F5" w:rsidP="00AF52F5">
      <w:pPr>
        <w:pStyle w:val="Heading2"/>
      </w:pPr>
      <w:bookmarkStart w:id="56" w:name="_Toc525587672"/>
      <w:bookmarkStart w:id="57" w:name="_Toc2450992"/>
      <w:r>
        <w:t>Methods</w:t>
      </w:r>
      <w:bookmarkEnd w:id="56"/>
      <w:bookmarkEnd w:id="57"/>
    </w:p>
    <w:p w14:paraId="5FAAC907" w14:textId="77777777" w:rsidR="00AF52F5" w:rsidRDefault="00AF52F5" w:rsidP="00AF52F5">
      <w:pPr>
        <w:pStyle w:val="Heading3"/>
      </w:pPr>
      <w:bookmarkStart w:id="58" w:name="_Toc525587673"/>
      <w:bookmarkStart w:id="59" w:name="_Toc2450993"/>
      <w:r>
        <w:t>Analytical Methods</w:t>
      </w:r>
      <w:bookmarkEnd w:id="58"/>
      <w:bookmarkEnd w:id="59"/>
    </w:p>
    <w:p w14:paraId="35EF0E39" w14:textId="77777777" w:rsidR="00AF52F5" w:rsidRPr="00C84632" w:rsidRDefault="00AF52F5" w:rsidP="006D5170">
      <w:pPr>
        <w:pStyle w:val="Heading4"/>
      </w:pPr>
      <w:r>
        <w:t>Proton N</w:t>
      </w:r>
      <w:r w:rsidRPr="00C84632">
        <w:t>uclear Magnetic Resonance (</w:t>
      </w:r>
      <w:r w:rsidRPr="002363A9">
        <w:rPr>
          <w:vertAlign w:val="superscript"/>
        </w:rPr>
        <w:t>1</w:t>
      </w:r>
      <w:r>
        <w:t xml:space="preserve">H </w:t>
      </w:r>
      <w:r w:rsidRPr="00C84632">
        <w:t>NMR)</w:t>
      </w:r>
      <w:r>
        <w:t xml:space="preserve"> </w:t>
      </w:r>
      <w:r w:rsidRPr="00C84632">
        <w:t xml:space="preserve">Spectroscopy </w:t>
      </w:r>
    </w:p>
    <w:p w14:paraId="2F018423" w14:textId="77777777" w:rsidR="00AF52F5" w:rsidRDefault="00AF52F5" w:rsidP="00AF52F5">
      <w:r w:rsidRPr="003B5CD7">
        <w:rPr>
          <w:vertAlign w:val="superscript"/>
        </w:rPr>
        <w:t>1</w:t>
      </w:r>
      <w:r>
        <w:t>H </w:t>
      </w:r>
      <w:r w:rsidRPr="00C84632">
        <w:t xml:space="preserve">NMR spectra were </w:t>
      </w:r>
      <w:r>
        <w:t>acquired</w:t>
      </w:r>
      <w:r w:rsidRPr="00C84632">
        <w:t xml:space="preserve"> on a Bruker </w:t>
      </w:r>
      <w:r w:rsidRPr="002363A9">
        <w:t>AVANCE</w:t>
      </w:r>
      <w:r w:rsidRPr="003B5CD7">
        <w:t xml:space="preserve"> NMR spectrometer </w:t>
      </w:r>
      <w:r>
        <w:t xml:space="preserve">operating at 400 MHz. </w:t>
      </w:r>
      <w:r w:rsidRPr="003B5CD7">
        <w:t>Sample (10 mg)</w:t>
      </w:r>
      <w:r w:rsidRPr="00C84632">
        <w:t xml:space="preserve"> was dissolved in</w:t>
      </w:r>
      <w:r>
        <w:t xml:space="preserve"> either</w:t>
      </w:r>
      <w:r w:rsidRPr="00C84632">
        <w:t xml:space="preserve"> deuterated chloroform or deuterated acetone</w:t>
      </w:r>
      <w:r>
        <w:t xml:space="preserve"> (1 mL)</w:t>
      </w:r>
      <w:r w:rsidRPr="00C84632">
        <w:t xml:space="preserve">, filtered and placed in a 7 </w:t>
      </w:r>
      <w:r>
        <w:t>inch</w:t>
      </w:r>
      <w:r w:rsidRPr="00C84632">
        <w:t xml:space="preserve"> NMR tube. </w:t>
      </w:r>
      <w:r>
        <w:t>P</w:t>
      </w:r>
      <w:r w:rsidRPr="007F7426">
        <w:t xml:space="preserve">eaks </w:t>
      </w:r>
      <w:r>
        <w:t xml:space="preserve">are </w:t>
      </w:r>
      <w:r w:rsidRPr="007F7426">
        <w:t>reported relative to CHCl</w:t>
      </w:r>
      <w:r w:rsidRPr="007F7426">
        <w:rPr>
          <w:vertAlign w:val="subscript"/>
        </w:rPr>
        <w:t>3</w:t>
      </w:r>
      <w:r w:rsidRPr="007F7426">
        <w:t xml:space="preserve"> peak at 7.26 ppm</w:t>
      </w:r>
      <w:r>
        <w:t xml:space="preserve"> unless otherwise specified. </w:t>
      </w:r>
      <w:r w:rsidRPr="00C84632">
        <w:t>Spectra</w:t>
      </w:r>
      <w:r>
        <w:t xml:space="preserve"> were analysed on Top Spin 3.2.</w:t>
      </w:r>
    </w:p>
    <w:p w14:paraId="68370DFA" w14:textId="77777777" w:rsidR="00AF52F5" w:rsidRDefault="00AF52F5" w:rsidP="006D5170">
      <w:pPr>
        <w:pStyle w:val="Heading4"/>
      </w:pPr>
      <w:r>
        <w:t>Carbon N</w:t>
      </w:r>
      <w:r w:rsidRPr="00C84632">
        <w:t>uclear Magnetic Resonance</w:t>
      </w:r>
      <w:r>
        <w:t xml:space="preserve"> </w:t>
      </w:r>
      <w:r w:rsidRPr="00C84632">
        <w:t>(</w:t>
      </w:r>
      <w:r w:rsidRPr="002363A9">
        <w:rPr>
          <w:vertAlign w:val="superscript"/>
        </w:rPr>
        <w:t>13</w:t>
      </w:r>
      <w:r>
        <w:t xml:space="preserve">C </w:t>
      </w:r>
      <w:r w:rsidRPr="00C84632">
        <w:t xml:space="preserve">NMR) Spectroscopy </w:t>
      </w:r>
    </w:p>
    <w:p w14:paraId="232012CD" w14:textId="77777777" w:rsidR="00AF52F5" w:rsidRDefault="00AF52F5" w:rsidP="00AF52F5">
      <w:r w:rsidRPr="002363A9">
        <w:t xml:space="preserve">Broadband </w:t>
      </w:r>
      <w:r w:rsidRPr="002363A9">
        <w:rPr>
          <w:vertAlign w:val="superscript"/>
        </w:rPr>
        <w:t>1</w:t>
      </w:r>
      <w:r w:rsidRPr="002363A9">
        <w:t xml:space="preserve">H decoupled </w:t>
      </w:r>
      <w:r w:rsidRPr="002363A9">
        <w:rPr>
          <w:vertAlign w:val="superscript"/>
        </w:rPr>
        <w:t>13</w:t>
      </w:r>
      <w:r w:rsidRPr="002363A9">
        <w:t xml:space="preserve">C spectrum was acquired on a Bruker AVANCE NMR </w:t>
      </w:r>
      <w:r>
        <w:t>spectrometer, operating at 100 </w:t>
      </w:r>
      <w:r w:rsidRPr="002363A9">
        <w:t>MHz</w:t>
      </w:r>
      <w:r>
        <w:t>.</w:t>
      </w:r>
      <w:r w:rsidRPr="002363A9">
        <w:t xml:space="preserve"> </w:t>
      </w:r>
      <w:r>
        <w:t>Sample (5</w:t>
      </w:r>
      <w:r w:rsidRPr="003B5CD7">
        <w:t>0 mg)</w:t>
      </w:r>
      <w:r w:rsidRPr="00C84632">
        <w:t xml:space="preserve"> was dissolved in</w:t>
      </w:r>
      <w:r>
        <w:t xml:space="preserve"> either</w:t>
      </w:r>
      <w:r w:rsidRPr="00C84632">
        <w:t xml:space="preserve"> deuterated chloroform or deuterated acetone</w:t>
      </w:r>
      <w:r>
        <w:t xml:space="preserve"> (1 mL)</w:t>
      </w:r>
      <w:r w:rsidRPr="00C84632">
        <w:t xml:space="preserve">, filtered and placed in a 7 </w:t>
      </w:r>
      <w:r>
        <w:t>inch</w:t>
      </w:r>
      <w:r w:rsidRPr="00C84632">
        <w:t xml:space="preserve"> NMR tube</w:t>
      </w:r>
      <w:r>
        <w:t>. Peaks are reported relative to CHCl</w:t>
      </w:r>
      <w:r w:rsidRPr="00CF4FC6">
        <w:rPr>
          <w:vertAlign w:val="subscript"/>
        </w:rPr>
        <w:t>3</w:t>
      </w:r>
      <w:r>
        <w:t xml:space="preserve"> peak at 77.16 ppm. </w:t>
      </w:r>
      <w:r w:rsidRPr="00C84632">
        <w:t>Spectra</w:t>
      </w:r>
      <w:r>
        <w:t xml:space="preserve"> were analysed on Top Spin 3.2.</w:t>
      </w:r>
    </w:p>
    <w:p w14:paraId="207E1A4A" w14:textId="77777777" w:rsidR="00AF52F5" w:rsidRPr="002363A9" w:rsidRDefault="00AF52F5" w:rsidP="006D5170">
      <w:pPr>
        <w:pStyle w:val="Heading4"/>
      </w:pPr>
      <w:r w:rsidRPr="002363A9">
        <w:lastRenderedPageBreak/>
        <w:t>Heteronuclear Single Quantum Coherence (HSQC) Spectroscopy</w:t>
      </w:r>
    </w:p>
    <w:p w14:paraId="20C35E3A" w14:textId="77777777" w:rsidR="00AF52F5" w:rsidRPr="002363A9" w:rsidRDefault="00AF52F5" w:rsidP="00AF52F5">
      <w:r w:rsidRPr="002363A9">
        <w:rPr>
          <w:vertAlign w:val="superscript"/>
        </w:rPr>
        <w:t>1</w:t>
      </w:r>
      <w:r w:rsidRPr="002363A9">
        <w:t>H-</w:t>
      </w:r>
      <w:r w:rsidRPr="002363A9">
        <w:rPr>
          <w:vertAlign w:val="superscript"/>
        </w:rPr>
        <w:t>13</w:t>
      </w:r>
      <w:r w:rsidRPr="002363A9">
        <w:t>C</w:t>
      </w:r>
      <w:r>
        <w:t xml:space="preserve"> HSQC spectra were</w:t>
      </w:r>
      <w:r w:rsidRPr="002363A9">
        <w:t xml:space="preserve"> acquired on a Bruker AVANCE III HD NMR </w:t>
      </w:r>
      <w:r>
        <w:t>spectrometer operating at 500 </w:t>
      </w:r>
      <w:r w:rsidRPr="002363A9">
        <w:t>MHz</w:t>
      </w:r>
      <w:r>
        <w:t>.</w:t>
      </w:r>
      <w:r w:rsidRPr="002363A9">
        <w:t xml:space="preserve"> </w:t>
      </w:r>
      <w:r>
        <w:t>Sample (5</w:t>
      </w:r>
      <w:r w:rsidRPr="003B5CD7">
        <w:t>0 mg)</w:t>
      </w:r>
      <w:r w:rsidRPr="00C84632">
        <w:t xml:space="preserve"> was dissolved in</w:t>
      </w:r>
      <w:r>
        <w:t xml:space="preserve"> either</w:t>
      </w:r>
      <w:r w:rsidRPr="00C84632">
        <w:t xml:space="preserve"> deuterated chloroform or deuterated acetone</w:t>
      </w:r>
      <w:r>
        <w:t xml:space="preserve"> (1 mL)</w:t>
      </w:r>
      <w:r w:rsidRPr="00C84632">
        <w:t xml:space="preserve">, filtered and placed in a 7 </w:t>
      </w:r>
      <w:r>
        <w:t>inch</w:t>
      </w:r>
      <w:r w:rsidRPr="00C84632">
        <w:t xml:space="preserve"> NMR tube</w:t>
      </w:r>
      <w:r>
        <w:t xml:space="preserve">. </w:t>
      </w:r>
      <w:r w:rsidRPr="00C84632">
        <w:t>Spectra</w:t>
      </w:r>
      <w:r>
        <w:t xml:space="preserve"> were analysed on Top Spin 3.2.</w:t>
      </w:r>
    </w:p>
    <w:p w14:paraId="0202ACA4" w14:textId="77777777" w:rsidR="00AF52F5" w:rsidRPr="002363A9" w:rsidRDefault="00AF52F5" w:rsidP="006D5170">
      <w:pPr>
        <w:pStyle w:val="Heading4"/>
      </w:pPr>
      <w:r w:rsidRPr="002363A9">
        <w:t>Heteronuclear Multiple Bond Correlation (HMBC) Spectroscopy</w:t>
      </w:r>
    </w:p>
    <w:p w14:paraId="3BA5D3B0" w14:textId="77777777" w:rsidR="00AF52F5" w:rsidRPr="002363A9" w:rsidRDefault="00AF52F5" w:rsidP="00AF52F5">
      <w:r w:rsidRPr="002363A9">
        <w:rPr>
          <w:vertAlign w:val="superscript"/>
        </w:rPr>
        <w:t>1</w:t>
      </w:r>
      <w:r w:rsidRPr="002363A9">
        <w:t>H-</w:t>
      </w:r>
      <w:r w:rsidRPr="002363A9">
        <w:rPr>
          <w:vertAlign w:val="superscript"/>
        </w:rPr>
        <w:t>13</w:t>
      </w:r>
      <w:r w:rsidRPr="002363A9">
        <w:t>C</w:t>
      </w:r>
      <w:r>
        <w:t xml:space="preserve"> HMBC spectra were</w:t>
      </w:r>
      <w:r w:rsidRPr="002363A9">
        <w:t xml:space="preserve"> acquired on a Bruker AVANCE III HD NMR </w:t>
      </w:r>
      <w:r>
        <w:t>spectrometer operating at 500 </w:t>
      </w:r>
      <w:r w:rsidRPr="002363A9">
        <w:t>MHz</w:t>
      </w:r>
      <w:r>
        <w:t>. Sample (5</w:t>
      </w:r>
      <w:r w:rsidRPr="003B5CD7">
        <w:t>0 mg)</w:t>
      </w:r>
      <w:r w:rsidRPr="00C84632">
        <w:t xml:space="preserve"> was dissolved in</w:t>
      </w:r>
      <w:r>
        <w:t xml:space="preserve"> either</w:t>
      </w:r>
      <w:r w:rsidRPr="00C84632">
        <w:t xml:space="preserve"> deuterated chloroform or deuterated acetone</w:t>
      </w:r>
      <w:r>
        <w:t xml:space="preserve"> (1 mL)</w:t>
      </w:r>
      <w:r w:rsidRPr="00C84632">
        <w:t xml:space="preserve">, filtered and placed in a 7 </w:t>
      </w:r>
      <w:r>
        <w:t>inch</w:t>
      </w:r>
      <w:r w:rsidRPr="00C84632">
        <w:t xml:space="preserve"> NMR tube</w:t>
      </w:r>
      <w:r>
        <w:t xml:space="preserve">. </w:t>
      </w:r>
      <w:r w:rsidRPr="00C84632">
        <w:t>Spectra</w:t>
      </w:r>
      <w:r>
        <w:t xml:space="preserve"> were analysed on Top Spin 3.2.</w:t>
      </w:r>
    </w:p>
    <w:p w14:paraId="63B6E50C" w14:textId="77777777" w:rsidR="00AF52F5" w:rsidRPr="00C84632" w:rsidRDefault="00AF52F5" w:rsidP="006D5170">
      <w:pPr>
        <w:pStyle w:val="Heading4"/>
      </w:pPr>
      <w:bookmarkStart w:id="60" w:name="_Ref516219197"/>
      <w:r w:rsidRPr="00387BDD">
        <w:rPr>
          <w:vertAlign w:val="superscript"/>
        </w:rPr>
        <w:t>1</w:t>
      </w:r>
      <w:r>
        <w:t xml:space="preserve">H </w:t>
      </w:r>
      <w:r w:rsidRPr="00C84632">
        <w:t>NMR stability experiments</w:t>
      </w:r>
      <w:bookmarkEnd w:id="60"/>
    </w:p>
    <w:p w14:paraId="7A7DF398" w14:textId="1DCC6493" w:rsidR="00AF52F5" w:rsidRPr="00C84632" w:rsidRDefault="00AF52F5" w:rsidP="00AF52F5">
      <w:r w:rsidRPr="00C84632">
        <w:t>F</w:t>
      </w:r>
      <w:r>
        <w:t xml:space="preserve">or </w:t>
      </w:r>
      <w:r w:rsidRPr="00C84632">
        <w:t>stability experiments</w:t>
      </w:r>
      <w:r>
        <w:t xml:space="preserve"> in DMSO</w:t>
      </w:r>
      <w:r w:rsidRPr="00C84632">
        <w:t xml:space="preserve">, </w:t>
      </w:r>
      <w:r w:rsidR="006D5170">
        <w:t>imine</w:t>
      </w:r>
      <w:r>
        <w:t xml:space="preserve"> (100 mg)</w:t>
      </w:r>
      <w:r w:rsidRPr="00C84632">
        <w:t xml:space="preserve"> was dissolved in d</w:t>
      </w:r>
      <w:r>
        <w:t>6</w:t>
      </w:r>
      <w:r>
        <w:noBreakHyphen/>
      </w:r>
      <w:r w:rsidRPr="00C84632">
        <w:t>DMSO</w:t>
      </w:r>
      <w:r>
        <w:t xml:space="preserve"> (1 mL)</w:t>
      </w:r>
      <w:r w:rsidRPr="00C84632">
        <w:t xml:space="preserve">, filtered and placed </w:t>
      </w:r>
      <w:r>
        <w:t xml:space="preserve">in a 7 </w:t>
      </w:r>
      <w:r w:rsidRPr="007D0601">
        <w:t>inch NMR tube</w:t>
      </w:r>
      <w:r w:rsidRPr="00C84632">
        <w:t xml:space="preserve">. </w:t>
      </w:r>
      <w:r w:rsidRPr="005C3369">
        <w:rPr>
          <w:vertAlign w:val="superscript"/>
        </w:rPr>
        <w:t>1</w:t>
      </w:r>
      <w:r>
        <w:t>H NMR spectra were</w:t>
      </w:r>
      <w:r w:rsidRPr="0081354C">
        <w:t xml:space="preserve"> </w:t>
      </w:r>
      <w:r>
        <w:t>acquired</w:t>
      </w:r>
      <w:r w:rsidRPr="00C84632">
        <w:t xml:space="preserve"> on day 0 and day 7</w:t>
      </w:r>
      <w:r>
        <w:t xml:space="preserve"> using</w:t>
      </w:r>
      <w:r w:rsidRPr="00C84632">
        <w:t xml:space="preserve"> a Bruker </w:t>
      </w:r>
      <w:r w:rsidRPr="002363A9">
        <w:t>AVANCE</w:t>
      </w:r>
      <w:r w:rsidRPr="003B5CD7">
        <w:t xml:space="preserve"> NMR spectrometer </w:t>
      </w:r>
      <w:r>
        <w:t>operating at 400 MHz. S</w:t>
      </w:r>
      <w:r w:rsidRPr="00B421B1">
        <w:t>amples</w:t>
      </w:r>
      <w:r w:rsidRPr="00C84632">
        <w:t xml:space="preserve"> were stored in the dark at ambient temperature between time points.</w:t>
      </w:r>
    </w:p>
    <w:p w14:paraId="4CF7002F" w14:textId="77777777" w:rsidR="00AF52F5" w:rsidRPr="00665228" w:rsidRDefault="00AF52F5" w:rsidP="00AF52F5">
      <w:r w:rsidRPr="00C84632">
        <w:t>For stability experiments</w:t>
      </w:r>
      <w:r>
        <w:t xml:space="preserve"> in </w:t>
      </w:r>
      <w:r w:rsidRPr="00C84632">
        <w:t>H</w:t>
      </w:r>
      <w:r w:rsidRPr="00C84632">
        <w:rPr>
          <w:vertAlign w:val="subscript"/>
        </w:rPr>
        <w:t>2</w:t>
      </w:r>
      <w:r w:rsidRPr="00C84632">
        <w:t>O, imine</w:t>
      </w:r>
      <w:r>
        <w:t xml:space="preserve"> (20 mg)</w:t>
      </w:r>
      <w:r w:rsidRPr="00C84632">
        <w:t xml:space="preserve"> was dissolved in d</w:t>
      </w:r>
      <w:r>
        <w:t>6</w:t>
      </w:r>
      <w:r>
        <w:noBreakHyphen/>
      </w:r>
      <w:r w:rsidRPr="00C84632">
        <w:t>DMSO</w:t>
      </w:r>
      <w:r>
        <w:t xml:space="preserve"> (1 mL) and diluted 1 in </w:t>
      </w:r>
      <w:r w:rsidRPr="00C84632">
        <w:t>100 in deionised H</w:t>
      </w:r>
      <w:r w:rsidRPr="00C84632">
        <w:rPr>
          <w:vertAlign w:val="subscript"/>
        </w:rPr>
        <w:t>2</w:t>
      </w:r>
      <w:r w:rsidRPr="00C84632">
        <w:t xml:space="preserve">O, filtered and placed in </w:t>
      </w:r>
      <w:r w:rsidRPr="007D0601">
        <w:t>a 7 inch NMR tube.</w:t>
      </w:r>
      <w:r w:rsidRPr="00C84632">
        <w:t xml:space="preserve"> A capillary containing </w:t>
      </w:r>
      <w:r>
        <w:t>d6-</w:t>
      </w:r>
      <w:r w:rsidRPr="00C84632">
        <w:t>DMSO was pl</w:t>
      </w:r>
      <w:r>
        <w:t xml:space="preserve">aced inside the sample NMR tube </w:t>
      </w:r>
      <w:r w:rsidRPr="00C84632">
        <w:t xml:space="preserve">as a lock solvent. </w:t>
      </w:r>
      <w:r w:rsidRPr="003B5CD7">
        <w:rPr>
          <w:vertAlign w:val="superscript"/>
        </w:rPr>
        <w:t>1</w:t>
      </w:r>
      <w:r>
        <w:t>H </w:t>
      </w:r>
      <w:r w:rsidRPr="00C84632">
        <w:t xml:space="preserve">NMR spectra were </w:t>
      </w:r>
      <w:r>
        <w:t>acquired</w:t>
      </w:r>
      <w:r w:rsidRPr="00C84632">
        <w:t xml:space="preserve"> on a Bruker </w:t>
      </w:r>
      <w:r w:rsidRPr="002363A9">
        <w:t>AVANCE</w:t>
      </w:r>
      <w:r w:rsidRPr="003B5CD7">
        <w:t xml:space="preserve"> NMR spectrometer </w:t>
      </w:r>
      <w:r>
        <w:t xml:space="preserve">operating at 400 MHz </w:t>
      </w:r>
      <w:r w:rsidRPr="00C84632">
        <w:t>with H</w:t>
      </w:r>
      <w:r w:rsidRPr="00C84632">
        <w:rPr>
          <w:vertAlign w:val="subscript"/>
        </w:rPr>
        <w:t>2</w:t>
      </w:r>
      <w:r>
        <w:t>O solvent suppression.</w:t>
      </w:r>
      <w:r w:rsidRPr="00C84632">
        <w:t xml:space="preserve"> </w:t>
      </w:r>
      <w:r>
        <w:rPr>
          <w:color w:val="000000" w:themeColor="text1"/>
        </w:rPr>
        <w:t>Spectra were recorded</w:t>
      </w:r>
      <w:r w:rsidRPr="00F93EF9">
        <w:rPr>
          <w:color w:val="000000" w:themeColor="text1"/>
        </w:rPr>
        <w:t xml:space="preserve"> on days 0 and day 7 and samples were stored in the dark at ambient temperature between time points.</w:t>
      </w:r>
    </w:p>
    <w:p w14:paraId="3ACEEF8E" w14:textId="77777777" w:rsidR="00AF52F5" w:rsidRPr="00C84632" w:rsidRDefault="00AF52F5" w:rsidP="006D5170">
      <w:pPr>
        <w:pStyle w:val="Heading4"/>
      </w:pPr>
      <w:r w:rsidRPr="00C84632">
        <w:t>Variable temperature</w:t>
      </w:r>
      <w:r>
        <w:t xml:space="preserve"> </w:t>
      </w:r>
      <w:r w:rsidRPr="00387BDD">
        <w:rPr>
          <w:vertAlign w:val="superscript"/>
        </w:rPr>
        <w:t>1</w:t>
      </w:r>
      <w:r>
        <w:t>H</w:t>
      </w:r>
      <w:r w:rsidRPr="00C84632">
        <w:t xml:space="preserve"> NMR</w:t>
      </w:r>
    </w:p>
    <w:p w14:paraId="2FC8E451" w14:textId="1C24AE16" w:rsidR="00AF52F5" w:rsidRDefault="00AF52F5" w:rsidP="00AF52F5">
      <w:r>
        <w:t xml:space="preserve">Compound </w:t>
      </w:r>
      <w:r w:rsidRPr="00995D40">
        <w:rPr>
          <w:b/>
        </w:rPr>
        <w:t>1b</w:t>
      </w:r>
      <w:r>
        <w:t xml:space="preserve"> (</w:t>
      </w:r>
      <w:r w:rsidRPr="004D3AD8">
        <w:t>2-(2-cyanoethyliminomethyl)pheno</w:t>
      </w:r>
      <w:r>
        <w:t>l) (200 mg) was dissolved in d6-DMSO (1 mL) before 1 in 100 dilution in deionised H</w:t>
      </w:r>
      <w:r w:rsidRPr="001A1C73">
        <w:rPr>
          <w:vertAlign w:val="subscript"/>
        </w:rPr>
        <w:t>2</w:t>
      </w:r>
      <w:r>
        <w:t xml:space="preserve">O and placed in a 7 inch NMR tube. A capillary containing d6-DMSO </w:t>
      </w:r>
      <w:r w:rsidRPr="00C84632">
        <w:t xml:space="preserve">was placed inside the sample NMR </w:t>
      </w:r>
      <w:r>
        <w:t xml:space="preserve">tube and used as a lock solvent. Spectra were collected on a Bruker </w:t>
      </w:r>
      <w:r w:rsidRPr="002363A9">
        <w:t>AVANCE</w:t>
      </w:r>
      <w:r>
        <w:t xml:space="preserve"> III NMR spectrometer </w:t>
      </w:r>
      <w:r w:rsidR="00137609">
        <w:t xml:space="preserve">operating </w:t>
      </w:r>
      <w:r>
        <w:t xml:space="preserve">at 500 MHz, </w:t>
      </w:r>
      <w:r w:rsidRPr="00C84632">
        <w:t>with H</w:t>
      </w:r>
      <w:r w:rsidRPr="00C84632">
        <w:rPr>
          <w:vertAlign w:val="subscript"/>
        </w:rPr>
        <w:t>2</w:t>
      </w:r>
      <w:r>
        <w:t>O solvent suppression and the temperature set to 4, 20 and 37 </w:t>
      </w:r>
      <w:r>
        <w:sym w:font="Symbol" w:char="F0B0"/>
      </w:r>
      <w:r>
        <w:t xml:space="preserve">C. Sample was allowed to equilibriate at each temperature for 15 minutes prior to acquisition. </w:t>
      </w:r>
    </w:p>
    <w:p w14:paraId="48EBC713" w14:textId="77777777" w:rsidR="00AF52F5" w:rsidRPr="00665228" w:rsidRDefault="00AF52F5" w:rsidP="006D5170">
      <w:pPr>
        <w:pStyle w:val="Heading4"/>
      </w:pPr>
      <w:r w:rsidRPr="00665228">
        <w:rPr>
          <w:vertAlign w:val="superscript"/>
        </w:rPr>
        <w:lastRenderedPageBreak/>
        <w:t>1</w:t>
      </w:r>
      <w:r w:rsidRPr="00665228">
        <w:t>H NMR with ethanol and water double solvent suppression</w:t>
      </w:r>
    </w:p>
    <w:p w14:paraId="184100F7" w14:textId="77777777" w:rsidR="00AF52F5" w:rsidRPr="00150354" w:rsidRDefault="00AF52F5" w:rsidP="00AF52F5">
      <w:r>
        <w:t xml:space="preserve">Compound </w:t>
      </w:r>
      <w:r w:rsidRPr="00995D40">
        <w:rPr>
          <w:b/>
        </w:rPr>
        <w:t>1b</w:t>
      </w:r>
      <w:r>
        <w:t xml:space="preserve"> (</w:t>
      </w:r>
      <w:r w:rsidRPr="004D3AD8">
        <w:t>2-(2-cyanoethyliminomethyl)pheno</w:t>
      </w:r>
      <w:r>
        <w:t xml:space="preserve">l) (20 mg) was dissolved in absolute ethanol (1 mL). From this stock, a sample was diluted 1 in 10 in ethanol to produce a 2 mg/mL solution in absolute ethanol. Subsequent samples were prepared with increasing water content to produce solutions of 2 mg/mL compound </w:t>
      </w:r>
      <w:r w:rsidRPr="00665228">
        <w:rPr>
          <w:b/>
        </w:rPr>
        <w:t>1b</w:t>
      </w:r>
      <w:r>
        <w:t xml:space="preserve"> in ratios of ethanol: water from 90:10 to 10:90. </w:t>
      </w:r>
      <w:r w:rsidRPr="003B5CD7">
        <w:rPr>
          <w:vertAlign w:val="superscript"/>
        </w:rPr>
        <w:t>1</w:t>
      </w:r>
      <w:r>
        <w:t>H </w:t>
      </w:r>
      <w:r w:rsidRPr="00C84632">
        <w:t xml:space="preserve">NMR spectra were </w:t>
      </w:r>
      <w:r>
        <w:t>acquired</w:t>
      </w:r>
      <w:r w:rsidRPr="00C84632">
        <w:t xml:space="preserve"> on a Bruker </w:t>
      </w:r>
      <w:r w:rsidRPr="002363A9">
        <w:t>AVANCE</w:t>
      </w:r>
      <w:r w:rsidRPr="003B5CD7">
        <w:t xml:space="preserve"> NMR spectrometer </w:t>
      </w:r>
      <w:r>
        <w:t>operating at 400 MHz</w:t>
      </w:r>
      <w:r w:rsidRPr="00665228">
        <w:t xml:space="preserve"> </w:t>
      </w:r>
      <w:r w:rsidRPr="00C84632">
        <w:t>with H</w:t>
      </w:r>
      <w:r w:rsidRPr="00C84632">
        <w:rPr>
          <w:vertAlign w:val="subscript"/>
        </w:rPr>
        <w:t>2</w:t>
      </w:r>
      <w:r>
        <w:t>O and EtOH solvent suppression.</w:t>
      </w:r>
    </w:p>
    <w:p w14:paraId="10CECE23" w14:textId="77777777" w:rsidR="00AF52F5" w:rsidRPr="00C84632" w:rsidRDefault="00AF52F5" w:rsidP="006D5170">
      <w:pPr>
        <w:pStyle w:val="Heading4"/>
      </w:pPr>
      <w:r w:rsidRPr="00C84632">
        <w:t>Fourier Transform Infrared Spectroscopy (FTIR)</w:t>
      </w:r>
    </w:p>
    <w:p w14:paraId="68C6D65A" w14:textId="77777777" w:rsidR="00AF52F5" w:rsidRDefault="00AF52F5" w:rsidP="00AF52F5">
      <w:r w:rsidRPr="00C84632">
        <w:t>Attenuated Total Reflectance Fourier Transform Infrared (ATR-FTIR) spectra were recorded on a ThermoScientific Nicolet iS10 spectrometer and analysed on Omnic. Data was collected by averaging over 32 scans at 2 cm</w:t>
      </w:r>
      <w:r w:rsidRPr="00C84632">
        <w:rPr>
          <w:vertAlign w:val="superscript"/>
        </w:rPr>
        <w:t>-1</w:t>
      </w:r>
      <w:r w:rsidRPr="00C84632">
        <w:t xml:space="preserve"> resolution.</w:t>
      </w:r>
      <w:r>
        <w:t xml:space="preserve"> </w:t>
      </w:r>
    </w:p>
    <w:p w14:paraId="2F1A1908" w14:textId="55A3AF00" w:rsidR="00AF52F5" w:rsidRPr="0078270E" w:rsidRDefault="00AF52F5" w:rsidP="00AF52F5">
      <w:r>
        <w:t xml:space="preserve">Samples for </w:t>
      </w:r>
      <w:r w:rsidR="006D5170">
        <w:t>potassium bromide (</w:t>
      </w:r>
      <w:r>
        <w:t>KBr</w:t>
      </w:r>
      <w:r w:rsidR="006D5170">
        <w:t>)</w:t>
      </w:r>
      <w:r>
        <w:t xml:space="preserve"> FTIR analysis were prepared as follows. Sample (2 mg) was ground with dry KBr (300 mg) in a pestle and mortar. Mixture was placed in a cylinder bore and compressed by hydraulic press under vacuum for 2 minutes. KBr FTIR</w:t>
      </w:r>
      <w:r w:rsidRPr="00C84632">
        <w:t xml:space="preserve"> spectra were recorded on</w:t>
      </w:r>
      <w:r>
        <w:t xml:space="preserve"> a</w:t>
      </w:r>
      <w:r w:rsidRPr="00C84632">
        <w:t xml:space="preserve"> Perkin Elmer FTIR spectrometer and analysed on Spectrum. Data was collected </w:t>
      </w:r>
      <w:r>
        <w:t>by averaging over 32 scans at 4 </w:t>
      </w:r>
      <w:r w:rsidRPr="00C84632">
        <w:t>cm</w:t>
      </w:r>
      <w:r w:rsidRPr="00C84632">
        <w:rPr>
          <w:vertAlign w:val="superscript"/>
        </w:rPr>
        <w:t>-1</w:t>
      </w:r>
      <w:r w:rsidRPr="00C84632">
        <w:t xml:space="preserve"> resolution.</w:t>
      </w:r>
    </w:p>
    <w:p w14:paraId="173F15AF" w14:textId="77777777" w:rsidR="00AF52F5" w:rsidRPr="00C84632" w:rsidRDefault="00AF52F5" w:rsidP="006D5170">
      <w:pPr>
        <w:pStyle w:val="Heading4"/>
      </w:pPr>
      <w:r w:rsidRPr="00C84632">
        <w:t>Elemental Analysis</w:t>
      </w:r>
    </w:p>
    <w:p w14:paraId="6A2FA2E1" w14:textId="77777777" w:rsidR="00AF52F5" w:rsidRPr="0078270E" w:rsidRDefault="00AF52F5" w:rsidP="00AF52F5">
      <w:r w:rsidRPr="00C84632">
        <w:t>Carbon, hydrogen and nitrogen content was analysed using an Elementar vario Microcube analyser.</w:t>
      </w:r>
      <w:r>
        <w:t xml:space="preserve"> </w:t>
      </w:r>
    </w:p>
    <w:p w14:paraId="40887671" w14:textId="77777777" w:rsidR="00AF52F5" w:rsidRPr="00C84632" w:rsidRDefault="00AF52F5" w:rsidP="006D5170">
      <w:pPr>
        <w:pStyle w:val="Heading4"/>
      </w:pPr>
      <w:r w:rsidRPr="00C84632">
        <w:t>Melting point</w:t>
      </w:r>
    </w:p>
    <w:p w14:paraId="4E34ABAF" w14:textId="77777777" w:rsidR="00AF52F5" w:rsidRPr="001A1C73" w:rsidRDefault="00AF52F5" w:rsidP="00AF52F5">
      <w:r w:rsidRPr="00C84632">
        <w:t>Melting point analysis was performed on a Sanyo Gallenkamp melting point analyser.</w:t>
      </w:r>
      <w:r>
        <w:t xml:space="preserve"> </w:t>
      </w:r>
    </w:p>
    <w:p w14:paraId="55AB4239" w14:textId="77777777" w:rsidR="00AF52F5" w:rsidRPr="00112CEF" w:rsidRDefault="00AF52F5" w:rsidP="006D5170">
      <w:pPr>
        <w:pStyle w:val="Heading4"/>
      </w:pPr>
      <w:r w:rsidRPr="00112CEF">
        <w:t>Liquid Chromatography</w:t>
      </w:r>
      <w:r>
        <w:t xml:space="preserve"> </w:t>
      </w:r>
      <w:r w:rsidRPr="00112CEF">
        <w:t>- Mass Spectrometry (LC-MS)</w:t>
      </w:r>
    </w:p>
    <w:p w14:paraId="261862E5" w14:textId="003F52AE" w:rsidR="00AF52F5" w:rsidRPr="00E11A89" w:rsidRDefault="00AF52F5" w:rsidP="00AF52F5">
      <w:r w:rsidRPr="00C84632">
        <w:t>Mass spectrometry was carried out on an A</w:t>
      </w:r>
      <w:r>
        <w:t xml:space="preserve">gilent 6530 Accurate-Mass Q-TOF using an </w:t>
      </w:r>
      <w:r w:rsidRPr="00AA76F6">
        <w:t>Agilent 1260 Infinity</w:t>
      </w:r>
      <w:r>
        <w:t xml:space="preserve"> liquid chromatography machine and an Agilent Extended C18 2.1 mm </w:t>
      </w:r>
      <w:r>
        <w:sym w:font="Symbol" w:char="F0B4"/>
      </w:r>
      <w:r w:rsidRPr="00AA76F6">
        <w:t xml:space="preserve"> 50</w:t>
      </w:r>
      <w:r>
        <w:t xml:space="preserve"> </w:t>
      </w:r>
      <w:r w:rsidRPr="00AA76F6">
        <w:t>mm</w:t>
      </w:r>
      <w:r>
        <w:t xml:space="preserve"> column. Mobile phase consisted of solvent A: 0.1 % formic acid, and solvent B:</w:t>
      </w:r>
      <w:r w:rsidRPr="00AA76F6">
        <w:t xml:space="preserve"> </w:t>
      </w:r>
      <w:r w:rsidR="006D5170">
        <w:t>a</w:t>
      </w:r>
      <w:r w:rsidRPr="00AA76F6">
        <w:t>cetonitrile/</w:t>
      </w:r>
      <w:r>
        <w:t> </w:t>
      </w:r>
      <w:r w:rsidRPr="00AA76F6">
        <w:t>0.1</w:t>
      </w:r>
      <w:r>
        <w:t> </w:t>
      </w:r>
      <w:r w:rsidRPr="00AA76F6">
        <w:t>% formic acid</w:t>
      </w:r>
      <w:r>
        <w:t xml:space="preserve">, run as a gradient from </w:t>
      </w:r>
      <w:r w:rsidRPr="00AA76F6">
        <w:t>5</w:t>
      </w:r>
      <w:r>
        <w:t> </w:t>
      </w:r>
      <w:r w:rsidRPr="00AA76F6">
        <w:t>%</w:t>
      </w:r>
      <w:r>
        <w:t xml:space="preserve"> solvent </w:t>
      </w:r>
      <w:r w:rsidRPr="00AA76F6">
        <w:t>B to 95</w:t>
      </w:r>
      <w:r>
        <w:t> </w:t>
      </w:r>
      <w:r w:rsidRPr="00AA76F6">
        <w:t xml:space="preserve">% </w:t>
      </w:r>
      <w:r>
        <w:t xml:space="preserve">solvent </w:t>
      </w:r>
      <w:r w:rsidRPr="00AA76F6">
        <w:t>B in 10 minutes</w:t>
      </w:r>
      <w:r>
        <w:t xml:space="preserve">. The injection volume was 1.0 µL and flow 0.4 mL/min. Samples were run in electrospray ionisation (ESI) positive mode unless otherwise stated. </w:t>
      </w:r>
    </w:p>
    <w:p w14:paraId="1096AB09" w14:textId="77777777" w:rsidR="00AF52F5" w:rsidRPr="00555437" w:rsidRDefault="00AF52F5" w:rsidP="006D5170">
      <w:pPr>
        <w:pStyle w:val="Heading4"/>
      </w:pPr>
      <w:r w:rsidRPr="00555437">
        <w:lastRenderedPageBreak/>
        <w:t>Single Crystal X-ray Diffraction (XRD)</w:t>
      </w:r>
    </w:p>
    <w:p w14:paraId="7F2C2273" w14:textId="005CD504" w:rsidR="00AF52F5" w:rsidRDefault="00AF52F5" w:rsidP="00AF52F5">
      <w:r>
        <w:t>Intensity data was collected at 100 K on a Bruker D8 Venture diffractometer equipped with a Photon 100 CMOS detector using a CuKα microfocus X-ray source from crystals mounted in fomblin oil on a MiTiGen microloop and cooled in a stream of cold N</w:t>
      </w:r>
      <w:r w:rsidRPr="00555437">
        <w:rPr>
          <w:vertAlign w:val="subscript"/>
        </w:rPr>
        <w:t>2</w:t>
      </w:r>
      <w:r>
        <w:t xml:space="preserve">. </w:t>
      </w:r>
      <w:r w:rsidRPr="001C4D32">
        <w:t>Data were corrected for absorption using empirical methods</w:t>
      </w:r>
      <w:r w:rsidRPr="001C4D32">
        <w:fldChar w:fldCharType="begin" w:fldLock="1"/>
      </w:r>
      <w:r w:rsidR="0085447D">
        <w:instrText>ADDIN CSL_CITATION {"citationItems":[{"id":"ITEM-1","itemData":{"author":[{"dropping-particle":"","family":"Bruker","given":"","non-dropping-particle":"","parse-names":false,"suffix":""}],"id":"ITEM-1","issued":{"date-parts":[["2016"]]},"publisher":"Bruker Axs Inc","publisher-place":"Madison, Wisconsin, USA.","title":"SADABS","type":"article"},"uris":["http://www.mendeley.com/documents/?uuid=747f2644-e76a-4f5c-902e-aeafcf4decb2"]}],"mendeley":{"formattedCitation":"&lt;sup&gt;156&lt;/sup&gt;","plainTextFormattedCitation":"156","previouslyFormattedCitation":"&lt;sup&gt;156&lt;/sup&gt;"},"properties":{"noteIndex":0},"schema":"https://github.com/citation-style-language/schema/raw/master/csl-citation.json"}</w:instrText>
      </w:r>
      <w:r w:rsidRPr="001C4D32">
        <w:fldChar w:fldCharType="separate"/>
      </w:r>
      <w:r w:rsidR="00B02713" w:rsidRPr="00B02713">
        <w:rPr>
          <w:noProof/>
          <w:vertAlign w:val="superscript"/>
        </w:rPr>
        <w:t>156</w:t>
      </w:r>
      <w:r w:rsidRPr="001C4D32">
        <w:fldChar w:fldCharType="end"/>
      </w:r>
      <w:r w:rsidRPr="001C4D32">
        <w:t xml:space="preserve"> based upon symmetry equivalent reflections combined with measurements at different azimuthal angles.</w:t>
      </w:r>
      <w:r w:rsidRPr="001C4D32">
        <w:fldChar w:fldCharType="begin" w:fldLock="1"/>
      </w:r>
      <w:r w:rsidR="0085447D">
        <w:instrText>ADDIN CSL_CITATION {"citationItems":[{"id":"ITEM-1","itemData":{"DOI":"10.1107/S1600576714022985","ISBN":"0021-8898","ISSN":"16005767","PMID":"26089746","abstract":"The quality of diffraction data obtained using silver and molybdenum microsources has been compared for six model compounds with a wide range of absorption factors. The experiments were performed on two 30 W air-cooled Incoatec IµS microfocus sources with multilayer optics mounted on a Bruker D8 goniometer with a SMART APEX II CCD detector. All data were analysed, processed and refined using standard Bruker software. The results show that Ag K α radiation can be beneficial when heavy elements are involved. A numerical absorption correction based on the positions and indices of the crystal faces is shown to be of limited use for the highly focused microsource beams, presumably because the assumption that the crystal is completely bathed in a (top-hat profile) beam of uniform intensity is no longer valid. Fortunately the empirical corrections implemented in SADABS , although originally intended as a correction for absorption, also correct rather well for the variations in the effective volume of the crystal irradiated. In three of the cases studied (two Ag and one Mo) the final SHELXL R 1 against all data after application of empirical corrections implemented in SADABS was below 1%. Since such corrections are designed to optimize the agreement of the intensities of equivalent reflections with different paths through the crystal but the same Bragg 2θ angles, a further correction is required for the 2θ dependence of the absorption. For this, SADABS uses the transmission factor of a spherical crystal with a user-defined value of μ r (where μ is the linear absorption coefficient and r is the effective radius of the crystal); the best results are obtained when r is biased towards the smallest crystal dimension. The results presented here suggest that the IUCr publication requirement that a numerical absorption correction must be applied for strongly absorbing crystals is in need of revision.","author":[{"dropping-particle":"","family":"Krause","given":"Lennard","non-dropping-particle":"","parse-names":false,"suffix":""},{"dropping-particle":"","family":"Herbst-Irmer","given":"Regine","non-dropping-particle":"","parse-names":false,"suffix":""},{"dropping-particle":"","family":"Sheldrick","given":"George M.","non-dropping-particle":"","parse-names":false,"suffix":""},{"dropping-particle":"","family":"Stalke","given":"Dietmar","non-dropping-particle":"","parse-names":false,"suffix":""}],"container-title":"Journal of Applied Crystallography","id":"ITEM-1","issue":"1","issued":{"date-parts":[["2015"]]},"page":"3-10","publisher":"International Union of Crystallography","title":"Comparison of silver and molybdenum microfocus X-ray sources for single-crystal structure determination","type":"article-journal","volume":"48"},"uris":["http://www.mendeley.com/documents/?uuid=64ac708b-5935-44c4-af57-dca840d6571b"]}],"mendeley":{"formattedCitation":"&lt;sup&gt;157&lt;/sup&gt;","plainTextFormattedCitation":"157","previouslyFormattedCitation":"&lt;sup&gt;157&lt;/sup&gt;"},"properties":{"noteIndex":0},"schema":"https://github.com/citation-style-language/schema/raw/master/csl-citation.json"}</w:instrText>
      </w:r>
      <w:r w:rsidRPr="001C4D32">
        <w:fldChar w:fldCharType="separate"/>
      </w:r>
      <w:r w:rsidR="00B02713" w:rsidRPr="00B02713">
        <w:rPr>
          <w:noProof/>
          <w:vertAlign w:val="superscript"/>
        </w:rPr>
        <w:t>157</w:t>
      </w:r>
      <w:r w:rsidRPr="001C4D32">
        <w:fldChar w:fldCharType="end"/>
      </w:r>
      <w:r w:rsidRPr="001C4D32">
        <w:t xml:space="preserve"> The crystal structures were solved and refined against F2 values using ShelXT</w:t>
      </w:r>
      <w:r w:rsidRPr="001C4D32">
        <w:fldChar w:fldCharType="begin" w:fldLock="1"/>
      </w:r>
      <w:r w:rsidR="0085447D">
        <w:instrText>ADDIN CSL_CITATION {"citationItems":[{"id":"ITEM-1","itemData":{"DOI":"10.1107/S2053273314026370","ISBN":"2053-2733","ISSN":"16005724","PMID":"25537383","abstract":"The new computer program SHELXT employs a novel dual-space algorithm to solve the phase problem for single-crystal reflection data expanded to the space group P 1. Missing data are taken into account and the resolution extended if necessary. All space groups in the specified Laue group are tested to find which are consistent with the P 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atoms.","author":[{"dropping-particle":"","family":"Sheldrick","given":"George M.","non-dropping-particle":"","parse-names":false,"suffix":""}],"container-title":"Acta Crystallographica Section A: Foundations of Crystallography","id":"ITEM-1","issue":"1","issued":{"date-parts":[["2015"]]},"page":"3-8","publisher":"International Union of Crystallography","title":"SHELXT - Integrated space-group and crystal-structure determination","type":"article-journal","volume":"71"},"uris":["http://www.mendeley.com/documents/?uuid=dc2b251d-9f22-4928-8dc9-93f2eb60a0a9"]}],"mendeley":{"formattedCitation":"&lt;sup&gt;158&lt;/sup&gt;","plainTextFormattedCitation":"158","previouslyFormattedCitation":"&lt;sup&gt;158&lt;/sup&gt;"},"properties":{"noteIndex":0},"schema":"https://github.com/citation-style-language/schema/raw/master/csl-citation.json"}</w:instrText>
      </w:r>
      <w:r w:rsidRPr="001C4D32">
        <w:fldChar w:fldCharType="separate"/>
      </w:r>
      <w:r w:rsidR="00B02713" w:rsidRPr="00B02713">
        <w:rPr>
          <w:noProof/>
          <w:vertAlign w:val="superscript"/>
        </w:rPr>
        <w:t>158</w:t>
      </w:r>
      <w:r w:rsidRPr="001C4D32">
        <w:fldChar w:fldCharType="end"/>
      </w:r>
      <w:r w:rsidRPr="001C4D32">
        <w:t xml:space="preserve"> for solution and ShelXL</w:t>
      </w:r>
      <w:r w:rsidRPr="001C4D32">
        <w:fldChar w:fldCharType="begin" w:fldLock="1"/>
      </w:r>
      <w:r w:rsidR="0085447D">
        <w:instrText>ADDIN CSL_CITATION {"citationItems":[{"id":"ITEM-1","itemData":{"DOI":"10.1107/S2053229614024218","ISBN":"2053-2296 (Electronic)","ISSN":"20532296","PMID":"25567568","abstract":"The improvements in the crystal structure refinement program SHELXL have been closely coupled with the development and increasing importance of the CIF (Crystallographic Information Framework) format for validating and archiving crystal structures. An important simplification is that now only one file in CIF format (for convenience, referred to simply as `a CIF') containing embedded reflection data and SHELXL instructions is needed for a complete structure archive; the program SHREDCIF can be used to extract the .hkl and .ins files required for further refinement with SHELXL. Recent developments in SHELXL facilitate refinement against neutron diffraction data, the treatment of H atoms, the determination of absolute structure, the input of partial structure factors and the refinement of twinned and disordered structures. SHELXL is available free to academics for the Windows, Linux and Mac OS X operating systems, and is particularly suitable for multiple-core processors.","author":[{"dropping-particle":"","family":"Sheldrick","given":"George M.","non-dropping-particle":"","parse-names":false,"suffix":""}],"container-title":"Acta Crystallographica Section C: Structural Chemistry","id":"ITEM-1","issue":"Md","issued":{"date-parts":[["2015"]]},"page":"3-8","publisher":"International Union of Crystallography","title":"Crystal structure refinement with SHELXL","type":"article-journal","volume":"71"},"uris":["http://www.mendeley.com/documents/?uuid=fd08f5a7-4265-45c8-9f8a-3a1c1ca14d56"]}],"mendeley":{"formattedCitation":"&lt;sup&gt;159&lt;/sup&gt;","plainTextFormattedCitation":"159","previouslyFormattedCitation":"&lt;sup&gt;159&lt;/sup&gt;"},"properties":{"noteIndex":0},"schema":"https://github.com/citation-style-language/schema/raw/master/csl-citation.json"}</w:instrText>
      </w:r>
      <w:r w:rsidRPr="001C4D32">
        <w:fldChar w:fldCharType="separate"/>
      </w:r>
      <w:r w:rsidR="00B02713" w:rsidRPr="00B02713">
        <w:rPr>
          <w:noProof/>
          <w:vertAlign w:val="superscript"/>
        </w:rPr>
        <w:t>159</w:t>
      </w:r>
      <w:r w:rsidRPr="001C4D32">
        <w:fldChar w:fldCharType="end"/>
      </w:r>
      <w:r w:rsidRPr="001C4D32">
        <w:t xml:space="preserve"> for refinement accessed via the Olex2 program.</w:t>
      </w:r>
      <w:r w:rsidRPr="001C4D32">
        <w:fldChar w:fldCharType="begin" w:fldLock="1"/>
      </w:r>
      <w:r w:rsidR="0085447D">
        <w:instrText>ADDIN CSL_CITATION {"citationItems":[{"id":"ITEM-1","itemData":{"DOI":"10.1107/S0021889808042726","ISBN":"0021-8898","ISSN":"00218898","PMID":"5965125","abstract":"&lt;p&gt; New software, &lt;italic&gt;OLEX2&lt;/italic&gt; , has been developed for the determination, visualization and analysis of molecular crystal structures. The software has a portable mouse-driven workflow-oriented and fully comprehensive graphical user interface for structure solution, refinement and report generation, as well as novel tools for structure analysis. &lt;italic&gt;OLEX2&lt;/italic&gt; seamlessly links all aspects of the structure solution, refinement and publication process and presents them in a single workflow-driven package, with the ultimate goal of producing an application which will be useful to both chemists and crystallographers. &lt;/p&gt;","author":[{"dropping-particle":"V.","family":"Dolomanov","given":"Oleg","non-dropping-particle":"","parse-names":false,"suffix":""},{"dropping-particle":"","family":"Bourhis","given":"Luc J.","non-dropping-particle":"","parse-names":false,"suffix":""},{"dropping-particle":"","family":"Gildea","given":"Richard J.","non-dropping-particle":"","parse-names":false,"suffix":""},{"dropping-particle":"","family":"Howard","given":"Judith A K","non-dropping-particle":"","parse-names":false,"suffix":""},{"dropping-particle":"","family":"Puschmann","given":"Horst","non-dropping-particle":"","parse-names":false,"suffix":""}],"container-title":"Journal of Applied Crystallography","id":"ITEM-1","issue":"2","issued":{"date-parts":[["2009"]]},"page":"339-341","publisher":"International Union of Crystallography","title":"OLEX2: A complete structure solution, refinement and analysis program","type":"article-journal","volume":"42"},"uris":["http://www.mendeley.com/documents/?uuid=dc7f304e-526f-425f-93e3-4fa883ee8ef8"]}],"mendeley":{"formattedCitation":"&lt;sup&gt;160&lt;/sup&gt;","plainTextFormattedCitation":"160","previouslyFormattedCitation":"&lt;sup&gt;160&lt;/sup&gt;"},"properties":{"noteIndex":0},"schema":"https://github.com/citation-style-language/schema/raw/master/csl-citation.json"}</w:instrText>
      </w:r>
      <w:r w:rsidRPr="001C4D32">
        <w:fldChar w:fldCharType="separate"/>
      </w:r>
      <w:r w:rsidR="00B02713" w:rsidRPr="00B02713">
        <w:rPr>
          <w:noProof/>
          <w:vertAlign w:val="superscript"/>
        </w:rPr>
        <w:t>160</w:t>
      </w:r>
      <w:r w:rsidRPr="001C4D32">
        <w:fldChar w:fldCharType="end"/>
      </w:r>
      <w:r w:rsidRPr="001C4D32">
        <w:t xml:space="preserve"> Non-hydrogen atoms were refined anisotropically. Hydrogen atoms were placed in calculated positions with ideali</w:t>
      </w:r>
      <w:r w:rsidR="000D450C">
        <w:t>s</w:t>
      </w:r>
      <w:r w:rsidRPr="001C4D32">
        <w:t xml:space="preserve">ed geometries and then refined by employing a riding model and isotropic displacement parameters. </w:t>
      </w:r>
    </w:p>
    <w:p w14:paraId="5B32A018" w14:textId="77777777" w:rsidR="00AF52F5" w:rsidRPr="00C84632" w:rsidRDefault="00AF52F5" w:rsidP="006D5170">
      <w:pPr>
        <w:pStyle w:val="Heading4"/>
      </w:pPr>
      <w:r w:rsidRPr="00C84632">
        <w:t>Ultra Violet/Visible (UV/Vis) spectroscopy</w:t>
      </w:r>
    </w:p>
    <w:p w14:paraId="40349E8C" w14:textId="77777777" w:rsidR="00AF52F5" w:rsidRDefault="00AF52F5" w:rsidP="00AF52F5">
      <w:r>
        <w:t xml:space="preserve">Compound (10 mg) was dissolved in acetonitrile (2 mL) and vortexed. The solution was further diluted 1:1000 in acetonitrile to produce a sample for UV analysis. </w:t>
      </w:r>
      <w:r w:rsidRPr="00C84632">
        <w:t>UV/Vis spectra were recorded on a Shimadzu UV Spectroph</w:t>
      </w:r>
      <w:r>
        <w:t>otometer UV-1800 and analysed using</w:t>
      </w:r>
      <w:r w:rsidRPr="00C84632">
        <w:t xml:space="preserve"> Spectrum Method.</w:t>
      </w:r>
      <w:r>
        <w:t xml:space="preserve"> </w:t>
      </w:r>
    </w:p>
    <w:p w14:paraId="3DB334EE" w14:textId="77777777" w:rsidR="00AF52F5" w:rsidRDefault="00AF52F5" w:rsidP="00AF52F5">
      <w:pPr>
        <w:pStyle w:val="Heading3"/>
      </w:pPr>
      <w:bookmarkStart w:id="61" w:name="_Toc510022994"/>
      <w:bookmarkStart w:id="62" w:name="_Toc525587674"/>
      <w:bookmarkStart w:id="63" w:name="_Toc320882524"/>
      <w:bookmarkStart w:id="64" w:name="_Toc2450994"/>
      <w:r w:rsidRPr="00C84632">
        <w:t>Synthe</w:t>
      </w:r>
      <w:r>
        <w:t>tic Methods</w:t>
      </w:r>
      <w:bookmarkEnd w:id="61"/>
      <w:bookmarkEnd w:id="62"/>
      <w:bookmarkEnd w:id="64"/>
    </w:p>
    <w:p w14:paraId="1F0260A9" w14:textId="77777777" w:rsidR="00AF52F5" w:rsidRPr="00C84632" w:rsidRDefault="00AF52F5" w:rsidP="006D5170">
      <w:pPr>
        <w:pStyle w:val="Heading4"/>
      </w:pPr>
      <w:bookmarkStart w:id="65" w:name="_Toc320882525"/>
      <w:bookmarkStart w:id="66" w:name="_Toc510022995"/>
      <w:bookmarkEnd w:id="63"/>
      <w:r w:rsidRPr="00C84632">
        <w:t xml:space="preserve">Initial </w:t>
      </w:r>
      <w:r>
        <w:t xml:space="preserve">conditions for the </w:t>
      </w:r>
      <w:r w:rsidRPr="00C84632">
        <w:t>synthesis of</w:t>
      </w:r>
      <w:r>
        <w:t xml:space="preserve"> imines from</w:t>
      </w:r>
      <w:r w:rsidRPr="00C84632">
        <w:t xml:space="preserve"> benzaldehyde, anisaldehyde and dodecylaldehyde</w:t>
      </w:r>
      <w:bookmarkEnd w:id="65"/>
      <w:bookmarkEnd w:id="66"/>
    </w:p>
    <w:p w14:paraId="3942F0D6" w14:textId="77777777" w:rsidR="00AF52F5" w:rsidRDefault="00AF52F5" w:rsidP="00AF52F5">
      <w:r>
        <w:t xml:space="preserve">A range of methods and conditions were screened to produce imines from the reaction of </w:t>
      </w:r>
      <w:r w:rsidRPr="00C84632">
        <w:t>β</w:t>
      </w:r>
      <w:r>
        <w:noBreakHyphen/>
      </w:r>
      <w:r w:rsidRPr="00C84632">
        <w:t>APN</w:t>
      </w:r>
      <w:r>
        <w:t xml:space="preserve"> and benzaldehyde, anisaldehyde or</w:t>
      </w:r>
      <w:r w:rsidRPr="00C84632">
        <w:t xml:space="preserve"> dodecylaldehyde</w:t>
      </w:r>
      <w:r>
        <w:t xml:space="preserve">. Products were unable to be isolated, therefore only imine conversions are quoted, determined by </w:t>
      </w:r>
      <w:r w:rsidRPr="006B5DB4">
        <w:rPr>
          <w:vertAlign w:val="superscript"/>
        </w:rPr>
        <w:t>1</w:t>
      </w:r>
      <w:r>
        <w:t>H NMR spectroscopy. Imine conversion was calculated using the ratio of the aldehyde proton peak at ~ 10 ppm to the imine proton peak at ~ 8 ppm.</w:t>
      </w:r>
    </w:p>
    <w:p w14:paraId="581E197B" w14:textId="1F6858D6" w:rsidR="00AF52F5" w:rsidRPr="004440F6" w:rsidRDefault="00AF52F5" w:rsidP="00AF52F5">
      <w:r>
        <w:t>Initial imine syntheses</w:t>
      </w:r>
      <w:r w:rsidRPr="00C84632">
        <w:t xml:space="preserve"> </w:t>
      </w:r>
      <w:r>
        <w:t>were performed</w:t>
      </w:r>
      <w:r w:rsidRPr="00C84632">
        <w:t xml:space="preserve"> according to the following general procedure</w:t>
      </w:r>
      <w:r>
        <w:t>.</w:t>
      </w:r>
      <w:r w:rsidRPr="00C84632">
        <w:t xml:space="preserve"> β</w:t>
      </w:r>
      <w:r>
        <w:noBreakHyphen/>
      </w:r>
      <w:r w:rsidRPr="00C84632">
        <w:t>APN</w:t>
      </w:r>
      <w:r>
        <w:t xml:space="preserve"> fumarate salt</w:t>
      </w:r>
      <w:r w:rsidRPr="00C84632">
        <w:t xml:space="preserve"> (</w:t>
      </w:r>
      <w:r>
        <w:t xml:space="preserve">162 mg, </w:t>
      </w:r>
      <w:r w:rsidRPr="00C84632">
        <w:t>1.3</w:t>
      </w:r>
      <w:r>
        <w:t xml:space="preserve"> </w:t>
      </w:r>
      <w:r w:rsidRPr="00C84632">
        <w:t>mmol) and sodium sulphate (</w:t>
      </w:r>
      <w:r>
        <w:t xml:space="preserve">350 mg, </w:t>
      </w:r>
      <w:r w:rsidRPr="00C84632">
        <w:t>2.5 mmol) were added to a 25 mL round bottom flask followed by triethylamine (</w:t>
      </w:r>
      <w:r>
        <w:t>700 µL, 5.1</w:t>
      </w:r>
      <w:r w:rsidR="000D450C">
        <w:t> </w:t>
      </w:r>
      <w:r>
        <w:t>mmol), aldehyde (1.3</w:t>
      </w:r>
      <w:r w:rsidRPr="00C84632">
        <w:t xml:space="preserve"> mmol) and dried THF (2</w:t>
      </w:r>
      <w:r>
        <w:t xml:space="preserve"> </w:t>
      </w:r>
      <w:r w:rsidRPr="00C84632">
        <w:t xml:space="preserve">mL). </w:t>
      </w:r>
      <w:r>
        <w:t>The mixture</w:t>
      </w:r>
      <w:r w:rsidRPr="00C84632">
        <w:t xml:space="preserve"> was vortexed for 10 seconds</w:t>
      </w:r>
      <w:r>
        <w:t>,</w:t>
      </w:r>
      <w:r w:rsidRPr="00C84632">
        <w:t xml:space="preserve"> flushed with nitrogen</w:t>
      </w:r>
      <w:r>
        <w:t xml:space="preserve"> and stirred for 24 h at ambient temperature. After 24 h a sample was removed and analysed by </w:t>
      </w:r>
      <w:r w:rsidRPr="006B5DB4">
        <w:rPr>
          <w:vertAlign w:val="superscript"/>
        </w:rPr>
        <w:t>1</w:t>
      </w:r>
      <w:r>
        <w:t xml:space="preserve">H NMR spectroscopy. </w:t>
      </w:r>
    </w:p>
    <w:p w14:paraId="15C4786D" w14:textId="77777777" w:rsidR="00AF52F5" w:rsidRPr="00C84632" w:rsidRDefault="00AF52F5" w:rsidP="006D5170">
      <w:pPr>
        <w:pStyle w:val="Heading4"/>
      </w:pPr>
      <w:bookmarkStart w:id="67" w:name="_Toc320882526"/>
      <w:bookmarkStart w:id="68" w:name="_Toc510022996"/>
      <w:r w:rsidRPr="00C84632">
        <w:lastRenderedPageBreak/>
        <w:t>Isolati</w:t>
      </w:r>
      <w:r>
        <w:t>on of</w:t>
      </w:r>
      <w:r w:rsidRPr="00C84632">
        <w:t xml:space="preserve"> β-APN from the commercial furmarate salt</w:t>
      </w:r>
      <w:bookmarkEnd w:id="67"/>
      <w:bookmarkEnd w:id="68"/>
    </w:p>
    <w:p w14:paraId="2D4CA0ED" w14:textId="27D2EACA" w:rsidR="00AF52F5" w:rsidRDefault="00AF52F5" w:rsidP="00AF52F5">
      <w:r w:rsidRPr="00C84632">
        <w:t>β-APN</w:t>
      </w:r>
      <w:r>
        <w:t xml:space="preserve"> fumarate salt</w:t>
      </w:r>
      <w:r w:rsidRPr="00C84632">
        <w:t xml:space="preserve"> (558 mg</w:t>
      </w:r>
      <w:r>
        <w:t>, 4.35 mmol</w:t>
      </w:r>
      <w:r w:rsidRPr="00C84632">
        <w:t>) was dissolved in deionised water (6 mL)</w:t>
      </w:r>
      <w:r>
        <w:t xml:space="preserve"> in a 25 mL round bottom flask</w:t>
      </w:r>
      <w:r w:rsidRPr="00C84632">
        <w:t xml:space="preserve">. </w:t>
      </w:r>
      <w:r>
        <w:t xml:space="preserve">An excess of sodium bicarbonate (750 mg) </w:t>
      </w:r>
      <w:r w:rsidRPr="00C84632">
        <w:t>and dichloromethane</w:t>
      </w:r>
      <w:r>
        <w:t xml:space="preserve"> (DCM) (6 </w:t>
      </w:r>
      <w:r w:rsidRPr="00C84632">
        <w:t>mL</w:t>
      </w:r>
      <w:r>
        <w:t>) w</w:t>
      </w:r>
      <w:r w:rsidR="000D450C">
        <w:t>as</w:t>
      </w:r>
      <w:r>
        <w:t xml:space="preserve"> added. </w:t>
      </w:r>
      <w:r w:rsidR="006D5170">
        <w:t>The m</w:t>
      </w:r>
      <w:r>
        <w:t xml:space="preserve">ixture was added to a 100 mL separating funnel and mixed by inversion. </w:t>
      </w:r>
      <w:r w:rsidR="00FF74C4">
        <w:t xml:space="preserve">The </w:t>
      </w:r>
      <w:r>
        <w:t xml:space="preserve">DCM layer was removed and retained, then an additional 6 mL of DCM was added to the aqueous layer and mixed by inversion. </w:t>
      </w:r>
      <w:r w:rsidR="00FF74C4">
        <w:t>The p</w:t>
      </w:r>
      <w:r>
        <w:t>rocedure was repeated twice</w:t>
      </w:r>
      <w:r w:rsidR="00FF74C4">
        <w:t xml:space="preserve"> more</w:t>
      </w:r>
      <w:r>
        <w:t xml:space="preserve">. The aqueous and organic phases were collected separately and analysed by </w:t>
      </w:r>
      <w:r w:rsidRPr="00FC7923">
        <w:rPr>
          <w:vertAlign w:val="superscript"/>
        </w:rPr>
        <w:t>1</w:t>
      </w:r>
      <w:r>
        <w:t>H NMR spectroscopy for the presence of β</w:t>
      </w:r>
      <w:r>
        <w:noBreakHyphen/>
      </w:r>
      <w:r w:rsidRPr="00C84632">
        <w:t>APN</w:t>
      </w:r>
      <w:r>
        <w:t>.</w:t>
      </w:r>
    </w:p>
    <w:p w14:paraId="6FC667D5" w14:textId="77777777" w:rsidR="00AF52F5" w:rsidRPr="00C84632" w:rsidRDefault="00AF52F5" w:rsidP="006D5170">
      <w:pPr>
        <w:pStyle w:val="Heading4"/>
      </w:pPr>
      <w:bookmarkStart w:id="69" w:name="_Toc510023000"/>
      <w:r w:rsidRPr="00C84632">
        <w:t>Column chromatography of benzaldehyde reaction product</w:t>
      </w:r>
      <w:bookmarkEnd w:id="69"/>
    </w:p>
    <w:p w14:paraId="298A3803" w14:textId="77777777" w:rsidR="00AF52F5" w:rsidRDefault="00AF52F5" w:rsidP="00AF52F5">
      <w:r w:rsidRPr="00C84632">
        <w:t xml:space="preserve">β-APN </w:t>
      </w:r>
      <w:r>
        <w:t xml:space="preserve">fumarate salt (162 mg, 1.3 mmol) was added to a 25 mL round bottom flask with benzaldehyde (65 µL, 0.6 mmol), triethylamine (705 µL, 5.1 mmol) and THF (2 mL). Sodium sulfate (360 mg) was added as a drying agent to remove water. Reaction was heated to 40 </w:t>
      </w:r>
      <w:r>
        <w:sym w:font="Symbol" w:char="F0B0"/>
      </w:r>
      <w:r>
        <w:t xml:space="preserve">C and stirred for 24 h. Following the reaction, ethyl acetate was added and sample was filtered to remove the sodium sulfate. Product isolation was attempted by column chromatography using a petroleum ether: ethyl acetate (80:20) mobile phase and a silica stationary phase. Column was monitored by thin layer chromatography (TLC). </w:t>
      </w:r>
    </w:p>
    <w:p w14:paraId="369398A4" w14:textId="77777777" w:rsidR="00AF52F5" w:rsidRPr="00C84632" w:rsidRDefault="00AF52F5" w:rsidP="006D5170">
      <w:pPr>
        <w:pStyle w:val="Heading4"/>
      </w:pPr>
      <w:bookmarkStart w:id="70" w:name="_Toc320882527"/>
      <w:bookmarkStart w:id="71" w:name="_Toc510022997"/>
      <w:r w:rsidRPr="00C84632">
        <w:t>Synthesis of imine by Dean-Stark distillation</w:t>
      </w:r>
      <w:bookmarkEnd w:id="70"/>
      <w:bookmarkEnd w:id="71"/>
    </w:p>
    <w:p w14:paraId="5753A557" w14:textId="2966AF64" w:rsidR="00AF52F5" w:rsidRPr="00B421B1" w:rsidRDefault="00AF52F5" w:rsidP="00AF52F5">
      <w:r w:rsidRPr="00C84632">
        <w:t xml:space="preserve">Imine formation by Dean-Stark distillation was </w:t>
      </w:r>
      <w:r>
        <w:t>performed</w:t>
      </w:r>
      <w:r w:rsidRPr="00C84632">
        <w:t xml:space="preserve"> according to the following general procedure</w:t>
      </w:r>
      <w:r>
        <w:t>.</w:t>
      </w:r>
      <w:r w:rsidRPr="00C84632">
        <w:t xml:space="preserve"> β-APN </w:t>
      </w:r>
      <w:r>
        <w:t xml:space="preserve">fumarate salt </w:t>
      </w:r>
      <w:r w:rsidRPr="00C84632">
        <w:t>was added to a 50 mL round bottom flask followed by triethylamine, benzaldehyde and toluene</w:t>
      </w:r>
      <w:r>
        <w:t xml:space="preserve"> (s</w:t>
      </w:r>
      <w:r w:rsidRPr="00C84632">
        <w:t xml:space="preserve">ee </w:t>
      </w:r>
      <w:r w:rsidRPr="00073196">
        <w:fldChar w:fldCharType="begin"/>
      </w:r>
      <w:r w:rsidRPr="00073196">
        <w:instrText xml:space="preserve"> REF _Ref512170989 \h </w:instrText>
      </w:r>
      <w:r>
        <w:instrText xml:space="preserve"> \* MERGEFORMAT </w:instrText>
      </w:r>
      <w:r w:rsidRPr="00073196">
        <w:fldChar w:fldCharType="separate"/>
      </w:r>
      <w:r w:rsidR="00E6157A" w:rsidRPr="00073196">
        <w:t xml:space="preserve">Table </w:t>
      </w:r>
      <w:r w:rsidR="00E6157A">
        <w:rPr>
          <w:noProof/>
        </w:rPr>
        <w:t>2.1</w:t>
      </w:r>
      <w:r w:rsidRPr="00073196">
        <w:fldChar w:fldCharType="end"/>
      </w:r>
      <w:r>
        <w:t xml:space="preserve"> </w:t>
      </w:r>
      <w:r w:rsidRPr="00C84632">
        <w:t>for moles of reactants used</w:t>
      </w:r>
      <w:r>
        <w:t>)</w:t>
      </w:r>
      <w:r w:rsidRPr="00C84632">
        <w:t>.</w:t>
      </w:r>
      <w:r>
        <w:t xml:space="preserve"> The flask was fitted with a</w:t>
      </w:r>
      <w:r w:rsidRPr="00C84632">
        <w:t xml:space="preserve"> Dean-Stark apparatus and flushed with nitrogen</w:t>
      </w:r>
      <w:r>
        <w:t xml:space="preserve"> before heating for </w:t>
      </w:r>
      <w:r w:rsidRPr="00C84632">
        <w:t>3 h at 115</w:t>
      </w:r>
      <w:r>
        <w:t> </w:t>
      </w:r>
      <w:r w:rsidRPr="00C84632">
        <w:t>°C whilst stirring.</w:t>
      </w:r>
      <w:r>
        <w:t xml:space="preserve"> After 3 h a sample was removed and analysed by </w:t>
      </w:r>
      <w:r w:rsidRPr="00555437">
        <w:rPr>
          <w:vertAlign w:val="superscript"/>
        </w:rPr>
        <w:t>1</w:t>
      </w:r>
      <w:r>
        <w:t xml:space="preserve">H NMR spectroscopy. </w:t>
      </w:r>
    </w:p>
    <w:p w14:paraId="3EFAEBAC" w14:textId="7BCE025D" w:rsidR="00AF52F5" w:rsidRPr="00073196" w:rsidRDefault="00AF52F5" w:rsidP="00AF52F5">
      <w:pPr>
        <w:pStyle w:val="Caption"/>
        <w:keepNext/>
        <w:jc w:val="center"/>
      </w:pPr>
      <w:bookmarkStart w:id="72" w:name="_Ref512170989"/>
      <w:r w:rsidRPr="00073196">
        <w:t xml:space="preserve">Table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Table \* ARABIC \s 1 </w:instrText>
      </w:r>
      <w:r w:rsidR="009352BF">
        <w:rPr>
          <w:noProof/>
        </w:rPr>
        <w:fldChar w:fldCharType="separate"/>
      </w:r>
      <w:r w:rsidR="00E6157A">
        <w:rPr>
          <w:noProof/>
        </w:rPr>
        <w:t>1</w:t>
      </w:r>
      <w:r w:rsidR="009352BF">
        <w:rPr>
          <w:noProof/>
        </w:rPr>
        <w:fldChar w:fldCharType="end"/>
      </w:r>
      <w:bookmarkEnd w:id="72"/>
      <w:r w:rsidRPr="00073196">
        <w:t xml:space="preserve">. </w:t>
      </w:r>
      <w:r w:rsidRPr="003D7E1A">
        <w:rPr>
          <w:b w:val="0"/>
        </w:rPr>
        <w:t>Ratios of reactants used in Dean-Stark distillation</w:t>
      </w:r>
    </w:p>
    <w:tbl>
      <w:tblPr>
        <w:tblStyle w:val="TableGrid"/>
        <w:tblW w:w="8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3"/>
        <w:gridCol w:w="1591"/>
        <w:gridCol w:w="1627"/>
        <w:gridCol w:w="1786"/>
        <w:gridCol w:w="1403"/>
      </w:tblGrid>
      <w:tr w:rsidR="00AF52F5" w:rsidRPr="00C84632" w14:paraId="321185C6" w14:textId="77777777" w:rsidTr="009352BF">
        <w:trPr>
          <w:trHeight w:val="594"/>
          <w:jc w:val="center"/>
        </w:trPr>
        <w:tc>
          <w:tcPr>
            <w:tcW w:w="1673" w:type="dxa"/>
            <w:tcBorders>
              <w:top w:val="single" w:sz="4" w:space="0" w:color="auto"/>
              <w:bottom w:val="single" w:sz="4" w:space="0" w:color="auto"/>
            </w:tcBorders>
            <w:vAlign w:val="center"/>
          </w:tcPr>
          <w:p w14:paraId="3B3002FF" w14:textId="77777777" w:rsidR="00AF52F5" w:rsidRPr="004440F6" w:rsidRDefault="00AF52F5" w:rsidP="009352BF">
            <w:pPr>
              <w:jc w:val="center"/>
              <w:rPr>
                <w:rFonts w:cstheme="minorHAnsi"/>
                <w:b/>
                <w:sz w:val="20"/>
              </w:rPr>
            </w:pPr>
            <w:r w:rsidRPr="004440F6">
              <w:rPr>
                <w:rFonts w:cstheme="minorHAnsi"/>
                <w:b/>
                <w:sz w:val="20"/>
              </w:rPr>
              <w:t>β</w:t>
            </w:r>
            <w:r>
              <w:rPr>
                <w:rFonts w:cstheme="minorHAnsi"/>
                <w:b/>
                <w:sz w:val="20"/>
              </w:rPr>
              <w:t>-APN: benzaldeh</w:t>
            </w:r>
            <w:r w:rsidRPr="004440F6">
              <w:rPr>
                <w:rFonts w:cstheme="minorHAnsi"/>
                <w:b/>
                <w:sz w:val="20"/>
              </w:rPr>
              <w:t>y</w:t>
            </w:r>
            <w:r>
              <w:rPr>
                <w:rFonts w:cstheme="minorHAnsi"/>
                <w:b/>
                <w:sz w:val="20"/>
              </w:rPr>
              <w:t>d</w:t>
            </w:r>
            <w:r w:rsidRPr="004440F6">
              <w:rPr>
                <w:rFonts w:cstheme="minorHAnsi"/>
                <w:b/>
                <w:sz w:val="20"/>
              </w:rPr>
              <w:t>e</w:t>
            </w:r>
          </w:p>
        </w:tc>
        <w:tc>
          <w:tcPr>
            <w:tcW w:w="1591" w:type="dxa"/>
            <w:tcBorders>
              <w:top w:val="single" w:sz="4" w:space="0" w:color="auto"/>
              <w:bottom w:val="single" w:sz="4" w:space="0" w:color="auto"/>
            </w:tcBorders>
            <w:vAlign w:val="center"/>
          </w:tcPr>
          <w:p w14:paraId="3BEFBE7D" w14:textId="77777777" w:rsidR="00AF52F5" w:rsidRDefault="00AF52F5" w:rsidP="009352BF">
            <w:pPr>
              <w:jc w:val="center"/>
              <w:rPr>
                <w:rFonts w:cstheme="minorHAnsi"/>
                <w:b/>
                <w:sz w:val="20"/>
              </w:rPr>
            </w:pPr>
            <w:r w:rsidRPr="004440F6">
              <w:rPr>
                <w:rFonts w:cstheme="minorHAnsi"/>
                <w:b/>
                <w:sz w:val="20"/>
              </w:rPr>
              <w:t>β-APN</w:t>
            </w:r>
          </w:p>
          <w:p w14:paraId="776B90AE" w14:textId="77777777" w:rsidR="00AF52F5" w:rsidRPr="004440F6" w:rsidRDefault="00AF52F5" w:rsidP="009352BF">
            <w:pPr>
              <w:jc w:val="center"/>
              <w:rPr>
                <w:rFonts w:cstheme="minorHAnsi"/>
                <w:b/>
                <w:sz w:val="20"/>
              </w:rPr>
            </w:pPr>
            <w:r>
              <w:rPr>
                <w:rFonts w:cstheme="minorHAnsi"/>
                <w:b/>
                <w:sz w:val="20"/>
              </w:rPr>
              <w:t>(mmol)</w:t>
            </w:r>
          </w:p>
        </w:tc>
        <w:tc>
          <w:tcPr>
            <w:tcW w:w="1627" w:type="dxa"/>
            <w:tcBorders>
              <w:top w:val="single" w:sz="4" w:space="0" w:color="auto"/>
              <w:bottom w:val="single" w:sz="4" w:space="0" w:color="auto"/>
            </w:tcBorders>
            <w:vAlign w:val="center"/>
          </w:tcPr>
          <w:p w14:paraId="749A6A27" w14:textId="77777777" w:rsidR="00AF52F5" w:rsidRDefault="00AF52F5" w:rsidP="009352BF">
            <w:pPr>
              <w:jc w:val="center"/>
              <w:rPr>
                <w:rFonts w:cstheme="minorHAnsi"/>
                <w:b/>
                <w:sz w:val="20"/>
              </w:rPr>
            </w:pPr>
            <w:r>
              <w:rPr>
                <w:rFonts w:cstheme="minorHAnsi"/>
                <w:b/>
                <w:sz w:val="20"/>
              </w:rPr>
              <w:t>B</w:t>
            </w:r>
            <w:r w:rsidRPr="004440F6">
              <w:rPr>
                <w:rFonts w:cstheme="minorHAnsi"/>
                <w:b/>
                <w:sz w:val="20"/>
              </w:rPr>
              <w:t>enzaldehyde</w:t>
            </w:r>
          </w:p>
          <w:p w14:paraId="62E75F9D" w14:textId="77777777" w:rsidR="00AF52F5" w:rsidRPr="004440F6" w:rsidRDefault="00AF52F5" w:rsidP="009352BF">
            <w:pPr>
              <w:jc w:val="center"/>
              <w:rPr>
                <w:rFonts w:cstheme="minorHAnsi"/>
                <w:b/>
                <w:sz w:val="20"/>
              </w:rPr>
            </w:pPr>
            <w:r>
              <w:rPr>
                <w:rFonts w:cstheme="minorHAnsi"/>
                <w:b/>
                <w:sz w:val="20"/>
              </w:rPr>
              <w:t>(mmol)</w:t>
            </w:r>
          </w:p>
        </w:tc>
        <w:tc>
          <w:tcPr>
            <w:tcW w:w="1786" w:type="dxa"/>
            <w:tcBorders>
              <w:top w:val="single" w:sz="4" w:space="0" w:color="auto"/>
              <w:bottom w:val="single" w:sz="4" w:space="0" w:color="auto"/>
            </w:tcBorders>
            <w:vAlign w:val="center"/>
          </w:tcPr>
          <w:p w14:paraId="614BF734" w14:textId="77777777" w:rsidR="00AF52F5" w:rsidRDefault="00AF52F5" w:rsidP="009352BF">
            <w:pPr>
              <w:jc w:val="center"/>
              <w:rPr>
                <w:rFonts w:cstheme="minorHAnsi"/>
                <w:b/>
                <w:sz w:val="20"/>
              </w:rPr>
            </w:pPr>
            <w:r>
              <w:rPr>
                <w:rFonts w:cstheme="minorHAnsi"/>
                <w:b/>
                <w:sz w:val="20"/>
              </w:rPr>
              <w:t>T</w:t>
            </w:r>
            <w:r w:rsidRPr="004440F6">
              <w:rPr>
                <w:rFonts w:cstheme="minorHAnsi"/>
                <w:b/>
                <w:sz w:val="20"/>
              </w:rPr>
              <w:t>riethylamine</w:t>
            </w:r>
          </w:p>
          <w:p w14:paraId="3A5778AE" w14:textId="77777777" w:rsidR="00AF52F5" w:rsidRPr="004440F6" w:rsidRDefault="00AF52F5" w:rsidP="009352BF">
            <w:pPr>
              <w:jc w:val="center"/>
              <w:rPr>
                <w:rFonts w:cstheme="minorHAnsi"/>
                <w:b/>
                <w:sz w:val="20"/>
              </w:rPr>
            </w:pPr>
            <w:r>
              <w:rPr>
                <w:rFonts w:cstheme="minorHAnsi"/>
                <w:b/>
                <w:sz w:val="20"/>
              </w:rPr>
              <w:t>(mmol)</w:t>
            </w:r>
          </w:p>
        </w:tc>
        <w:tc>
          <w:tcPr>
            <w:tcW w:w="1403" w:type="dxa"/>
            <w:tcBorders>
              <w:top w:val="single" w:sz="4" w:space="0" w:color="auto"/>
              <w:bottom w:val="single" w:sz="4" w:space="0" w:color="auto"/>
            </w:tcBorders>
            <w:vAlign w:val="center"/>
          </w:tcPr>
          <w:p w14:paraId="48BD8F8A" w14:textId="77777777" w:rsidR="00AF52F5" w:rsidRDefault="00AF52F5" w:rsidP="009352BF">
            <w:pPr>
              <w:jc w:val="center"/>
              <w:rPr>
                <w:rFonts w:cstheme="minorHAnsi"/>
                <w:b/>
                <w:sz w:val="20"/>
              </w:rPr>
            </w:pPr>
            <w:r>
              <w:rPr>
                <w:rFonts w:cstheme="minorHAnsi"/>
                <w:b/>
                <w:sz w:val="20"/>
              </w:rPr>
              <w:t>T</w:t>
            </w:r>
            <w:r w:rsidRPr="004440F6">
              <w:rPr>
                <w:rFonts w:cstheme="minorHAnsi"/>
                <w:b/>
                <w:sz w:val="20"/>
              </w:rPr>
              <w:t>oluene</w:t>
            </w:r>
          </w:p>
          <w:p w14:paraId="2B38834A" w14:textId="77777777" w:rsidR="00AF52F5" w:rsidRPr="004440F6" w:rsidRDefault="00AF52F5" w:rsidP="009352BF">
            <w:pPr>
              <w:jc w:val="center"/>
              <w:rPr>
                <w:rFonts w:cstheme="minorHAnsi"/>
                <w:b/>
                <w:sz w:val="20"/>
              </w:rPr>
            </w:pPr>
            <w:r>
              <w:rPr>
                <w:rFonts w:cstheme="minorHAnsi"/>
                <w:b/>
                <w:sz w:val="20"/>
              </w:rPr>
              <w:t>(mmol)</w:t>
            </w:r>
          </w:p>
        </w:tc>
      </w:tr>
      <w:tr w:rsidR="00AF52F5" w:rsidRPr="00C84632" w14:paraId="3CD1154C" w14:textId="77777777" w:rsidTr="009352BF">
        <w:trPr>
          <w:trHeight w:val="483"/>
          <w:jc w:val="center"/>
        </w:trPr>
        <w:tc>
          <w:tcPr>
            <w:tcW w:w="1673" w:type="dxa"/>
            <w:tcBorders>
              <w:top w:val="single" w:sz="4" w:space="0" w:color="auto"/>
            </w:tcBorders>
            <w:vAlign w:val="center"/>
          </w:tcPr>
          <w:p w14:paraId="6545D93D" w14:textId="77777777" w:rsidR="00AF52F5" w:rsidRPr="00900C51" w:rsidRDefault="00AF52F5" w:rsidP="009352BF">
            <w:pPr>
              <w:jc w:val="center"/>
              <w:rPr>
                <w:rFonts w:cstheme="minorHAnsi"/>
                <w:sz w:val="20"/>
              </w:rPr>
            </w:pPr>
            <w:r w:rsidRPr="00900C51">
              <w:rPr>
                <w:rFonts w:cstheme="minorHAnsi"/>
                <w:sz w:val="20"/>
              </w:rPr>
              <w:t>1:1</w:t>
            </w:r>
          </w:p>
        </w:tc>
        <w:tc>
          <w:tcPr>
            <w:tcW w:w="1591" w:type="dxa"/>
            <w:tcBorders>
              <w:top w:val="single" w:sz="4" w:space="0" w:color="auto"/>
            </w:tcBorders>
            <w:vAlign w:val="center"/>
          </w:tcPr>
          <w:p w14:paraId="43ABF0F8" w14:textId="77777777" w:rsidR="00AF52F5" w:rsidRPr="00900C51" w:rsidRDefault="00AF52F5" w:rsidP="009352BF">
            <w:pPr>
              <w:jc w:val="center"/>
              <w:rPr>
                <w:rFonts w:cstheme="minorHAnsi"/>
                <w:sz w:val="20"/>
              </w:rPr>
            </w:pPr>
            <w:r>
              <w:rPr>
                <w:rFonts w:cstheme="minorHAnsi"/>
                <w:sz w:val="20"/>
              </w:rPr>
              <w:t>6.5</w:t>
            </w:r>
          </w:p>
        </w:tc>
        <w:tc>
          <w:tcPr>
            <w:tcW w:w="1627" w:type="dxa"/>
            <w:tcBorders>
              <w:top w:val="single" w:sz="4" w:space="0" w:color="auto"/>
            </w:tcBorders>
            <w:vAlign w:val="center"/>
          </w:tcPr>
          <w:p w14:paraId="364844F1" w14:textId="77777777" w:rsidR="00AF52F5" w:rsidRPr="00900C51" w:rsidRDefault="00AF52F5" w:rsidP="009352BF">
            <w:pPr>
              <w:jc w:val="center"/>
              <w:rPr>
                <w:rFonts w:cstheme="minorHAnsi"/>
                <w:sz w:val="20"/>
              </w:rPr>
            </w:pPr>
            <w:r>
              <w:rPr>
                <w:rFonts w:cstheme="minorHAnsi"/>
                <w:sz w:val="20"/>
              </w:rPr>
              <w:t>6.5</w:t>
            </w:r>
          </w:p>
        </w:tc>
        <w:tc>
          <w:tcPr>
            <w:tcW w:w="1786" w:type="dxa"/>
            <w:tcBorders>
              <w:top w:val="single" w:sz="4" w:space="0" w:color="auto"/>
            </w:tcBorders>
            <w:vAlign w:val="center"/>
          </w:tcPr>
          <w:p w14:paraId="0D89AC24" w14:textId="77777777" w:rsidR="00AF52F5" w:rsidRPr="00900C51" w:rsidRDefault="00AF52F5" w:rsidP="009352BF">
            <w:pPr>
              <w:jc w:val="center"/>
              <w:rPr>
                <w:rFonts w:cstheme="minorHAnsi"/>
                <w:sz w:val="20"/>
              </w:rPr>
            </w:pPr>
            <w:r w:rsidRPr="00900C51">
              <w:rPr>
                <w:rFonts w:cstheme="minorHAnsi"/>
                <w:sz w:val="20"/>
              </w:rPr>
              <w:t>0.0260</w:t>
            </w:r>
          </w:p>
        </w:tc>
        <w:tc>
          <w:tcPr>
            <w:tcW w:w="1403" w:type="dxa"/>
            <w:tcBorders>
              <w:top w:val="single" w:sz="4" w:space="0" w:color="auto"/>
            </w:tcBorders>
            <w:vAlign w:val="center"/>
          </w:tcPr>
          <w:p w14:paraId="759DABB4" w14:textId="77777777" w:rsidR="00AF52F5" w:rsidRPr="00900C51" w:rsidRDefault="00AF52F5" w:rsidP="009352BF">
            <w:pPr>
              <w:jc w:val="center"/>
              <w:rPr>
                <w:rFonts w:cstheme="minorHAnsi"/>
                <w:sz w:val="20"/>
              </w:rPr>
            </w:pPr>
            <w:r w:rsidRPr="00900C51">
              <w:rPr>
                <w:rFonts w:cstheme="minorHAnsi"/>
                <w:sz w:val="20"/>
              </w:rPr>
              <w:t>0.1235</w:t>
            </w:r>
          </w:p>
        </w:tc>
      </w:tr>
      <w:tr w:rsidR="00AF52F5" w:rsidRPr="00C84632" w14:paraId="08072B34" w14:textId="77777777" w:rsidTr="009352BF">
        <w:trPr>
          <w:trHeight w:val="436"/>
          <w:jc w:val="center"/>
        </w:trPr>
        <w:tc>
          <w:tcPr>
            <w:tcW w:w="1673" w:type="dxa"/>
            <w:tcBorders>
              <w:bottom w:val="single" w:sz="4" w:space="0" w:color="auto"/>
            </w:tcBorders>
            <w:vAlign w:val="center"/>
          </w:tcPr>
          <w:p w14:paraId="3C2AD6A8" w14:textId="77777777" w:rsidR="00AF52F5" w:rsidRPr="00900C51" w:rsidRDefault="00AF52F5" w:rsidP="009352BF">
            <w:pPr>
              <w:jc w:val="center"/>
              <w:rPr>
                <w:rFonts w:cstheme="minorHAnsi"/>
                <w:sz w:val="20"/>
              </w:rPr>
            </w:pPr>
            <w:r w:rsidRPr="00900C51">
              <w:rPr>
                <w:rFonts w:cstheme="minorHAnsi"/>
                <w:sz w:val="20"/>
              </w:rPr>
              <w:t>2:1</w:t>
            </w:r>
          </w:p>
        </w:tc>
        <w:tc>
          <w:tcPr>
            <w:tcW w:w="1591" w:type="dxa"/>
            <w:tcBorders>
              <w:bottom w:val="single" w:sz="4" w:space="0" w:color="auto"/>
            </w:tcBorders>
            <w:vAlign w:val="center"/>
          </w:tcPr>
          <w:p w14:paraId="5279C0E6" w14:textId="77777777" w:rsidR="00AF52F5" w:rsidRPr="00900C51" w:rsidRDefault="00AF52F5" w:rsidP="009352BF">
            <w:pPr>
              <w:jc w:val="center"/>
              <w:rPr>
                <w:rFonts w:cstheme="minorHAnsi"/>
                <w:sz w:val="20"/>
              </w:rPr>
            </w:pPr>
            <w:r>
              <w:rPr>
                <w:rFonts w:cstheme="minorHAnsi"/>
                <w:sz w:val="20"/>
              </w:rPr>
              <w:t>13.0</w:t>
            </w:r>
          </w:p>
        </w:tc>
        <w:tc>
          <w:tcPr>
            <w:tcW w:w="1627" w:type="dxa"/>
            <w:tcBorders>
              <w:bottom w:val="single" w:sz="4" w:space="0" w:color="auto"/>
            </w:tcBorders>
            <w:vAlign w:val="center"/>
          </w:tcPr>
          <w:p w14:paraId="23EA178A" w14:textId="77777777" w:rsidR="00AF52F5" w:rsidRPr="00900C51" w:rsidRDefault="00AF52F5" w:rsidP="009352BF">
            <w:pPr>
              <w:jc w:val="center"/>
              <w:rPr>
                <w:rFonts w:cstheme="minorHAnsi"/>
                <w:sz w:val="20"/>
              </w:rPr>
            </w:pPr>
            <w:r>
              <w:rPr>
                <w:rFonts w:cstheme="minorHAnsi"/>
                <w:sz w:val="20"/>
              </w:rPr>
              <w:t>6.5</w:t>
            </w:r>
          </w:p>
        </w:tc>
        <w:tc>
          <w:tcPr>
            <w:tcW w:w="1786" w:type="dxa"/>
            <w:tcBorders>
              <w:bottom w:val="single" w:sz="4" w:space="0" w:color="auto"/>
            </w:tcBorders>
            <w:vAlign w:val="center"/>
          </w:tcPr>
          <w:p w14:paraId="6695D6C2" w14:textId="77777777" w:rsidR="00AF52F5" w:rsidRPr="00900C51" w:rsidRDefault="00AF52F5" w:rsidP="009352BF">
            <w:pPr>
              <w:jc w:val="center"/>
              <w:rPr>
                <w:rFonts w:cstheme="minorHAnsi"/>
                <w:sz w:val="20"/>
              </w:rPr>
            </w:pPr>
            <w:r w:rsidRPr="00900C51">
              <w:rPr>
                <w:rFonts w:cstheme="minorHAnsi"/>
                <w:sz w:val="20"/>
              </w:rPr>
              <w:t>0.0130</w:t>
            </w:r>
          </w:p>
        </w:tc>
        <w:tc>
          <w:tcPr>
            <w:tcW w:w="1403" w:type="dxa"/>
            <w:tcBorders>
              <w:bottom w:val="single" w:sz="4" w:space="0" w:color="auto"/>
            </w:tcBorders>
            <w:vAlign w:val="center"/>
          </w:tcPr>
          <w:p w14:paraId="1D5CB136" w14:textId="77777777" w:rsidR="00AF52F5" w:rsidRPr="00900C51" w:rsidRDefault="00AF52F5" w:rsidP="009352BF">
            <w:pPr>
              <w:jc w:val="center"/>
              <w:rPr>
                <w:rFonts w:cstheme="minorHAnsi"/>
                <w:sz w:val="20"/>
              </w:rPr>
            </w:pPr>
            <w:r w:rsidRPr="00900C51">
              <w:rPr>
                <w:rFonts w:cstheme="minorHAnsi"/>
                <w:sz w:val="20"/>
              </w:rPr>
              <w:t>0.2470</w:t>
            </w:r>
          </w:p>
        </w:tc>
      </w:tr>
    </w:tbl>
    <w:p w14:paraId="1611216A" w14:textId="77777777" w:rsidR="00AF52F5" w:rsidRPr="00C84632" w:rsidRDefault="00AF52F5" w:rsidP="00AF52F5">
      <w:pPr>
        <w:rPr>
          <w:rFonts w:ascii="Cambria" w:hAnsi="Cambria"/>
        </w:rPr>
      </w:pPr>
    </w:p>
    <w:p w14:paraId="2A3BA9D7" w14:textId="77777777" w:rsidR="00AF52F5" w:rsidRPr="00C84632" w:rsidRDefault="00AF52F5" w:rsidP="006D5170">
      <w:pPr>
        <w:pStyle w:val="Heading4"/>
      </w:pPr>
      <w:bookmarkStart w:id="73" w:name="_Toc320882529"/>
      <w:bookmarkStart w:id="74" w:name="_Toc510022998"/>
      <w:bookmarkStart w:id="75" w:name="_Toc320882528"/>
      <w:r w:rsidRPr="00C84632">
        <w:lastRenderedPageBreak/>
        <w:t>Synthesis of imine</w:t>
      </w:r>
      <w:r>
        <w:t>s</w:t>
      </w:r>
      <w:r w:rsidRPr="00C84632">
        <w:t xml:space="preserve"> by rotary evaporation</w:t>
      </w:r>
      <w:bookmarkEnd w:id="73"/>
      <w:bookmarkEnd w:id="74"/>
    </w:p>
    <w:p w14:paraId="4DEF57C6" w14:textId="77777777" w:rsidR="00AF52F5" w:rsidRPr="00C84632" w:rsidRDefault="00AF52F5" w:rsidP="00AF52F5">
      <w:r w:rsidRPr="00C84632">
        <w:t xml:space="preserve">Imine formation by rotary evaporation was </w:t>
      </w:r>
      <w:r>
        <w:t>performed</w:t>
      </w:r>
      <w:r w:rsidRPr="00C84632">
        <w:t xml:space="preserve"> according to the following general procedure</w:t>
      </w:r>
      <w:r>
        <w:t xml:space="preserve">. </w:t>
      </w:r>
      <w:r w:rsidRPr="00C84632">
        <w:t>β-APN</w:t>
      </w:r>
      <w:r>
        <w:t xml:space="preserve"> fumarate salt (860 mg, 6.</w:t>
      </w:r>
      <w:r w:rsidRPr="00C84632">
        <w:t xml:space="preserve">5 </w:t>
      </w:r>
      <w:r>
        <w:t>m</w:t>
      </w:r>
      <w:r w:rsidRPr="00C84632">
        <w:t>mol) was added to a</w:t>
      </w:r>
      <w:r>
        <w:t xml:space="preserve"> 50 mL</w:t>
      </w:r>
      <w:r w:rsidRPr="00C84632">
        <w:t xml:space="preserve"> round bottom flask with saturated sodium bicarbonate solution</w:t>
      </w:r>
      <w:r>
        <w:t xml:space="preserve"> (</w:t>
      </w:r>
      <w:r w:rsidRPr="00C84632">
        <w:t>15</w:t>
      </w:r>
      <w:r>
        <w:t> </w:t>
      </w:r>
      <w:r w:rsidRPr="00C84632">
        <w:t>mL</w:t>
      </w:r>
      <w:r>
        <w:t>)</w:t>
      </w:r>
      <w:r w:rsidRPr="00C84632">
        <w:t xml:space="preserve"> and benzaldehyde (</w:t>
      </w:r>
      <w:r>
        <w:t>663 µL, 6.5 m</w:t>
      </w:r>
      <w:r w:rsidRPr="00C84632">
        <w:t xml:space="preserve">mol). </w:t>
      </w:r>
      <w:r>
        <w:t xml:space="preserve">The reaction was performed on a rotary evaporator </w:t>
      </w:r>
      <w:r w:rsidRPr="002E7C79">
        <w:rPr>
          <w:i/>
        </w:rPr>
        <w:t>in vacuo</w:t>
      </w:r>
      <w:r>
        <w:t xml:space="preserve"> at</w:t>
      </w:r>
      <w:r w:rsidRPr="00C84632">
        <w:t xml:space="preserve"> 40 °C until</w:t>
      </w:r>
      <w:r>
        <w:t xml:space="preserve"> the</w:t>
      </w:r>
      <w:r w:rsidRPr="00C84632">
        <w:t xml:space="preserve"> solvent had visibly depleted. </w:t>
      </w:r>
      <w:r>
        <w:t>D</w:t>
      </w:r>
      <w:r w:rsidRPr="00C84632">
        <w:t>iethyl ether</w:t>
      </w:r>
      <w:r>
        <w:t xml:space="preserve"> (20 mL)</w:t>
      </w:r>
      <w:r w:rsidRPr="00C84632">
        <w:t xml:space="preserve"> was added</w:t>
      </w:r>
      <w:r>
        <w:t xml:space="preserve"> and</w:t>
      </w:r>
      <w:r w:rsidRPr="00C84632">
        <w:t xml:space="preserve"> the sample was filtered, and solvent removed again </w:t>
      </w:r>
      <w:r w:rsidRPr="002E7C79">
        <w:rPr>
          <w:i/>
        </w:rPr>
        <w:t>in vacuo</w:t>
      </w:r>
      <w:r w:rsidRPr="00C84632">
        <w:t>.</w:t>
      </w:r>
      <w:r>
        <w:t xml:space="preserve"> A sample was removed and analysed by </w:t>
      </w:r>
      <w:r w:rsidRPr="00DB577E">
        <w:rPr>
          <w:vertAlign w:val="superscript"/>
        </w:rPr>
        <w:t>1</w:t>
      </w:r>
      <w:r>
        <w:t>H NMR spectroscopy.</w:t>
      </w:r>
    </w:p>
    <w:p w14:paraId="72072962" w14:textId="77777777" w:rsidR="00AF52F5" w:rsidRPr="00C84632" w:rsidRDefault="00AF52F5" w:rsidP="006D5170">
      <w:pPr>
        <w:pStyle w:val="Heading4"/>
      </w:pPr>
      <w:bookmarkStart w:id="76" w:name="_Toc510022999"/>
      <w:r>
        <w:t>S</w:t>
      </w:r>
      <w:r w:rsidRPr="00C84632">
        <w:t>ynthesis of benzaldehyde and anisaldehyde imines</w:t>
      </w:r>
      <w:bookmarkEnd w:id="75"/>
      <w:bookmarkEnd w:id="76"/>
      <w:r>
        <w:t xml:space="preserve"> in a vacuum oven</w:t>
      </w:r>
    </w:p>
    <w:p w14:paraId="17CB885E" w14:textId="1913B352" w:rsidR="00AF52F5" w:rsidRPr="004D3AD8" w:rsidRDefault="00AF52F5" w:rsidP="00AF52F5">
      <w:r w:rsidRPr="00C84632">
        <w:t xml:space="preserve">Imine formation by vacuum oven synthesis was </w:t>
      </w:r>
      <w:r>
        <w:t>performed</w:t>
      </w:r>
      <w:r w:rsidRPr="00C84632">
        <w:t xml:space="preserve"> according to the following general procedure</w:t>
      </w:r>
      <w:r>
        <w:t>.</w:t>
      </w:r>
      <w:r w:rsidRPr="00C84632">
        <w:t xml:space="preserve"> β-APN</w:t>
      </w:r>
      <w:r>
        <w:t xml:space="preserve"> fumarate salt</w:t>
      </w:r>
      <w:r w:rsidRPr="00C84632">
        <w:t xml:space="preserve"> (</w:t>
      </w:r>
      <w:r>
        <w:t>166 mg, 1</w:t>
      </w:r>
      <w:r w:rsidRPr="00C84632">
        <w:t xml:space="preserve">3 </w:t>
      </w:r>
      <w:r>
        <w:t>m</w:t>
      </w:r>
      <w:r w:rsidRPr="00C84632">
        <w:t>mol) was added to a glass sample vial followed by 5</w:t>
      </w:r>
      <w:r>
        <w:t> </w:t>
      </w:r>
      <w:r w:rsidRPr="00C84632">
        <w:t>% (w/v) sodium bicarbonate solution (</w:t>
      </w:r>
      <w:r>
        <w:t>52</w:t>
      </w:r>
      <w:r w:rsidRPr="00C84632">
        <w:t xml:space="preserve"> </w:t>
      </w:r>
      <w:r>
        <w:t>mmol) and</w:t>
      </w:r>
      <w:r w:rsidRPr="00C84632">
        <w:t xml:space="preserve"> aldehyde (</w:t>
      </w:r>
      <w:r>
        <w:t>13</w:t>
      </w:r>
      <w:r w:rsidRPr="00C84632">
        <w:t xml:space="preserve"> </w:t>
      </w:r>
      <w:r>
        <w:t xml:space="preserve">mmol). </w:t>
      </w:r>
      <w:r w:rsidRPr="00C84632">
        <w:t>Sam</w:t>
      </w:r>
      <w:r>
        <w:t>ple was placed in a vacuum oven at 40 </w:t>
      </w:r>
      <w:r w:rsidRPr="00C84632">
        <w:t>°C for 24 h.</w:t>
      </w:r>
      <w:r>
        <w:t xml:space="preserve"> After 24</w:t>
      </w:r>
      <w:r w:rsidR="00B52277">
        <w:t> </w:t>
      </w:r>
      <w:r>
        <w:t xml:space="preserve">h diethyl ether (2 mL) was added to the reaction mixture, shaken, then filtered using cotton wool. A sample was analysed by </w:t>
      </w:r>
      <w:r w:rsidRPr="00DB577E">
        <w:rPr>
          <w:vertAlign w:val="superscript"/>
        </w:rPr>
        <w:t>1</w:t>
      </w:r>
      <w:r>
        <w:t xml:space="preserve">H NMR spectroscopy. </w:t>
      </w:r>
    </w:p>
    <w:p w14:paraId="763B4A0C" w14:textId="77777777" w:rsidR="00AF52F5" w:rsidRPr="00C84632" w:rsidRDefault="00AF52F5" w:rsidP="006D5170">
      <w:pPr>
        <w:pStyle w:val="Heading4"/>
      </w:pPr>
      <w:bookmarkStart w:id="77" w:name="_Toc320882530"/>
      <w:bookmarkStart w:id="78" w:name="_Toc510023001"/>
      <w:r w:rsidRPr="00C84632">
        <w:t>Synthesis of salicylaldehyde and derivative imines</w:t>
      </w:r>
      <w:bookmarkEnd w:id="77"/>
      <w:bookmarkEnd w:id="78"/>
    </w:p>
    <w:p w14:paraId="5B94AEA3" w14:textId="77777777" w:rsidR="00AF52F5" w:rsidRPr="00C84632" w:rsidRDefault="00AF52F5" w:rsidP="00AF52F5">
      <w:r w:rsidRPr="00C84632">
        <w:t>Imines were synthesised according to the general procedure</w:t>
      </w:r>
      <w:r>
        <w:t>.</w:t>
      </w:r>
      <w:r w:rsidRPr="00C84632">
        <w:t xml:space="preserve"> β-APN </w:t>
      </w:r>
      <w:r>
        <w:t xml:space="preserve">fumarate salt </w:t>
      </w:r>
      <w:r w:rsidRPr="00C84632">
        <w:t>(</w:t>
      </w:r>
      <w:r>
        <w:t>640 mg, 5 </w:t>
      </w:r>
      <w:r w:rsidRPr="00C84632">
        <w:t>mmol) was weighed into a round bottom flask and dissolved in the minimum amount deionised water. Aldehyde (</w:t>
      </w:r>
      <w:r>
        <w:t>5</w:t>
      </w:r>
      <w:r w:rsidRPr="00C84632">
        <w:t xml:space="preserve"> mmol) was weighed into </w:t>
      </w:r>
      <w:r>
        <w:t xml:space="preserve">the </w:t>
      </w:r>
      <w:r w:rsidRPr="00C84632">
        <w:t>same flask followed by</w:t>
      </w:r>
      <w:r>
        <w:t xml:space="preserve"> addition of triethylamine (20</w:t>
      </w:r>
      <w:r w:rsidRPr="00C84632">
        <w:t xml:space="preserve"> mmol). </w:t>
      </w:r>
      <w:r>
        <w:t>The r</w:t>
      </w:r>
      <w:r w:rsidRPr="00C84632">
        <w:t>eaction</w:t>
      </w:r>
      <w:r>
        <w:t xml:space="preserve"> was allowed to proceed</w:t>
      </w:r>
      <w:r w:rsidRPr="00C84632">
        <w:t xml:space="preserve"> for 10 minutes at 40 °C whilst stirring</w:t>
      </w:r>
      <w:r>
        <w:t xml:space="preserve"> after which time the crude imines had crystallised and were isolated by vacuum filtration.</w:t>
      </w:r>
    </w:p>
    <w:p w14:paraId="71FC7BDA" w14:textId="77777777" w:rsidR="00AF52F5" w:rsidRPr="006D5170" w:rsidRDefault="00AF52F5" w:rsidP="006D5170">
      <w:pPr>
        <w:pStyle w:val="Heading4"/>
      </w:pPr>
      <w:r w:rsidRPr="006D5170">
        <w:t>2-(2-cyanoethyliminomethyl)phenol</w:t>
      </w:r>
    </w:p>
    <w:p w14:paraId="7E2855D3" w14:textId="77777777" w:rsidR="00AF52F5" w:rsidRPr="00C84632" w:rsidRDefault="00AF52F5" w:rsidP="00AF52F5">
      <w:pPr>
        <w:rPr>
          <w:rFonts w:eastAsia="Times New Roman" w:cs="Arial"/>
          <w:shd w:val="clear" w:color="auto" w:fill="FFFFFF"/>
          <w:lang w:val="pt-PT"/>
        </w:rPr>
      </w:pPr>
      <w:r w:rsidRPr="005804E1">
        <w:t>2-(2-cyanoethyliminomethyl)phenol</w:t>
      </w:r>
      <w:r w:rsidRPr="00C84632" w:rsidDel="007A350A">
        <w:t xml:space="preserve"> </w:t>
      </w:r>
      <w:r w:rsidRPr="00C84632">
        <w:t xml:space="preserve">was synthesised according to the general procedure and purified by recrystallisation from diethyl ether, providing compound </w:t>
      </w:r>
      <w:r w:rsidRPr="00AF0672">
        <w:rPr>
          <w:b/>
        </w:rPr>
        <w:t>1</w:t>
      </w:r>
      <w:r>
        <w:rPr>
          <w:b/>
        </w:rPr>
        <w:t>b</w:t>
      </w:r>
      <w:r w:rsidRPr="00C84632">
        <w:t xml:space="preserve"> (unoptimised, 1.48 g, 34</w:t>
      </w:r>
      <w:r>
        <w:t> </w:t>
      </w:r>
      <w:r w:rsidRPr="00C84632">
        <w:t xml:space="preserve">%) as a yellow solid. </w:t>
      </w:r>
      <w:r w:rsidRPr="00C84632">
        <w:rPr>
          <w:lang w:val="pt-PT"/>
        </w:rPr>
        <w:t xml:space="preserve">Mp 72-73 °C (diethyl ether); </w:t>
      </w:r>
      <w:r w:rsidRPr="00C84632">
        <w:rPr>
          <w:rFonts w:eastAsia="Times New Roman" w:cs="Arial"/>
          <w:shd w:val="clear" w:color="auto" w:fill="FFFFFF"/>
          <w:lang w:val="pt-PT"/>
        </w:rPr>
        <w:t>Elemental found: C, 68.88; H, 5.80; N, 16.06. C</w:t>
      </w:r>
      <w:r w:rsidRPr="00C84632">
        <w:rPr>
          <w:rFonts w:eastAsia="Times New Roman" w:cs="Arial"/>
          <w:shd w:val="clear" w:color="auto" w:fill="FFFFFF"/>
          <w:vertAlign w:val="subscript"/>
          <w:lang w:val="pt-PT"/>
        </w:rPr>
        <w:t>10</w:t>
      </w:r>
      <w:r w:rsidRPr="00C84632">
        <w:rPr>
          <w:rFonts w:eastAsia="Times New Roman" w:cs="Arial"/>
          <w:shd w:val="clear" w:color="auto" w:fill="FFFFFF"/>
          <w:lang w:val="pt-PT"/>
        </w:rPr>
        <w:t>H</w:t>
      </w:r>
      <w:r w:rsidRPr="00C84632">
        <w:rPr>
          <w:rFonts w:eastAsia="Times New Roman" w:cs="Arial"/>
          <w:shd w:val="clear" w:color="auto" w:fill="FFFFFF"/>
          <w:vertAlign w:val="subscript"/>
          <w:lang w:val="pt-PT"/>
        </w:rPr>
        <w:t>10</w:t>
      </w:r>
      <w:r w:rsidRPr="00C84632">
        <w:rPr>
          <w:rFonts w:eastAsia="Times New Roman" w:cs="Arial"/>
          <w:shd w:val="clear" w:color="auto" w:fill="FFFFFF"/>
          <w:lang w:val="pt-PT"/>
        </w:rPr>
        <w:t>N</w:t>
      </w:r>
      <w:r w:rsidRPr="00C84632">
        <w:rPr>
          <w:rFonts w:eastAsia="Times New Roman" w:cs="Arial"/>
          <w:shd w:val="clear" w:color="auto" w:fill="FFFFFF"/>
          <w:vertAlign w:val="subscript"/>
          <w:lang w:val="pt-PT"/>
        </w:rPr>
        <w:t>2</w:t>
      </w:r>
      <w:r w:rsidRPr="00C84632">
        <w:rPr>
          <w:rFonts w:eastAsia="Times New Roman" w:cs="Arial"/>
          <w:shd w:val="clear" w:color="auto" w:fill="FFFFFF"/>
          <w:lang w:val="pt-PT"/>
        </w:rPr>
        <w:t>O requires C, 68.95; H, 5.79; N, 16.08; FTIR (KBr ν</w:t>
      </w:r>
      <w:r w:rsidRPr="00C84632">
        <w:rPr>
          <w:rFonts w:eastAsia="Times New Roman" w:cs="Arial"/>
          <w:shd w:val="clear" w:color="auto" w:fill="FFFFFF"/>
          <w:vertAlign w:val="subscript"/>
          <w:lang w:val="pt-PT"/>
        </w:rPr>
        <w:t>max</w:t>
      </w:r>
      <w:r w:rsidRPr="00C84632">
        <w:rPr>
          <w:rFonts w:eastAsia="Times New Roman" w:cs="Arial"/>
          <w:shd w:val="clear" w:color="auto" w:fill="FFFFFF"/>
          <w:lang w:val="pt-PT"/>
        </w:rPr>
        <w:t>, cm</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 xml:space="preserve">): 3392 (OH, H-bonded), 2924 and 2868 (CH aromatic), 2243 (nitrile), 1630 (C=N), 1580 (CC aromatic); </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H NMR (400 MHz, CDCl</w:t>
      </w:r>
      <w:r w:rsidRPr="00C84632">
        <w:rPr>
          <w:rFonts w:eastAsia="Times New Roman" w:cs="Arial"/>
          <w:shd w:val="clear" w:color="auto" w:fill="FFFFFF"/>
          <w:vertAlign w:val="subscript"/>
          <w:lang w:val="pt-PT"/>
        </w:rPr>
        <w:t>3</w:t>
      </w:r>
      <w:r>
        <w:rPr>
          <w:rFonts w:eastAsia="Times New Roman" w:cs="Arial"/>
          <w:shd w:val="clear" w:color="auto" w:fill="FFFFFF"/>
          <w:lang w:val="pt-PT"/>
        </w:rPr>
        <w:t xml:space="preserve">), </w:t>
      </w:r>
      <w:r w:rsidRPr="0098162D">
        <w:rPr>
          <w:rFonts w:eastAsia="Times New Roman" w:cs="Arial"/>
          <w:i/>
          <w:shd w:val="clear" w:color="auto" w:fill="FFFFFF"/>
          <w:lang w:val="pt-PT"/>
        </w:rPr>
        <w:t>J</w:t>
      </w:r>
      <w:r>
        <w:rPr>
          <w:rFonts w:eastAsia="Times New Roman" w:cs="Arial"/>
          <w:shd w:val="clear" w:color="auto" w:fill="FFFFFF"/>
          <w:lang w:val="pt-PT"/>
        </w:rPr>
        <w:t xml:space="preserve"> values given in Hz,</w:t>
      </w:r>
      <w:r w:rsidRPr="00C84632">
        <w:rPr>
          <w:rFonts w:eastAsia="Times New Roman" w:cs="Arial"/>
          <w:shd w:val="clear" w:color="auto" w:fill="FFFFFF"/>
          <w:lang w:val="pt-PT"/>
        </w:rPr>
        <w:t xml:space="preserve"> </w:t>
      </w:r>
      <w:r w:rsidRPr="00C84632">
        <w:rPr>
          <w:rFonts w:eastAsia="Times New Roman" w:cs="Arial"/>
          <w:shd w:val="clear" w:color="auto" w:fill="FFFFFF"/>
        </w:rPr>
        <w:t>δ</w:t>
      </w:r>
      <w:r>
        <w:rPr>
          <w:rFonts w:eastAsia="Times New Roman" w:cs="Arial"/>
          <w:shd w:val="clear" w:color="auto" w:fill="FFFFFF"/>
        </w:rPr>
        <w:t xml:space="preserve"> </w:t>
      </w:r>
      <w:r w:rsidRPr="00C84632">
        <w:rPr>
          <w:rFonts w:eastAsia="Times New Roman" w:cs="Arial"/>
          <w:shd w:val="clear" w:color="auto" w:fill="FFFFFF"/>
          <w:lang w:val="pt-PT"/>
        </w:rPr>
        <w:t>= 12.60 (s, 1H), 8.43 (s, 1H), 7.35 (ddd, 1H,</w:t>
      </w:r>
      <w:r w:rsidRPr="00C84632">
        <w:rPr>
          <w:rFonts w:eastAsia="Times New Roman" w:cs="Arial"/>
          <w:i/>
          <w:shd w:val="clear" w:color="auto" w:fill="FFFFFF"/>
          <w:lang w:val="pt-PT"/>
        </w:rPr>
        <w:t xml:space="preserve"> J </w:t>
      </w:r>
      <w:r w:rsidRPr="00C84632">
        <w:rPr>
          <w:rFonts w:eastAsia="Times New Roman" w:cs="Arial"/>
          <w:shd w:val="clear" w:color="auto" w:fill="FFFFFF"/>
          <w:lang w:val="pt-PT"/>
        </w:rPr>
        <w:t xml:space="preserve">= 8.33, </w:t>
      </w:r>
      <w:r w:rsidRPr="00C84632">
        <w:rPr>
          <w:rFonts w:eastAsia="Times New Roman" w:cs="Arial"/>
          <w:i/>
          <w:shd w:val="clear" w:color="auto" w:fill="FFFFFF"/>
          <w:lang w:val="pt-PT"/>
        </w:rPr>
        <w:t xml:space="preserve">J </w:t>
      </w:r>
      <w:r w:rsidRPr="00C84632">
        <w:rPr>
          <w:rFonts w:eastAsia="Times New Roman" w:cs="Arial"/>
          <w:shd w:val="clear" w:color="auto" w:fill="FFFFFF"/>
          <w:lang w:val="pt-PT"/>
        </w:rPr>
        <w:t xml:space="preserve">= 7.28, </w:t>
      </w:r>
      <w:r w:rsidRPr="00C84632">
        <w:rPr>
          <w:rFonts w:eastAsia="Times New Roman" w:cs="Arial"/>
          <w:i/>
          <w:shd w:val="clear" w:color="auto" w:fill="FFFFFF"/>
          <w:lang w:val="pt-PT"/>
        </w:rPr>
        <w:t xml:space="preserve">J </w:t>
      </w:r>
      <w:r w:rsidRPr="00C84632">
        <w:rPr>
          <w:rFonts w:eastAsia="Times New Roman" w:cs="Arial"/>
          <w:shd w:val="clear" w:color="auto" w:fill="FFFFFF"/>
          <w:lang w:val="pt-PT"/>
        </w:rPr>
        <w:t xml:space="preserve">= 2.08), 7.28 (dd, 1H, </w:t>
      </w:r>
      <w:r w:rsidRPr="00C84632">
        <w:rPr>
          <w:rFonts w:eastAsia="Times New Roman" w:cs="Arial"/>
          <w:i/>
          <w:shd w:val="clear" w:color="auto" w:fill="FFFFFF"/>
          <w:lang w:val="pt-PT"/>
        </w:rPr>
        <w:t xml:space="preserve">J </w:t>
      </w:r>
      <w:r w:rsidRPr="00C84632">
        <w:rPr>
          <w:rFonts w:eastAsia="Times New Roman" w:cs="Arial"/>
          <w:shd w:val="clear" w:color="auto" w:fill="FFFFFF"/>
          <w:lang w:val="pt-PT"/>
        </w:rPr>
        <w:t>= 7.68,</w:t>
      </w:r>
      <w:r w:rsidRPr="00C84632">
        <w:rPr>
          <w:rFonts w:eastAsia="Times New Roman" w:cs="Arial"/>
          <w:i/>
          <w:shd w:val="clear" w:color="auto" w:fill="FFFFFF"/>
          <w:lang w:val="pt-PT"/>
        </w:rPr>
        <w:t xml:space="preserve"> J </w:t>
      </w:r>
      <w:r w:rsidRPr="00C84632">
        <w:rPr>
          <w:rFonts w:eastAsia="Times New Roman" w:cs="Arial"/>
          <w:shd w:val="clear" w:color="auto" w:fill="FFFFFF"/>
          <w:lang w:val="pt-PT"/>
        </w:rPr>
        <w:t xml:space="preserve">= 2.03), 6.98 (dt, 1H, </w:t>
      </w:r>
      <w:r w:rsidRPr="00C84632">
        <w:rPr>
          <w:rFonts w:eastAsia="Times New Roman" w:cs="Arial"/>
          <w:i/>
          <w:shd w:val="clear" w:color="auto" w:fill="FFFFFF"/>
          <w:lang w:val="pt-PT"/>
        </w:rPr>
        <w:t xml:space="preserve">J </w:t>
      </w:r>
      <w:r w:rsidRPr="00C84632">
        <w:rPr>
          <w:rFonts w:eastAsia="Times New Roman" w:cs="Arial"/>
          <w:shd w:val="clear" w:color="auto" w:fill="FFFFFF"/>
          <w:lang w:val="pt-PT"/>
        </w:rPr>
        <w:t xml:space="preserve">= 8.25,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0.53), 6.91 (td, 1H,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11.30, </w:t>
      </w:r>
      <w:r w:rsidRPr="00C84632">
        <w:rPr>
          <w:rFonts w:eastAsia="Times New Roman" w:cs="Arial"/>
          <w:i/>
          <w:shd w:val="clear" w:color="auto" w:fill="FFFFFF"/>
          <w:lang w:val="pt-PT"/>
        </w:rPr>
        <w:t>J </w:t>
      </w:r>
      <w:r w:rsidRPr="00C84632">
        <w:rPr>
          <w:rFonts w:eastAsia="Times New Roman" w:cs="Arial"/>
          <w:shd w:val="clear" w:color="auto" w:fill="FFFFFF"/>
          <w:lang w:val="pt-PT"/>
        </w:rPr>
        <w:t>= 1.07), 3.84 (td, 2H,</w:t>
      </w:r>
      <w:r w:rsidRPr="00C84632">
        <w:rPr>
          <w:rFonts w:eastAsia="Times New Roman" w:cs="Arial"/>
          <w:i/>
          <w:shd w:val="clear" w:color="auto" w:fill="FFFFFF"/>
          <w:lang w:val="pt-PT"/>
        </w:rPr>
        <w:t xml:space="preserve"> J </w:t>
      </w:r>
      <w:r w:rsidRPr="00C84632">
        <w:rPr>
          <w:rFonts w:eastAsia="Times New Roman" w:cs="Arial"/>
          <w:shd w:val="clear" w:color="auto" w:fill="FFFFFF"/>
          <w:lang w:val="pt-PT"/>
        </w:rPr>
        <w:t xml:space="preserve">= 9.98,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1.20), 3.84 (td, 2H, </w:t>
      </w:r>
      <w:r w:rsidRPr="00C84632">
        <w:rPr>
          <w:rFonts w:eastAsia="Times New Roman" w:cs="Arial"/>
          <w:i/>
          <w:shd w:val="clear" w:color="auto" w:fill="FFFFFF"/>
          <w:lang w:val="pt-PT"/>
        </w:rPr>
        <w:lastRenderedPageBreak/>
        <w:t>J </w:t>
      </w:r>
      <w:r w:rsidRPr="00C84632">
        <w:rPr>
          <w:rFonts w:eastAsia="Times New Roman" w:cs="Arial"/>
          <w:shd w:val="clear" w:color="auto" w:fill="FFFFFF"/>
          <w:lang w:val="pt-PT"/>
        </w:rPr>
        <w:t xml:space="preserve">= 9.92,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1.22), 2.75 (t, 2H,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6.65); </w:t>
      </w:r>
      <w:r w:rsidRPr="00C84632">
        <w:rPr>
          <w:rFonts w:eastAsia="Times New Roman" w:cs="Arial"/>
          <w:shd w:val="clear" w:color="auto" w:fill="FFFFFF"/>
          <w:vertAlign w:val="superscript"/>
        </w:rPr>
        <w:t>13</w:t>
      </w:r>
      <w:r w:rsidRPr="00C84632">
        <w:rPr>
          <w:rFonts w:eastAsia="Times New Roman" w:cs="Arial"/>
          <w:shd w:val="clear" w:color="auto" w:fill="FFFFFF"/>
        </w:rPr>
        <w:t xml:space="preserve">C NMR </w:t>
      </w:r>
      <w:r>
        <w:rPr>
          <w:rFonts w:eastAsia="Times New Roman" w:cs="Arial"/>
          <w:shd w:val="clear" w:color="auto" w:fill="FFFFFF"/>
        </w:rPr>
        <w:t>(125</w:t>
      </w:r>
      <w:r w:rsidRPr="00C84632">
        <w:rPr>
          <w:rFonts w:eastAsia="Times New Roman" w:cs="Arial"/>
          <w:shd w:val="clear" w:color="auto" w:fill="FFFFFF"/>
        </w:rPr>
        <w:t> MHz, CDCl</w:t>
      </w:r>
      <w:r w:rsidRPr="00C84632">
        <w:rPr>
          <w:rFonts w:eastAsia="Times New Roman" w:cs="Arial"/>
          <w:shd w:val="clear" w:color="auto" w:fill="FFFFFF"/>
          <w:vertAlign w:val="subscript"/>
        </w:rPr>
        <w:t>3</w:t>
      </w:r>
      <w:r>
        <w:rPr>
          <w:rFonts w:eastAsia="Times New Roman" w:cs="Arial"/>
          <w:shd w:val="clear" w:color="auto" w:fill="FFFFFF"/>
        </w:rPr>
        <w:t xml:space="preserve">) </w:t>
      </w:r>
      <w:r w:rsidRPr="00C84632">
        <w:rPr>
          <w:rFonts w:eastAsia="Times New Roman" w:cs="Arial"/>
          <w:shd w:val="clear" w:color="auto" w:fill="FFFFFF"/>
        </w:rPr>
        <w:t xml:space="preserve">δ </w:t>
      </w:r>
      <w:r w:rsidRPr="00C84632">
        <w:rPr>
          <w:rFonts w:eastAsia="Times New Roman" w:cs="Arial"/>
          <w:shd w:val="clear" w:color="auto" w:fill="FFFFFF"/>
          <w:lang w:val="pt-PT"/>
        </w:rPr>
        <w:t xml:space="preserve">= 167.49, 160.89, 133.10, 131.96, 119.06, 118.34, 117.85, 117.15, 54.82, 19.73; </w:t>
      </w:r>
      <w:r>
        <w:rPr>
          <w:rFonts w:eastAsia="Times New Roman" w:cs="Arial"/>
          <w:shd w:val="clear" w:color="auto" w:fill="FFFFFF"/>
        </w:rPr>
        <w:t xml:space="preserve">MS </w:t>
      </w:r>
      <w:r w:rsidRPr="00C84632">
        <w:rPr>
          <w:rFonts w:eastAsia="Times New Roman" w:cs="Arial"/>
          <w:shd w:val="clear" w:color="auto" w:fill="FFFFFF"/>
        </w:rPr>
        <w:t xml:space="preserve">ESI </w:t>
      </w:r>
      <w:r>
        <w:rPr>
          <w:rFonts w:eastAsia="Times New Roman" w:cs="Arial"/>
          <w:shd w:val="clear" w:color="auto" w:fill="FFFFFF"/>
        </w:rPr>
        <w:t xml:space="preserve">positive </w:t>
      </w:r>
      <w:r w:rsidRPr="00C84632">
        <w:rPr>
          <w:rFonts w:eastAsia="Times New Roman" w:cs="Arial"/>
          <w:shd w:val="clear" w:color="auto" w:fill="FFFFFF"/>
        </w:rPr>
        <w:t>m/z (M+H)+ requires 175.0866, found 175.0865</w:t>
      </w:r>
      <w:r>
        <w:rPr>
          <w:rFonts w:eastAsia="Times New Roman" w:cs="Arial"/>
          <w:shd w:val="clear" w:color="auto" w:fill="FFFFFF"/>
        </w:rPr>
        <w:t>.</w:t>
      </w:r>
    </w:p>
    <w:p w14:paraId="6C7174C3" w14:textId="77777777" w:rsidR="00AF52F5" w:rsidRPr="00C84632" w:rsidRDefault="00AF52F5" w:rsidP="006D5170">
      <w:pPr>
        <w:pStyle w:val="Heading4"/>
      </w:pPr>
      <w:bookmarkStart w:id="79" w:name="_Toc320882532"/>
      <w:bookmarkStart w:id="80" w:name="_Toc510023003"/>
      <w:r>
        <w:t>5-methoxy-2-(2-cyanoethyliminomethyl)phenol</w:t>
      </w:r>
      <w:r w:rsidRPr="00C84632" w:rsidDel="007A350A">
        <w:t xml:space="preserve"> </w:t>
      </w:r>
      <w:bookmarkEnd w:id="79"/>
      <w:bookmarkEnd w:id="80"/>
    </w:p>
    <w:p w14:paraId="57995972" w14:textId="77777777" w:rsidR="00AF52F5" w:rsidRPr="00C84632" w:rsidRDefault="00AF52F5" w:rsidP="00AF52F5">
      <w:pPr>
        <w:rPr>
          <w:rFonts w:eastAsia="Times New Roman" w:cs="Arial"/>
          <w:shd w:val="clear" w:color="auto" w:fill="FFFFFF"/>
        </w:rPr>
      </w:pPr>
      <w:r w:rsidRPr="005804E1">
        <w:t>5-methoxy-2-(2-cyanoethyliminomethyl)phenol</w:t>
      </w:r>
      <w:r w:rsidRPr="00C84632" w:rsidDel="007A350A">
        <w:t xml:space="preserve"> </w:t>
      </w:r>
      <w:r w:rsidRPr="00C84632">
        <w:t xml:space="preserve">was synthesised according to the general procedure and purified by recrystallisation from diethyl ether, providing compound </w:t>
      </w:r>
      <w:r w:rsidRPr="00AF0672">
        <w:rPr>
          <w:b/>
        </w:rPr>
        <w:t>2</w:t>
      </w:r>
      <w:r>
        <w:rPr>
          <w:b/>
        </w:rPr>
        <w:t>b</w:t>
      </w:r>
      <w:r w:rsidRPr="00C84632">
        <w:t xml:space="preserve"> (unoptimised, 3.00 g, 59 %) as a yellow solid. </w:t>
      </w:r>
      <w:r w:rsidRPr="00C84632">
        <w:rPr>
          <w:lang w:val="pt-PT"/>
        </w:rPr>
        <w:t xml:space="preserve">Mp 67-68 °C (diethyl ether); </w:t>
      </w:r>
      <w:r w:rsidRPr="00C84632">
        <w:rPr>
          <w:rFonts w:eastAsia="Times New Roman" w:cs="Arial"/>
          <w:shd w:val="clear" w:color="auto" w:fill="FFFFFF"/>
          <w:lang w:val="pt-PT"/>
        </w:rPr>
        <w:t>Elemental found: C, 64.73; H, 5.92; N, 13.70. C</w:t>
      </w:r>
      <w:r w:rsidRPr="00C84632">
        <w:rPr>
          <w:rFonts w:eastAsia="Times New Roman" w:cs="Arial"/>
          <w:shd w:val="clear" w:color="auto" w:fill="FFFFFF"/>
          <w:vertAlign w:val="subscript"/>
          <w:lang w:val="pt-PT"/>
        </w:rPr>
        <w:t>11</w:t>
      </w:r>
      <w:r w:rsidRPr="00C84632">
        <w:rPr>
          <w:rFonts w:eastAsia="Times New Roman" w:cs="Arial"/>
          <w:shd w:val="clear" w:color="auto" w:fill="FFFFFF"/>
          <w:lang w:val="pt-PT"/>
        </w:rPr>
        <w:t>H</w:t>
      </w:r>
      <w:r w:rsidRPr="00C84632">
        <w:rPr>
          <w:rFonts w:eastAsia="Times New Roman" w:cs="Arial"/>
          <w:shd w:val="clear" w:color="auto" w:fill="FFFFFF"/>
          <w:vertAlign w:val="subscript"/>
          <w:lang w:val="pt-PT"/>
        </w:rPr>
        <w:t>12</w:t>
      </w:r>
      <w:r w:rsidRPr="00C84632">
        <w:rPr>
          <w:rFonts w:eastAsia="Times New Roman" w:cs="Arial"/>
          <w:shd w:val="clear" w:color="auto" w:fill="FFFFFF"/>
          <w:lang w:val="pt-PT"/>
        </w:rPr>
        <w:t>N</w:t>
      </w:r>
      <w:r w:rsidRPr="00C84632">
        <w:rPr>
          <w:rFonts w:eastAsia="Times New Roman" w:cs="Arial"/>
          <w:shd w:val="clear" w:color="auto" w:fill="FFFFFF"/>
          <w:vertAlign w:val="subscript"/>
          <w:lang w:val="pt-PT"/>
        </w:rPr>
        <w:t>2</w:t>
      </w:r>
      <w:r w:rsidRPr="00C84632">
        <w:rPr>
          <w:rFonts w:eastAsia="Times New Roman" w:cs="Arial"/>
          <w:shd w:val="clear" w:color="auto" w:fill="FFFFFF"/>
          <w:lang w:val="pt-PT"/>
        </w:rPr>
        <w:t>O</w:t>
      </w:r>
      <w:r w:rsidRPr="00C84632">
        <w:rPr>
          <w:rFonts w:eastAsia="Times New Roman" w:cs="Arial"/>
          <w:shd w:val="clear" w:color="auto" w:fill="FFFFFF"/>
          <w:vertAlign w:val="subscript"/>
          <w:lang w:val="pt-PT"/>
        </w:rPr>
        <w:t>2</w:t>
      </w:r>
      <w:r w:rsidRPr="00C84632">
        <w:rPr>
          <w:rFonts w:eastAsia="Times New Roman" w:cs="Arial"/>
          <w:shd w:val="clear" w:color="auto" w:fill="FFFFFF"/>
          <w:lang w:val="pt-PT"/>
        </w:rPr>
        <w:t xml:space="preserve"> requires C, 64.69; H, 5.92; N, 13.72 %; FTIR (KBr ν</w:t>
      </w:r>
      <w:r w:rsidRPr="00C84632">
        <w:rPr>
          <w:rFonts w:eastAsia="Times New Roman" w:cs="Arial"/>
          <w:shd w:val="clear" w:color="auto" w:fill="FFFFFF"/>
          <w:vertAlign w:val="subscript"/>
          <w:lang w:val="pt-PT"/>
        </w:rPr>
        <w:t>max</w:t>
      </w:r>
      <w:r w:rsidRPr="00C84632">
        <w:rPr>
          <w:rFonts w:eastAsia="Times New Roman" w:cs="Arial"/>
          <w:shd w:val="clear" w:color="auto" w:fill="FFFFFF"/>
          <w:lang w:val="pt-PT"/>
        </w:rPr>
        <w:t>, cm</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 3400 (OH, H-bonded), 2983 and 2932 (CH aromatic), 2248 (nitrile), 1629 (C=N), 1576 (CC aromatic)</w:t>
      </w:r>
      <w:r w:rsidRPr="00C84632">
        <w:rPr>
          <w:rFonts w:eastAsia="Times New Roman" w:cs="Arial"/>
          <w:shd w:val="clear" w:color="auto" w:fill="FFFFFF"/>
        </w:rPr>
        <w:t xml:space="preserve">; </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H NMR (400 MHz, CDCl</w:t>
      </w:r>
      <w:r w:rsidRPr="00C84632">
        <w:rPr>
          <w:rFonts w:eastAsia="Times New Roman" w:cs="Arial"/>
          <w:shd w:val="clear" w:color="auto" w:fill="FFFFFF"/>
          <w:vertAlign w:val="subscript"/>
          <w:lang w:val="pt-PT"/>
        </w:rPr>
        <w:t>3</w:t>
      </w:r>
      <w:r>
        <w:rPr>
          <w:rFonts w:eastAsia="Times New Roman" w:cs="Arial"/>
          <w:shd w:val="clear" w:color="auto" w:fill="FFFFFF"/>
          <w:lang w:val="pt-PT"/>
        </w:rPr>
        <w:t xml:space="preserve">) </w:t>
      </w:r>
      <w:r w:rsidRPr="00C84632">
        <w:rPr>
          <w:rFonts w:eastAsia="Times New Roman" w:cs="Arial"/>
          <w:shd w:val="clear" w:color="auto" w:fill="FFFFFF"/>
        </w:rPr>
        <w:t xml:space="preserve">δ </w:t>
      </w:r>
      <w:r w:rsidRPr="00C84632">
        <w:rPr>
          <w:rFonts w:eastAsia="Times New Roman" w:cs="Arial"/>
          <w:shd w:val="clear" w:color="auto" w:fill="FFFFFF"/>
          <w:lang w:val="pt-PT"/>
        </w:rPr>
        <w:t xml:space="preserve">= 13.02 (s, 1H), 8.32 (s, 1H), 7.16 (m, 1H), 6.46 (m, 1H), 3.81 (s, 1H), 3.78 (td, 2H,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6.71,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1.07), 2.73 (t, 2H, </w:t>
      </w:r>
      <w:r w:rsidRPr="00C84632">
        <w:rPr>
          <w:rFonts w:eastAsia="Times New Roman" w:cs="Arial"/>
          <w:i/>
          <w:shd w:val="clear" w:color="auto" w:fill="FFFFFF"/>
          <w:lang w:val="pt-PT"/>
        </w:rPr>
        <w:t>J </w:t>
      </w:r>
      <w:r w:rsidRPr="00C84632">
        <w:rPr>
          <w:rFonts w:eastAsia="Times New Roman" w:cs="Arial"/>
          <w:shd w:val="clear" w:color="auto" w:fill="FFFFFF"/>
          <w:lang w:val="pt-PT"/>
        </w:rPr>
        <w:t>= 6.64)</w:t>
      </w:r>
      <w:r w:rsidRPr="00C84632">
        <w:rPr>
          <w:rFonts w:eastAsia="Times New Roman" w:cs="Arial"/>
          <w:shd w:val="clear" w:color="auto" w:fill="FFFFFF"/>
        </w:rPr>
        <w:t xml:space="preserve">; </w:t>
      </w:r>
      <w:r w:rsidRPr="00C84632">
        <w:rPr>
          <w:rFonts w:eastAsia="Times New Roman" w:cs="Arial"/>
          <w:shd w:val="clear" w:color="auto" w:fill="FFFFFF"/>
          <w:vertAlign w:val="superscript"/>
        </w:rPr>
        <w:t>13</w:t>
      </w:r>
      <w:r w:rsidRPr="00C84632">
        <w:rPr>
          <w:rFonts w:eastAsia="Times New Roman" w:cs="Arial"/>
          <w:shd w:val="clear" w:color="auto" w:fill="FFFFFF"/>
        </w:rPr>
        <w:t>C NMR (</w:t>
      </w:r>
      <w:r>
        <w:rPr>
          <w:rFonts w:eastAsia="Times New Roman" w:cs="Arial"/>
          <w:shd w:val="clear" w:color="auto" w:fill="FFFFFF"/>
        </w:rPr>
        <w:t>125</w:t>
      </w:r>
      <w:r w:rsidRPr="00C84632">
        <w:rPr>
          <w:rFonts w:eastAsia="Times New Roman" w:cs="Arial"/>
          <w:shd w:val="clear" w:color="auto" w:fill="FFFFFF"/>
        </w:rPr>
        <w:t> MHz, CDCl</w:t>
      </w:r>
      <w:r w:rsidRPr="00C84632">
        <w:rPr>
          <w:rFonts w:eastAsia="Times New Roman" w:cs="Arial"/>
          <w:shd w:val="clear" w:color="auto" w:fill="FFFFFF"/>
          <w:vertAlign w:val="subscript"/>
        </w:rPr>
        <w:t>3</w:t>
      </w:r>
      <w:r>
        <w:rPr>
          <w:rFonts w:eastAsia="Times New Roman" w:cs="Arial"/>
          <w:shd w:val="clear" w:color="auto" w:fill="FFFFFF"/>
        </w:rPr>
        <w:t xml:space="preserve">) </w:t>
      </w:r>
      <w:r w:rsidRPr="00C84632">
        <w:rPr>
          <w:rFonts w:eastAsia="Times New Roman" w:cs="Arial"/>
          <w:shd w:val="clear" w:color="auto" w:fill="FFFFFF"/>
        </w:rPr>
        <w:t>δ </w:t>
      </w:r>
      <w:r w:rsidRPr="00C84632">
        <w:rPr>
          <w:rFonts w:eastAsia="Times New Roman" w:cs="Arial"/>
          <w:shd w:val="clear" w:color="auto" w:fill="FFFFFF"/>
          <w:lang w:val="pt-PT"/>
        </w:rPr>
        <w:t>=</w:t>
      </w:r>
      <w:r w:rsidRPr="00C84632">
        <w:rPr>
          <w:rFonts w:eastAsia="Times New Roman" w:cs="Arial"/>
          <w:shd w:val="clear" w:color="auto" w:fill="FFFFFF"/>
        </w:rPr>
        <w:t xml:space="preserve"> 166.58, 163.78, 163.36, 133.17, 117.99, 112.24, 106.89, </w:t>
      </w:r>
      <w:r>
        <w:rPr>
          <w:rFonts w:eastAsia="Times New Roman" w:cs="Arial"/>
          <w:shd w:val="clear" w:color="auto" w:fill="FFFFFF"/>
        </w:rPr>
        <w:t xml:space="preserve">101.14, 55.53, 54.52, 19.90; MS </w:t>
      </w:r>
      <w:r w:rsidRPr="00C84632">
        <w:rPr>
          <w:rFonts w:eastAsia="Times New Roman" w:cs="Arial"/>
          <w:shd w:val="clear" w:color="auto" w:fill="FFFFFF"/>
        </w:rPr>
        <w:t>ESI</w:t>
      </w:r>
      <w:r>
        <w:rPr>
          <w:rFonts w:eastAsia="Times New Roman" w:cs="Arial"/>
          <w:shd w:val="clear" w:color="auto" w:fill="FFFFFF"/>
        </w:rPr>
        <w:t xml:space="preserve"> positive</w:t>
      </w:r>
      <w:r w:rsidRPr="00C84632">
        <w:rPr>
          <w:rFonts w:eastAsia="Times New Roman" w:cs="Arial"/>
          <w:shd w:val="clear" w:color="auto" w:fill="FFFFFF"/>
        </w:rPr>
        <w:t xml:space="preserve"> m/z (M+H)+ requires 205.0972, found 205.0973.</w:t>
      </w:r>
    </w:p>
    <w:p w14:paraId="310946F4" w14:textId="77777777" w:rsidR="00AF52F5" w:rsidRPr="00C84632" w:rsidRDefault="00AF52F5" w:rsidP="006D5170">
      <w:pPr>
        <w:pStyle w:val="Heading4"/>
      </w:pPr>
      <w:bookmarkStart w:id="81" w:name="_Toc320882533"/>
      <w:bookmarkStart w:id="82" w:name="_Toc510023004"/>
      <w:r>
        <w:t>6-tert-butyl-2-(2-cyanoethyliminomethyl)phenol</w:t>
      </w:r>
      <w:r w:rsidRPr="00C84632" w:rsidDel="007A350A">
        <w:t xml:space="preserve"> </w:t>
      </w:r>
      <w:bookmarkEnd w:id="81"/>
      <w:bookmarkEnd w:id="82"/>
    </w:p>
    <w:p w14:paraId="4BF3BEA1" w14:textId="77777777" w:rsidR="00AF52F5" w:rsidRPr="00C84632" w:rsidRDefault="00AF52F5" w:rsidP="00AF52F5">
      <w:r w:rsidRPr="005804E1">
        <w:t>6-tert-butyl-2-(2-cyanoethyliminomethyl)phenol</w:t>
      </w:r>
      <w:r w:rsidRPr="005804E1" w:rsidDel="007A350A">
        <w:t xml:space="preserve"> </w:t>
      </w:r>
      <w:r w:rsidRPr="005804E1">
        <w:t>was</w:t>
      </w:r>
      <w:r w:rsidRPr="00C84632">
        <w:t xml:space="preserve"> synthesised according to the general procedure and purified by recrystallisation from 40/60 petroleum ether, providing compound </w:t>
      </w:r>
      <w:r w:rsidRPr="00AB37AE">
        <w:rPr>
          <w:b/>
        </w:rPr>
        <w:t>3</w:t>
      </w:r>
      <w:r>
        <w:rPr>
          <w:b/>
        </w:rPr>
        <w:t>b</w:t>
      </w:r>
      <w:r w:rsidRPr="00C84632">
        <w:t xml:space="preserve"> (unoptimised, 3.83 g, 67 %) as a yellow solid. </w:t>
      </w:r>
      <w:r w:rsidRPr="00C84632">
        <w:rPr>
          <w:lang w:val="pt-PT"/>
        </w:rPr>
        <w:t xml:space="preserve">Mp 67-69 °C (40/60 petroleum ether); </w:t>
      </w:r>
      <w:r w:rsidRPr="00C84632">
        <w:rPr>
          <w:rFonts w:eastAsia="Times New Roman" w:cs="Arial"/>
          <w:shd w:val="clear" w:color="auto" w:fill="FFFFFF"/>
          <w:lang w:val="pt-PT"/>
        </w:rPr>
        <w:t>Elemental found: C, 72.95; H, 7.81; N, 12.10. C</w:t>
      </w:r>
      <w:r w:rsidRPr="00C84632">
        <w:rPr>
          <w:rFonts w:eastAsia="Times New Roman" w:cs="Arial"/>
          <w:shd w:val="clear" w:color="auto" w:fill="FFFFFF"/>
          <w:vertAlign w:val="subscript"/>
          <w:lang w:val="pt-PT"/>
        </w:rPr>
        <w:t>14</w:t>
      </w:r>
      <w:r w:rsidRPr="00C84632">
        <w:rPr>
          <w:rFonts w:eastAsia="Times New Roman" w:cs="Arial"/>
          <w:shd w:val="clear" w:color="auto" w:fill="FFFFFF"/>
          <w:lang w:val="pt-PT"/>
        </w:rPr>
        <w:t>H</w:t>
      </w:r>
      <w:r w:rsidRPr="00C84632">
        <w:rPr>
          <w:rFonts w:eastAsia="Times New Roman" w:cs="Arial"/>
          <w:shd w:val="clear" w:color="auto" w:fill="FFFFFF"/>
          <w:vertAlign w:val="subscript"/>
          <w:lang w:val="pt-PT"/>
        </w:rPr>
        <w:t>18</w:t>
      </w:r>
      <w:r w:rsidRPr="00C84632">
        <w:rPr>
          <w:rFonts w:eastAsia="Times New Roman" w:cs="Arial"/>
          <w:shd w:val="clear" w:color="auto" w:fill="FFFFFF"/>
          <w:lang w:val="pt-PT"/>
        </w:rPr>
        <w:t>N</w:t>
      </w:r>
      <w:r w:rsidRPr="00C84632">
        <w:rPr>
          <w:rFonts w:eastAsia="Times New Roman" w:cs="Arial"/>
          <w:shd w:val="clear" w:color="auto" w:fill="FFFFFF"/>
          <w:vertAlign w:val="subscript"/>
          <w:lang w:val="pt-PT"/>
        </w:rPr>
        <w:t>2</w:t>
      </w:r>
      <w:r w:rsidRPr="00C84632">
        <w:rPr>
          <w:rFonts w:eastAsia="Times New Roman" w:cs="Arial"/>
          <w:shd w:val="clear" w:color="auto" w:fill="FFFFFF"/>
          <w:lang w:val="pt-PT"/>
        </w:rPr>
        <w:t>O requires C, 73.01; H, 7.88; N, 12.16 %;</w:t>
      </w:r>
      <w:r w:rsidRPr="00C84632">
        <w:t xml:space="preserve"> </w:t>
      </w:r>
      <w:r w:rsidRPr="00C84632">
        <w:rPr>
          <w:rFonts w:eastAsia="Times New Roman" w:cs="Arial"/>
          <w:shd w:val="clear" w:color="auto" w:fill="FFFFFF"/>
          <w:lang w:val="pt-PT"/>
        </w:rPr>
        <w:t>FTIR (KBr ν</w:t>
      </w:r>
      <w:r w:rsidRPr="00C84632">
        <w:rPr>
          <w:rFonts w:eastAsia="Times New Roman" w:cs="Arial"/>
          <w:shd w:val="clear" w:color="auto" w:fill="FFFFFF"/>
          <w:vertAlign w:val="subscript"/>
          <w:lang w:val="pt-PT"/>
        </w:rPr>
        <w:t>max</w:t>
      </w:r>
      <w:r w:rsidRPr="00C84632">
        <w:rPr>
          <w:rFonts w:eastAsia="Times New Roman" w:cs="Arial"/>
          <w:shd w:val="clear" w:color="auto" w:fill="FFFFFF"/>
          <w:lang w:val="pt-PT"/>
        </w:rPr>
        <w:t>, cm</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 xml:space="preserve">): 3394 (OH, H-bonded), 2964vs and 2869vs (CH), 2248 (nitile), 1630 (C=N), 1601 (CC aromatic); </w:t>
      </w:r>
      <w:r w:rsidRPr="00C84632">
        <w:rPr>
          <w:rFonts w:eastAsia="Times New Roman" w:cs="Arial"/>
          <w:shd w:val="clear" w:color="auto" w:fill="FFFFFF"/>
          <w:vertAlign w:val="superscript"/>
          <w:lang w:val="pt-PT"/>
        </w:rPr>
        <w:t>1</w:t>
      </w:r>
      <w:r w:rsidRPr="00C84632">
        <w:rPr>
          <w:rFonts w:eastAsia="Times New Roman" w:cs="Arial"/>
          <w:shd w:val="clear" w:color="auto" w:fill="FFFFFF"/>
          <w:lang w:val="pt-PT"/>
        </w:rPr>
        <w:t>H NMR (400 MHz, CDCl</w:t>
      </w:r>
      <w:r w:rsidRPr="00C84632">
        <w:rPr>
          <w:rFonts w:eastAsia="Times New Roman" w:cs="Arial"/>
          <w:shd w:val="clear" w:color="auto" w:fill="FFFFFF"/>
          <w:vertAlign w:val="subscript"/>
          <w:lang w:val="pt-PT"/>
        </w:rPr>
        <w:t>3</w:t>
      </w:r>
      <w:r>
        <w:rPr>
          <w:rFonts w:eastAsia="Times New Roman" w:cs="Arial"/>
          <w:shd w:val="clear" w:color="auto" w:fill="FFFFFF"/>
          <w:lang w:val="pt-PT"/>
        </w:rPr>
        <w:t xml:space="preserve">) </w:t>
      </w:r>
      <w:r w:rsidRPr="00C84632">
        <w:rPr>
          <w:rFonts w:eastAsia="Times New Roman" w:cs="Arial"/>
          <w:shd w:val="clear" w:color="auto" w:fill="FFFFFF"/>
        </w:rPr>
        <w:t>δ </w:t>
      </w:r>
      <w:r w:rsidRPr="00C84632">
        <w:rPr>
          <w:rFonts w:eastAsia="Times New Roman" w:cs="Arial"/>
          <w:shd w:val="clear" w:color="auto" w:fill="FFFFFF"/>
          <w:lang w:val="pt-PT"/>
        </w:rPr>
        <w:t xml:space="preserve">= 13.23 (s, 1H), 8.43 (s, 1H), 7.37 (dd, 1H,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7.77,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2.02), 7.15 (dd, 1H,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7.62,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2.05), 6.85 (t, 1H,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7.71), 3.83 (td, 2H,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10.02,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1.02), 2.72 (t, 2H, </w:t>
      </w:r>
      <w:r w:rsidRPr="00C84632">
        <w:rPr>
          <w:rFonts w:eastAsia="Times New Roman" w:cs="Arial"/>
          <w:i/>
          <w:shd w:val="clear" w:color="auto" w:fill="FFFFFF"/>
          <w:lang w:val="pt-PT"/>
        </w:rPr>
        <w:t>J </w:t>
      </w:r>
      <w:r w:rsidRPr="00C84632">
        <w:rPr>
          <w:rFonts w:eastAsia="Times New Roman" w:cs="Arial"/>
          <w:shd w:val="clear" w:color="auto" w:fill="FFFFFF"/>
          <w:lang w:val="pt-PT"/>
        </w:rPr>
        <w:t xml:space="preserve">= 6.68), 1.45 (s, 9H); </w:t>
      </w:r>
      <w:r w:rsidRPr="00C84632">
        <w:rPr>
          <w:rFonts w:eastAsia="Times New Roman" w:cs="Arial"/>
          <w:shd w:val="clear" w:color="auto" w:fill="FFFFFF"/>
          <w:vertAlign w:val="superscript"/>
        </w:rPr>
        <w:t>13</w:t>
      </w:r>
      <w:r w:rsidRPr="00C84632">
        <w:rPr>
          <w:rFonts w:eastAsia="Times New Roman" w:cs="Arial"/>
          <w:shd w:val="clear" w:color="auto" w:fill="FFFFFF"/>
        </w:rPr>
        <w:t>C NMR (</w:t>
      </w:r>
      <w:r>
        <w:rPr>
          <w:rFonts w:eastAsia="Times New Roman" w:cs="Arial"/>
          <w:shd w:val="clear" w:color="auto" w:fill="FFFFFF"/>
        </w:rPr>
        <w:t>125</w:t>
      </w:r>
      <w:r w:rsidRPr="00C84632">
        <w:rPr>
          <w:rFonts w:eastAsia="Times New Roman" w:cs="Arial"/>
          <w:shd w:val="clear" w:color="auto" w:fill="FFFFFF"/>
        </w:rPr>
        <w:t> MHz, CDCl</w:t>
      </w:r>
      <w:r w:rsidRPr="00C84632">
        <w:rPr>
          <w:rFonts w:eastAsia="Times New Roman" w:cs="Arial"/>
          <w:shd w:val="clear" w:color="auto" w:fill="FFFFFF"/>
          <w:vertAlign w:val="subscript"/>
        </w:rPr>
        <w:t>3</w:t>
      </w:r>
      <w:r>
        <w:rPr>
          <w:rFonts w:eastAsia="Times New Roman" w:cs="Arial"/>
          <w:shd w:val="clear" w:color="auto" w:fill="FFFFFF"/>
        </w:rPr>
        <w:t xml:space="preserve">) </w:t>
      </w:r>
      <w:r w:rsidRPr="00C84632">
        <w:rPr>
          <w:rFonts w:eastAsia="Times New Roman" w:cs="Arial"/>
          <w:shd w:val="clear" w:color="auto" w:fill="FFFFFF"/>
        </w:rPr>
        <w:t>δ </w:t>
      </w:r>
      <w:r w:rsidRPr="00C84632">
        <w:rPr>
          <w:rFonts w:eastAsia="Times New Roman" w:cs="Arial"/>
          <w:shd w:val="clear" w:color="auto" w:fill="FFFFFF"/>
          <w:lang w:val="pt-PT"/>
        </w:rPr>
        <w:t xml:space="preserve">= 168.21, 160.27, 137.64, 130.31, 118.35, 118.27, 117.97, 54.79, 34.95, 29.41, 19.77; </w:t>
      </w:r>
      <w:r>
        <w:rPr>
          <w:rFonts w:eastAsia="Times New Roman" w:cs="Arial"/>
          <w:shd w:val="clear" w:color="auto" w:fill="FFFFFF"/>
        </w:rPr>
        <w:t xml:space="preserve">MS </w:t>
      </w:r>
      <w:r w:rsidRPr="00C84632">
        <w:rPr>
          <w:rFonts w:eastAsia="Times New Roman" w:cs="Arial"/>
          <w:shd w:val="clear" w:color="auto" w:fill="FFFFFF"/>
        </w:rPr>
        <w:t>ESI</w:t>
      </w:r>
      <w:r>
        <w:rPr>
          <w:rFonts w:eastAsia="Times New Roman" w:cs="Arial"/>
          <w:shd w:val="clear" w:color="auto" w:fill="FFFFFF"/>
        </w:rPr>
        <w:t xml:space="preserve"> positive</w:t>
      </w:r>
      <w:r w:rsidRPr="00C84632">
        <w:rPr>
          <w:rFonts w:eastAsia="Times New Roman" w:cs="Arial"/>
          <w:shd w:val="clear" w:color="auto" w:fill="FFFFFF"/>
        </w:rPr>
        <w:t xml:space="preserve"> m/z (M+H)+ requires 232.1523, found 232.1520.</w:t>
      </w:r>
    </w:p>
    <w:p w14:paraId="60E504F9" w14:textId="77777777" w:rsidR="00AF52F5" w:rsidRPr="00C84632" w:rsidRDefault="00AF52F5" w:rsidP="006D5170">
      <w:pPr>
        <w:pStyle w:val="Heading4"/>
      </w:pPr>
      <w:bookmarkStart w:id="83" w:name="_Toc320882534"/>
      <w:bookmarkStart w:id="84" w:name="_Toc510023005"/>
      <w:r>
        <w:t>4-nitro-2-(2-cyanoethyliminomethyl)phenol</w:t>
      </w:r>
      <w:r w:rsidRPr="00C84632" w:rsidDel="007A350A">
        <w:t xml:space="preserve"> </w:t>
      </w:r>
      <w:bookmarkEnd w:id="83"/>
      <w:bookmarkEnd w:id="84"/>
    </w:p>
    <w:p w14:paraId="4CFCA02B" w14:textId="77777777" w:rsidR="00AF52F5" w:rsidRPr="00555437" w:rsidRDefault="00AF52F5" w:rsidP="00AF52F5">
      <w:pPr>
        <w:rPr>
          <w:shd w:val="clear" w:color="auto" w:fill="FFFFFF"/>
        </w:rPr>
      </w:pPr>
      <w:r w:rsidRPr="005804E1">
        <w:t>4-nitro-2-(2-cyanoethyliminomethyl)phenol</w:t>
      </w:r>
      <w:r w:rsidRPr="00C84632" w:rsidDel="007A350A">
        <w:t xml:space="preserve"> </w:t>
      </w:r>
      <w:r w:rsidRPr="00C84632">
        <w:rPr>
          <w:shd w:val="clear" w:color="auto" w:fill="FFFFFF"/>
        </w:rPr>
        <w:t xml:space="preserve">was synthesised according to the general procedure and purified by recrystallisation from methanol, providing compound </w:t>
      </w:r>
      <w:r w:rsidRPr="00AB37AE">
        <w:rPr>
          <w:b/>
          <w:shd w:val="clear" w:color="auto" w:fill="FFFFFF"/>
        </w:rPr>
        <w:t>4</w:t>
      </w:r>
      <w:r>
        <w:rPr>
          <w:b/>
          <w:shd w:val="clear" w:color="auto" w:fill="FFFFFF"/>
        </w:rPr>
        <w:t>b</w:t>
      </w:r>
      <w:r w:rsidRPr="00C84632">
        <w:rPr>
          <w:shd w:val="clear" w:color="auto" w:fill="FFFFFF"/>
        </w:rPr>
        <w:t xml:space="preserve"> (unoptimised, 4.87 g, 89 %) as an orange solid. Mp 143-146 </w:t>
      </w:r>
      <w:r w:rsidRPr="00C84632">
        <w:t>°C (from methanol); Elemental found:</w:t>
      </w:r>
      <w:r w:rsidRPr="00C84632">
        <w:rPr>
          <w:shd w:val="clear" w:color="auto" w:fill="FFFFFF"/>
          <w:lang w:val="pt-PT"/>
        </w:rPr>
        <w:t xml:space="preserve"> C, </w:t>
      </w:r>
      <w:r w:rsidRPr="00C84632">
        <w:t>54.82</w:t>
      </w:r>
      <w:r w:rsidRPr="00C84632">
        <w:rPr>
          <w:shd w:val="clear" w:color="auto" w:fill="FFFFFF"/>
          <w:lang w:val="pt-PT"/>
        </w:rPr>
        <w:t xml:space="preserve">; H, </w:t>
      </w:r>
      <w:r w:rsidRPr="00C84632">
        <w:t>4.02</w:t>
      </w:r>
      <w:r w:rsidRPr="00C84632">
        <w:rPr>
          <w:shd w:val="clear" w:color="auto" w:fill="FFFFFF"/>
          <w:lang w:val="pt-PT"/>
        </w:rPr>
        <w:t xml:space="preserve">; N, </w:t>
      </w:r>
      <w:r w:rsidRPr="00C84632">
        <w:t>19.17</w:t>
      </w:r>
      <w:r w:rsidRPr="00C84632">
        <w:rPr>
          <w:shd w:val="clear" w:color="auto" w:fill="FFFFFF"/>
          <w:lang w:val="pt-PT"/>
        </w:rPr>
        <w:t>. C</w:t>
      </w:r>
      <w:r w:rsidRPr="00C84632">
        <w:rPr>
          <w:shd w:val="clear" w:color="auto" w:fill="FFFFFF"/>
          <w:vertAlign w:val="subscript"/>
          <w:lang w:val="pt-PT"/>
        </w:rPr>
        <w:t>10</w:t>
      </w:r>
      <w:r w:rsidRPr="00C84632">
        <w:rPr>
          <w:shd w:val="clear" w:color="auto" w:fill="FFFFFF"/>
          <w:lang w:val="pt-PT"/>
        </w:rPr>
        <w:t>H</w:t>
      </w:r>
      <w:r w:rsidRPr="00C84632">
        <w:rPr>
          <w:shd w:val="clear" w:color="auto" w:fill="FFFFFF"/>
          <w:vertAlign w:val="subscript"/>
          <w:lang w:val="pt-PT"/>
        </w:rPr>
        <w:t>9</w:t>
      </w:r>
      <w:r w:rsidRPr="00C84632">
        <w:rPr>
          <w:shd w:val="clear" w:color="auto" w:fill="FFFFFF"/>
          <w:lang w:val="pt-PT"/>
        </w:rPr>
        <w:t>N</w:t>
      </w:r>
      <w:r w:rsidRPr="00C84632">
        <w:rPr>
          <w:shd w:val="clear" w:color="auto" w:fill="FFFFFF"/>
          <w:vertAlign w:val="subscript"/>
          <w:lang w:val="pt-PT"/>
        </w:rPr>
        <w:t>3</w:t>
      </w:r>
      <w:r w:rsidRPr="00C84632">
        <w:rPr>
          <w:shd w:val="clear" w:color="auto" w:fill="FFFFFF"/>
          <w:lang w:val="pt-PT"/>
        </w:rPr>
        <w:t>O</w:t>
      </w:r>
      <w:r w:rsidRPr="00C84632">
        <w:rPr>
          <w:shd w:val="clear" w:color="auto" w:fill="FFFFFF"/>
          <w:vertAlign w:val="subscript"/>
          <w:lang w:val="pt-PT"/>
        </w:rPr>
        <w:t>3</w:t>
      </w:r>
      <w:r w:rsidRPr="00C84632">
        <w:rPr>
          <w:shd w:val="clear" w:color="auto" w:fill="FFFFFF"/>
          <w:lang w:val="pt-PT"/>
        </w:rPr>
        <w:t xml:space="preserve"> requires C, </w:t>
      </w:r>
      <w:r w:rsidRPr="00C84632">
        <w:t>54.79</w:t>
      </w:r>
      <w:r w:rsidRPr="00C84632">
        <w:rPr>
          <w:shd w:val="clear" w:color="auto" w:fill="FFFFFF"/>
          <w:lang w:val="pt-PT"/>
        </w:rPr>
        <w:t xml:space="preserve">; H, </w:t>
      </w:r>
      <w:r w:rsidRPr="00C84632">
        <w:t>4.14</w:t>
      </w:r>
      <w:r w:rsidRPr="00C84632">
        <w:rPr>
          <w:shd w:val="clear" w:color="auto" w:fill="FFFFFF"/>
          <w:lang w:val="pt-PT"/>
        </w:rPr>
        <w:t xml:space="preserve">; N, </w:t>
      </w:r>
      <w:r w:rsidRPr="00C84632">
        <w:t xml:space="preserve">19.17 </w:t>
      </w:r>
      <w:r w:rsidRPr="00C84632">
        <w:rPr>
          <w:shd w:val="clear" w:color="auto" w:fill="FFFFFF"/>
          <w:lang w:val="pt-PT"/>
        </w:rPr>
        <w:t>%; FTIR (ATR ν</w:t>
      </w:r>
      <w:r w:rsidRPr="00C84632">
        <w:rPr>
          <w:shd w:val="clear" w:color="auto" w:fill="FFFFFF"/>
          <w:vertAlign w:val="subscript"/>
          <w:lang w:val="pt-PT"/>
        </w:rPr>
        <w:t>max</w:t>
      </w:r>
      <w:r w:rsidRPr="00C84632">
        <w:rPr>
          <w:shd w:val="clear" w:color="auto" w:fill="FFFFFF"/>
          <w:lang w:val="pt-PT"/>
        </w:rPr>
        <w:t>, cm</w:t>
      </w:r>
      <w:r w:rsidRPr="00C84632">
        <w:rPr>
          <w:shd w:val="clear" w:color="auto" w:fill="FFFFFF"/>
          <w:vertAlign w:val="superscript"/>
          <w:lang w:val="pt-PT"/>
        </w:rPr>
        <w:t>-1</w:t>
      </w:r>
      <w:r w:rsidRPr="00C84632">
        <w:rPr>
          <w:shd w:val="clear" w:color="auto" w:fill="FFFFFF"/>
          <w:lang w:val="pt-PT"/>
        </w:rPr>
        <w:t xml:space="preserve">): 2945 and 2911 and 2859 (CH aromatic), 2248 </w:t>
      </w:r>
      <w:r w:rsidRPr="00C84632">
        <w:rPr>
          <w:shd w:val="clear" w:color="auto" w:fill="FFFFFF"/>
          <w:lang w:val="pt-PT"/>
        </w:rPr>
        <w:lastRenderedPageBreak/>
        <w:t>(nitrile), 1632 (C=N), 1460 (NO</w:t>
      </w:r>
      <w:r w:rsidRPr="00C84632">
        <w:rPr>
          <w:shd w:val="clear" w:color="auto" w:fill="FFFFFF"/>
          <w:vertAlign w:val="subscript"/>
          <w:lang w:val="pt-PT"/>
        </w:rPr>
        <w:t>2</w:t>
      </w:r>
      <w:r w:rsidRPr="00C84632">
        <w:rPr>
          <w:shd w:val="clear" w:color="auto" w:fill="FFFFFF"/>
          <w:lang w:val="pt-PT"/>
        </w:rPr>
        <w:t>)</w:t>
      </w:r>
      <w:r w:rsidRPr="00C84632">
        <w:t xml:space="preserve">; </w:t>
      </w:r>
      <w:r w:rsidRPr="00C84632">
        <w:rPr>
          <w:shd w:val="clear" w:color="auto" w:fill="FFFFFF"/>
          <w:vertAlign w:val="superscript"/>
        </w:rPr>
        <w:t>1</w:t>
      </w:r>
      <w:r w:rsidRPr="00C84632">
        <w:rPr>
          <w:shd w:val="clear" w:color="auto" w:fill="FFFFFF"/>
        </w:rPr>
        <w:t>H NMR (400 MHz, d-6 acetone</w:t>
      </w:r>
      <w:r>
        <w:rPr>
          <w:shd w:val="clear" w:color="auto" w:fill="FFFFFF"/>
        </w:rPr>
        <w:t xml:space="preserve">), peaks reported </w:t>
      </w:r>
      <w:r w:rsidRPr="00555437">
        <w:rPr>
          <w:shd w:val="clear" w:color="auto" w:fill="FFFFFF"/>
        </w:rPr>
        <w:t>relative to acetone peak at</w:t>
      </w:r>
      <w:r>
        <w:rPr>
          <w:shd w:val="clear" w:color="auto" w:fill="FFFFFF"/>
        </w:rPr>
        <w:t xml:space="preserve"> 2.50 ppm; </w:t>
      </w:r>
      <w:r w:rsidRPr="00C84632">
        <w:rPr>
          <w:shd w:val="clear" w:color="auto" w:fill="FFFFFF"/>
        </w:rPr>
        <w:t>δ </w:t>
      </w:r>
      <w:r w:rsidRPr="00C84632">
        <w:rPr>
          <w:shd w:val="clear" w:color="auto" w:fill="FFFFFF"/>
          <w:lang w:val="pt-PT"/>
        </w:rPr>
        <w:t xml:space="preserve">= 13.60 (s, 1H), 8.54 (s, 1H), 8.30 (d, 1H, </w:t>
      </w:r>
      <w:r w:rsidRPr="00C84632">
        <w:rPr>
          <w:i/>
          <w:shd w:val="clear" w:color="auto" w:fill="FFFFFF"/>
          <w:lang w:val="pt-PT"/>
        </w:rPr>
        <w:t>J </w:t>
      </w:r>
      <w:r w:rsidRPr="00C84632">
        <w:rPr>
          <w:shd w:val="clear" w:color="auto" w:fill="FFFFFF"/>
          <w:lang w:val="pt-PT"/>
        </w:rPr>
        <w:t>= 2.72), 8.26 (dd, 1H,</w:t>
      </w:r>
      <w:r w:rsidRPr="00C84632">
        <w:rPr>
          <w:i/>
          <w:shd w:val="clear" w:color="auto" w:fill="FFFFFF"/>
          <w:lang w:val="pt-PT"/>
        </w:rPr>
        <w:t xml:space="preserve"> J </w:t>
      </w:r>
      <w:r w:rsidRPr="00C84632">
        <w:rPr>
          <w:shd w:val="clear" w:color="auto" w:fill="FFFFFF"/>
          <w:lang w:val="pt-PT"/>
        </w:rPr>
        <w:t xml:space="preserve">= 9.12, </w:t>
      </w:r>
      <w:r w:rsidRPr="00C84632">
        <w:rPr>
          <w:i/>
          <w:shd w:val="clear" w:color="auto" w:fill="FFFFFF"/>
          <w:lang w:val="pt-PT"/>
        </w:rPr>
        <w:t>J </w:t>
      </w:r>
      <w:r w:rsidRPr="00C84632">
        <w:rPr>
          <w:shd w:val="clear" w:color="auto" w:fill="FFFFFF"/>
          <w:lang w:val="pt-PT"/>
        </w:rPr>
        <w:t xml:space="preserve">= 2.76), 7.07 (d, 1H, </w:t>
      </w:r>
      <w:r w:rsidRPr="00C84632">
        <w:rPr>
          <w:i/>
          <w:shd w:val="clear" w:color="auto" w:fill="FFFFFF"/>
          <w:lang w:val="pt-PT"/>
        </w:rPr>
        <w:t>J </w:t>
      </w:r>
      <w:r w:rsidRPr="00C84632">
        <w:rPr>
          <w:shd w:val="clear" w:color="auto" w:fill="FFFFFF"/>
          <w:lang w:val="pt-PT"/>
        </w:rPr>
        <w:t xml:space="preserve">= 9.16), 3.94 (td, 2H, </w:t>
      </w:r>
      <w:r w:rsidRPr="00C84632">
        <w:rPr>
          <w:i/>
          <w:shd w:val="clear" w:color="auto" w:fill="FFFFFF"/>
          <w:lang w:val="pt-PT"/>
        </w:rPr>
        <w:t>J </w:t>
      </w:r>
      <w:r w:rsidRPr="00C84632">
        <w:rPr>
          <w:shd w:val="clear" w:color="auto" w:fill="FFFFFF"/>
          <w:lang w:val="pt-PT"/>
        </w:rPr>
        <w:t xml:space="preserve">= 9.78, </w:t>
      </w:r>
      <w:r w:rsidRPr="00C84632">
        <w:rPr>
          <w:i/>
          <w:shd w:val="clear" w:color="auto" w:fill="FFFFFF"/>
          <w:lang w:val="pt-PT"/>
        </w:rPr>
        <w:t>J </w:t>
      </w:r>
      <w:r w:rsidRPr="00C84632">
        <w:rPr>
          <w:shd w:val="clear" w:color="auto" w:fill="FFFFFF"/>
          <w:lang w:val="pt-PT"/>
        </w:rPr>
        <w:t>= 0.96), 2.83 (t, 2H,</w:t>
      </w:r>
      <w:r w:rsidRPr="00C84632">
        <w:rPr>
          <w:i/>
          <w:shd w:val="clear" w:color="auto" w:fill="FFFFFF"/>
          <w:lang w:val="pt-PT"/>
        </w:rPr>
        <w:t xml:space="preserve"> J </w:t>
      </w:r>
      <w:r w:rsidRPr="00C84632">
        <w:rPr>
          <w:shd w:val="clear" w:color="auto" w:fill="FFFFFF"/>
          <w:lang w:val="pt-PT"/>
        </w:rPr>
        <w:t>= 6.52);</w:t>
      </w:r>
      <w:r w:rsidRPr="00C84632">
        <w:t xml:space="preserve"> </w:t>
      </w:r>
      <w:r w:rsidRPr="00C84632">
        <w:rPr>
          <w:shd w:val="clear" w:color="auto" w:fill="FFFFFF"/>
          <w:vertAlign w:val="superscript"/>
        </w:rPr>
        <w:t>13</w:t>
      </w:r>
      <w:r w:rsidRPr="00C84632">
        <w:rPr>
          <w:shd w:val="clear" w:color="auto" w:fill="FFFFFF"/>
        </w:rPr>
        <w:t xml:space="preserve">C </w:t>
      </w:r>
      <w:r w:rsidRPr="00606203">
        <w:rPr>
          <w:shd w:val="clear" w:color="auto" w:fill="FFFFFF"/>
        </w:rPr>
        <w:t>NMR (125</w:t>
      </w:r>
      <w:r w:rsidRPr="00C84632">
        <w:rPr>
          <w:shd w:val="clear" w:color="auto" w:fill="FFFFFF"/>
        </w:rPr>
        <w:t> MHz, d</w:t>
      </w:r>
      <w:r>
        <w:rPr>
          <w:shd w:val="clear" w:color="auto" w:fill="FFFFFF"/>
        </w:rPr>
        <w:t>6</w:t>
      </w:r>
      <w:r w:rsidRPr="00C84632">
        <w:rPr>
          <w:shd w:val="clear" w:color="auto" w:fill="FFFFFF"/>
        </w:rPr>
        <w:t>-DMSO, peaks reported relative to DMSO peak at 39.52 ppm) δ </w:t>
      </w:r>
      <w:r w:rsidRPr="00C84632">
        <w:rPr>
          <w:shd w:val="clear" w:color="auto" w:fill="FFFFFF"/>
          <w:lang w:val="pt-PT"/>
        </w:rPr>
        <w:t>= 171.16, 166.83, 136.88, 129.89, 128.65, 120.08, 118.83, 115.90, 50.93, 18.37;</w:t>
      </w:r>
      <w:r w:rsidRPr="00C84632">
        <w:t xml:space="preserve"> </w:t>
      </w:r>
      <w:r>
        <w:rPr>
          <w:shd w:val="clear" w:color="auto" w:fill="FFFFFF"/>
        </w:rPr>
        <w:t xml:space="preserve">MS </w:t>
      </w:r>
      <w:r w:rsidRPr="00C84632">
        <w:rPr>
          <w:shd w:val="clear" w:color="auto" w:fill="FFFFFF"/>
        </w:rPr>
        <w:t>ESI</w:t>
      </w:r>
      <w:r>
        <w:rPr>
          <w:shd w:val="clear" w:color="auto" w:fill="FFFFFF"/>
        </w:rPr>
        <w:t xml:space="preserve"> </w:t>
      </w:r>
      <w:r w:rsidRPr="00124B7E">
        <w:rPr>
          <w:shd w:val="clear" w:color="auto" w:fill="FFFFFF"/>
        </w:rPr>
        <w:t>negative m/z (M-H)- requires 218</w:t>
      </w:r>
      <w:r w:rsidRPr="00C84632">
        <w:rPr>
          <w:shd w:val="clear" w:color="auto" w:fill="FFFFFF"/>
        </w:rPr>
        <w:t>.0571, found 218.0580</w:t>
      </w:r>
      <w:r>
        <w:rPr>
          <w:shd w:val="clear" w:color="auto" w:fill="FFFFFF"/>
        </w:rPr>
        <w:t>.</w:t>
      </w:r>
    </w:p>
    <w:p w14:paraId="1299780D" w14:textId="77777777" w:rsidR="00AF52F5" w:rsidRPr="00C84632" w:rsidRDefault="00AF52F5" w:rsidP="006D5170">
      <w:pPr>
        <w:pStyle w:val="Heading4"/>
      </w:pPr>
      <w:bookmarkStart w:id="85" w:name="_Toc320882535"/>
      <w:bookmarkStart w:id="86" w:name="_Toc510023006"/>
      <w:r>
        <w:t>6-methoxy-2-(2-cyanoethyliminomethyl)phenol</w:t>
      </w:r>
      <w:r w:rsidRPr="00C84632" w:rsidDel="007A350A">
        <w:t xml:space="preserve"> </w:t>
      </w:r>
      <w:bookmarkEnd w:id="85"/>
      <w:bookmarkEnd w:id="86"/>
    </w:p>
    <w:p w14:paraId="249F49D0" w14:textId="77777777" w:rsidR="00AF52F5" w:rsidRPr="00765641" w:rsidRDefault="00AF52F5" w:rsidP="00AF52F5">
      <w:pPr>
        <w:rPr>
          <w:shd w:val="clear" w:color="auto" w:fill="FFFFFF"/>
        </w:rPr>
      </w:pPr>
      <w:r w:rsidRPr="005804E1">
        <w:t>6-methoxy-2-(2-cyanoethyliminomethyl)phenol</w:t>
      </w:r>
      <w:r w:rsidRPr="00C84632" w:rsidDel="007A350A">
        <w:t xml:space="preserve"> </w:t>
      </w:r>
      <w:r w:rsidRPr="00C84632">
        <w:rPr>
          <w:shd w:val="clear" w:color="auto" w:fill="FFFFFF"/>
        </w:rPr>
        <w:t xml:space="preserve">was synthesised according to the general procedure and purified by recrystallisation from diethyl ether, providing compound </w:t>
      </w:r>
      <w:r w:rsidRPr="00AB37AE">
        <w:rPr>
          <w:b/>
          <w:shd w:val="clear" w:color="auto" w:fill="FFFFFF"/>
        </w:rPr>
        <w:t>5</w:t>
      </w:r>
      <w:r>
        <w:rPr>
          <w:b/>
          <w:shd w:val="clear" w:color="auto" w:fill="FFFFFF"/>
        </w:rPr>
        <w:t>b</w:t>
      </w:r>
      <w:r w:rsidRPr="00AB37AE">
        <w:rPr>
          <w:b/>
          <w:shd w:val="clear" w:color="auto" w:fill="FFFFFF"/>
        </w:rPr>
        <w:t xml:space="preserve"> </w:t>
      </w:r>
      <w:r w:rsidRPr="00C84632">
        <w:rPr>
          <w:shd w:val="clear" w:color="auto" w:fill="FFFFFF"/>
        </w:rPr>
        <w:t>(un-optimised, 3.57 g, 70 %) as a yellow solid. Mp 85-86 </w:t>
      </w:r>
      <w:r w:rsidRPr="00C84632">
        <w:t>°C (</w:t>
      </w:r>
      <w:r>
        <w:t xml:space="preserve">diethyl ether); </w:t>
      </w:r>
      <w:r w:rsidRPr="00C84632">
        <w:t xml:space="preserve">Elemental </w:t>
      </w:r>
      <w:r w:rsidRPr="00C84632">
        <w:rPr>
          <w:shd w:val="clear" w:color="auto" w:fill="FFFFFF"/>
          <w:lang w:val="pt-PT"/>
        </w:rPr>
        <w:t>found: C, 64.84; H, 5.96; N, 13.70. C</w:t>
      </w:r>
      <w:r w:rsidRPr="00C84632">
        <w:rPr>
          <w:shd w:val="clear" w:color="auto" w:fill="FFFFFF"/>
          <w:vertAlign w:val="subscript"/>
          <w:lang w:val="pt-PT"/>
        </w:rPr>
        <w:t>11</w:t>
      </w:r>
      <w:r w:rsidRPr="00C84632">
        <w:rPr>
          <w:shd w:val="clear" w:color="auto" w:fill="FFFFFF"/>
          <w:lang w:val="pt-PT"/>
        </w:rPr>
        <w:t>H</w:t>
      </w:r>
      <w:r w:rsidRPr="00C84632">
        <w:rPr>
          <w:shd w:val="clear" w:color="auto" w:fill="FFFFFF"/>
          <w:vertAlign w:val="subscript"/>
          <w:lang w:val="pt-PT"/>
        </w:rPr>
        <w:t>12</w:t>
      </w:r>
      <w:r w:rsidRPr="00C84632">
        <w:rPr>
          <w:shd w:val="clear" w:color="auto" w:fill="FFFFFF"/>
          <w:lang w:val="pt-PT"/>
        </w:rPr>
        <w:t>N</w:t>
      </w:r>
      <w:r w:rsidRPr="00C84632">
        <w:rPr>
          <w:shd w:val="clear" w:color="auto" w:fill="FFFFFF"/>
          <w:vertAlign w:val="subscript"/>
          <w:lang w:val="pt-PT"/>
        </w:rPr>
        <w:t>2</w:t>
      </w:r>
      <w:r w:rsidRPr="00C84632">
        <w:rPr>
          <w:shd w:val="clear" w:color="auto" w:fill="FFFFFF"/>
          <w:lang w:val="pt-PT"/>
        </w:rPr>
        <w:t>O</w:t>
      </w:r>
      <w:r w:rsidRPr="00C84632">
        <w:rPr>
          <w:shd w:val="clear" w:color="auto" w:fill="FFFFFF"/>
          <w:vertAlign w:val="subscript"/>
          <w:lang w:val="pt-PT"/>
        </w:rPr>
        <w:t>2</w:t>
      </w:r>
      <w:r w:rsidRPr="00C84632">
        <w:rPr>
          <w:shd w:val="clear" w:color="auto" w:fill="FFFFFF"/>
          <w:lang w:val="pt-PT"/>
        </w:rPr>
        <w:t xml:space="preserve"> requires C, 64.69; H, 5.92; N, 13.72 %;</w:t>
      </w:r>
      <w:r w:rsidRPr="00C84632">
        <w:t xml:space="preserve"> </w:t>
      </w:r>
      <w:r w:rsidRPr="00C84632">
        <w:rPr>
          <w:shd w:val="clear" w:color="auto" w:fill="FFFFFF"/>
          <w:lang w:val="pt-PT"/>
        </w:rPr>
        <w:t>FTIR (ATR ν</w:t>
      </w:r>
      <w:r w:rsidRPr="00C84632">
        <w:rPr>
          <w:shd w:val="clear" w:color="auto" w:fill="FFFFFF"/>
          <w:vertAlign w:val="subscript"/>
          <w:lang w:val="pt-PT"/>
        </w:rPr>
        <w:t>max</w:t>
      </w:r>
      <w:r w:rsidRPr="00C84632">
        <w:rPr>
          <w:shd w:val="clear" w:color="auto" w:fill="FFFFFF"/>
          <w:lang w:val="pt-PT"/>
        </w:rPr>
        <w:t>, cm</w:t>
      </w:r>
      <w:r w:rsidRPr="00C84632">
        <w:rPr>
          <w:shd w:val="clear" w:color="auto" w:fill="FFFFFF"/>
          <w:vertAlign w:val="superscript"/>
          <w:lang w:val="pt-PT"/>
        </w:rPr>
        <w:t>-1</w:t>
      </w:r>
      <w:r w:rsidRPr="00C84632">
        <w:rPr>
          <w:shd w:val="clear" w:color="auto" w:fill="FFFFFF"/>
          <w:lang w:val="pt-PT"/>
        </w:rPr>
        <w:t>): 3069 and 2943 (CH aromatic), 2250 (nitrile), 1645 (C=N), 1607 (CC aromatic), 1538 (CC aromatic)</w:t>
      </w:r>
      <w:r w:rsidRPr="00C84632">
        <w:t xml:space="preserve">; </w:t>
      </w:r>
      <w:r w:rsidRPr="00C84632">
        <w:rPr>
          <w:shd w:val="clear" w:color="auto" w:fill="FFFFFF"/>
          <w:vertAlign w:val="superscript"/>
        </w:rPr>
        <w:t>1</w:t>
      </w:r>
      <w:r w:rsidRPr="00C84632">
        <w:rPr>
          <w:shd w:val="clear" w:color="auto" w:fill="FFFFFF"/>
        </w:rPr>
        <w:t>H NMR (400 MHz, d-6 acetone</w:t>
      </w:r>
      <w:r>
        <w:rPr>
          <w:shd w:val="clear" w:color="auto" w:fill="FFFFFF"/>
        </w:rPr>
        <w:t xml:space="preserve">), peaks reported relative to </w:t>
      </w:r>
      <w:r w:rsidRPr="00555437">
        <w:rPr>
          <w:shd w:val="clear" w:color="auto" w:fill="FFFFFF"/>
        </w:rPr>
        <w:t>acetone peak at</w:t>
      </w:r>
      <w:r>
        <w:rPr>
          <w:shd w:val="clear" w:color="auto" w:fill="FFFFFF"/>
        </w:rPr>
        <w:t xml:space="preserve"> 2.50 ppm; </w:t>
      </w:r>
      <w:r w:rsidRPr="00C84632">
        <w:rPr>
          <w:shd w:val="clear" w:color="auto" w:fill="FFFFFF"/>
        </w:rPr>
        <w:t>δ </w:t>
      </w:r>
      <w:r w:rsidRPr="00C84632">
        <w:rPr>
          <w:shd w:val="clear" w:color="auto" w:fill="FFFFFF"/>
          <w:lang w:val="pt-PT"/>
        </w:rPr>
        <w:t xml:space="preserve">= 12.93 (s, 1H), 8.44 (s, 1H), 6.95 (ddd, 2H, </w:t>
      </w:r>
      <w:r w:rsidRPr="00C84632">
        <w:rPr>
          <w:i/>
          <w:shd w:val="clear" w:color="auto" w:fill="FFFFFF"/>
          <w:lang w:val="pt-PT"/>
        </w:rPr>
        <w:t>J </w:t>
      </w:r>
      <w:r w:rsidRPr="00C84632">
        <w:rPr>
          <w:shd w:val="clear" w:color="auto" w:fill="FFFFFF"/>
          <w:lang w:val="pt-PT"/>
        </w:rPr>
        <w:t xml:space="preserve">= 19.96, </w:t>
      </w:r>
      <w:r w:rsidRPr="00C84632">
        <w:rPr>
          <w:i/>
          <w:shd w:val="clear" w:color="auto" w:fill="FFFFFF"/>
          <w:lang w:val="pt-PT"/>
        </w:rPr>
        <w:t>J </w:t>
      </w:r>
      <w:r w:rsidRPr="00C84632">
        <w:rPr>
          <w:shd w:val="clear" w:color="auto" w:fill="FFFFFF"/>
          <w:lang w:val="pt-PT"/>
        </w:rPr>
        <w:t xml:space="preserve">= 7.81, </w:t>
      </w:r>
      <w:r w:rsidRPr="00C84632">
        <w:rPr>
          <w:i/>
          <w:shd w:val="clear" w:color="auto" w:fill="FFFFFF"/>
          <w:lang w:val="pt-PT"/>
        </w:rPr>
        <w:t>J </w:t>
      </w:r>
      <w:r w:rsidRPr="00C84632">
        <w:rPr>
          <w:shd w:val="clear" w:color="auto" w:fill="FFFFFF"/>
          <w:lang w:val="pt-PT"/>
        </w:rPr>
        <w:t xml:space="preserve">= 1.57), 6.86 (t, 1H, </w:t>
      </w:r>
      <w:r w:rsidRPr="00C84632">
        <w:rPr>
          <w:i/>
          <w:shd w:val="clear" w:color="auto" w:fill="FFFFFF"/>
          <w:lang w:val="pt-PT"/>
        </w:rPr>
        <w:t>J </w:t>
      </w:r>
      <w:r w:rsidRPr="00C84632">
        <w:rPr>
          <w:shd w:val="clear" w:color="auto" w:fill="FFFFFF"/>
          <w:lang w:val="pt-PT"/>
        </w:rPr>
        <w:t xml:space="preserve">= 7.80), 3.87 (td, 2H, </w:t>
      </w:r>
      <w:r w:rsidRPr="00C84632">
        <w:rPr>
          <w:i/>
          <w:shd w:val="clear" w:color="auto" w:fill="FFFFFF"/>
          <w:lang w:val="pt-PT"/>
        </w:rPr>
        <w:t>J </w:t>
      </w:r>
      <w:r w:rsidRPr="00C84632">
        <w:rPr>
          <w:shd w:val="clear" w:color="auto" w:fill="FFFFFF"/>
          <w:lang w:val="pt-PT"/>
        </w:rPr>
        <w:t xml:space="preserve">= 6.68, </w:t>
      </w:r>
      <w:r w:rsidRPr="00C84632">
        <w:rPr>
          <w:i/>
          <w:shd w:val="clear" w:color="auto" w:fill="FFFFFF"/>
          <w:lang w:val="pt-PT"/>
        </w:rPr>
        <w:t>J </w:t>
      </w:r>
      <w:r w:rsidRPr="00C84632">
        <w:rPr>
          <w:shd w:val="clear" w:color="auto" w:fill="FFFFFF"/>
          <w:lang w:val="pt-PT"/>
        </w:rPr>
        <w:t xml:space="preserve">= 1.04), 2.78 (t, 2H, </w:t>
      </w:r>
      <w:r w:rsidRPr="00C84632">
        <w:rPr>
          <w:i/>
          <w:shd w:val="clear" w:color="auto" w:fill="FFFFFF"/>
          <w:lang w:val="pt-PT"/>
        </w:rPr>
        <w:t>J </w:t>
      </w:r>
      <w:r w:rsidRPr="00C84632">
        <w:rPr>
          <w:shd w:val="clear" w:color="auto" w:fill="FFFFFF"/>
          <w:lang w:val="pt-PT"/>
        </w:rPr>
        <w:t>= 6.66</w:t>
      </w:r>
      <w:r w:rsidRPr="00555437">
        <w:rPr>
          <w:shd w:val="clear" w:color="auto" w:fill="FFFFFF"/>
          <w:lang w:val="pt-PT"/>
        </w:rPr>
        <w:t>)</w:t>
      </w:r>
      <w:r w:rsidRPr="00555437">
        <w:t xml:space="preserve">; </w:t>
      </w:r>
      <w:r w:rsidRPr="00555437">
        <w:rPr>
          <w:shd w:val="clear" w:color="auto" w:fill="FFFFFF"/>
          <w:vertAlign w:val="superscript"/>
        </w:rPr>
        <w:t>13</w:t>
      </w:r>
      <w:r w:rsidRPr="00555437">
        <w:rPr>
          <w:shd w:val="clear" w:color="auto" w:fill="FFFFFF"/>
        </w:rPr>
        <w:t>C NMR (125</w:t>
      </w:r>
      <w:r w:rsidRPr="00C84632">
        <w:rPr>
          <w:shd w:val="clear" w:color="auto" w:fill="FFFFFF"/>
        </w:rPr>
        <w:t xml:space="preserve"> MHz, CDCl</w:t>
      </w:r>
      <w:r w:rsidRPr="00C84632">
        <w:rPr>
          <w:shd w:val="clear" w:color="auto" w:fill="FFFFFF"/>
          <w:vertAlign w:val="subscript"/>
        </w:rPr>
        <w:t>3</w:t>
      </w:r>
      <w:r>
        <w:rPr>
          <w:shd w:val="clear" w:color="auto" w:fill="FFFFFF"/>
        </w:rPr>
        <w:t xml:space="preserve">) </w:t>
      </w:r>
      <w:r w:rsidRPr="00C84632">
        <w:rPr>
          <w:shd w:val="clear" w:color="auto" w:fill="FFFFFF"/>
        </w:rPr>
        <w:t>δ </w:t>
      </w:r>
      <w:r w:rsidRPr="00C84632">
        <w:rPr>
          <w:shd w:val="clear" w:color="auto" w:fill="FFFFFF"/>
          <w:lang w:val="pt-PT"/>
        </w:rPr>
        <w:t xml:space="preserve">= 167.70, 151.09, 148.47, 123.51, 118.67, 118.35, 117.74, 114.86, 56.29, 54.84, 19.78; </w:t>
      </w:r>
      <w:r>
        <w:rPr>
          <w:shd w:val="clear" w:color="auto" w:fill="FFFFFF"/>
        </w:rPr>
        <w:t xml:space="preserve">MS </w:t>
      </w:r>
      <w:r w:rsidRPr="00C84632">
        <w:rPr>
          <w:shd w:val="clear" w:color="auto" w:fill="FFFFFF"/>
        </w:rPr>
        <w:t>ESI</w:t>
      </w:r>
      <w:r>
        <w:rPr>
          <w:shd w:val="clear" w:color="auto" w:fill="FFFFFF"/>
        </w:rPr>
        <w:t xml:space="preserve"> positive</w:t>
      </w:r>
      <w:r w:rsidRPr="00C84632">
        <w:rPr>
          <w:shd w:val="clear" w:color="auto" w:fill="FFFFFF"/>
        </w:rPr>
        <w:t xml:space="preserve"> m/z (M+H)+ requires 205.0972, found 205.0970.</w:t>
      </w:r>
    </w:p>
    <w:p w14:paraId="0DDF8828" w14:textId="77777777" w:rsidR="00AF52F5" w:rsidRPr="00C84632" w:rsidRDefault="00AF52F5" w:rsidP="006D5170">
      <w:pPr>
        <w:pStyle w:val="Heading4"/>
      </w:pPr>
      <w:bookmarkStart w:id="87" w:name="_Toc320882536"/>
      <w:bookmarkStart w:id="88" w:name="_Toc510023007"/>
      <w:r w:rsidRPr="00C84632">
        <w:t xml:space="preserve">Comparison of imines synthesised from </w:t>
      </w:r>
      <w:r w:rsidRPr="00C84632">
        <w:rPr>
          <w:rFonts w:cstheme="minorHAnsi"/>
        </w:rPr>
        <w:t xml:space="preserve">4-hydroxy-3-methoxy benzaldehyde </w:t>
      </w:r>
      <w:r w:rsidRPr="00C84632">
        <w:t>and 2-hydroxy-3-methoxy benzaldehyde</w:t>
      </w:r>
      <w:bookmarkEnd w:id="87"/>
      <w:bookmarkEnd w:id="88"/>
    </w:p>
    <w:p w14:paraId="537726F8" w14:textId="77777777" w:rsidR="00AF52F5" w:rsidRDefault="00AF52F5" w:rsidP="00AF52F5">
      <w:pPr>
        <w:rPr>
          <w:rFonts w:ascii="Cambria" w:hAnsi="Cambria" w:cstheme="minorHAnsi"/>
        </w:rPr>
      </w:pPr>
      <w:r w:rsidRPr="004440F6">
        <w:t xml:space="preserve">Imines were synthesised from 4-hydroxy-3-methoxy benzaldehyde and 2-hydroxy-3-methoxy benzaldehyde, according to the following general procedure: β-APN </w:t>
      </w:r>
      <w:r>
        <w:t xml:space="preserve">fumarate </w:t>
      </w:r>
      <w:r w:rsidRPr="00606203">
        <w:t>salt (</w:t>
      </w:r>
      <w:r>
        <w:t xml:space="preserve">640 mg, </w:t>
      </w:r>
      <w:r w:rsidRPr="00606203">
        <w:t>5 mmol) was</w:t>
      </w:r>
      <w:r w:rsidRPr="004440F6">
        <w:t xml:space="preserve"> weighed into a </w:t>
      </w:r>
      <w:r>
        <w:t xml:space="preserve">25 mL </w:t>
      </w:r>
      <w:r w:rsidRPr="004440F6">
        <w:t xml:space="preserve">round bottom flask and dissolved in the minimum amount of deionised water. </w:t>
      </w:r>
      <w:r w:rsidRPr="00606203">
        <w:t>Aldehyde (5 mmol) was</w:t>
      </w:r>
      <w:r w:rsidRPr="004440F6">
        <w:t xml:space="preserve"> weighed into the same flask followed by triethylamine (</w:t>
      </w:r>
      <w:r>
        <w:t xml:space="preserve">2.8 mL, </w:t>
      </w:r>
      <w:r w:rsidRPr="004440F6">
        <w:t>20 mmol). The reaction was allowed to proceed for 10 m</w:t>
      </w:r>
      <w:r>
        <w:t>inutes at 40 °C whilst stirring</w:t>
      </w:r>
      <w:r>
        <w:rPr>
          <w:rFonts w:ascii="Cambria" w:hAnsi="Cambria" w:cstheme="minorHAnsi"/>
        </w:rPr>
        <w:t>.</w:t>
      </w:r>
    </w:p>
    <w:p w14:paraId="1D1EDA07" w14:textId="77777777" w:rsidR="00AF52F5" w:rsidRPr="00900C51" w:rsidRDefault="00AF52F5" w:rsidP="00AF52F5">
      <w:pPr>
        <w:pStyle w:val="Heading2"/>
      </w:pPr>
      <w:bookmarkStart w:id="89" w:name="_Toc525587675"/>
      <w:bookmarkStart w:id="90" w:name="_Toc2450995"/>
      <w:r w:rsidRPr="00C84632">
        <w:t>Results and Discussion</w:t>
      </w:r>
      <w:bookmarkEnd w:id="89"/>
      <w:bookmarkEnd w:id="90"/>
    </w:p>
    <w:p w14:paraId="439F0187" w14:textId="6FC45860" w:rsidR="00AF52F5" w:rsidRDefault="00AF52F5" w:rsidP="00AF52F5">
      <w:pPr>
        <w:rPr>
          <w:color w:val="FF0000"/>
          <w:u w:val="single"/>
        </w:rPr>
      </w:pPr>
      <w:r w:rsidRPr="00C84632">
        <w:t xml:space="preserve">β-APN has the potential to be used as </w:t>
      </w:r>
      <w:r>
        <w:t>a therapeutic agent to inhibit l</w:t>
      </w:r>
      <w:r w:rsidRPr="00C84632">
        <w:t xml:space="preserve">ysyl oxidase (LOX) and as a result, reduce </w:t>
      </w:r>
      <w:r>
        <w:t xml:space="preserve">collagen cross-linking and </w:t>
      </w:r>
      <w:r w:rsidRPr="00C84632">
        <w:t xml:space="preserve">irreversible scar contracture. Topical delivery of β-APN is limited due to it being highly hydrophilic, making </w:t>
      </w:r>
      <w:r>
        <w:t>penetration</w:t>
      </w:r>
      <w:r w:rsidRPr="00C84632">
        <w:t xml:space="preserve"> through the lipophilic stratum corneum </w:t>
      </w:r>
      <w:r>
        <w:t>difficult</w:t>
      </w:r>
      <w:r w:rsidRPr="00C84632">
        <w:t xml:space="preserve">. Development of a </w:t>
      </w:r>
      <w:r w:rsidRPr="00C84632">
        <w:lastRenderedPageBreak/>
        <w:t>prodrug to increase the lipophilicity of β</w:t>
      </w:r>
      <w:r w:rsidRPr="00C84632">
        <w:softHyphen/>
      </w:r>
      <w:r w:rsidRPr="00C84632">
        <w:noBreakHyphen/>
        <w:t>APN has been proposed as a solution to this problem. Prodrug synthesis was attempted by the formation of an imine between the primary amine of β</w:t>
      </w:r>
      <w:r>
        <w:noBreakHyphen/>
      </w:r>
      <w:r w:rsidRPr="00C84632">
        <w:t>APN and an aldehyde substituent, as depicted in</w:t>
      </w:r>
      <w:r>
        <w:t xml:space="preserve"> </w:t>
      </w:r>
      <w:r>
        <w:fldChar w:fldCharType="begin"/>
      </w:r>
      <w:r>
        <w:instrText xml:space="preserve"> REF _Ref517344940 \h </w:instrText>
      </w:r>
      <w:r>
        <w:fldChar w:fldCharType="separate"/>
      </w:r>
      <w:r w:rsidR="00E6157A">
        <w:t xml:space="preserve">Scheme </w:t>
      </w:r>
      <w:r w:rsidR="00E6157A">
        <w:rPr>
          <w:noProof/>
        </w:rPr>
        <w:t>1</w:t>
      </w:r>
      <w:r>
        <w:fldChar w:fldCharType="end"/>
      </w:r>
      <w:r>
        <w:t>.</w:t>
      </w:r>
    </w:p>
    <w:p w14:paraId="460A80B8" w14:textId="77777777" w:rsidR="00AF52F5" w:rsidRPr="00EC66C7" w:rsidRDefault="00AF52F5" w:rsidP="00AF52F5"/>
    <w:p w14:paraId="1BF8E32B" w14:textId="77777777" w:rsidR="00AF52F5" w:rsidRDefault="00AF52F5" w:rsidP="00AF52F5">
      <w:pPr>
        <w:keepNext/>
        <w:jc w:val="center"/>
      </w:pPr>
      <w:r w:rsidRPr="00EF3E32">
        <w:rPr>
          <w:noProof/>
          <w:lang w:eastAsia="en-GB"/>
        </w:rPr>
        <w:drawing>
          <wp:inline distT="0" distB="0" distL="0" distR="0" wp14:anchorId="04FAB562" wp14:editId="210D3636">
            <wp:extent cx="4215719" cy="2430684"/>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30985" cy="2439486"/>
                    </a:xfrm>
                    <a:prstGeom prst="rect">
                      <a:avLst/>
                    </a:prstGeom>
                  </pic:spPr>
                </pic:pic>
              </a:graphicData>
            </a:graphic>
          </wp:inline>
        </w:drawing>
      </w:r>
    </w:p>
    <w:p w14:paraId="362FB7AC" w14:textId="0E0E58A7" w:rsidR="00AF52F5" w:rsidRDefault="00AF52F5" w:rsidP="00AF52F5">
      <w:pPr>
        <w:pStyle w:val="Caption"/>
        <w:jc w:val="center"/>
      </w:pPr>
      <w:bookmarkStart w:id="91" w:name="_Ref517344940"/>
      <w:r>
        <w:t xml:space="preserve">Scheme </w:t>
      </w:r>
      <w:r>
        <w:rPr>
          <w:noProof/>
        </w:rPr>
        <w:fldChar w:fldCharType="begin"/>
      </w:r>
      <w:r>
        <w:rPr>
          <w:noProof/>
        </w:rPr>
        <w:instrText xml:space="preserve"> SEQ Scheme \* ARABIC </w:instrText>
      </w:r>
      <w:r>
        <w:rPr>
          <w:noProof/>
        </w:rPr>
        <w:fldChar w:fldCharType="separate"/>
      </w:r>
      <w:r w:rsidR="00E6157A">
        <w:rPr>
          <w:noProof/>
        </w:rPr>
        <w:t>1</w:t>
      </w:r>
      <w:r>
        <w:rPr>
          <w:noProof/>
        </w:rPr>
        <w:fldChar w:fldCharType="end"/>
      </w:r>
      <w:bookmarkEnd w:id="91"/>
      <w:r>
        <w:t xml:space="preserve">. </w:t>
      </w:r>
      <w:r w:rsidRPr="003D7E1A">
        <w:rPr>
          <w:b w:val="0"/>
        </w:rPr>
        <w:t xml:space="preserve">Imine formation between </w:t>
      </w:r>
      <w:r w:rsidRPr="003D7E1A">
        <w:rPr>
          <w:b w:val="0"/>
        </w:rPr>
        <w:sym w:font="Symbol" w:char="F062"/>
      </w:r>
      <w:r w:rsidRPr="003D7E1A">
        <w:rPr>
          <w:b w:val="0"/>
        </w:rPr>
        <w:t>-APN and aldehyde starting material</w:t>
      </w:r>
      <w:r>
        <w:rPr>
          <w:b w:val="0"/>
        </w:rPr>
        <w:t>.</w:t>
      </w:r>
    </w:p>
    <w:p w14:paraId="5FA60D29" w14:textId="77777777" w:rsidR="00AF52F5" w:rsidRPr="00EF3E32" w:rsidRDefault="00AF52F5" w:rsidP="00AF52F5">
      <w:pPr>
        <w:pStyle w:val="Caption"/>
        <w:jc w:val="center"/>
        <w:rPr>
          <w:rFonts w:ascii="Cambria" w:hAnsi="Cambria"/>
        </w:rPr>
      </w:pPr>
      <w:bookmarkStart w:id="92" w:name="_Ref512171411"/>
      <w:bookmarkStart w:id="93" w:name="_Ref512170786"/>
      <w:r>
        <w:t xml:space="preserve">  </w:t>
      </w:r>
      <w:bookmarkEnd w:id="92"/>
      <w:bookmarkEnd w:id="93"/>
    </w:p>
    <w:p w14:paraId="0053C945" w14:textId="77777777" w:rsidR="00AF52F5" w:rsidRPr="00C84632" w:rsidRDefault="00AF52F5" w:rsidP="00AF52F5">
      <w:pPr>
        <w:pStyle w:val="Heading3"/>
      </w:pPr>
      <w:bookmarkStart w:id="94" w:name="_Toc525587676"/>
      <w:bookmarkStart w:id="95" w:name="_Toc2450996"/>
      <w:r>
        <w:t>Screening conditions for imine synthesis</w:t>
      </w:r>
      <w:bookmarkEnd w:id="94"/>
      <w:bookmarkEnd w:id="95"/>
    </w:p>
    <w:p w14:paraId="295D1AB5" w14:textId="3B7A607F" w:rsidR="00AF52F5" w:rsidRPr="00C84632" w:rsidRDefault="00AF52F5" w:rsidP="00AF52F5">
      <w:pPr>
        <w:rPr>
          <w:szCs w:val="22"/>
        </w:rPr>
      </w:pPr>
      <w:r w:rsidRPr="00C84632">
        <w:rPr>
          <w:szCs w:val="22"/>
        </w:rPr>
        <w:t>Benzaldehyde, anisaldehyde and dodecylaldehyde were selected for initial investigations due to being readily available, cheap, and cover a range of chemical functionalities. Initial experiments used a 1:1 ratio of β-APN</w:t>
      </w:r>
      <w:r>
        <w:rPr>
          <w:szCs w:val="22"/>
        </w:rPr>
        <w:t xml:space="preserve"> fumarate salt</w:t>
      </w:r>
      <w:r w:rsidRPr="00C84632">
        <w:rPr>
          <w:szCs w:val="22"/>
        </w:rPr>
        <w:t xml:space="preserve"> to aldehyde. C</w:t>
      </w:r>
      <w:r w:rsidRPr="00C84632">
        <w:t xml:space="preserve">onversion of aldehyde to imine was determined by </w:t>
      </w:r>
      <w:r w:rsidRPr="00C84632">
        <w:rPr>
          <w:vertAlign w:val="superscript"/>
        </w:rPr>
        <w:t>1</w:t>
      </w:r>
      <w:r w:rsidRPr="00C84632">
        <w:t xml:space="preserve">H NMR </w:t>
      </w:r>
      <w:r>
        <w:t xml:space="preserve">spectroscopy </w:t>
      </w:r>
      <w:r w:rsidRPr="00C84632">
        <w:t xml:space="preserve">and calculated by comparing the ratio of the integrals of the aldehyde and imine </w:t>
      </w:r>
      <w:r w:rsidRPr="006F0A06">
        <w:t xml:space="preserve">protons at </w:t>
      </w:r>
      <w:r>
        <w:t>10 and 8.5 ppm, respectively.</w:t>
      </w:r>
      <w:r w:rsidRPr="00C84632">
        <w:rPr>
          <w:szCs w:val="22"/>
        </w:rPr>
        <w:t xml:space="preserve"> Conversion was determined to be less than 50</w:t>
      </w:r>
      <w:r>
        <w:rPr>
          <w:szCs w:val="22"/>
        </w:rPr>
        <w:t> </w:t>
      </w:r>
      <w:r w:rsidRPr="00C84632">
        <w:rPr>
          <w:szCs w:val="22"/>
        </w:rPr>
        <w:t xml:space="preserve">% in all cases. </w:t>
      </w:r>
      <w:r>
        <w:rPr>
          <w:szCs w:val="22"/>
        </w:rPr>
        <w:fldChar w:fldCharType="begin"/>
      </w:r>
      <w:r>
        <w:rPr>
          <w:szCs w:val="22"/>
        </w:rPr>
        <w:instrText xml:space="preserve"> REF _Ref512170926 \h </w:instrText>
      </w:r>
      <w:r>
        <w:rPr>
          <w:szCs w:val="22"/>
        </w:rPr>
      </w:r>
      <w:r>
        <w:rPr>
          <w:szCs w:val="22"/>
        </w:rPr>
        <w:fldChar w:fldCharType="separate"/>
      </w:r>
      <w:r w:rsidR="00E6157A">
        <w:t xml:space="preserve">Figure </w:t>
      </w:r>
      <w:r w:rsidR="00E6157A">
        <w:rPr>
          <w:noProof/>
        </w:rPr>
        <w:t>2</w:t>
      </w:r>
      <w:r w:rsidR="00E6157A">
        <w:t>.</w:t>
      </w:r>
      <w:r w:rsidR="00E6157A">
        <w:rPr>
          <w:noProof/>
        </w:rPr>
        <w:t>2</w:t>
      </w:r>
      <w:r>
        <w:rPr>
          <w:szCs w:val="22"/>
        </w:rPr>
        <w:fldChar w:fldCharType="end"/>
      </w:r>
      <w:r>
        <w:rPr>
          <w:szCs w:val="22"/>
        </w:rPr>
        <w:t xml:space="preserve"> </w:t>
      </w:r>
      <w:r w:rsidRPr="00C84632">
        <w:rPr>
          <w:szCs w:val="22"/>
        </w:rPr>
        <w:t xml:space="preserve">shows the </w:t>
      </w:r>
      <w:r w:rsidRPr="00C84632">
        <w:rPr>
          <w:szCs w:val="22"/>
          <w:vertAlign w:val="superscript"/>
        </w:rPr>
        <w:t>1</w:t>
      </w:r>
      <w:r w:rsidRPr="00C84632">
        <w:rPr>
          <w:szCs w:val="22"/>
        </w:rPr>
        <w:t xml:space="preserve">H NMR data for the benzaldehyde reaction. </w:t>
      </w:r>
    </w:p>
    <w:p w14:paraId="73D665E6" w14:textId="77777777" w:rsidR="00AF52F5" w:rsidRDefault="00AF52F5" w:rsidP="00AF52F5">
      <w:pPr>
        <w:keepNext/>
      </w:pPr>
      <w:r w:rsidRPr="00C84632">
        <w:rPr>
          <w:rFonts w:ascii="Cambria" w:hAnsi="Cambria"/>
          <w:noProof/>
          <w:szCs w:val="22"/>
          <w:lang w:eastAsia="en-GB"/>
        </w:rPr>
        <w:lastRenderedPageBreak/>
        <w:drawing>
          <wp:inline distT="0" distB="0" distL="0" distR="0" wp14:anchorId="12E585A5" wp14:editId="0A44BE1F">
            <wp:extent cx="5193683" cy="3402957"/>
            <wp:effectExtent l="0" t="0" r="63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14318" cy="3416477"/>
                    </a:xfrm>
                    <a:prstGeom prst="rect">
                      <a:avLst/>
                    </a:prstGeom>
                  </pic:spPr>
                </pic:pic>
              </a:graphicData>
            </a:graphic>
          </wp:inline>
        </w:drawing>
      </w:r>
    </w:p>
    <w:p w14:paraId="0310101C" w14:textId="36937D71" w:rsidR="00AF52F5" w:rsidRPr="009D71E0" w:rsidRDefault="00AF52F5" w:rsidP="006D5170">
      <w:pPr>
        <w:pStyle w:val="Caption"/>
        <w:jc w:val="center"/>
        <w:rPr>
          <w:rFonts w:ascii="Cambria" w:hAnsi="Cambria"/>
        </w:rPr>
      </w:pPr>
      <w:bookmarkStart w:id="96" w:name="_Ref512170926"/>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2</w:t>
      </w:r>
      <w:r w:rsidR="009352BF">
        <w:rPr>
          <w:noProof/>
        </w:rPr>
        <w:fldChar w:fldCharType="end"/>
      </w:r>
      <w:bookmarkEnd w:id="96"/>
      <w:r w:rsidRPr="00A065DD">
        <w:t xml:space="preserve">. </w:t>
      </w:r>
      <w:r w:rsidRPr="003D7E1A">
        <w:rPr>
          <w:b w:val="0"/>
          <w:vertAlign w:val="superscript"/>
        </w:rPr>
        <w:t>1</w:t>
      </w:r>
      <w:r w:rsidRPr="003D7E1A">
        <w:rPr>
          <w:b w:val="0"/>
        </w:rPr>
        <w:t>H NMR spectrum of a 1:1 reaction of β-APN and benzaldehyde in CDCl</w:t>
      </w:r>
      <w:r w:rsidRPr="003D7E1A">
        <w:rPr>
          <w:b w:val="0"/>
          <w:vertAlign w:val="subscript"/>
        </w:rPr>
        <w:t>3</w:t>
      </w:r>
      <w:r>
        <w:rPr>
          <w:b w:val="0"/>
        </w:rPr>
        <w:t>.</w:t>
      </w:r>
    </w:p>
    <w:p w14:paraId="1A46B6D9" w14:textId="00FF27D1" w:rsidR="00AF52F5" w:rsidRDefault="00AF52F5" w:rsidP="00AF52F5">
      <w:r w:rsidRPr="00C84632">
        <w:t>Isolation of the imine by rotary evaporation was unsuccessful, as indicated by</w:t>
      </w:r>
      <w:r>
        <w:t xml:space="preserve"> the</w:t>
      </w:r>
      <w:r w:rsidRPr="00C84632">
        <w:t xml:space="preserve"> starting material</w:t>
      </w:r>
      <w:r>
        <w:t xml:space="preserve"> and residual solvent</w:t>
      </w:r>
      <w:r w:rsidRPr="00C84632">
        <w:t xml:space="preserve"> visible in the </w:t>
      </w:r>
      <w:r w:rsidRPr="00C84632">
        <w:rPr>
          <w:vertAlign w:val="superscript"/>
        </w:rPr>
        <w:t>1</w:t>
      </w:r>
      <w:r w:rsidRPr="00C84632">
        <w:t>H NMR spectrum</w:t>
      </w:r>
      <w:r>
        <w:t xml:space="preserve">. </w:t>
      </w:r>
      <w:r w:rsidRPr="00C84632">
        <w:t xml:space="preserve">Changing the </w:t>
      </w:r>
      <w:r w:rsidRPr="00C84632">
        <w:rPr>
          <w:rFonts w:cstheme="minorHAnsi"/>
        </w:rPr>
        <w:t>β</w:t>
      </w:r>
      <w:r w:rsidRPr="00C84632">
        <w:t>-APN:aldehyde ratio to 2:1 increased reaction conversion for benzaldehyde, anisaldehyde and dodecylaldehyde to 94</w:t>
      </w:r>
      <w:r>
        <w:t> </w:t>
      </w:r>
      <w:r w:rsidRPr="00C84632">
        <w:t>%, 78</w:t>
      </w:r>
      <w:r>
        <w:t> </w:t>
      </w:r>
      <w:r w:rsidRPr="00C84632">
        <w:t>% and 89</w:t>
      </w:r>
      <w:r>
        <w:t> </w:t>
      </w:r>
      <w:r w:rsidRPr="00C84632">
        <w:t>%</w:t>
      </w:r>
      <w:r>
        <w:t xml:space="preserve"> </w:t>
      </w:r>
      <w:r w:rsidRPr="00C84632">
        <w:t>after 16 h</w:t>
      </w:r>
      <w:r>
        <w:t xml:space="preserve"> respectively</w:t>
      </w:r>
      <w:r w:rsidRPr="00C84632">
        <w:t xml:space="preserve">, as determined by </w:t>
      </w:r>
      <w:r w:rsidRPr="00C84632">
        <w:rPr>
          <w:vertAlign w:val="superscript"/>
        </w:rPr>
        <w:t>1</w:t>
      </w:r>
      <w:r w:rsidRPr="00C84632">
        <w:t>H NMR spectroscopy. This increase in conversion could be due to a change in the reaction equilibrium according to Le Chatelier’s principle.</w:t>
      </w:r>
      <w:r>
        <w:t xml:space="preserve"> </w:t>
      </w:r>
      <w:r w:rsidRPr="00C84632">
        <w:t xml:space="preserve">An increase in the amount of </w:t>
      </w:r>
      <w:r w:rsidRPr="00C84632">
        <w:rPr>
          <w:rFonts w:cstheme="minorHAnsi"/>
        </w:rPr>
        <w:t>β</w:t>
      </w:r>
      <w:r w:rsidRPr="00C84632">
        <w:t>-APN will likely shift the reaction equilibriu</w:t>
      </w:r>
      <w:r>
        <w:t>m towards the product, thereby</w:t>
      </w:r>
      <w:r w:rsidRPr="00C84632">
        <w:t xml:space="preserve"> increasing reaction conversion. Increasing the reaction ratio of β-APN: benzaldehyde to 3:1 had no additional benefit over the 2:1 reaction, as demonstrated by the conversions summarised in </w:t>
      </w:r>
      <w:r>
        <w:fldChar w:fldCharType="begin"/>
      </w:r>
      <w:r>
        <w:instrText xml:space="preserve"> REF _Ref512171076 \h </w:instrText>
      </w:r>
      <w:r>
        <w:fldChar w:fldCharType="separate"/>
      </w:r>
      <w:r w:rsidR="00E6157A">
        <w:t xml:space="preserve">Table </w:t>
      </w:r>
      <w:r w:rsidR="00E6157A">
        <w:rPr>
          <w:noProof/>
        </w:rPr>
        <w:t>2</w:t>
      </w:r>
      <w:r w:rsidR="00E6157A">
        <w:t>.</w:t>
      </w:r>
      <w:r w:rsidR="00E6157A">
        <w:rPr>
          <w:noProof/>
        </w:rPr>
        <w:t>2</w:t>
      </w:r>
      <w:r>
        <w:fldChar w:fldCharType="end"/>
      </w:r>
      <w:r>
        <w:t xml:space="preserve">. </w:t>
      </w:r>
    </w:p>
    <w:p w14:paraId="25E170E9" w14:textId="77777777" w:rsidR="00AF52F5" w:rsidRPr="00C84632" w:rsidRDefault="00AF52F5" w:rsidP="00AF52F5">
      <w:pPr>
        <w:pStyle w:val="Caption"/>
        <w:keepNext/>
        <w:rPr>
          <w:rFonts w:ascii="Cambria" w:hAnsi="Cambria"/>
        </w:rPr>
      </w:pPr>
    </w:p>
    <w:p w14:paraId="54B56F76" w14:textId="4730F643" w:rsidR="00AF52F5" w:rsidRDefault="00AF52F5" w:rsidP="00AF52F5">
      <w:pPr>
        <w:pStyle w:val="Caption"/>
        <w:jc w:val="center"/>
      </w:pPr>
      <w:bookmarkStart w:id="97" w:name="_Ref512171076"/>
      <w:r>
        <w:t xml:space="preserve">Table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Table \* ARABIC \s 1 </w:instrText>
      </w:r>
      <w:r w:rsidR="009352BF">
        <w:rPr>
          <w:noProof/>
        </w:rPr>
        <w:fldChar w:fldCharType="separate"/>
      </w:r>
      <w:r w:rsidR="00E6157A">
        <w:rPr>
          <w:noProof/>
        </w:rPr>
        <w:t>2</w:t>
      </w:r>
      <w:r w:rsidR="009352BF">
        <w:rPr>
          <w:noProof/>
        </w:rPr>
        <w:fldChar w:fldCharType="end"/>
      </w:r>
      <w:bookmarkEnd w:id="97"/>
      <w:r>
        <w:t xml:space="preserve">. </w:t>
      </w:r>
      <w:r w:rsidRPr="003D7E1A">
        <w:rPr>
          <w:b w:val="0"/>
          <w:color w:val="000000" w:themeColor="text1"/>
        </w:rPr>
        <w:t xml:space="preserve">Conversion of aldehyde to imine following reaction of </w:t>
      </w:r>
      <w:r w:rsidRPr="003D7E1A">
        <w:rPr>
          <w:b w:val="0"/>
          <w:color w:val="000000" w:themeColor="text1"/>
        </w:rPr>
        <w:sym w:font="Symbol" w:char="F062"/>
      </w:r>
      <w:r w:rsidRPr="003D7E1A">
        <w:rPr>
          <w:b w:val="0"/>
          <w:color w:val="000000" w:themeColor="text1"/>
        </w:rPr>
        <w:t>-APN and benzaldehyde at different ratios</w:t>
      </w:r>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3376"/>
        <w:gridCol w:w="3287"/>
      </w:tblGrid>
      <w:tr w:rsidR="00AF52F5" w:rsidRPr="00C84632" w14:paraId="35F46470" w14:textId="77777777" w:rsidTr="009352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76" w:type="dxa"/>
            <w:tcBorders>
              <w:top w:val="single" w:sz="4" w:space="0" w:color="auto"/>
              <w:bottom w:val="single" w:sz="4" w:space="0" w:color="auto"/>
            </w:tcBorders>
            <w:vAlign w:val="center"/>
          </w:tcPr>
          <w:p w14:paraId="4F81F362" w14:textId="77777777" w:rsidR="00AF52F5" w:rsidRPr="000A574E" w:rsidRDefault="00AF52F5" w:rsidP="009352BF">
            <w:pPr>
              <w:jc w:val="center"/>
              <w:rPr>
                <w:rFonts w:cstheme="minorHAnsi"/>
                <w:szCs w:val="22"/>
              </w:rPr>
            </w:pPr>
            <w:r w:rsidRPr="000A574E">
              <w:rPr>
                <w:rFonts w:cstheme="minorHAnsi"/>
                <w:sz w:val="22"/>
                <w:szCs w:val="22"/>
              </w:rPr>
              <w:t xml:space="preserve">Ratio of </w:t>
            </w:r>
            <w:r w:rsidRPr="000A574E">
              <w:rPr>
                <w:rFonts w:cstheme="minorHAnsi"/>
                <w:caps/>
                <w:sz w:val="22"/>
                <w:szCs w:val="22"/>
              </w:rPr>
              <w:sym w:font="Symbol" w:char="F062"/>
            </w:r>
            <w:r w:rsidRPr="000A574E">
              <w:rPr>
                <w:rFonts w:cstheme="minorHAnsi"/>
                <w:caps/>
                <w:sz w:val="22"/>
                <w:szCs w:val="22"/>
              </w:rPr>
              <w:t>-APN</w:t>
            </w:r>
            <w:r w:rsidRPr="000A574E">
              <w:rPr>
                <w:rFonts w:cstheme="minorHAnsi"/>
                <w:sz w:val="22"/>
                <w:szCs w:val="22"/>
              </w:rPr>
              <w:t>: benzaldehyde</w:t>
            </w:r>
          </w:p>
        </w:tc>
        <w:tc>
          <w:tcPr>
            <w:tcW w:w="3287" w:type="dxa"/>
            <w:tcBorders>
              <w:top w:val="single" w:sz="4" w:space="0" w:color="auto"/>
              <w:bottom w:val="single" w:sz="4" w:space="0" w:color="auto"/>
            </w:tcBorders>
            <w:vAlign w:val="center"/>
          </w:tcPr>
          <w:p w14:paraId="4762D78F" w14:textId="77777777" w:rsidR="00AF52F5" w:rsidRPr="000A574E" w:rsidRDefault="00AF52F5" w:rsidP="009352B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0A574E">
              <w:rPr>
                <w:rFonts w:cstheme="minorHAnsi"/>
                <w:sz w:val="22"/>
                <w:szCs w:val="22"/>
              </w:rPr>
              <w:t>Conversion (%)</w:t>
            </w:r>
          </w:p>
        </w:tc>
      </w:tr>
      <w:tr w:rsidR="00AF52F5" w:rsidRPr="00C84632" w14:paraId="7E2DDE14" w14:textId="77777777" w:rsidTr="009352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76" w:type="dxa"/>
            <w:tcBorders>
              <w:top w:val="single" w:sz="4" w:space="0" w:color="auto"/>
              <w:bottom w:val="none" w:sz="0" w:space="0" w:color="auto"/>
            </w:tcBorders>
          </w:tcPr>
          <w:p w14:paraId="7BBDEE35" w14:textId="77777777" w:rsidR="00AF52F5" w:rsidRPr="00900C51" w:rsidRDefault="00AF52F5" w:rsidP="009352BF">
            <w:pPr>
              <w:jc w:val="center"/>
              <w:rPr>
                <w:rFonts w:cstheme="minorHAnsi"/>
                <w:b w:val="0"/>
              </w:rPr>
            </w:pPr>
            <w:r w:rsidRPr="00900C51">
              <w:rPr>
                <w:rFonts w:cstheme="minorHAnsi"/>
                <w:b w:val="0"/>
              </w:rPr>
              <w:t>1:1</w:t>
            </w:r>
          </w:p>
        </w:tc>
        <w:tc>
          <w:tcPr>
            <w:tcW w:w="3287" w:type="dxa"/>
            <w:tcBorders>
              <w:top w:val="single" w:sz="4" w:space="0" w:color="auto"/>
              <w:bottom w:val="none" w:sz="0" w:space="0" w:color="auto"/>
            </w:tcBorders>
          </w:tcPr>
          <w:p w14:paraId="40685912" w14:textId="77777777" w:rsidR="00AF52F5" w:rsidRPr="00900C51" w:rsidRDefault="00AF52F5" w:rsidP="009352BF">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900C51">
              <w:rPr>
                <w:rFonts w:cstheme="minorHAnsi"/>
              </w:rPr>
              <w:t>41</w:t>
            </w:r>
          </w:p>
        </w:tc>
      </w:tr>
      <w:tr w:rsidR="00AF52F5" w:rsidRPr="00C84632" w14:paraId="63016150" w14:textId="77777777" w:rsidTr="009352BF">
        <w:trPr>
          <w:jc w:val="center"/>
        </w:trPr>
        <w:tc>
          <w:tcPr>
            <w:cnfStyle w:val="001000000000" w:firstRow="0" w:lastRow="0" w:firstColumn="1" w:lastColumn="0" w:oddVBand="0" w:evenVBand="0" w:oddHBand="0" w:evenHBand="0" w:firstRowFirstColumn="0" w:firstRowLastColumn="0" w:lastRowFirstColumn="0" w:lastRowLastColumn="0"/>
            <w:tcW w:w="3376" w:type="dxa"/>
          </w:tcPr>
          <w:p w14:paraId="40AD9D9A" w14:textId="77777777" w:rsidR="00AF52F5" w:rsidRPr="00900C51" w:rsidRDefault="00AF52F5" w:rsidP="009352BF">
            <w:pPr>
              <w:jc w:val="center"/>
              <w:rPr>
                <w:rFonts w:cstheme="minorHAnsi"/>
                <w:b w:val="0"/>
              </w:rPr>
            </w:pPr>
            <w:r w:rsidRPr="00900C51">
              <w:rPr>
                <w:rFonts w:cstheme="minorHAnsi"/>
                <w:b w:val="0"/>
              </w:rPr>
              <w:t>2:1</w:t>
            </w:r>
          </w:p>
        </w:tc>
        <w:tc>
          <w:tcPr>
            <w:tcW w:w="3287" w:type="dxa"/>
          </w:tcPr>
          <w:p w14:paraId="5F83EBFE" w14:textId="77777777" w:rsidR="00AF52F5" w:rsidRPr="00900C51" w:rsidRDefault="00AF52F5" w:rsidP="009352BF">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900C51">
              <w:rPr>
                <w:rFonts w:cstheme="minorHAnsi"/>
              </w:rPr>
              <w:t>97</w:t>
            </w:r>
          </w:p>
        </w:tc>
      </w:tr>
      <w:tr w:rsidR="00AF52F5" w:rsidRPr="00C84632" w14:paraId="0E8282AA" w14:textId="77777777" w:rsidTr="009352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76" w:type="dxa"/>
            <w:tcBorders>
              <w:top w:val="none" w:sz="0" w:space="0" w:color="auto"/>
              <w:bottom w:val="single" w:sz="4" w:space="0" w:color="auto"/>
            </w:tcBorders>
          </w:tcPr>
          <w:p w14:paraId="46FF256F" w14:textId="77777777" w:rsidR="00AF52F5" w:rsidRPr="00900C51" w:rsidRDefault="00AF52F5" w:rsidP="009352BF">
            <w:pPr>
              <w:jc w:val="center"/>
              <w:rPr>
                <w:rFonts w:cstheme="minorHAnsi"/>
                <w:b w:val="0"/>
              </w:rPr>
            </w:pPr>
            <w:r w:rsidRPr="00900C51">
              <w:rPr>
                <w:rFonts w:cstheme="minorHAnsi"/>
                <w:b w:val="0"/>
              </w:rPr>
              <w:t>3:1</w:t>
            </w:r>
          </w:p>
        </w:tc>
        <w:tc>
          <w:tcPr>
            <w:tcW w:w="3287" w:type="dxa"/>
            <w:tcBorders>
              <w:top w:val="none" w:sz="0" w:space="0" w:color="auto"/>
              <w:bottom w:val="single" w:sz="4" w:space="0" w:color="auto"/>
            </w:tcBorders>
          </w:tcPr>
          <w:p w14:paraId="454BF854" w14:textId="77777777" w:rsidR="00AF52F5" w:rsidRPr="00900C51" w:rsidRDefault="00AF52F5" w:rsidP="009352BF">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900C51">
              <w:rPr>
                <w:rFonts w:cstheme="minorHAnsi"/>
              </w:rPr>
              <w:t>98</w:t>
            </w:r>
          </w:p>
        </w:tc>
      </w:tr>
    </w:tbl>
    <w:p w14:paraId="3FDB668F" w14:textId="77777777" w:rsidR="00AF52F5" w:rsidRPr="00C84632" w:rsidRDefault="00AF52F5" w:rsidP="00AF52F5">
      <w:pPr>
        <w:rPr>
          <w:rFonts w:ascii="Cambria" w:hAnsi="Cambria"/>
        </w:rPr>
      </w:pPr>
    </w:p>
    <w:p w14:paraId="5EFA5BA2" w14:textId="77777777" w:rsidR="00AF52F5" w:rsidRPr="00C84632" w:rsidRDefault="00AF52F5" w:rsidP="00AF52F5">
      <w:pPr>
        <w:pStyle w:val="Heading3"/>
      </w:pPr>
      <w:bookmarkStart w:id="98" w:name="_Toc320882540"/>
      <w:bookmarkStart w:id="99" w:name="_Toc510023010"/>
      <w:bookmarkStart w:id="100" w:name="_Toc525587677"/>
      <w:bookmarkStart w:id="101" w:name="_Toc2450997"/>
      <w:r w:rsidRPr="00C84632">
        <w:lastRenderedPageBreak/>
        <w:t>Changing reaction parameters</w:t>
      </w:r>
      <w:bookmarkEnd w:id="98"/>
      <w:bookmarkEnd w:id="99"/>
      <w:bookmarkEnd w:id="100"/>
      <w:bookmarkEnd w:id="101"/>
      <w:r w:rsidRPr="00C84632">
        <w:t xml:space="preserve"> </w:t>
      </w:r>
    </w:p>
    <w:p w14:paraId="459A2DF8" w14:textId="1E225992" w:rsidR="00AF52F5" w:rsidRPr="005A39A2" w:rsidRDefault="00AF52F5" w:rsidP="00AF52F5">
      <w:r w:rsidRPr="006A4A59">
        <w:rPr>
          <w:color w:val="000000" w:themeColor="text1"/>
        </w:rPr>
        <w:t>Whilst increasing the</w:t>
      </w:r>
      <w:r w:rsidRPr="006A4A59">
        <w:rPr>
          <w:rFonts w:cstheme="minorHAnsi"/>
          <w:color w:val="000000" w:themeColor="text1"/>
        </w:rPr>
        <w:t xml:space="preserve"> β</w:t>
      </w:r>
      <w:r w:rsidRPr="006A4A59">
        <w:rPr>
          <w:color w:val="000000" w:themeColor="text1"/>
        </w:rPr>
        <w:t xml:space="preserve">-APN: aldehyde ratio </w:t>
      </w:r>
      <w:r>
        <w:rPr>
          <w:color w:val="000000" w:themeColor="text1"/>
        </w:rPr>
        <w:t xml:space="preserve">from 1:1 to </w:t>
      </w:r>
      <w:r w:rsidRPr="006A4A59">
        <w:rPr>
          <w:color w:val="000000" w:themeColor="text1"/>
        </w:rPr>
        <w:t xml:space="preserve">2:1 initially provided much </w:t>
      </w:r>
      <w:r>
        <w:t xml:space="preserve">higher conversions for all 3 aldehydes, this was not found to be consistent when reactions were repeated. As a result, reaction conditions were varied to find the optimum conditions to achieve consistent conversions. </w:t>
      </w:r>
      <w:r w:rsidRPr="00C84632">
        <w:t>To optimise the reaction</w:t>
      </w:r>
      <w:r>
        <w:t xml:space="preserve"> conditions</w:t>
      </w:r>
      <w:r w:rsidRPr="00C84632">
        <w:t xml:space="preserve">, </w:t>
      </w:r>
      <w:r>
        <w:t>triethylamine (TEA)</w:t>
      </w:r>
      <w:r w:rsidRPr="00C84632">
        <w:t xml:space="preserve"> concentration, sodium sulfate concentration and reaction temperature were </w:t>
      </w:r>
      <w:r w:rsidRPr="00023EBD">
        <w:rPr>
          <w:color w:val="000000" w:themeColor="text1"/>
        </w:rPr>
        <w:t>all varied</w:t>
      </w:r>
      <w:r>
        <w:rPr>
          <w:color w:val="000000" w:themeColor="text1"/>
        </w:rPr>
        <w:t xml:space="preserve"> for a 2:1 reaction of aldehyde and </w:t>
      </w:r>
      <w:r w:rsidRPr="00023EBD">
        <w:rPr>
          <w:color w:val="000000" w:themeColor="text1"/>
        </w:rPr>
        <w:sym w:font="Symbol" w:char="F062"/>
      </w:r>
      <w:r w:rsidRPr="00023EBD">
        <w:rPr>
          <w:color w:val="000000" w:themeColor="text1"/>
        </w:rPr>
        <w:t>-APN.</w:t>
      </w:r>
      <w:r>
        <w:rPr>
          <w:color w:val="FF0000"/>
        </w:rPr>
        <w:t xml:space="preserve"> </w:t>
      </w:r>
      <w:r w:rsidRPr="00023EBD">
        <w:rPr>
          <w:color w:val="000000" w:themeColor="text1"/>
        </w:rPr>
        <w:t xml:space="preserve">It was first hypothesised that increasing the amount of TEA in the reaction would increase the </w:t>
      </w:r>
      <w:r>
        <w:rPr>
          <w:color w:val="000000" w:themeColor="text1"/>
        </w:rPr>
        <w:t>amount</w:t>
      </w:r>
      <w:r w:rsidRPr="00023EBD">
        <w:rPr>
          <w:color w:val="000000" w:themeColor="text1"/>
        </w:rPr>
        <w:t xml:space="preserve"> of </w:t>
      </w:r>
      <w:r w:rsidRPr="00023EBD">
        <w:rPr>
          <w:color w:val="000000" w:themeColor="text1"/>
        </w:rPr>
        <w:sym w:font="Symbol" w:char="F062"/>
      </w:r>
      <w:r w:rsidRPr="00023EBD">
        <w:rPr>
          <w:color w:val="000000" w:themeColor="text1"/>
        </w:rPr>
        <w:noBreakHyphen/>
        <w:t xml:space="preserve">APN in the free-base form, thereby allowing a greater amount of </w:t>
      </w:r>
      <w:r w:rsidRPr="00023EBD">
        <w:rPr>
          <w:color w:val="000000" w:themeColor="text1"/>
        </w:rPr>
        <w:sym w:font="Symbol" w:char="F062"/>
      </w:r>
      <w:r>
        <w:rPr>
          <w:color w:val="000000" w:themeColor="text1"/>
        </w:rPr>
        <w:noBreakHyphen/>
      </w:r>
      <w:r w:rsidRPr="00023EBD">
        <w:rPr>
          <w:color w:val="000000" w:themeColor="text1"/>
        </w:rPr>
        <w:t xml:space="preserve">APN to react with the aldehyde. However, it was found that increasing the amount of TEA from 1 through to 4 equivalents (compared to moles </w:t>
      </w:r>
      <w:r w:rsidRPr="00023EBD">
        <w:rPr>
          <w:color w:val="000000" w:themeColor="text1"/>
        </w:rPr>
        <w:sym w:font="Symbol" w:char="F062"/>
      </w:r>
      <w:r w:rsidRPr="00023EBD">
        <w:rPr>
          <w:color w:val="000000" w:themeColor="text1"/>
        </w:rPr>
        <w:t xml:space="preserve">-APN) had no effect on reaction conversion. </w:t>
      </w:r>
      <w:r>
        <w:rPr>
          <w:color w:val="000000" w:themeColor="text1"/>
        </w:rPr>
        <w:t xml:space="preserve">Second, the effect of increasing the amount of sodium sulfate in the reaction was investigated. </w:t>
      </w:r>
      <w:r w:rsidRPr="00023EBD">
        <w:rPr>
          <w:color w:val="000000" w:themeColor="text1"/>
        </w:rPr>
        <w:t>Sodium sulfate is used as a drying agent in organic synthesis to remove water from a reaction. Since imines are hydrolysed by water,</w:t>
      </w:r>
      <w:r>
        <w:rPr>
          <w:color w:val="000000" w:themeColor="text1"/>
        </w:rPr>
        <w:fldChar w:fldCharType="begin" w:fldLock="1"/>
      </w:r>
      <w:r w:rsidR="0085447D">
        <w:rPr>
          <w:color w:val="000000" w:themeColor="text1"/>
        </w:rPr>
        <w:instrText>ADDIN CSL_CITATION {"citationItems":[{"id":"ITEM-1","itemData":{"DOI":"10.1039/c2cs15305j","ISBN":"1460-4744 (Electronic)\\n0306-0012 (Linking)","ISSN":"03060012","PMID":"22310886","abstract":"Formation of an imine--from an amine and an aldehyde--is a reversible reaction which operates under thermodynamic control such that the formation of kinetically competitive intermediates are, in the fullness of time, replaced by the thermodynamically most stable product(s). For this fundamental reason, the imine bond has emerged as an extraordinarily diverse and useful one in the hands of synthetic chemists. Imine bond formation is one of a handful of reactions which define a discipline known as dynamic covalent chemistry (DCC), which is now employed widely in the construction of exotic molecules and extended structures on account of the inherent 'proof-reading' and 'error-checking' associated with these reversible reactions. While both supramolecular chemistry and DCC operate under the regime of reversibility, DCC has the added advantage of constructing robust molecules on account of the formation of covalent bonds rather than fragile supermolecules resulting from noncovalent bonding interactions. On the other hand, these products tend to require more time to form--sometimes days or even months--but their formation can often be catalysed. In this manner, highly symmetrical molecules and extended structures can be prepared from relatively simple precursors. When DCC is utilised in conjunction with template-directed protocols--which rely on the use of noncovalent bonding interactions between molecular building blocks in order to preorganise them into certain relative geometries as a prelude to the formation of covalent bonds under equilibrium control--an additional level of control of structure and topology arises which offers a disarmingly simple way of constructing mechanically-interlocked molecules, such as rotaxanes, catenanes, Borromean rings, and Solomon knots. This tutorial review focuses on the use of dynamic imine bonds in the construction of compounds and products formed with and without the aid of additional templates. While synthesis under thermodynamic control is giving the field of chemical topology a new lease of life, it is also providing access to an endless array of new materials that are, in many circumstances, simply not accessible using more traditional synthetic methodologies where kinetic control rules the roost. One of the most endearing qualities of chemistry is its ability to reinvent itself in order to create its own object, as Berthelot first pointed out a century and a half ago.","author":[{"dropping-particle":"","family":"Belowich","given":"Matthew E.","non-dropping-particle":"","parse-names":false,"suffix":""},{"dropping-particle":"","family":"Stoddart","given":"J. Fraser","non-dropping-particle":"","parse-names":false,"suffix":""}],"container-title":"Chemical Society Reviews","id":"ITEM-1","issue":"6","issued":{"date-parts":[["2012"]]},"page":"2003-2024","title":"Dynamic imine chemistry","type":"article-journal","volume":"41"},"uris":["http://www.mendeley.com/documents/?uuid=892d9d9c-e6a5-45ef-84ad-af1f1b56d859"]}],"mendeley":{"formattedCitation":"&lt;sup&gt;161&lt;/sup&gt;","plainTextFormattedCitation":"161","previouslyFormattedCitation":"&lt;sup&gt;161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161</w:t>
      </w:r>
      <w:r>
        <w:rPr>
          <w:color w:val="000000" w:themeColor="text1"/>
        </w:rPr>
        <w:fldChar w:fldCharType="end"/>
      </w:r>
      <w:r w:rsidRPr="00023EBD">
        <w:rPr>
          <w:color w:val="000000" w:themeColor="text1"/>
        </w:rPr>
        <w:t xml:space="preserve"> it was theorised that increasing the amount of sodium sulfate in the reaction would remove more water and therefore </w:t>
      </w:r>
      <w:r w:rsidRPr="00A224E7">
        <w:rPr>
          <w:color w:val="000000" w:themeColor="text1"/>
        </w:rPr>
        <w:t>increase the amount of imine product formed.</w:t>
      </w:r>
      <w:r w:rsidRPr="00023EBD">
        <w:rPr>
          <w:color w:val="000000" w:themeColor="text1"/>
        </w:rPr>
        <w:t xml:space="preserve"> It was found that c</w:t>
      </w:r>
      <w:r w:rsidRPr="00C84632">
        <w:t>hanging the amount of sodium sulfate in the reaction from 2 through to 10 equivalents (relative to moles β-APN) had no effect on reaction conversion.</w:t>
      </w:r>
      <w:r>
        <w:t xml:space="preserve"> Finally, it was investigated whether changing the temperature of the reaction would affect the degree of conversion. Reactions were run at 4, 21 and 40 </w:t>
      </w:r>
      <w:r w:rsidRPr="00E62744">
        <w:rPr>
          <w:color w:val="000000" w:themeColor="text1"/>
        </w:rPr>
        <w:t>°</w:t>
      </w:r>
      <w:r>
        <w:t xml:space="preserve">C for 24 hours. </w:t>
      </w:r>
      <w:r w:rsidRPr="00C84632">
        <w:t xml:space="preserve">The results of the temperature investigation indicated that higher reaction temperatures increased reaction conversion </w:t>
      </w:r>
      <w:r>
        <w:t xml:space="preserve">to the imine </w:t>
      </w:r>
      <w:r w:rsidRPr="00C84632">
        <w:t xml:space="preserve">and </w:t>
      </w:r>
      <w:r w:rsidRPr="00E62744">
        <w:rPr>
          <w:color w:val="000000" w:themeColor="text1"/>
        </w:rPr>
        <w:t>led to the conclusion that subsequent reactions should be carried out at 40 °C</w:t>
      </w:r>
      <w:r>
        <w:rPr>
          <w:color w:val="000000" w:themeColor="text1"/>
        </w:rPr>
        <w:t xml:space="preserve"> (Appendix 1.1).</w:t>
      </w:r>
      <w:r w:rsidRPr="00E62744">
        <w:rPr>
          <w:color w:val="000000" w:themeColor="text1"/>
        </w:rPr>
        <w:t xml:space="preserve"> </w:t>
      </w:r>
    </w:p>
    <w:p w14:paraId="46E24DF2" w14:textId="77777777" w:rsidR="00AF52F5" w:rsidRPr="007C2FD6" w:rsidRDefault="00AF52F5" w:rsidP="00AF52F5">
      <w:pPr>
        <w:pStyle w:val="Heading3"/>
      </w:pPr>
      <w:bookmarkStart w:id="102" w:name="_Toc320882539"/>
      <w:bookmarkStart w:id="103" w:name="_Toc510023009"/>
      <w:bookmarkStart w:id="104" w:name="_Toc525587678"/>
      <w:bookmarkStart w:id="105" w:name="_Toc2450998"/>
      <w:r w:rsidRPr="007C2FD6">
        <w:t>Isolation of β-APN from the commercial fumarate salt</w:t>
      </w:r>
      <w:bookmarkEnd w:id="102"/>
      <w:bookmarkEnd w:id="103"/>
      <w:bookmarkEnd w:id="104"/>
      <w:bookmarkEnd w:id="105"/>
    </w:p>
    <w:p w14:paraId="72D5285C" w14:textId="77777777" w:rsidR="00AF52F5" w:rsidRPr="003D4AB9" w:rsidRDefault="00AF52F5" w:rsidP="00AF52F5">
      <w:r w:rsidRPr="003D4AB9">
        <w:rPr>
          <w:color w:val="000000" w:themeColor="text1"/>
        </w:rPr>
        <w:t xml:space="preserve">So far, imines syntheses have used β-APN in its fumarate salt form, as this is the most commercially available option. When prepared as a fumarate salt, the primary amine of β-APN is in the primary ammonium form. Since it is the amine </w:t>
      </w:r>
      <w:r>
        <w:t>functionality of β</w:t>
      </w:r>
      <w:r>
        <w:noBreakHyphen/>
      </w:r>
      <w:r w:rsidRPr="00C84632">
        <w:t>APN</w:t>
      </w:r>
      <w:r>
        <w:t xml:space="preserve"> which reacts with the aldehyde to form an imine, it is necessary to first convert the primary ammonium of </w:t>
      </w:r>
      <w:r w:rsidRPr="00C84632">
        <w:t>β-APN</w:t>
      </w:r>
      <w:r>
        <w:t xml:space="preserve"> back to an amine. This requires a base, for example triethylamine (TEA), to be used in the reaction.</w:t>
      </w:r>
      <w:r>
        <w:rPr>
          <w:color w:val="FF0000"/>
        </w:rPr>
        <w:t xml:space="preserve"> </w:t>
      </w:r>
      <w:r w:rsidRPr="00C84632">
        <w:t xml:space="preserve">To </w:t>
      </w:r>
      <w:r>
        <w:t>eliminate</w:t>
      </w:r>
      <w:r w:rsidRPr="00C84632">
        <w:t xml:space="preserve"> the necessity of adding a </w:t>
      </w:r>
      <w:r>
        <w:t>base</w:t>
      </w:r>
      <w:r w:rsidRPr="00C84632">
        <w:t>, attempts w</w:t>
      </w:r>
      <w:r w:rsidRPr="00B503C7">
        <w:rPr>
          <w:color w:val="000000" w:themeColor="text1"/>
        </w:rPr>
        <w:t>ere made to isolate t</w:t>
      </w:r>
      <w:r>
        <w:rPr>
          <w:color w:val="000000" w:themeColor="text1"/>
        </w:rPr>
        <w:t>he free-</w:t>
      </w:r>
      <w:r w:rsidRPr="00B503C7">
        <w:rPr>
          <w:color w:val="000000" w:themeColor="text1"/>
        </w:rPr>
        <w:t>base form of β-APN from the commercial fumarate salt</w:t>
      </w:r>
      <w:r>
        <w:rPr>
          <w:color w:val="000000" w:themeColor="text1"/>
        </w:rPr>
        <w:t>, to be used in subsequent reactions</w:t>
      </w:r>
      <w:r w:rsidRPr="00B503C7">
        <w:rPr>
          <w:color w:val="000000" w:themeColor="text1"/>
        </w:rPr>
        <w:t xml:space="preserve">. After dissolving β-APN fumarate salt in deionised water and adding organic solvent to form two phases, a </w:t>
      </w:r>
      <w:r w:rsidRPr="00B503C7">
        <w:rPr>
          <w:color w:val="000000" w:themeColor="text1"/>
        </w:rPr>
        <w:lastRenderedPageBreak/>
        <w:t>solution of sodium chloride was added to try and partition the free β</w:t>
      </w:r>
      <w:r w:rsidRPr="00B503C7">
        <w:rPr>
          <w:color w:val="000000" w:themeColor="text1"/>
        </w:rPr>
        <w:noBreakHyphen/>
        <w:t xml:space="preserve">APN into the organic phase. </w:t>
      </w:r>
      <w:r w:rsidRPr="00C84632">
        <w:t xml:space="preserve">Analysis </w:t>
      </w:r>
      <w:r>
        <w:t xml:space="preserve">of both organic and aqueous layers </w:t>
      </w:r>
      <w:r w:rsidRPr="00C84632">
        <w:t xml:space="preserve">by </w:t>
      </w:r>
      <w:r w:rsidRPr="00C84632">
        <w:rPr>
          <w:vertAlign w:val="superscript"/>
        </w:rPr>
        <w:t>1</w:t>
      </w:r>
      <w:r>
        <w:t>H </w:t>
      </w:r>
      <w:r w:rsidRPr="00C84632">
        <w:t>NMR spectroscopy indicated that β-APN was present in the aqueous layer</w:t>
      </w:r>
      <w:r>
        <w:t>, suggesting it was still present as a salt. As a result, TEA (or another appropriate base) was considered necessary in subsequent reactions</w:t>
      </w:r>
      <w:r w:rsidRPr="00C84632">
        <w:t xml:space="preserve"> </w:t>
      </w:r>
      <w:r>
        <w:t>to neutralise the β</w:t>
      </w:r>
      <w:r>
        <w:noBreakHyphen/>
      </w:r>
      <w:r w:rsidRPr="00C84632">
        <w:t>APN</w:t>
      </w:r>
      <w:r>
        <w:t xml:space="preserve"> primary ammonium </w:t>
      </w:r>
      <w:r w:rsidRPr="00DC7B4C">
        <w:rPr>
          <w:i/>
        </w:rPr>
        <w:t>in situ</w:t>
      </w:r>
      <w:r>
        <w:t xml:space="preserve">. </w:t>
      </w:r>
    </w:p>
    <w:p w14:paraId="767A3D64" w14:textId="77777777" w:rsidR="00AF52F5" w:rsidRPr="00C84632" w:rsidRDefault="00AF52F5" w:rsidP="00AF52F5">
      <w:pPr>
        <w:pStyle w:val="Heading3"/>
      </w:pPr>
      <w:bookmarkStart w:id="106" w:name="_Toc510023011"/>
      <w:bookmarkStart w:id="107" w:name="_Toc525587679"/>
      <w:bookmarkStart w:id="108" w:name="_Toc2450999"/>
      <w:r w:rsidRPr="00C84632">
        <w:t>Isolation of imine by column chromatography</w:t>
      </w:r>
      <w:bookmarkEnd w:id="106"/>
      <w:bookmarkEnd w:id="107"/>
      <w:bookmarkEnd w:id="108"/>
    </w:p>
    <w:p w14:paraId="4A921BCA" w14:textId="4AD9FE5D" w:rsidR="00AF52F5" w:rsidRDefault="00AF52F5" w:rsidP="00AF52F5">
      <w:r>
        <w:t xml:space="preserve">For the syntheses described in this body of work, isolation of the crude imine product was attempted by removing solvent </w:t>
      </w:r>
      <w:r w:rsidRPr="004F1771">
        <w:rPr>
          <w:i/>
        </w:rPr>
        <w:t>in vacuo</w:t>
      </w:r>
      <w:r>
        <w:t xml:space="preserve">, however this had been largely unsuccessful. As an alternative approach, product isolation was attempted by column </w:t>
      </w:r>
      <w:r w:rsidRPr="00C84632">
        <w:t>chromatography</w:t>
      </w:r>
      <w:r>
        <w:t xml:space="preserve">. </w:t>
      </w:r>
      <w:r w:rsidRPr="00C84632">
        <w:t xml:space="preserve">Following a reaction of β-APN and benzaldehyde in a 2:1 ratio, </w:t>
      </w:r>
      <w:r w:rsidRPr="00C84632">
        <w:rPr>
          <w:vertAlign w:val="superscript"/>
        </w:rPr>
        <w:t>1</w:t>
      </w:r>
      <w:r w:rsidRPr="00C84632">
        <w:t xml:space="preserve">H NMR analysis </w:t>
      </w:r>
      <w:r>
        <w:t>(</w:t>
      </w:r>
      <w:r w:rsidRPr="00C84632">
        <w:t>prior to column chromatography</w:t>
      </w:r>
      <w:r>
        <w:t>)</w:t>
      </w:r>
      <w:r w:rsidRPr="00C84632">
        <w:t xml:space="preserve"> confirmed the formation of an imine product with </w:t>
      </w:r>
      <w:r>
        <w:t xml:space="preserve">73 % conversion. </w:t>
      </w:r>
      <w:r w:rsidRPr="00C84632">
        <w:t xml:space="preserve">After loading the reaction mixture onto the </w:t>
      </w:r>
      <w:r>
        <w:t xml:space="preserve">silica </w:t>
      </w:r>
      <w:r w:rsidRPr="00C84632">
        <w:t xml:space="preserve">column and monitoring by TLC, eluents containing suspected product were collected, </w:t>
      </w:r>
      <w:r>
        <w:t>solvent removed by rotary evaporation, and analysis was conducted</w:t>
      </w:r>
      <w:r w:rsidRPr="00C84632">
        <w:t xml:space="preserve"> by </w:t>
      </w:r>
      <w:r w:rsidRPr="00C84632">
        <w:rPr>
          <w:vertAlign w:val="superscript"/>
        </w:rPr>
        <w:t>1</w:t>
      </w:r>
      <w:r>
        <w:t>H </w:t>
      </w:r>
      <w:r w:rsidRPr="00C84632">
        <w:t xml:space="preserve">NMR. The </w:t>
      </w:r>
      <w:r w:rsidRPr="00C84632">
        <w:rPr>
          <w:vertAlign w:val="superscript"/>
        </w:rPr>
        <w:t>1</w:t>
      </w:r>
      <w:r w:rsidRPr="00C84632">
        <w:t>H NMR spectrum showed peaks consistent with benzaldehyde</w:t>
      </w:r>
      <w:r>
        <w:t>, suggesting that the imine degraded on the column. The are several potential explanations for imine degradation. Firstly, silica columns are likely to contain some residual water which could hydrolyse the imine. Second, silica contains silanol groups that are known to be slightly acidic.</w:t>
      </w:r>
      <w:r>
        <w:fldChar w:fldCharType="begin" w:fldLock="1"/>
      </w:r>
      <w:r w:rsidR="0085447D">
        <w:instrText>ADDIN CSL_CITATION {"citationItems":[{"id":"ITEM-1","itemData":{"DOI":"10.1093/chromsci/40.10.538","ISBN":"0021-9665\\r1945-239X","ISSN":"0021-9665","PMID":"12515356","abstract":"This paper presents a review of the literature concerning development of the stationary phase for thin-layer chromatography (TLC) in the last ten years. The silica gel remains the most important adsorbent for TLC separation. The kinetic properties of the silica gel thin-layer and the new TLC plates have been presented. Other materials used as stationary phase were alumina, zirconium oxide, Florisil, and ion-exchanger. Chemically new bonded stationary phase development is also discussed.The improvement of the separations of some organic mixtures by impregnation of silica gel, cellulose, or polyamide plates with transition metal ions and silver salts and their applications is presented. The impregnation of the thin-layer with organic stationary phase and inclusion complexes is another method used for the enhancement of the separation efficiences. Another modality to improve the selectivity in TLC using ion-pairing as reagent of impregnation is described as well. The actual state of chiral separation by TLC is discussed with concrete references to recent advances in chiral stationary phases. The use of nonpolar chemically bonded stationary phases impregnated with transitional metal ions is presented as chiral stationary phases. The cellulose, modified cellulose, chitin, chitosan, and their derivatives are presented; and their potential for the analysis of the racemates is discussed. The cyclodextrines and macrocyclic antibiotics were used with very good results for enantiomeric separation by TLC. A new separation approach with molecular imprinting polymers was reported as a chiral stationary phase in TLC. The examples provide a wide range of structural types that can be readily resolved enantiomerically by TLC.","author":[{"dropping-particle":"","family":"Gocan","given":"S.","non-dropping-particle":"","parse-names":false,"suffix":""}],"container-title":"Journal of Chromatographic Science","id":"ITEM-1","issue":"10","issued":{"date-parts":[["2002"]]},"page":"538-549","title":"Stationary Phases for Thin-Layer Chromatography","type":"article-journal","volume":"40"},"uris":["http://www.mendeley.com/documents/?uuid=5d26f4ed-11c4-4ba1-987f-9044756177f1"]}],"mendeley":{"formattedCitation":"&lt;sup&gt;162&lt;/sup&gt;","plainTextFormattedCitation":"162","previouslyFormattedCitation":"&lt;sup&gt;162&lt;/sup&gt;"},"properties":{"noteIndex":0},"schema":"https://github.com/citation-style-language/schema/raw/master/csl-citation.json"}</w:instrText>
      </w:r>
      <w:r>
        <w:fldChar w:fldCharType="separate"/>
      </w:r>
      <w:r w:rsidR="00B02713" w:rsidRPr="00B02713">
        <w:rPr>
          <w:noProof/>
          <w:vertAlign w:val="superscript"/>
        </w:rPr>
        <w:t>162</w:t>
      </w:r>
      <w:r>
        <w:fldChar w:fldCharType="end"/>
      </w:r>
      <w:r>
        <w:t xml:space="preserve"> Imine hydrolysis under acidic conditions is a well-known phenomenon,</w:t>
      </w:r>
      <w:r>
        <w:fldChar w:fldCharType="begin" w:fldLock="1"/>
      </w:r>
      <w:r w:rsidR="0085447D">
        <w:instrText>ADDIN CSL_CITATION {"citationItems":[{"id":"ITEM-1","itemData":{"author":[{"dropping-particle":"","family":"Clayden","given":"Jonathon","non-dropping-particle":"","parse-names":false,"suffix":""},{"dropping-particle":"","family":"Greeves","given":"Nick","non-dropping-particle":"","parse-names":false,"suffix":""},{"dropping-particle":"","family":"Warren","given":"Stuart","non-dropping-particle":"","parse-names":false,"suffix":""},{"dropping-particle":"","family":"Wothers","given":"Peter","non-dropping-particle":"","parse-names":false,"suffix":""}],"editor":[{"dropping-particle":"","family":"First Edition","given":"","non-dropping-particle":"","parse-names":false,"suffix":""}],"id":"ITEM-1","issued":{"date-parts":[["2009"]]},"number-of-pages":"350-351","publisher":"Oxford University Press","publisher-place":"New York","title":"Organic Chemistry","type":"book"},"uris":["http://www.mendeley.com/documents/?uuid=599348f0-7a13-460c-ae8d-907410a4ad9a"]}],"mendeley":{"formattedCitation":"&lt;sup&gt;163&lt;/sup&gt;","plainTextFormattedCitation":"163","previouslyFormattedCitation":"&lt;sup&gt;163&lt;/sup&gt;"},"properties":{"noteIndex":0},"schema":"https://github.com/citation-style-language/schema/raw/master/csl-citation.json"}</w:instrText>
      </w:r>
      <w:r>
        <w:fldChar w:fldCharType="separate"/>
      </w:r>
      <w:r w:rsidR="00B02713" w:rsidRPr="00B02713">
        <w:rPr>
          <w:noProof/>
          <w:vertAlign w:val="superscript"/>
        </w:rPr>
        <w:t>163</w:t>
      </w:r>
      <w:r>
        <w:fldChar w:fldCharType="end"/>
      </w:r>
      <w:r>
        <w:t xml:space="preserve"> therefore the presence of acidic groups on the silica surface could also have caused degradation of the imine. To circumvent these issues the column could be pre-washed with a base such as triethylamine to neutralise any acidic groups. Alternatively, alumina columns are slightly basic, therefore isolation using an alumina column may allow the imine product to be separated though degrading.  </w:t>
      </w:r>
    </w:p>
    <w:p w14:paraId="6240F4F7" w14:textId="77777777" w:rsidR="00AF52F5" w:rsidRPr="00C84632" w:rsidRDefault="00AF52F5" w:rsidP="00AF52F5">
      <w:pPr>
        <w:pStyle w:val="Heading3"/>
      </w:pPr>
      <w:bookmarkStart w:id="109" w:name="_Toc320882541"/>
      <w:bookmarkStart w:id="110" w:name="_Toc510023012"/>
      <w:bookmarkStart w:id="111" w:name="_Toc525587680"/>
      <w:bookmarkStart w:id="112" w:name="_Toc2451000"/>
      <w:r w:rsidRPr="00C84632">
        <w:t>Imine synthesis by Dean-Stark distillation</w:t>
      </w:r>
      <w:bookmarkEnd w:id="109"/>
      <w:bookmarkEnd w:id="110"/>
      <w:bookmarkEnd w:id="111"/>
      <w:bookmarkEnd w:id="112"/>
    </w:p>
    <w:p w14:paraId="710286BD" w14:textId="36A7B5BD" w:rsidR="00AF52F5" w:rsidRPr="007131B4" w:rsidRDefault="00AF52F5" w:rsidP="00AF52F5">
      <w:r>
        <w:t>A widely used synthetic route for imine formation is by Dean-Stark distillation.</w:t>
      </w:r>
      <w:r>
        <w:fldChar w:fldCharType="begin" w:fldLock="1"/>
      </w:r>
      <w:r w:rsidR="0085447D">
        <w:instrText>ADDIN CSL_CITATION {"citationItems":[{"id":"ITEM-1","itemData":{"DOI":"10.1021/acs.jchemed.6b00056","ISBN":"0021-9584","ISSN":"19381328","abstract":"Imines are important in biological chemistry and as intermediates in organic synthesis. An experiment for introductory undergraduate organic chemistry is presented in which benzaldehyde was condensed with p-methoxyaniline in toluene to give 4-methoxy-N-(phenylmethylene)benzenamine. Water was removed by azeotropic distillation using a Dean-Stark trap. The reaction was readily performed in one 3 h laboratory period, gave a crystalline product, and was easily followed visually by the amount of water collected. It demonstrated important concepts from second-year undergraduate organic chemistry, including equilibrium processes, condensation reactions, and imine formation. The experiment also gave students exposure to important laboratory techniques including azeotropic distillation, use of a water trap, and mixed-solvent recrystallization.","author":[{"dropping-particle":"","family":"Silverberg","given":"Lee J.","non-dropping-particle":"","parse-names":false,"suffix":""},{"dropping-particle":"","family":"Coyle","given":"David J.","non-dropping-particle":"","parse-names":false,"suffix":""},{"dropping-particle":"","family":"Cannon","given":"Kevin C.","non-dropping-particle":"","parse-names":false,"suffix":""},{"dropping-particle":"","family":"Mathers","given":"Robert T.","non-dropping-particle":"","parse-names":false,"suffix":""},{"dropping-particle":"","family":"Richards","given":"Jeffrey A.","non-dropping-particle":"","parse-names":false,"suffix":""},{"dropping-particle":"","family":"Tierney","given":"John","non-dropping-particle":"","parse-names":false,"suffix":""}],"container-title":"Journal of Chemical Education","id":"ITEM-1","issue":"5","issued":{"date-parts":[["2016"]]},"page":"941-944","title":"Azeotropic Preparation of a C-Phenyl N-Aryl Imine: An Introductory Undergraduate Organic Chemistry Laboratory Experiment","type":"article-journal","volume":"93"},"uris":["http://www.mendeley.com/documents/?uuid=17eb0d08-55d7-4b65-9e01-3d29c1db3966"]}],"mendeley":{"formattedCitation":"&lt;sup&gt;164&lt;/sup&gt;","plainTextFormattedCitation":"164","previouslyFormattedCitation":"&lt;sup&gt;164&lt;/sup&gt;"},"properties":{"noteIndex":0},"schema":"https://github.com/citation-style-language/schema/raw/master/csl-citation.json"}</w:instrText>
      </w:r>
      <w:r>
        <w:fldChar w:fldCharType="separate"/>
      </w:r>
      <w:r w:rsidR="00B02713" w:rsidRPr="00B02713">
        <w:rPr>
          <w:noProof/>
          <w:vertAlign w:val="superscript"/>
        </w:rPr>
        <w:t>164</w:t>
      </w:r>
      <w:r>
        <w:fldChar w:fldCharType="end"/>
      </w:r>
      <w:r>
        <w:t xml:space="preserve"> </w:t>
      </w:r>
      <w:r w:rsidRPr="00C84632">
        <w:t>This technique removes water by azeotropic distillation with toluene, with the intention of driving the reaction equilibrium towards the imine product.</w:t>
      </w:r>
      <w:r>
        <w:fldChar w:fldCharType="begin" w:fldLock="1"/>
      </w:r>
      <w:r w:rsidR="0085447D">
        <w:instrText>ADDIN CSL_CITATION {"citationItems":[{"id":"ITEM-1","itemData":{"DOI":"10.1039/c2cs15305j","ISBN":"1460-4744 (Electronic)\\n0306-0012 (Linking)","ISSN":"03060012","PMID":"22310886","abstract":"Formation of an imine--from an amine and an aldehyde--is a reversible reaction which operates under thermodynamic control such that the formation of kinetically competitive intermediates are, in the fullness of time, replaced by the thermodynamically most stable product(s). For this fundamental reason, the imine bond has emerged as an extraordinarily diverse and useful one in the hands of synthetic chemists. Imine bond formation is one of a handful of reactions which define a discipline known as dynamic covalent chemistry (DCC), which is now employed widely in the construction of exotic molecules and extended structures on account of the inherent 'proof-reading' and 'error-checking' associated with these reversible reactions. While both supramolecular chemistry and DCC operate under the regime of reversibility, DCC has the added advantage of constructing robust molecules on account of the formation of covalent bonds rather than fragile supermolecules resulting from noncovalent bonding interactions. On the other hand, these products tend to require more time to form--sometimes days or even months--but their formation can often be catalysed. In this manner, highly symmetrical molecules and extended structures can be prepared from relatively simple precursors. When DCC is utilised in conjunction with template-directed protocols--which rely on the use of noncovalent bonding interactions between molecular building blocks in order to preorganise them into certain relative geometries as a prelude to the formation of covalent bonds under equilibrium control--an additional level of control of structure and topology arises which offers a disarmingly simple way of constructing mechanically-interlocked molecules, such as rotaxanes, catenanes, Borromean rings, and Solomon knots. This tutorial review focuses on the use of dynamic imine bonds in the construction of compounds and products formed with and without the aid of additional templates. While synthesis under thermodynamic control is giving the field of chemical topology a new lease of life, it is also providing access to an endless array of new materials that are, in many circumstances, simply not accessible using more traditional synthetic methodologies where kinetic control rules the roost. One of the most endearing qualities of chemistry is its ability to reinvent itself in order to create its own object, as Berthelot first pointed out a century and a half ago.","author":[{"dropping-particle":"","family":"Belowich","given":"Matthew E.","non-dropping-particle":"","parse-names":false,"suffix":""},{"dropping-particle":"","family":"Stoddart","given":"J. Fraser","non-dropping-particle":"","parse-names":false,"suffix":""}],"container-title":"Chemical Society Reviews","id":"ITEM-1","issue":"6","issued":{"date-parts":[["2012"]]},"page":"2003-2024","title":"Dynamic imine chemistry","type":"article-journal","volume":"41"},"uris":["http://www.mendeley.com/documents/?uuid=892d9d9c-e6a5-45ef-84ad-af1f1b56d859"]}],"mendeley":{"formattedCitation":"&lt;sup&gt;161&lt;/sup&gt;","plainTextFormattedCitation":"161","previouslyFormattedCitation":"&lt;sup&gt;161&lt;/sup&gt;"},"properties":{"noteIndex":0},"schema":"https://github.com/citation-style-language/schema/raw/master/csl-citation.json"}</w:instrText>
      </w:r>
      <w:r>
        <w:fldChar w:fldCharType="separate"/>
      </w:r>
      <w:r w:rsidR="00B02713" w:rsidRPr="00B02713">
        <w:rPr>
          <w:noProof/>
          <w:vertAlign w:val="superscript"/>
        </w:rPr>
        <w:t>161</w:t>
      </w:r>
      <w:r>
        <w:fldChar w:fldCharType="end"/>
      </w:r>
      <w:r>
        <w:rPr>
          <w:color w:val="FF0000"/>
        </w:rPr>
        <w:t xml:space="preserve"> </w:t>
      </w:r>
      <w:r w:rsidRPr="00315034">
        <w:rPr>
          <w:color w:val="000000" w:themeColor="text1"/>
        </w:rPr>
        <w:t>It was hypothesised that by distilling the water and solvent mixture, the reaction may proceed to full conversion and the</w:t>
      </w:r>
      <w:r>
        <w:rPr>
          <w:color w:val="000000" w:themeColor="text1"/>
        </w:rPr>
        <w:t xml:space="preserve"> imine product may be </w:t>
      </w:r>
      <w:r w:rsidRPr="00315034">
        <w:rPr>
          <w:color w:val="000000" w:themeColor="text1"/>
        </w:rPr>
        <w:t>isolated</w:t>
      </w:r>
      <w:r>
        <w:rPr>
          <w:color w:val="000000" w:themeColor="text1"/>
        </w:rPr>
        <w:t xml:space="preserve"> more readily</w:t>
      </w:r>
      <w:r w:rsidRPr="00315034">
        <w:rPr>
          <w:color w:val="000000" w:themeColor="text1"/>
        </w:rPr>
        <w:t xml:space="preserve">. </w:t>
      </w:r>
      <w:r w:rsidRPr="00C84632">
        <w:t>An initial investigation compared r</w:t>
      </w:r>
      <w:r>
        <w:t>eactant ratios of 1:1 and 2:1 β</w:t>
      </w:r>
      <w:r>
        <w:noBreakHyphen/>
      </w:r>
      <w:r w:rsidRPr="00C84632">
        <w:t>APN:</w:t>
      </w:r>
      <w:r>
        <w:t> </w:t>
      </w:r>
      <w:r w:rsidRPr="00C84632">
        <w:t>benzaldehyde</w:t>
      </w:r>
      <w:r>
        <w:t>, prepared by Dean-Stark distillation for</w:t>
      </w:r>
      <w:r w:rsidRPr="00C84632">
        <w:t xml:space="preserve"> 3 h at 115 °C. Analysis by </w:t>
      </w:r>
      <w:r w:rsidRPr="00C84632">
        <w:rPr>
          <w:vertAlign w:val="superscript"/>
        </w:rPr>
        <w:t>1</w:t>
      </w:r>
      <w:r>
        <w:t>H </w:t>
      </w:r>
      <w:r w:rsidRPr="00C84632">
        <w:t xml:space="preserve">NMR spectroscopy indicated 78 % conversion </w:t>
      </w:r>
      <w:r>
        <w:t xml:space="preserve">to the imine </w:t>
      </w:r>
      <w:r w:rsidRPr="00C84632">
        <w:t xml:space="preserve">was achieved for the 1:1 reaction compared to </w:t>
      </w:r>
      <w:r w:rsidRPr="00C84632">
        <w:lastRenderedPageBreak/>
        <w:t>98</w:t>
      </w:r>
      <w:r>
        <w:t> </w:t>
      </w:r>
      <w:r w:rsidRPr="00C84632">
        <w:t>% conversion for the 2:1 reaction.</w:t>
      </w:r>
      <w:r>
        <w:t xml:space="preserve"> These results agree with those found for the initial imine syntheses. Whilst the 2:1 reaction proceeded to a high conversion, attempts to isolate the product by rotary evaporation and recrystallisation were unsuccessful. </w:t>
      </w:r>
    </w:p>
    <w:p w14:paraId="08F7E6CB" w14:textId="77777777" w:rsidR="00AF52F5" w:rsidRPr="00C84632" w:rsidRDefault="00AF52F5" w:rsidP="00AF52F5">
      <w:pPr>
        <w:pStyle w:val="Heading3"/>
      </w:pPr>
      <w:bookmarkStart w:id="113" w:name="_Toc320882543"/>
      <w:bookmarkStart w:id="114" w:name="_Toc510023013"/>
      <w:bookmarkStart w:id="115" w:name="_Toc525587681"/>
      <w:bookmarkStart w:id="116" w:name="_Toc320882542"/>
      <w:bookmarkStart w:id="117" w:name="_Toc2451001"/>
      <w:r w:rsidRPr="00C84632">
        <w:t>Imine synthesis by rotary evaporation</w:t>
      </w:r>
      <w:bookmarkEnd w:id="113"/>
      <w:bookmarkEnd w:id="114"/>
      <w:bookmarkEnd w:id="115"/>
      <w:bookmarkEnd w:id="117"/>
    </w:p>
    <w:p w14:paraId="295D9D0A" w14:textId="77777777" w:rsidR="00AF52F5" w:rsidRPr="008D5657" w:rsidRDefault="00AF52F5" w:rsidP="00AF52F5">
      <w:pPr>
        <w:rPr>
          <w:color w:val="FF0000"/>
        </w:rPr>
      </w:pPr>
      <w:r w:rsidRPr="00C84632">
        <w:t xml:space="preserve">In an attempt to </w:t>
      </w:r>
      <w:r>
        <w:t xml:space="preserve">find an alternative method to </w:t>
      </w:r>
      <w:r w:rsidRPr="00C84632">
        <w:t xml:space="preserve">remove water during imine synthesis whilst maintaining a temperature of 40 °C, imine synthesis was carried out by rotary evaporation. Reactions comparing a 1:1 and 2:1 ratio of β-APN: benzaldehyde were attempted, however the product was unable to be isolated from the synthesis. </w:t>
      </w:r>
    </w:p>
    <w:p w14:paraId="075E5151" w14:textId="77777777" w:rsidR="00AF52F5" w:rsidRPr="00C84632" w:rsidRDefault="00AF52F5" w:rsidP="00AF52F5">
      <w:pPr>
        <w:pStyle w:val="Heading3"/>
      </w:pPr>
      <w:bookmarkStart w:id="118" w:name="_Toc510023014"/>
      <w:bookmarkStart w:id="119" w:name="_Toc525587682"/>
      <w:bookmarkStart w:id="120" w:name="_Toc2451002"/>
      <w:r w:rsidRPr="00C84632">
        <w:t>Vacuum oven synthesis of imines</w:t>
      </w:r>
      <w:bookmarkEnd w:id="116"/>
      <w:bookmarkEnd w:id="118"/>
      <w:bookmarkEnd w:id="119"/>
      <w:bookmarkEnd w:id="120"/>
    </w:p>
    <w:p w14:paraId="48624B3F" w14:textId="77F3C32A" w:rsidR="00AF52F5" w:rsidRDefault="00AF52F5" w:rsidP="00AF52F5">
      <w:r>
        <w:t xml:space="preserve">Saggiomo and Lüning describe a method for imine formation by reaction of salicylaldehyde and aniline in water </w:t>
      </w:r>
      <w:r w:rsidRPr="00C84632">
        <w:t>and evacuating in a vacuum oven.</w:t>
      </w:r>
      <w:r w:rsidRPr="00C84632">
        <w:fldChar w:fldCharType="begin" w:fldLock="1"/>
      </w:r>
      <w:r w:rsidR="0085447D">
        <w:instrText>ADDIN CSL_CITATION {"citationItems":[{"id":"ITEM-1","itemData":{"DOI":"10.1016/j.tetlet.2009.05.117","ISSN":"0040-4039","author":[{"dropping-particle":"","family":"Saggiomo","given":"Vittorio","non-dropping-particle":"","parse-names":false,"suffix":""},{"dropping-particle":"","family":"Lüning","given":"Ulrich","non-dropping-particle":"","parse-names":false,"suffix":""}],"container-title":"Tetrahedron Letters","id":"ITEM-1","issue":"32","issued":{"date-parts":[["2009"]]},"page":"4663-4665","publisher":"Elsevier Ltd","title":"On the formation of imines in water — a comparison","type":"article-journal","volume":"50"},"uris":["http://www.mendeley.com/documents/?uuid=95887456-3b40-4844-bed0-4066a94a23f4"]}],"mendeley":{"formattedCitation":"&lt;sup&gt;165&lt;/sup&gt;","plainTextFormattedCitation":"165","previouslyFormattedCitation":"&lt;sup&gt;165&lt;/sup&gt;"},"properties":{"noteIndex":0},"schema":"https://github.com/citation-style-language/schema/raw/master/csl-citation.json"}</w:instrText>
      </w:r>
      <w:r w:rsidRPr="00C84632">
        <w:fldChar w:fldCharType="separate"/>
      </w:r>
      <w:r w:rsidR="00B02713" w:rsidRPr="00B02713">
        <w:rPr>
          <w:noProof/>
          <w:vertAlign w:val="superscript"/>
        </w:rPr>
        <w:t>165</w:t>
      </w:r>
      <w:r w:rsidRPr="00C84632">
        <w:fldChar w:fldCharType="end"/>
      </w:r>
      <w:r w:rsidRPr="00C84632">
        <w:t xml:space="preserve"> </w:t>
      </w:r>
      <w:r>
        <w:t>Whilst performing an imine synthesis in water may seem counter-intuitive, they demonstrate the imine products can be isolated with good yields.</w:t>
      </w:r>
    </w:p>
    <w:p w14:paraId="7DED79EA" w14:textId="221F1498" w:rsidR="00AF52F5" w:rsidRPr="00540392" w:rsidRDefault="00AF52F5" w:rsidP="00AF52F5">
      <w:pPr>
        <w:rPr>
          <w:b/>
        </w:rPr>
      </w:pPr>
      <w:r>
        <w:t>Performing the reaction in a vacuum oven provides an alternative method of removing water during the reaction, as was trialled previously using sodium sulfate and Dean-Stark apparatus. The</w:t>
      </w:r>
      <w:r w:rsidRPr="00C84632">
        <w:t xml:space="preserve"> reaction was </w:t>
      </w:r>
      <w:r>
        <w:t>performed</w:t>
      </w:r>
      <w:r w:rsidRPr="00C84632">
        <w:t xml:space="preserve"> with benzaldehyde and β-APN in a 1:1 ratio in </w:t>
      </w:r>
      <w:r>
        <w:t xml:space="preserve">a </w:t>
      </w:r>
      <w:r w:rsidRPr="00C84632">
        <w:t>5 %</w:t>
      </w:r>
      <w:r>
        <w:t xml:space="preserve"> </w:t>
      </w:r>
      <w:r w:rsidRPr="00C84632">
        <w:t xml:space="preserve">(w/v) sodium bicarbonate solution. </w:t>
      </w:r>
      <w:r>
        <w:t xml:space="preserve">Sodium bicarbonate was used as an alternative to TEA to neutralise the </w:t>
      </w:r>
      <w:r w:rsidRPr="00C84632">
        <w:t>β-APN fumarate salt</w:t>
      </w:r>
      <w:r>
        <w:t xml:space="preserve">. </w:t>
      </w:r>
      <w:r w:rsidRPr="00C84632">
        <w:t>After 24 h at 40 °C in a vacuum oven, conversion</w:t>
      </w:r>
      <w:r>
        <w:t xml:space="preserve"> to the imine</w:t>
      </w:r>
      <w:r w:rsidRPr="00C84632">
        <w:t xml:space="preserve"> was found to be 99</w:t>
      </w:r>
      <w:r>
        <w:t> </w:t>
      </w:r>
      <w:r w:rsidRPr="00C84632">
        <w:t xml:space="preserve">% by </w:t>
      </w:r>
      <w:r w:rsidRPr="00C84632">
        <w:rPr>
          <w:vertAlign w:val="superscript"/>
        </w:rPr>
        <w:t>1</w:t>
      </w:r>
      <w:r>
        <w:t>H </w:t>
      </w:r>
      <w:r w:rsidRPr="00C84632">
        <w:t>NMR spectroscopy. The reaction was scaled up to a 1 g scale and</w:t>
      </w:r>
      <w:r>
        <w:t xml:space="preserve"> analysis by</w:t>
      </w:r>
      <w:r w:rsidRPr="00C84632">
        <w:t xml:space="preserve"> </w:t>
      </w:r>
      <w:r w:rsidRPr="00C84632">
        <w:rPr>
          <w:vertAlign w:val="superscript"/>
        </w:rPr>
        <w:t>1</w:t>
      </w:r>
      <w:r w:rsidRPr="00C84632">
        <w:t>H NMR spectroscopy reported 97</w:t>
      </w:r>
      <w:r>
        <w:t> </w:t>
      </w:r>
      <w:r w:rsidRPr="00C84632">
        <w:t xml:space="preserve">% conversion after 24 hours. Attempts to isolate the product by dissolving it in diethyl ether, filtering then removing the solvent by rotary evaporation produced a very low yield. </w:t>
      </w:r>
      <w:r w:rsidRPr="00C72BCB">
        <w:rPr>
          <w:color w:val="000000" w:themeColor="text1"/>
        </w:rPr>
        <w:t xml:space="preserve">It was hypothesised that the low yield could be attributed to benzaldehyde evaporating during the reaction. </w:t>
      </w:r>
      <w:r w:rsidRPr="00C84632">
        <w:t>The reaction was therefore repeated using anisaldehyde, which has a higher boiling point than benzaldehyde (248 °C</w:t>
      </w:r>
      <w:r w:rsidRPr="00C84632">
        <w:fldChar w:fldCharType="begin" w:fldLock="1"/>
      </w:r>
      <w:r w:rsidR="0085447D">
        <w:instrText>ADDIN CSL_CITATION {"citationItems":[{"id":"ITEM-1","itemData":{"author":[{"dropping-particle":"","family":"Aldrich","given":"","non-dropping-particle":"","parse-names":false,"suffix":""}],"id":"ITEM-1","issue":"5.5","issued":{"date-parts":[["2015"]]},"title":"p-Anisaldehyde MSDS","type":"article"},"uris":["http://www.mendeley.com/documents/?uuid=da85042a-9974-49e7-acd4-e46d5b9ce60f"]}],"mendeley":{"formattedCitation":"&lt;sup&gt;166&lt;/sup&gt;","plainTextFormattedCitation":"166","previouslyFormattedCitation":"&lt;sup&gt;166&lt;/sup&gt;"},"properties":{"noteIndex":0},"schema":"https://github.com/citation-style-language/schema/raw/master/csl-citation.json"}</w:instrText>
      </w:r>
      <w:r w:rsidRPr="00C84632">
        <w:fldChar w:fldCharType="separate"/>
      </w:r>
      <w:r w:rsidR="00B02713" w:rsidRPr="00B02713">
        <w:rPr>
          <w:noProof/>
          <w:vertAlign w:val="superscript"/>
        </w:rPr>
        <w:t>166</w:t>
      </w:r>
      <w:r w:rsidRPr="00C84632">
        <w:fldChar w:fldCharType="end"/>
      </w:r>
      <w:r w:rsidRPr="00C84632">
        <w:t xml:space="preserve"> compared to 178-179 °C</w:t>
      </w:r>
      <w:r w:rsidRPr="00C84632">
        <w:fldChar w:fldCharType="begin" w:fldLock="1"/>
      </w:r>
      <w:r w:rsidR="0085447D">
        <w:instrText>ADDIN CSL_CITATION {"citationItems":[{"id":"ITEM-1","itemData":{"author":[{"dropping-particle":"","family":"Aldrich","given":"","non-dropping-particle":"","parse-names":false,"suffix":""}],"id":"ITEM-1","issue":"5.1","issued":{"date-parts":[["2014"]]},"page":"1-8","title":"Benzaldehyde MSDS","type":"article"},"uris":["http://www.mendeley.com/documents/?uuid=6d6d7cbf-020d-4d21-b91c-9076527b6161"]}],"mendeley":{"formattedCitation":"&lt;sup&gt;167&lt;/sup&gt;","plainTextFormattedCitation":"167","previouslyFormattedCitation":"&lt;sup&gt;167&lt;/sup&gt;"},"properties":{"noteIndex":0},"schema":"https://github.com/citation-style-language/schema/raw/master/csl-citation.json"}</w:instrText>
      </w:r>
      <w:r w:rsidRPr="00C84632">
        <w:fldChar w:fldCharType="separate"/>
      </w:r>
      <w:r w:rsidR="00B02713" w:rsidRPr="00B02713">
        <w:rPr>
          <w:noProof/>
          <w:vertAlign w:val="superscript"/>
        </w:rPr>
        <w:t>167</w:t>
      </w:r>
      <w:r w:rsidRPr="00C84632">
        <w:fldChar w:fldCharType="end"/>
      </w:r>
      <w:r w:rsidRPr="00C84632">
        <w:t xml:space="preserve"> respectively)</w:t>
      </w:r>
      <w:r>
        <w:t xml:space="preserve"> and therefore is less likely to evaporate</w:t>
      </w:r>
      <w:r w:rsidRPr="00C84632">
        <w:t>. Repeating the reaction using anisaldehyde produced only 50</w:t>
      </w:r>
      <w:r>
        <w:t> </w:t>
      </w:r>
      <w:r w:rsidRPr="00C84632">
        <w:t>% conversion to the imine after 24 h. A lo</w:t>
      </w:r>
      <w:r>
        <w:t>w conversion could be due to only</w:t>
      </w:r>
      <w:r w:rsidRPr="00C84632">
        <w:t xml:space="preserve"> partial neutralisation of the β-APN fumarate salt. A</w:t>
      </w:r>
      <w:r>
        <w:t xml:space="preserve">s a result, </w:t>
      </w:r>
      <w:r w:rsidRPr="00C72BCB">
        <w:rPr>
          <w:color w:val="000000" w:themeColor="text1"/>
        </w:rPr>
        <w:t xml:space="preserve">the anisaldehyde experiment </w:t>
      </w:r>
      <w:r>
        <w:t>was repeated with a</w:t>
      </w:r>
      <w:r w:rsidRPr="00C84632">
        <w:t xml:space="preserve"> saturated</w:t>
      </w:r>
      <w:r>
        <w:t xml:space="preserve"> solution of sodium bicarbonate, </w:t>
      </w:r>
      <w:r w:rsidRPr="00C84632">
        <w:t>in an attempt to fully neutralise the β</w:t>
      </w:r>
      <w:r w:rsidRPr="00C84632">
        <w:noBreakHyphen/>
        <w:t xml:space="preserve">APN. </w:t>
      </w:r>
      <w:r>
        <w:t xml:space="preserve">This was compared to the same reaction using a 5 % (w/v) solution of sodium bicarbonate. </w:t>
      </w:r>
      <w:r w:rsidRPr="00C84632">
        <w:t xml:space="preserve">Analysis by </w:t>
      </w:r>
      <w:r w:rsidRPr="00C84632">
        <w:rPr>
          <w:vertAlign w:val="superscript"/>
        </w:rPr>
        <w:t>1</w:t>
      </w:r>
      <w:r w:rsidRPr="00C84632">
        <w:t>H</w:t>
      </w:r>
      <w:r>
        <w:t xml:space="preserve"> NMR spectroscopy determined 90 </w:t>
      </w:r>
      <w:r w:rsidRPr="00C84632">
        <w:t xml:space="preserve">% </w:t>
      </w:r>
      <w:r w:rsidRPr="00C84632">
        <w:lastRenderedPageBreak/>
        <w:t>conversion after 24 h using the saturated sodium bicarbonate solution</w:t>
      </w:r>
      <w:r>
        <w:t>, compared to 50 </w:t>
      </w:r>
      <w:r w:rsidRPr="00C84632">
        <w:t>% conversion with the 5 %</w:t>
      </w:r>
      <w:r>
        <w:t xml:space="preserve"> </w:t>
      </w:r>
      <w:r w:rsidRPr="00C84632">
        <w:t>(w/v) sodium bicarbonate solution</w:t>
      </w:r>
      <w:r w:rsidRPr="00540392">
        <w:rPr>
          <w:color w:val="000000" w:themeColor="text1"/>
        </w:rPr>
        <w:t>. This suggests that the 5 % (w/v) sodium bicarbonate solution wa</w:t>
      </w:r>
      <w:r>
        <w:rPr>
          <w:color w:val="000000" w:themeColor="text1"/>
        </w:rPr>
        <w:t>s</w:t>
      </w:r>
      <w:r w:rsidRPr="00540392">
        <w:rPr>
          <w:color w:val="000000" w:themeColor="text1"/>
        </w:rPr>
        <w:t xml:space="preserve"> not suffi</w:t>
      </w:r>
      <w:r>
        <w:rPr>
          <w:color w:val="000000" w:themeColor="text1"/>
        </w:rPr>
        <w:t>cient to fully neutralise the β</w:t>
      </w:r>
      <w:r>
        <w:rPr>
          <w:color w:val="000000" w:themeColor="text1"/>
        </w:rPr>
        <w:noBreakHyphen/>
      </w:r>
      <w:r w:rsidRPr="00540392">
        <w:rPr>
          <w:color w:val="000000" w:themeColor="text1"/>
        </w:rPr>
        <w:t>APN fumarate salt.</w:t>
      </w:r>
      <w:r>
        <w:rPr>
          <w:b/>
        </w:rPr>
        <w:t xml:space="preserve"> </w:t>
      </w:r>
      <w:r w:rsidRPr="00C84632">
        <w:t>Attempts to isolate the product from starting material and solvent were unsuccessful.</w:t>
      </w:r>
    </w:p>
    <w:p w14:paraId="1A6AF188" w14:textId="77777777" w:rsidR="00AF52F5" w:rsidRPr="00316B6B" w:rsidRDefault="00AF52F5" w:rsidP="00AF52F5">
      <w:pPr>
        <w:rPr>
          <w:color w:val="000000" w:themeColor="text1"/>
        </w:rPr>
      </w:pPr>
      <w:r w:rsidRPr="007A2ADE">
        <w:rPr>
          <w:color w:val="000000" w:themeColor="text1"/>
        </w:rPr>
        <w:t xml:space="preserve">This body of work attempted to synthesise an imine from benzaldehyde, anisaldehyde or dodecylaldehyde with </w:t>
      </w:r>
      <w:r w:rsidRPr="00C84632">
        <w:t>β</w:t>
      </w:r>
      <w:r w:rsidRPr="007A2ADE">
        <w:rPr>
          <w:color w:val="000000" w:themeColor="text1"/>
        </w:rPr>
        <w:noBreakHyphen/>
        <w:t xml:space="preserve">APN, which could be used as a topical prodrug. Whilst multiple methodologies for imine synthesis were trialled, </w:t>
      </w:r>
      <w:r>
        <w:rPr>
          <w:color w:val="000000" w:themeColor="text1"/>
        </w:rPr>
        <w:t xml:space="preserve">and at times resulted in high conversions, </w:t>
      </w:r>
      <w:r w:rsidRPr="007A2ADE">
        <w:rPr>
          <w:color w:val="000000" w:themeColor="text1"/>
        </w:rPr>
        <w:t xml:space="preserve">a stable product was unable to be isolated from any of the reactions. As a result, no further analysis was </w:t>
      </w:r>
      <w:r w:rsidRPr="00316B6B">
        <w:rPr>
          <w:color w:val="000000" w:themeColor="text1"/>
        </w:rPr>
        <w:t xml:space="preserve">conducted on the reactions using these starting materials. </w:t>
      </w:r>
    </w:p>
    <w:p w14:paraId="13C0BB10" w14:textId="0CC90C2B" w:rsidR="00AF52F5" w:rsidRDefault="00AF52F5" w:rsidP="00AF52F5">
      <w:pPr>
        <w:rPr>
          <w:color w:val="000000" w:themeColor="text1"/>
        </w:rPr>
      </w:pPr>
      <w:r w:rsidRPr="00316B6B">
        <w:rPr>
          <w:color w:val="000000" w:themeColor="text1"/>
        </w:rPr>
        <w:t>Rather than examining alternative methodologies for imine synthesis, it may have been beneficial to focus more on methods to isolate the imine product. The two isolation methods used (removal of solvent by rotary evaporation, and column chromatography) were both largely unsuccessful. Alternative methods could include extracting with alternative organic solvents such as hexane or dichloromethane.</w:t>
      </w:r>
      <w:r w:rsidRPr="00316B6B">
        <w:rPr>
          <w:color w:val="000000" w:themeColor="text1"/>
        </w:rPr>
        <w:fldChar w:fldCharType="begin" w:fldLock="1"/>
      </w:r>
      <w:r w:rsidR="0085447D">
        <w:rPr>
          <w:color w:val="000000" w:themeColor="text1"/>
        </w:rPr>
        <w:instrText>ADDIN CSL_CITATION {"citationItems":[{"id":"ITEM-1","itemData":{"DOI":"10.1039/b102749m","ISBN":"1472-7781","ISSN":"14727781","abstract":"Although it is recognized that the presence of water is disadvantageous for imine synthesis, we demonstrate that such synthesis can be effective in completely aqueous media, without any catalyst and under mild conditions. Thus, aryl-aryl, aryl-alkyl, alkyl-aryl and alkyl-alkyl monoimines as well as a large variety of diimines are obtained by direct condensation of the corresponding carbonyl compounds and amines, in water. The same process is used to synthesize macrocyclic diimines starting from methylene, ethylene, trimethylene and tetramethylene glycol bis(2-formylphenyl ether) and ethylene-, trimethylene- and tetramethylene-diamine, some of these macrocycles being known for their chelating properties.","author":[{"dropping-particle":"","family":"Simion","given":"Alina","non-dropping-particle":"","parse-names":false,"suffix":""},{"dropping-particle":"","family":"Simion","given":"Cristian","non-dropping-particle":"","parse-names":false,"suffix":""},{"dropping-particle":"","family":"Kanda","given":"Tadeshige","non-dropping-particle":"","parse-names":false,"suffix":""},{"dropping-particle":"","family":"Nagashima","given":"Satoko","non-dropping-particle":"","parse-names":false,"suffix":""},{"dropping-particle":"","family":"Mitoma","given":"Yoshiharu","non-dropping-particle":"","parse-names":false,"suffix":""},{"dropping-particle":"","family":"Yamada","given":"Tomoko","non-dropping-particle":"","parse-names":false,"suffix":""},{"dropping-particle":"","family":"Mimura","given":"Keisuke","non-dropping-particle":"","parse-names":false,"suffix":""},{"dropping-particle":"","family":"Tashiro","given":"Masashi","non-dropping-particle":"","parse-names":false,"suffix":""}],"container-title":"Journal of the Chemical Society. Perkin Transactions 1","id":"ITEM-1","issued":{"date-parts":[["2001"]]},"page":"2071-2078","title":"Synthesis of imines, diimines and macrocyclic diimines as possible ligands, in aqueous solution","type":"article-journal","volume":"17"},"uris":["http://www.mendeley.com/documents/?uuid=2eaa6ba4-03ca-4636-95fa-993a1dd4b38a"]}],"mendeley":{"formattedCitation":"&lt;sup&gt;168&lt;/sup&gt;","plainTextFormattedCitation":"168","previouslyFormattedCitation":"&lt;sup&gt;168&lt;/sup&gt;"},"properties":{"noteIndex":0},"schema":"https://github.com/citation-style-language/schema/raw/master/csl-citation.json"}</w:instrText>
      </w:r>
      <w:r w:rsidRPr="00316B6B">
        <w:rPr>
          <w:color w:val="000000" w:themeColor="text1"/>
        </w:rPr>
        <w:fldChar w:fldCharType="separate"/>
      </w:r>
      <w:r w:rsidR="00B02713" w:rsidRPr="00B02713">
        <w:rPr>
          <w:noProof/>
          <w:color w:val="000000" w:themeColor="text1"/>
          <w:vertAlign w:val="superscript"/>
        </w:rPr>
        <w:t>168</w:t>
      </w:r>
      <w:r w:rsidRPr="00316B6B">
        <w:rPr>
          <w:color w:val="000000" w:themeColor="text1"/>
        </w:rPr>
        <w:fldChar w:fldCharType="end"/>
      </w:r>
    </w:p>
    <w:p w14:paraId="63D50151" w14:textId="77777777" w:rsidR="00AF52F5" w:rsidRPr="00B63EA9" w:rsidRDefault="00AF52F5" w:rsidP="00AF52F5">
      <w:pPr>
        <w:rPr>
          <w:color w:val="000000" w:themeColor="text1"/>
        </w:rPr>
      </w:pPr>
      <w:r w:rsidRPr="00316B6B">
        <w:rPr>
          <w:color w:val="000000" w:themeColor="text1"/>
        </w:rPr>
        <w:t xml:space="preserve">However, it may also be true that the imines synthesised in this work were inherently unstable. Since </w:t>
      </w:r>
      <w:r w:rsidRPr="00425AD9">
        <w:rPr>
          <w:color w:val="000000" w:themeColor="text1"/>
        </w:rPr>
        <w:t xml:space="preserve">the purpose of synthesising an imine was to use it as a prodrug, the imines synthesised in this first section of work would be unlikely candidates for this use, as they would likely </w:t>
      </w:r>
      <w:r>
        <w:rPr>
          <w:color w:val="000000" w:themeColor="text1"/>
        </w:rPr>
        <w:t xml:space="preserve">be too sensitive to hydrolysis and </w:t>
      </w:r>
      <w:r w:rsidRPr="00425AD9">
        <w:rPr>
          <w:color w:val="000000" w:themeColor="text1"/>
        </w:rPr>
        <w:t>degrade in further tests and in storage.</w:t>
      </w:r>
      <w:r>
        <w:rPr>
          <w:color w:val="000000" w:themeColor="text1"/>
        </w:rPr>
        <w:t xml:space="preserve"> As a result, alternative aldehyde starting materials were investigated in an attempt to synthesise a more robust product. </w:t>
      </w:r>
    </w:p>
    <w:p w14:paraId="7DA07C94" w14:textId="77777777" w:rsidR="00AF52F5" w:rsidRPr="00C84632" w:rsidRDefault="00AF52F5" w:rsidP="00AF52F5">
      <w:pPr>
        <w:pStyle w:val="Heading3"/>
      </w:pPr>
      <w:bookmarkStart w:id="121" w:name="_Toc320882544"/>
      <w:bookmarkStart w:id="122" w:name="_Toc510023015"/>
      <w:bookmarkStart w:id="123" w:name="_Toc525587683"/>
      <w:bookmarkStart w:id="124" w:name="_Toc2451003"/>
      <w:r w:rsidRPr="00C84632">
        <w:t>Synthesis of imine from salicylaldehyde and β-APN</w:t>
      </w:r>
      <w:bookmarkEnd w:id="121"/>
      <w:bookmarkEnd w:id="122"/>
      <w:bookmarkEnd w:id="123"/>
      <w:bookmarkEnd w:id="124"/>
    </w:p>
    <w:p w14:paraId="10D83926" w14:textId="3D6A118B" w:rsidR="00AF52F5" w:rsidRPr="00C84632" w:rsidRDefault="00AF52F5" w:rsidP="00AF52F5">
      <w:r w:rsidRPr="00C84632">
        <w:t xml:space="preserve">Salicylaldehyde is known to form </w:t>
      </w:r>
      <w:r>
        <w:t xml:space="preserve">relatively </w:t>
      </w:r>
      <w:r w:rsidRPr="00C84632">
        <w:t>stable Schiff bases which are used as ligands in coordination chemistry.</w:t>
      </w:r>
      <w:r w:rsidRPr="002C4121">
        <w:fldChar w:fldCharType="begin" w:fldLock="1"/>
      </w:r>
      <w:r w:rsidR="0085447D">
        <w:instrText>ADDIN CSL_CITATION {"citationItems":[{"id":"ITEM-1","itemData":{"DOI":"10.1016/j.saa.2006.09.013","author":[{"dropping-particle":"","family":"Abdel-latif","given":"S A","non-dropping-particle":"","parse-names":false,"suffix":""},{"dropping-particle":"","family":"Hassib","given":"H B","non-dropping-particle":"","parse-names":false,"suffix":""},{"dropping-particle":"","family":"Issa","given":"Y M","non-dropping-particle":"","parse-names":false,"suffix":""}],"container-title":"Spectrochimica Acta Part A","id":"ITEM-1","issued":{"date-parts":[["2007"]]},"page":"950-957","title":"Studies on some salicylaldehyde Schiff base derivatives and their complexes with Cr ( III ), Mn ( II ), Fe ( III ), Ni ( II ) and Cu ( II )","type":"article-journal","volume":"67"},"uris":["http://www.mendeley.com/documents/?uuid=9ff817a7-eb4c-4e78-a474-c1e09a2987c0"]}],"mendeley":{"formattedCitation":"&lt;sup&gt;169&lt;/sup&gt;","plainTextFormattedCitation":"169","previouslyFormattedCitation":"&lt;sup&gt;169&lt;/sup&gt;"},"properties":{"noteIndex":0},"schema":"https://github.com/citation-style-language/schema/raw/master/csl-citation.json"}</w:instrText>
      </w:r>
      <w:r w:rsidRPr="002C4121">
        <w:fldChar w:fldCharType="separate"/>
      </w:r>
      <w:r w:rsidR="00B02713" w:rsidRPr="00B02713">
        <w:rPr>
          <w:noProof/>
          <w:vertAlign w:val="superscript"/>
        </w:rPr>
        <w:t>169</w:t>
      </w:r>
      <w:r w:rsidRPr="002C4121">
        <w:fldChar w:fldCharType="end"/>
      </w:r>
      <w:r w:rsidRPr="00C84632">
        <w:t xml:space="preserve"> In light of this, salicylaldehyde was investigated as a potential substrate for imine formation with β-APN. The reaction of salicylaldehyde and β-APN in a 1:1 ratio in the presence of triethylamine, with water as the solvent, produced a solid</w:t>
      </w:r>
      <w:r>
        <w:t xml:space="preserve"> product </w:t>
      </w:r>
      <w:r w:rsidRPr="00C84632">
        <w:t>instantaneously. Isolation and purification of the solid were achieved by vacuum filtration and recrystallisation from diethyl ether</w:t>
      </w:r>
      <w:r>
        <w:t xml:space="preserve"> to produce the compound </w:t>
      </w:r>
      <w:r w:rsidRPr="00EF43E9">
        <w:rPr>
          <w:b/>
        </w:rPr>
        <w:t>1b</w:t>
      </w:r>
      <w:r w:rsidRPr="00C84632">
        <w:t xml:space="preserve">. </w:t>
      </w:r>
      <w:r>
        <w:fldChar w:fldCharType="begin"/>
      </w:r>
      <w:r>
        <w:instrText xml:space="preserve"> REF _Ref512171214 \h </w:instrText>
      </w:r>
      <w:r>
        <w:fldChar w:fldCharType="separate"/>
      </w:r>
      <w:r w:rsidR="00E6157A">
        <w:t xml:space="preserve">Figure </w:t>
      </w:r>
      <w:r w:rsidR="00E6157A">
        <w:rPr>
          <w:noProof/>
        </w:rPr>
        <w:t>2</w:t>
      </w:r>
      <w:r w:rsidR="00E6157A">
        <w:t>.</w:t>
      </w:r>
      <w:r w:rsidR="00E6157A">
        <w:rPr>
          <w:noProof/>
        </w:rPr>
        <w:t>3</w:t>
      </w:r>
      <w:r>
        <w:fldChar w:fldCharType="end"/>
      </w:r>
      <w:r>
        <w:t xml:space="preserve"> </w:t>
      </w:r>
      <w:r w:rsidRPr="00C84632">
        <w:t xml:space="preserve">shows the </w:t>
      </w:r>
      <w:r w:rsidRPr="00C84632">
        <w:rPr>
          <w:vertAlign w:val="superscript"/>
        </w:rPr>
        <w:t>1</w:t>
      </w:r>
      <w:r w:rsidRPr="00C84632">
        <w:t xml:space="preserve">H NMR </w:t>
      </w:r>
      <w:r>
        <w:t>spectrum</w:t>
      </w:r>
      <w:r w:rsidRPr="00C84632">
        <w:t xml:space="preserve"> of the product </w:t>
      </w:r>
      <w:r w:rsidRPr="005A4B89">
        <w:rPr>
          <w:b/>
        </w:rPr>
        <w:t>1b</w:t>
      </w:r>
      <w:r>
        <w:t xml:space="preserve"> </w:t>
      </w:r>
      <w:r w:rsidRPr="00C84632">
        <w:t>after isolation and purification</w:t>
      </w:r>
      <w:r>
        <w:t>.</w:t>
      </w:r>
    </w:p>
    <w:p w14:paraId="52151230" w14:textId="77777777" w:rsidR="00AF52F5" w:rsidRDefault="00AF52F5" w:rsidP="00AF52F5">
      <w:pPr>
        <w:keepNext/>
        <w:jc w:val="center"/>
      </w:pPr>
      <w:r w:rsidRPr="00C84632">
        <w:rPr>
          <w:rFonts w:ascii="Cambria" w:hAnsi="Cambria"/>
          <w:noProof/>
          <w:szCs w:val="22"/>
          <w:lang w:eastAsia="en-GB"/>
        </w:rPr>
        <w:lastRenderedPageBreak/>
        <w:drawing>
          <wp:inline distT="0" distB="0" distL="0" distR="0" wp14:anchorId="0A3E6110" wp14:editId="161E6653">
            <wp:extent cx="4809600" cy="3154921"/>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09600" cy="3154921"/>
                    </a:xfrm>
                    <a:prstGeom prst="rect">
                      <a:avLst/>
                    </a:prstGeom>
                  </pic:spPr>
                </pic:pic>
              </a:graphicData>
            </a:graphic>
          </wp:inline>
        </w:drawing>
      </w:r>
    </w:p>
    <w:p w14:paraId="0D679BCC" w14:textId="16C7B4DC" w:rsidR="00AF52F5" w:rsidRPr="00C5307C" w:rsidRDefault="00AF52F5" w:rsidP="00AF52F5">
      <w:pPr>
        <w:pStyle w:val="Caption"/>
        <w:jc w:val="center"/>
        <w:rPr>
          <w:rFonts w:ascii="Cambria" w:hAnsi="Cambria"/>
        </w:rPr>
      </w:pPr>
      <w:bookmarkStart w:id="125" w:name="_Ref512171214"/>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3</w:t>
      </w:r>
      <w:r w:rsidR="009352BF">
        <w:rPr>
          <w:noProof/>
        </w:rPr>
        <w:fldChar w:fldCharType="end"/>
      </w:r>
      <w:bookmarkEnd w:id="125"/>
      <w:r>
        <w:t xml:space="preserve">. </w:t>
      </w:r>
      <w:r w:rsidRPr="00AF26DB">
        <w:rPr>
          <w:b w:val="0"/>
          <w:vertAlign w:val="superscript"/>
        </w:rPr>
        <w:t>1</w:t>
      </w:r>
      <w:r w:rsidRPr="00AF26DB">
        <w:rPr>
          <w:b w:val="0"/>
        </w:rPr>
        <w:t>H NMR spectrum of 2-(2-cyanoethyliminomethyl)phenol</w:t>
      </w:r>
      <w:r>
        <w:rPr>
          <w:b w:val="0"/>
        </w:rPr>
        <w:t xml:space="preserve"> (compound </w:t>
      </w:r>
      <w:r>
        <w:t>1b</w:t>
      </w:r>
      <w:r>
        <w:rPr>
          <w:b w:val="0"/>
        </w:rPr>
        <w:t>)</w:t>
      </w:r>
      <w:r w:rsidRPr="00AF26DB">
        <w:rPr>
          <w:b w:val="0"/>
        </w:rPr>
        <w:t xml:space="preserve"> in CDCl</w:t>
      </w:r>
      <w:r w:rsidRPr="00AF26DB">
        <w:rPr>
          <w:b w:val="0"/>
          <w:vertAlign w:val="subscript"/>
        </w:rPr>
        <w:t>3</w:t>
      </w:r>
      <w:r>
        <w:rPr>
          <w:b w:val="0"/>
        </w:rPr>
        <w:t>.</w:t>
      </w:r>
    </w:p>
    <w:p w14:paraId="5AD0AB36" w14:textId="77777777" w:rsidR="00AF52F5" w:rsidRPr="00E9525D" w:rsidRDefault="00AF52F5" w:rsidP="00AF52F5">
      <w:r w:rsidRPr="00C84632">
        <w:t xml:space="preserve">Characterisation by </w:t>
      </w:r>
      <w:r w:rsidRPr="00C84632">
        <w:rPr>
          <w:vertAlign w:val="superscript"/>
        </w:rPr>
        <w:t>13</w:t>
      </w:r>
      <w:r w:rsidRPr="00C84632">
        <w:t>C NMR</w:t>
      </w:r>
      <w:r>
        <w:t xml:space="preserve"> spectroscopy</w:t>
      </w:r>
      <w:r w:rsidRPr="00C84632">
        <w:t xml:space="preserve">, mass spectrometry, potassium bromide fourier-transform infrared spectroscopy (KBr FTIR) and elemental analysis provided further evidence for the formation of </w:t>
      </w:r>
      <w:r>
        <w:t>the</w:t>
      </w:r>
      <w:r w:rsidRPr="00C84632">
        <w:t xml:space="preserve"> imine product</w:t>
      </w:r>
      <w:r>
        <w:t xml:space="preserve"> </w:t>
      </w:r>
      <w:r w:rsidRPr="00EF43E9">
        <w:rPr>
          <w:b/>
        </w:rPr>
        <w:t>1b</w:t>
      </w:r>
      <w:r w:rsidRPr="00C84632">
        <w:t xml:space="preserve">. </w:t>
      </w:r>
    </w:p>
    <w:p w14:paraId="1245291C" w14:textId="77777777" w:rsidR="00AF52F5" w:rsidRPr="00C84632" w:rsidRDefault="00AF52F5" w:rsidP="00AF52F5">
      <w:pPr>
        <w:pStyle w:val="Heading3"/>
      </w:pPr>
      <w:bookmarkStart w:id="126" w:name="_Toc320882545"/>
      <w:bookmarkStart w:id="127" w:name="_Toc510023016"/>
      <w:bookmarkStart w:id="128" w:name="_Toc525587684"/>
      <w:bookmarkStart w:id="129" w:name="_Toc2451004"/>
      <w:r w:rsidRPr="00C84632">
        <w:t>Synthesis of salicylaldehyde derivatives imines</w:t>
      </w:r>
      <w:bookmarkEnd w:id="126"/>
      <w:bookmarkEnd w:id="127"/>
      <w:bookmarkEnd w:id="128"/>
      <w:bookmarkEnd w:id="129"/>
    </w:p>
    <w:p w14:paraId="0246DFA2" w14:textId="5392E658" w:rsidR="00AF52F5" w:rsidRDefault="00AF52F5" w:rsidP="00AF52F5">
      <w:pPr>
        <w:rPr>
          <w:color w:val="000000" w:themeColor="text1"/>
        </w:rPr>
      </w:pPr>
      <w:r w:rsidRPr="00C84632">
        <w:t xml:space="preserve">Due to the successful synthesis of an imine </w:t>
      </w:r>
      <w:r>
        <w:t>from the reaction of</w:t>
      </w:r>
      <w:r w:rsidRPr="00C84632">
        <w:t xml:space="preserve"> β-APN and salicylaldehyde, further </w:t>
      </w:r>
      <w:r>
        <w:t xml:space="preserve">syntheses using </w:t>
      </w:r>
      <w:r w:rsidRPr="00C84632">
        <w:t xml:space="preserve">starting materials based on the salicylaldehyde </w:t>
      </w:r>
      <w:r>
        <w:t>framework</w:t>
      </w:r>
      <w:r w:rsidRPr="00C84632">
        <w:t xml:space="preserve"> were investigated. Aldehydes with different functionalities around the aromatic ring were obtained, namely 4-methoxy-2-</w:t>
      </w:r>
      <w:r w:rsidRPr="00F97114">
        <w:rPr>
          <w:color w:val="000000" w:themeColor="text1"/>
        </w:rPr>
        <w:t>hydroxybenzaldehyde (</w:t>
      </w:r>
      <w:r w:rsidRPr="00F97114">
        <w:rPr>
          <w:b/>
          <w:color w:val="000000" w:themeColor="text1"/>
        </w:rPr>
        <w:t>2a</w:t>
      </w:r>
      <w:r w:rsidRPr="00F97114">
        <w:rPr>
          <w:color w:val="000000" w:themeColor="text1"/>
        </w:rPr>
        <w:t>), 3-</w:t>
      </w:r>
      <w:r w:rsidRPr="00F97114">
        <w:rPr>
          <w:i/>
          <w:color w:val="000000" w:themeColor="text1"/>
        </w:rPr>
        <w:t>tert</w:t>
      </w:r>
      <w:r w:rsidRPr="00F97114">
        <w:rPr>
          <w:color w:val="000000" w:themeColor="text1"/>
        </w:rPr>
        <w:t>-butyl-2</w:t>
      </w:r>
      <w:r w:rsidRPr="00F97114">
        <w:rPr>
          <w:color w:val="000000" w:themeColor="text1"/>
        </w:rPr>
        <w:noBreakHyphen/>
        <w:t>hydroxybenzaldehyde (</w:t>
      </w:r>
      <w:r w:rsidRPr="00F97114">
        <w:rPr>
          <w:b/>
          <w:color w:val="000000" w:themeColor="text1"/>
        </w:rPr>
        <w:t>3a</w:t>
      </w:r>
      <w:r w:rsidRPr="00F97114">
        <w:rPr>
          <w:color w:val="000000" w:themeColor="text1"/>
        </w:rPr>
        <w:t>), and 5-nitro-2-hydroxybenzaldehyde (</w:t>
      </w:r>
      <w:r w:rsidRPr="00F97114">
        <w:rPr>
          <w:b/>
          <w:color w:val="000000" w:themeColor="text1"/>
        </w:rPr>
        <w:t>4a</w:t>
      </w:r>
      <w:r w:rsidRPr="00F97114">
        <w:rPr>
          <w:color w:val="000000" w:themeColor="text1"/>
        </w:rPr>
        <w:t>)</w:t>
      </w:r>
      <w:r>
        <w:rPr>
          <w:color w:val="000000" w:themeColor="text1"/>
        </w:rPr>
        <w:t>, (</w:t>
      </w:r>
      <w:r w:rsidRPr="00F97114">
        <w:rPr>
          <w:color w:val="000000" w:themeColor="text1"/>
        </w:rPr>
        <w:fldChar w:fldCharType="begin"/>
      </w:r>
      <w:r w:rsidRPr="00F97114">
        <w:rPr>
          <w:color w:val="000000" w:themeColor="text1"/>
        </w:rPr>
        <w:instrText xml:space="preserve"> REF _Ref517273379 \h </w:instrText>
      </w:r>
      <w:r w:rsidRPr="00F97114">
        <w:rPr>
          <w:color w:val="000000" w:themeColor="text1"/>
        </w:rPr>
      </w:r>
      <w:r w:rsidRPr="00F97114">
        <w:rPr>
          <w:color w:val="000000" w:themeColor="text1"/>
        </w:rPr>
        <w:fldChar w:fldCharType="separate"/>
      </w:r>
      <w:r w:rsidR="00E6157A">
        <w:t xml:space="preserve">Figure </w:t>
      </w:r>
      <w:r w:rsidR="00E6157A">
        <w:rPr>
          <w:noProof/>
        </w:rPr>
        <w:t>2</w:t>
      </w:r>
      <w:r w:rsidR="00E6157A">
        <w:t>.</w:t>
      </w:r>
      <w:r w:rsidR="00E6157A">
        <w:rPr>
          <w:noProof/>
        </w:rPr>
        <w:t>4</w:t>
      </w:r>
      <w:r w:rsidRPr="00F97114">
        <w:rPr>
          <w:color w:val="000000" w:themeColor="text1"/>
        </w:rPr>
        <w:fldChar w:fldCharType="end"/>
      </w:r>
      <w:r>
        <w:rPr>
          <w:color w:val="000000" w:themeColor="text1"/>
        </w:rPr>
        <w:t>)</w:t>
      </w:r>
      <w:r w:rsidRPr="00F97114">
        <w:rPr>
          <w:color w:val="000000" w:themeColor="text1"/>
        </w:rPr>
        <w:t xml:space="preserve">. These starting materials represent aldehydes similar to salicylaldehyde but with an electron-donating group, a hydrophobic group and an electro-withdrawing group, respectively. Imines comprising β-APN and each derivative were successfully synthesised to produce compounds </w:t>
      </w:r>
      <w:r w:rsidRPr="00F97114">
        <w:rPr>
          <w:b/>
          <w:color w:val="000000" w:themeColor="text1"/>
        </w:rPr>
        <w:t>2b</w:t>
      </w:r>
      <w:r w:rsidRPr="00F97114">
        <w:rPr>
          <w:color w:val="000000" w:themeColor="text1"/>
        </w:rPr>
        <w:t xml:space="preserve">, </w:t>
      </w:r>
      <w:r w:rsidRPr="00F97114">
        <w:rPr>
          <w:b/>
          <w:color w:val="000000" w:themeColor="text1"/>
        </w:rPr>
        <w:t>3b</w:t>
      </w:r>
      <w:r w:rsidRPr="00F97114">
        <w:rPr>
          <w:color w:val="000000" w:themeColor="text1"/>
        </w:rPr>
        <w:t xml:space="preserve"> and </w:t>
      </w:r>
      <w:r w:rsidRPr="00F97114">
        <w:rPr>
          <w:b/>
          <w:color w:val="000000" w:themeColor="text1"/>
        </w:rPr>
        <w:t>4b</w:t>
      </w:r>
      <w:r w:rsidRPr="00F97114">
        <w:rPr>
          <w:color w:val="000000" w:themeColor="text1"/>
        </w:rPr>
        <w:t xml:space="preserve">, </w:t>
      </w:r>
      <w:r>
        <w:rPr>
          <w:color w:val="000000" w:themeColor="text1"/>
        </w:rPr>
        <w:t>(</w:t>
      </w:r>
      <w:r>
        <w:rPr>
          <w:color w:val="000000" w:themeColor="text1"/>
        </w:rPr>
        <w:fldChar w:fldCharType="begin"/>
      </w:r>
      <w:r>
        <w:rPr>
          <w:color w:val="000000" w:themeColor="text1"/>
        </w:rPr>
        <w:instrText xml:space="preserve"> REF _Ref517273379 \h </w:instrText>
      </w:r>
      <w:r>
        <w:rPr>
          <w:color w:val="000000" w:themeColor="text1"/>
        </w:rPr>
      </w:r>
      <w:r>
        <w:rPr>
          <w:color w:val="000000" w:themeColor="text1"/>
        </w:rPr>
        <w:fldChar w:fldCharType="separate"/>
      </w:r>
      <w:r w:rsidR="00E6157A">
        <w:t xml:space="preserve">Figure </w:t>
      </w:r>
      <w:r w:rsidR="00E6157A">
        <w:rPr>
          <w:noProof/>
        </w:rPr>
        <w:t>2</w:t>
      </w:r>
      <w:r w:rsidR="00E6157A">
        <w:t>.</w:t>
      </w:r>
      <w:r w:rsidR="00E6157A">
        <w:rPr>
          <w:noProof/>
        </w:rPr>
        <w:t>4</w:t>
      </w:r>
      <w:r>
        <w:rPr>
          <w:color w:val="000000" w:themeColor="text1"/>
        </w:rPr>
        <w:fldChar w:fldCharType="end"/>
      </w:r>
      <w:r>
        <w:rPr>
          <w:color w:val="000000" w:themeColor="text1"/>
        </w:rPr>
        <w:t xml:space="preserve">), </w:t>
      </w:r>
      <w:r w:rsidRPr="00F97114">
        <w:rPr>
          <w:color w:val="000000" w:themeColor="text1"/>
        </w:rPr>
        <w:t>which were isolated as crystals and subjected to thorough analysis. The analysis was consistent with</w:t>
      </w:r>
      <w:r>
        <w:rPr>
          <w:color w:val="000000" w:themeColor="text1"/>
        </w:rPr>
        <w:t xml:space="preserve"> the predicted structures. See A</w:t>
      </w:r>
      <w:r w:rsidRPr="00F97114">
        <w:rPr>
          <w:color w:val="000000" w:themeColor="text1"/>
        </w:rPr>
        <w:t>ppendi</w:t>
      </w:r>
      <w:r w:rsidR="00EA1870">
        <w:rPr>
          <w:color w:val="000000" w:themeColor="text1"/>
        </w:rPr>
        <w:t>ces</w:t>
      </w:r>
      <w:r w:rsidRPr="00F97114">
        <w:rPr>
          <w:color w:val="000000" w:themeColor="text1"/>
        </w:rPr>
        <w:t xml:space="preserve"> 1.2</w:t>
      </w:r>
      <w:r w:rsidR="00EA1870">
        <w:rPr>
          <w:color w:val="000000" w:themeColor="text1"/>
        </w:rPr>
        <w:t>-1.9</w:t>
      </w:r>
      <w:r w:rsidRPr="00F97114">
        <w:rPr>
          <w:color w:val="000000" w:themeColor="text1"/>
        </w:rPr>
        <w:t xml:space="preserve"> for </w:t>
      </w:r>
      <w:r w:rsidRPr="00F97114">
        <w:rPr>
          <w:color w:val="000000" w:themeColor="text1"/>
          <w:vertAlign w:val="superscript"/>
        </w:rPr>
        <w:t>1</w:t>
      </w:r>
      <w:r w:rsidRPr="00F97114">
        <w:rPr>
          <w:color w:val="000000" w:themeColor="text1"/>
        </w:rPr>
        <w:t>H</w:t>
      </w:r>
      <w:r w:rsidR="00EA1870">
        <w:rPr>
          <w:color w:val="000000" w:themeColor="text1"/>
        </w:rPr>
        <w:t> </w:t>
      </w:r>
      <w:r w:rsidRPr="00F97114">
        <w:rPr>
          <w:color w:val="000000" w:themeColor="text1"/>
        </w:rPr>
        <w:t xml:space="preserve">NMR spectra and crystal structures for </w:t>
      </w:r>
      <w:r>
        <w:rPr>
          <w:color w:val="000000" w:themeColor="text1"/>
        </w:rPr>
        <w:t xml:space="preserve">synthesised compounds. </w:t>
      </w:r>
    </w:p>
    <w:p w14:paraId="73FDEFC3" w14:textId="21B9514D" w:rsidR="00AF52F5" w:rsidRPr="00E95E56" w:rsidRDefault="00AF52F5" w:rsidP="00AF52F5">
      <w:pPr>
        <w:rPr>
          <w:color w:val="000000" w:themeColor="text1"/>
        </w:rPr>
      </w:pPr>
      <w:r>
        <w:rPr>
          <w:color w:val="000000" w:themeColor="text1"/>
        </w:rPr>
        <w:t>One of the primary aims of this work was to develop a more lipophilic analogue of</w:t>
      </w:r>
      <w:r w:rsidRPr="009610DF">
        <w:rPr>
          <w:color w:val="000000" w:themeColor="text1"/>
        </w:rPr>
        <w:t xml:space="preserve"> </w:t>
      </w:r>
      <w:r w:rsidRPr="00F97114">
        <w:rPr>
          <w:color w:val="000000" w:themeColor="text1"/>
        </w:rPr>
        <w:t>β</w:t>
      </w:r>
      <w:r w:rsidR="00EA1870">
        <w:rPr>
          <w:color w:val="000000" w:themeColor="text1"/>
        </w:rPr>
        <w:noBreakHyphen/>
      </w:r>
      <w:r w:rsidRPr="00F97114">
        <w:rPr>
          <w:color w:val="000000" w:themeColor="text1"/>
        </w:rPr>
        <w:t>APN</w:t>
      </w:r>
      <w:r>
        <w:rPr>
          <w:color w:val="000000" w:themeColor="text1"/>
        </w:rPr>
        <w:t xml:space="preserve">, with the intention that increased lipophilicity would increase the delivery of </w:t>
      </w:r>
      <w:r w:rsidRPr="00F97114">
        <w:rPr>
          <w:color w:val="000000" w:themeColor="text1"/>
        </w:rPr>
        <w:t>β</w:t>
      </w:r>
      <w:r w:rsidR="00EA1870">
        <w:rPr>
          <w:color w:val="000000" w:themeColor="text1"/>
        </w:rPr>
        <w:noBreakHyphen/>
      </w:r>
      <w:r w:rsidRPr="00F97114">
        <w:rPr>
          <w:color w:val="000000" w:themeColor="text1"/>
        </w:rPr>
        <w:t>APN</w:t>
      </w:r>
      <w:r>
        <w:rPr>
          <w:color w:val="000000" w:themeColor="text1"/>
        </w:rPr>
        <w:t xml:space="preserve"> into human skin. Specific values for the partition coefficients of the prodrugs, </w:t>
      </w:r>
      <w:r>
        <w:rPr>
          <w:color w:val="000000" w:themeColor="text1"/>
        </w:rPr>
        <w:lastRenderedPageBreak/>
        <w:t>to measure their lipophilicity, could not be obtained using the conventional octanol-water method due to the prodrugs’ hydrolysis in aqueous solvents. However, calculated Log P values for the prodrugs (</w:t>
      </w:r>
      <w:r>
        <w:rPr>
          <w:color w:val="000000" w:themeColor="text1"/>
        </w:rPr>
        <w:fldChar w:fldCharType="begin"/>
      </w:r>
      <w:r>
        <w:rPr>
          <w:color w:val="000000" w:themeColor="text1"/>
        </w:rPr>
        <w:instrText xml:space="preserve"> REF _Ref525480116 \h </w:instrText>
      </w:r>
      <w:r>
        <w:rPr>
          <w:color w:val="000000" w:themeColor="text1"/>
        </w:rPr>
      </w:r>
      <w:r>
        <w:rPr>
          <w:color w:val="000000" w:themeColor="text1"/>
        </w:rPr>
        <w:fldChar w:fldCharType="separate"/>
      </w:r>
      <w:r w:rsidR="00E6157A">
        <w:t xml:space="preserve">Table </w:t>
      </w:r>
      <w:r w:rsidR="00E6157A">
        <w:rPr>
          <w:noProof/>
        </w:rPr>
        <w:t>2</w:t>
      </w:r>
      <w:r w:rsidR="00E6157A">
        <w:t>.</w:t>
      </w:r>
      <w:r w:rsidR="00E6157A">
        <w:rPr>
          <w:noProof/>
        </w:rPr>
        <w:t>3</w:t>
      </w:r>
      <w:r>
        <w:rPr>
          <w:color w:val="000000" w:themeColor="text1"/>
        </w:rPr>
        <w:fldChar w:fldCharType="end"/>
      </w:r>
      <w:r>
        <w:rPr>
          <w:color w:val="000000" w:themeColor="text1"/>
        </w:rPr>
        <w:t xml:space="preserve">) show an increase in Log P for all compounds compared to </w:t>
      </w:r>
      <w:r>
        <w:rPr>
          <w:color w:val="000000" w:themeColor="text1"/>
        </w:rPr>
        <w:sym w:font="Symbol" w:char="F062"/>
      </w:r>
      <w:r>
        <w:rPr>
          <w:color w:val="000000" w:themeColor="text1"/>
        </w:rPr>
        <w:noBreakHyphen/>
        <w:t>APN.</w:t>
      </w:r>
      <w:r>
        <w:rPr>
          <w:color w:val="000000" w:themeColor="text1"/>
        </w:rPr>
        <w:fldChar w:fldCharType="begin" w:fldLock="1"/>
      </w:r>
      <w:r w:rsidR="0085447D">
        <w:rPr>
          <w:color w:val="000000" w:themeColor="text1"/>
        </w:rPr>
        <w:instrText>ADDIN CSL_CITATION {"citationItems":[{"id":"ITEM-1","itemData":{"URL":"http://ilab.cds.rsc.org/?cdsrdr=1","accessed":{"date-parts":[["2018","9","23"]]},"author":[{"dropping-particle":"","family":"ACD Labs","given":"","non-dropping-particle":"","parse-names":false,"suffix":""}],"id":"ITEM-1","issued":{"date-parts":[["2018"]]},"title":"ACD/I-Lab","type":"webpage"},"uris":["http://www.mendeley.com/documents/?uuid=a4ba6502-192f-4b0b-b271-9f6c3fa92d54"]}],"mendeley":{"formattedCitation":"&lt;sup&gt;170&lt;/sup&gt;","plainTextFormattedCitation":"170","previouslyFormattedCitation":"&lt;sup&gt;170&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170</w:t>
      </w:r>
      <w:r>
        <w:rPr>
          <w:color w:val="000000" w:themeColor="text1"/>
        </w:rPr>
        <w:fldChar w:fldCharType="end"/>
      </w:r>
      <w:r>
        <w:rPr>
          <w:color w:val="000000" w:themeColor="text1"/>
        </w:rPr>
        <w:t xml:space="preserve"> This suggests that the prodrugs are indeed more lipophilic than the </w:t>
      </w:r>
      <w:r>
        <w:rPr>
          <w:color w:val="000000" w:themeColor="text1"/>
        </w:rPr>
        <w:sym w:font="Symbol" w:char="F062"/>
      </w:r>
      <w:r>
        <w:rPr>
          <w:color w:val="000000" w:themeColor="text1"/>
        </w:rPr>
        <w:noBreakHyphen/>
        <w:t xml:space="preserve">APN fumarate salt. </w:t>
      </w:r>
    </w:p>
    <w:p w14:paraId="6FE40898" w14:textId="3B7BE7FC" w:rsidR="00AF52F5" w:rsidRDefault="00AF52F5" w:rsidP="00AF52F5">
      <w:pPr>
        <w:pStyle w:val="Caption"/>
        <w:keepNext/>
        <w:jc w:val="center"/>
      </w:pPr>
      <w:bookmarkStart w:id="130" w:name="_Ref525480116"/>
      <w:r>
        <w:t xml:space="preserve">Table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Table \* ARABIC \s 1 </w:instrText>
      </w:r>
      <w:r w:rsidR="009352BF">
        <w:rPr>
          <w:noProof/>
        </w:rPr>
        <w:fldChar w:fldCharType="separate"/>
      </w:r>
      <w:r w:rsidR="00E6157A">
        <w:rPr>
          <w:noProof/>
        </w:rPr>
        <w:t>3</w:t>
      </w:r>
      <w:r w:rsidR="009352BF">
        <w:rPr>
          <w:noProof/>
        </w:rPr>
        <w:fldChar w:fldCharType="end"/>
      </w:r>
      <w:bookmarkEnd w:id="130"/>
      <w:r>
        <w:t xml:space="preserve"> </w:t>
      </w:r>
      <w:r w:rsidRPr="009610DF">
        <w:rPr>
          <w:b w:val="0"/>
        </w:rPr>
        <w:t xml:space="preserve">Predicted octanol-water partition coefficient (Log P) values for synthesised prodrugs and </w:t>
      </w:r>
      <w:r w:rsidRPr="009610DF">
        <w:rPr>
          <w:b w:val="0"/>
        </w:rPr>
        <w:sym w:font="Symbol" w:char="F062"/>
      </w:r>
      <w:r w:rsidRPr="009610DF">
        <w:rPr>
          <w:b w:val="0"/>
        </w:rPr>
        <w:t>-APN, calculated using ACD/I-Lab software with ACD/Labs algorithm.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2093"/>
        <w:gridCol w:w="2093"/>
      </w:tblGrid>
      <w:tr w:rsidR="00AF52F5" w14:paraId="7B1E75FE" w14:textId="77777777" w:rsidTr="009352BF">
        <w:trPr>
          <w:jc w:val="center"/>
        </w:trPr>
        <w:tc>
          <w:tcPr>
            <w:tcW w:w="2727" w:type="dxa"/>
            <w:tcBorders>
              <w:top w:val="single" w:sz="4" w:space="0" w:color="auto"/>
              <w:bottom w:val="single" w:sz="4" w:space="0" w:color="auto"/>
            </w:tcBorders>
          </w:tcPr>
          <w:p w14:paraId="1A2AB09F" w14:textId="77777777" w:rsidR="00AF52F5" w:rsidRPr="001E7771" w:rsidRDefault="00AF52F5" w:rsidP="009352BF">
            <w:pPr>
              <w:jc w:val="center"/>
              <w:rPr>
                <w:b/>
                <w:color w:val="000000" w:themeColor="text1"/>
              </w:rPr>
            </w:pPr>
            <w:r w:rsidRPr="001E7771">
              <w:rPr>
                <w:b/>
                <w:color w:val="000000" w:themeColor="text1"/>
              </w:rPr>
              <w:t>Compound</w:t>
            </w:r>
          </w:p>
        </w:tc>
        <w:tc>
          <w:tcPr>
            <w:tcW w:w="2093" w:type="dxa"/>
            <w:tcBorders>
              <w:top w:val="single" w:sz="4" w:space="0" w:color="auto"/>
              <w:bottom w:val="single" w:sz="4" w:space="0" w:color="auto"/>
            </w:tcBorders>
          </w:tcPr>
          <w:p w14:paraId="72C691E9" w14:textId="77777777" w:rsidR="00AF52F5" w:rsidRPr="001E7771" w:rsidRDefault="00AF52F5" w:rsidP="009352BF">
            <w:pPr>
              <w:jc w:val="center"/>
              <w:rPr>
                <w:b/>
                <w:color w:val="000000" w:themeColor="text1"/>
              </w:rPr>
            </w:pPr>
            <w:r w:rsidRPr="001E7771">
              <w:rPr>
                <w:b/>
                <w:color w:val="000000" w:themeColor="text1"/>
              </w:rPr>
              <w:t>Log P</w:t>
            </w:r>
          </w:p>
        </w:tc>
        <w:tc>
          <w:tcPr>
            <w:tcW w:w="2093" w:type="dxa"/>
            <w:tcBorders>
              <w:top w:val="single" w:sz="4" w:space="0" w:color="auto"/>
              <w:bottom w:val="single" w:sz="4" w:space="0" w:color="auto"/>
            </w:tcBorders>
          </w:tcPr>
          <w:p w14:paraId="46D882CB" w14:textId="77777777" w:rsidR="00AF52F5" w:rsidRPr="001E7771" w:rsidRDefault="00AF52F5" w:rsidP="009352BF">
            <w:pPr>
              <w:jc w:val="center"/>
              <w:rPr>
                <w:b/>
                <w:color w:val="000000" w:themeColor="text1"/>
              </w:rPr>
            </w:pPr>
            <w:r w:rsidRPr="001E7771">
              <w:rPr>
                <w:b/>
                <w:color w:val="000000" w:themeColor="text1"/>
              </w:rPr>
              <w:t>Log P (± S.E)</w:t>
            </w:r>
          </w:p>
        </w:tc>
      </w:tr>
      <w:tr w:rsidR="00AF52F5" w14:paraId="4370F6B6" w14:textId="77777777" w:rsidTr="009352BF">
        <w:trPr>
          <w:jc w:val="center"/>
        </w:trPr>
        <w:tc>
          <w:tcPr>
            <w:tcW w:w="2727" w:type="dxa"/>
            <w:tcBorders>
              <w:top w:val="single" w:sz="4" w:space="0" w:color="auto"/>
            </w:tcBorders>
          </w:tcPr>
          <w:p w14:paraId="5AA17FB7" w14:textId="77777777" w:rsidR="00AF52F5" w:rsidRDefault="00AF52F5" w:rsidP="009352BF">
            <w:pPr>
              <w:jc w:val="center"/>
              <w:rPr>
                <w:color w:val="FF0000"/>
              </w:rPr>
            </w:pPr>
            <w:r w:rsidRPr="004576BB">
              <w:rPr>
                <w:color w:val="000000" w:themeColor="text1"/>
              </w:rPr>
              <w:sym w:font="Symbol" w:char="F062"/>
            </w:r>
            <w:r w:rsidRPr="004576BB">
              <w:rPr>
                <w:color w:val="000000" w:themeColor="text1"/>
              </w:rPr>
              <w:noBreakHyphen/>
              <w:t>APN</w:t>
            </w:r>
            <w:r>
              <w:rPr>
                <w:color w:val="000000" w:themeColor="text1"/>
              </w:rPr>
              <w:t xml:space="preserve"> fumarate salt</w:t>
            </w:r>
          </w:p>
        </w:tc>
        <w:tc>
          <w:tcPr>
            <w:tcW w:w="2093" w:type="dxa"/>
            <w:tcBorders>
              <w:top w:val="single" w:sz="4" w:space="0" w:color="auto"/>
            </w:tcBorders>
          </w:tcPr>
          <w:p w14:paraId="00AD85CC" w14:textId="77777777" w:rsidR="00AF52F5" w:rsidRPr="00E95E56" w:rsidRDefault="00AF52F5" w:rsidP="009352BF">
            <w:pPr>
              <w:pStyle w:val="ListParagraph"/>
              <w:rPr>
                <w:color w:val="000000" w:themeColor="text1"/>
              </w:rPr>
            </w:pPr>
            <w:r w:rsidRPr="00E95E56">
              <w:rPr>
                <w:color w:val="000000" w:themeColor="text1"/>
              </w:rPr>
              <w:t>- 0.68</w:t>
            </w:r>
          </w:p>
        </w:tc>
        <w:tc>
          <w:tcPr>
            <w:tcW w:w="2093" w:type="dxa"/>
            <w:tcBorders>
              <w:top w:val="single" w:sz="4" w:space="0" w:color="auto"/>
            </w:tcBorders>
          </w:tcPr>
          <w:p w14:paraId="1BF28F52" w14:textId="77777777" w:rsidR="00AF52F5" w:rsidRPr="00B60BAB" w:rsidRDefault="00AF52F5" w:rsidP="009352BF">
            <w:pPr>
              <w:jc w:val="center"/>
              <w:rPr>
                <w:color w:val="000000" w:themeColor="text1"/>
              </w:rPr>
            </w:pPr>
            <w:r>
              <w:rPr>
                <w:color w:val="000000" w:themeColor="text1"/>
              </w:rPr>
              <w:t>-</w:t>
            </w:r>
            <w:r w:rsidRPr="00B60BAB">
              <w:rPr>
                <w:color w:val="000000" w:themeColor="text1"/>
              </w:rPr>
              <w:t>1.02 ± 0.24</w:t>
            </w:r>
          </w:p>
        </w:tc>
      </w:tr>
      <w:tr w:rsidR="00AF52F5" w14:paraId="67DB0E20" w14:textId="77777777" w:rsidTr="009352BF">
        <w:trPr>
          <w:jc w:val="center"/>
        </w:trPr>
        <w:tc>
          <w:tcPr>
            <w:tcW w:w="2727" w:type="dxa"/>
          </w:tcPr>
          <w:p w14:paraId="5FB572C1" w14:textId="77777777" w:rsidR="00AF52F5" w:rsidRDefault="00AF52F5" w:rsidP="009352BF">
            <w:pPr>
              <w:jc w:val="center"/>
              <w:rPr>
                <w:color w:val="FF0000"/>
              </w:rPr>
            </w:pPr>
            <w:r w:rsidRPr="004576BB">
              <w:rPr>
                <w:color w:val="000000" w:themeColor="text1"/>
              </w:rPr>
              <w:t xml:space="preserve">Compound </w:t>
            </w:r>
            <w:r w:rsidRPr="004576BB">
              <w:rPr>
                <w:b/>
                <w:color w:val="000000" w:themeColor="text1"/>
              </w:rPr>
              <w:t>1b</w:t>
            </w:r>
          </w:p>
        </w:tc>
        <w:tc>
          <w:tcPr>
            <w:tcW w:w="2093" w:type="dxa"/>
          </w:tcPr>
          <w:p w14:paraId="4F0034F9" w14:textId="77777777" w:rsidR="00AF52F5" w:rsidRPr="00E95E56" w:rsidRDefault="00AF52F5" w:rsidP="009352BF">
            <w:pPr>
              <w:jc w:val="center"/>
              <w:rPr>
                <w:color w:val="000000" w:themeColor="text1"/>
              </w:rPr>
            </w:pPr>
            <w:r w:rsidRPr="00E95E56">
              <w:rPr>
                <w:color w:val="000000" w:themeColor="text1"/>
              </w:rPr>
              <w:t>1.94</w:t>
            </w:r>
          </w:p>
        </w:tc>
        <w:tc>
          <w:tcPr>
            <w:tcW w:w="2093" w:type="dxa"/>
          </w:tcPr>
          <w:p w14:paraId="55FD0CA6" w14:textId="77777777" w:rsidR="00AF52F5" w:rsidRPr="00E95E56" w:rsidRDefault="00AF52F5" w:rsidP="009352BF">
            <w:pPr>
              <w:jc w:val="center"/>
              <w:rPr>
                <w:color w:val="000000" w:themeColor="text1"/>
              </w:rPr>
            </w:pPr>
            <w:r>
              <w:rPr>
                <w:color w:val="000000" w:themeColor="text1"/>
              </w:rPr>
              <w:t>1.25 ± 0.37</w:t>
            </w:r>
          </w:p>
        </w:tc>
      </w:tr>
      <w:tr w:rsidR="00AF52F5" w14:paraId="1A00416D" w14:textId="77777777" w:rsidTr="009352BF">
        <w:trPr>
          <w:jc w:val="center"/>
        </w:trPr>
        <w:tc>
          <w:tcPr>
            <w:tcW w:w="2727" w:type="dxa"/>
          </w:tcPr>
          <w:p w14:paraId="59B9C8F3" w14:textId="77777777" w:rsidR="00AF52F5" w:rsidRDefault="00AF52F5" w:rsidP="009352BF">
            <w:pPr>
              <w:jc w:val="center"/>
              <w:rPr>
                <w:color w:val="FF0000"/>
              </w:rPr>
            </w:pPr>
            <w:r w:rsidRPr="004576BB">
              <w:rPr>
                <w:color w:val="000000" w:themeColor="text1"/>
              </w:rPr>
              <w:t xml:space="preserve">Compound </w:t>
            </w:r>
            <w:r>
              <w:rPr>
                <w:b/>
                <w:color w:val="000000" w:themeColor="text1"/>
              </w:rPr>
              <w:t>2</w:t>
            </w:r>
            <w:r w:rsidRPr="004576BB">
              <w:rPr>
                <w:b/>
                <w:color w:val="000000" w:themeColor="text1"/>
              </w:rPr>
              <w:t>b</w:t>
            </w:r>
          </w:p>
        </w:tc>
        <w:tc>
          <w:tcPr>
            <w:tcW w:w="2093" w:type="dxa"/>
          </w:tcPr>
          <w:p w14:paraId="475EFEA0" w14:textId="77777777" w:rsidR="00AF52F5" w:rsidRPr="00E95E56" w:rsidRDefault="00AF52F5" w:rsidP="009352BF">
            <w:pPr>
              <w:jc w:val="center"/>
              <w:rPr>
                <w:color w:val="000000" w:themeColor="text1"/>
              </w:rPr>
            </w:pPr>
            <w:r w:rsidRPr="00E95E56">
              <w:rPr>
                <w:color w:val="000000" w:themeColor="text1"/>
              </w:rPr>
              <w:t>1.92</w:t>
            </w:r>
          </w:p>
        </w:tc>
        <w:tc>
          <w:tcPr>
            <w:tcW w:w="2093" w:type="dxa"/>
          </w:tcPr>
          <w:p w14:paraId="225B0CA1" w14:textId="77777777" w:rsidR="00AF52F5" w:rsidRPr="00E95E56" w:rsidRDefault="00AF52F5" w:rsidP="009352BF">
            <w:pPr>
              <w:jc w:val="center"/>
              <w:rPr>
                <w:color w:val="000000" w:themeColor="text1"/>
              </w:rPr>
            </w:pPr>
            <w:r>
              <w:rPr>
                <w:color w:val="000000" w:themeColor="text1"/>
              </w:rPr>
              <w:t>1.49 ± 0.39</w:t>
            </w:r>
          </w:p>
        </w:tc>
      </w:tr>
      <w:tr w:rsidR="00AF52F5" w14:paraId="188BDD54" w14:textId="77777777" w:rsidTr="009352BF">
        <w:trPr>
          <w:jc w:val="center"/>
        </w:trPr>
        <w:tc>
          <w:tcPr>
            <w:tcW w:w="2727" w:type="dxa"/>
          </w:tcPr>
          <w:p w14:paraId="16DAAA46" w14:textId="77777777" w:rsidR="00AF52F5" w:rsidRDefault="00AF52F5" w:rsidP="009352BF">
            <w:pPr>
              <w:jc w:val="center"/>
              <w:rPr>
                <w:color w:val="FF0000"/>
              </w:rPr>
            </w:pPr>
            <w:r w:rsidRPr="004576BB">
              <w:rPr>
                <w:color w:val="000000" w:themeColor="text1"/>
              </w:rPr>
              <w:t xml:space="preserve">Compound </w:t>
            </w:r>
            <w:r>
              <w:rPr>
                <w:b/>
                <w:color w:val="000000" w:themeColor="text1"/>
              </w:rPr>
              <w:t>3</w:t>
            </w:r>
            <w:r w:rsidRPr="004576BB">
              <w:rPr>
                <w:b/>
                <w:color w:val="000000" w:themeColor="text1"/>
              </w:rPr>
              <w:t>b</w:t>
            </w:r>
          </w:p>
        </w:tc>
        <w:tc>
          <w:tcPr>
            <w:tcW w:w="2093" w:type="dxa"/>
          </w:tcPr>
          <w:p w14:paraId="5DC2F155" w14:textId="77777777" w:rsidR="00AF52F5" w:rsidRPr="00E95E56" w:rsidRDefault="00AF52F5" w:rsidP="009352BF">
            <w:pPr>
              <w:jc w:val="center"/>
              <w:rPr>
                <w:color w:val="000000" w:themeColor="text1"/>
              </w:rPr>
            </w:pPr>
            <w:r w:rsidRPr="00E95E56">
              <w:rPr>
                <w:color w:val="000000" w:themeColor="text1"/>
              </w:rPr>
              <w:t>3.82</w:t>
            </w:r>
          </w:p>
        </w:tc>
        <w:tc>
          <w:tcPr>
            <w:tcW w:w="2093" w:type="dxa"/>
          </w:tcPr>
          <w:p w14:paraId="1AB122AC" w14:textId="77777777" w:rsidR="00AF52F5" w:rsidRPr="00E95E56" w:rsidRDefault="00AF52F5" w:rsidP="009352BF">
            <w:pPr>
              <w:jc w:val="center"/>
              <w:rPr>
                <w:color w:val="000000" w:themeColor="text1"/>
              </w:rPr>
            </w:pPr>
            <w:r>
              <w:rPr>
                <w:color w:val="000000" w:themeColor="text1"/>
              </w:rPr>
              <w:t>2.94 ± 0.38</w:t>
            </w:r>
          </w:p>
        </w:tc>
      </w:tr>
      <w:tr w:rsidR="00AF52F5" w14:paraId="330D7DA9" w14:textId="77777777" w:rsidTr="009352BF">
        <w:trPr>
          <w:jc w:val="center"/>
        </w:trPr>
        <w:tc>
          <w:tcPr>
            <w:tcW w:w="2727" w:type="dxa"/>
          </w:tcPr>
          <w:p w14:paraId="48B6A5E0" w14:textId="77777777" w:rsidR="00AF52F5" w:rsidRDefault="00AF52F5" w:rsidP="009352BF">
            <w:pPr>
              <w:jc w:val="center"/>
              <w:rPr>
                <w:color w:val="FF0000"/>
              </w:rPr>
            </w:pPr>
            <w:r w:rsidRPr="004576BB">
              <w:rPr>
                <w:color w:val="000000" w:themeColor="text1"/>
              </w:rPr>
              <w:t xml:space="preserve">Compound </w:t>
            </w:r>
            <w:r>
              <w:rPr>
                <w:b/>
                <w:color w:val="000000" w:themeColor="text1"/>
              </w:rPr>
              <w:t>4</w:t>
            </w:r>
            <w:r w:rsidRPr="004576BB">
              <w:rPr>
                <w:b/>
                <w:color w:val="000000" w:themeColor="text1"/>
              </w:rPr>
              <w:t>b</w:t>
            </w:r>
          </w:p>
        </w:tc>
        <w:tc>
          <w:tcPr>
            <w:tcW w:w="2093" w:type="dxa"/>
          </w:tcPr>
          <w:p w14:paraId="22064B5B" w14:textId="77777777" w:rsidR="00AF52F5" w:rsidRPr="00E95E56" w:rsidRDefault="00AF52F5" w:rsidP="009352BF">
            <w:pPr>
              <w:jc w:val="center"/>
              <w:rPr>
                <w:color w:val="000000" w:themeColor="text1"/>
              </w:rPr>
            </w:pPr>
            <w:r w:rsidRPr="00E95E56">
              <w:rPr>
                <w:color w:val="000000" w:themeColor="text1"/>
              </w:rPr>
              <w:t>2.32</w:t>
            </w:r>
          </w:p>
        </w:tc>
        <w:tc>
          <w:tcPr>
            <w:tcW w:w="2093" w:type="dxa"/>
          </w:tcPr>
          <w:p w14:paraId="6685B8C0" w14:textId="77777777" w:rsidR="00AF52F5" w:rsidRPr="00E95E56" w:rsidRDefault="00AF52F5" w:rsidP="009352BF">
            <w:pPr>
              <w:jc w:val="center"/>
              <w:rPr>
                <w:color w:val="000000" w:themeColor="text1"/>
              </w:rPr>
            </w:pPr>
            <w:r>
              <w:rPr>
                <w:color w:val="000000" w:themeColor="text1"/>
              </w:rPr>
              <w:t>1.52 ± 0.39</w:t>
            </w:r>
          </w:p>
        </w:tc>
      </w:tr>
      <w:tr w:rsidR="00AF52F5" w14:paraId="38B4D6F1" w14:textId="77777777" w:rsidTr="009352BF">
        <w:trPr>
          <w:jc w:val="center"/>
        </w:trPr>
        <w:tc>
          <w:tcPr>
            <w:tcW w:w="2727" w:type="dxa"/>
            <w:tcBorders>
              <w:bottom w:val="single" w:sz="4" w:space="0" w:color="auto"/>
            </w:tcBorders>
          </w:tcPr>
          <w:p w14:paraId="279A830E" w14:textId="77777777" w:rsidR="00AF52F5" w:rsidRDefault="00AF52F5" w:rsidP="009352BF">
            <w:pPr>
              <w:jc w:val="center"/>
              <w:rPr>
                <w:color w:val="FF0000"/>
              </w:rPr>
            </w:pPr>
            <w:r w:rsidRPr="004576BB">
              <w:rPr>
                <w:color w:val="000000" w:themeColor="text1"/>
              </w:rPr>
              <w:t xml:space="preserve">Compound </w:t>
            </w:r>
            <w:r>
              <w:rPr>
                <w:b/>
                <w:color w:val="000000" w:themeColor="text1"/>
              </w:rPr>
              <w:t>5</w:t>
            </w:r>
            <w:r w:rsidRPr="004576BB">
              <w:rPr>
                <w:b/>
                <w:color w:val="000000" w:themeColor="text1"/>
              </w:rPr>
              <w:t>b</w:t>
            </w:r>
          </w:p>
        </w:tc>
        <w:tc>
          <w:tcPr>
            <w:tcW w:w="2093" w:type="dxa"/>
            <w:tcBorders>
              <w:bottom w:val="single" w:sz="4" w:space="0" w:color="auto"/>
            </w:tcBorders>
          </w:tcPr>
          <w:p w14:paraId="6DA26E93" w14:textId="77777777" w:rsidR="00AF52F5" w:rsidRPr="00E95E56" w:rsidRDefault="00AF52F5" w:rsidP="009352BF">
            <w:pPr>
              <w:jc w:val="center"/>
              <w:rPr>
                <w:color w:val="000000" w:themeColor="text1"/>
              </w:rPr>
            </w:pPr>
            <w:r w:rsidRPr="00E95E56">
              <w:rPr>
                <w:color w:val="000000" w:themeColor="text1"/>
              </w:rPr>
              <w:t>1.44</w:t>
            </w:r>
          </w:p>
        </w:tc>
        <w:tc>
          <w:tcPr>
            <w:tcW w:w="2093" w:type="dxa"/>
            <w:tcBorders>
              <w:bottom w:val="single" w:sz="4" w:space="0" w:color="auto"/>
            </w:tcBorders>
          </w:tcPr>
          <w:p w14:paraId="0B78E9FA" w14:textId="77777777" w:rsidR="00AF52F5" w:rsidRPr="00E95E56" w:rsidRDefault="00AF52F5" w:rsidP="009352BF">
            <w:pPr>
              <w:jc w:val="center"/>
              <w:rPr>
                <w:color w:val="000000" w:themeColor="text1"/>
              </w:rPr>
            </w:pPr>
            <w:r>
              <w:rPr>
                <w:color w:val="000000" w:themeColor="text1"/>
              </w:rPr>
              <w:t>1.13 ± 0.39</w:t>
            </w:r>
          </w:p>
        </w:tc>
      </w:tr>
    </w:tbl>
    <w:p w14:paraId="0CA69B18" w14:textId="77777777" w:rsidR="00AF52F5" w:rsidRPr="00C84632" w:rsidRDefault="00AF52F5" w:rsidP="00AF52F5"/>
    <w:p w14:paraId="6E989C64" w14:textId="77777777" w:rsidR="00AF52F5" w:rsidRDefault="00AF52F5" w:rsidP="00AF52F5">
      <w:pPr>
        <w:keepNext/>
        <w:jc w:val="center"/>
      </w:pPr>
      <w:r w:rsidRPr="00143CEC">
        <w:rPr>
          <w:noProof/>
          <w:lang w:eastAsia="en-GB"/>
        </w:rPr>
        <w:lastRenderedPageBreak/>
        <w:drawing>
          <wp:inline distT="0" distB="0" distL="0" distR="0" wp14:anchorId="27484AE1" wp14:editId="1B6D7394">
            <wp:extent cx="3937000" cy="6362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37000" cy="6362700"/>
                    </a:xfrm>
                    <a:prstGeom prst="rect">
                      <a:avLst/>
                    </a:prstGeom>
                  </pic:spPr>
                </pic:pic>
              </a:graphicData>
            </a:graphic>
          </wp:inline>
        </w:drawing>
      </w:r>
    </w:p>
    <w:p w14:paraId="6FB49CC4" w14:textId="6C23FFBB" w:rsidR="00AF52F5" w:rsidRPr="008E206E" w:rsidRDefault="00AF52F5" w:rsidP="00AF52F5">
      <w:pPr>
        <w:pStyle w:val="Caption"/>
        <w:jc w:val="both"/>
      </w:pPr>
      <w:bookmarkStart w:id="131" w:name="_Ref517273379"/>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4</w:t>
      </w:r>
      <w:r w:rsidR="009352BF">
        <w:rPr>
          <w:noProof/>
        </w:rPr>
        <w:fldChar w:fldCharType="end"/>
      </w:r>
      <w:bookmarkEnd w:id="131"/>
      <w:r>
        <w:t xml:space="preserve">. </w:t>
      </w:r>
      <w:r w:rsidRPr="00AF26DB">
        <w:rPr>
          <w:b w:val="0"/>
        </w:rPr>
        <w:t>Salicylaldehyde and derivative starting materials: 1a) salicylaldehyde; 2a) 4-methoxy-2-hydroxybenzaldehyde; 3a) 3-tert-butyl-2-hydroxybenzaldehyde; 4a) 5-nitro-2-hydroxy-benzaldehyde; 5a) 3-methoxy-2-hydroxybenzaldehyde. Salicylaldehyde and derivative imine products: 1b) 2-(2-cyanoethyliminomethyl)phenol; 2b) 5-methoxy-2-(2-cyanoethyliminomethyl)phenol; 3b) 6-tert-butyl-2-(2-cyanoethyliminomethyl)phenol; 4b) 4-nitro-2-(2-cyanoethyliminomethyl)phenol; 5B) 6-methoxy-2-(2-cyanoethyliminomethyl)phenol</w:t>
      </w:r>
      <w:r>
        <w:rPr>
          <w:b w:val="0"/>
        </w:rPr>
        <w:t>.</w:t>
      </w:r>
    </w:p>
    <w:p w14:paraId="7EEEEF87" w14:textId="46EFEB14" w:rsidR="00AF52F5" w:rsidRPr="00AA2249" w:rsidRDefault="00AF52F5" w:rsidP="00AF52F5">
      <w:pPr>
        <w:rPr>
          <w:color w:val="000000" w:themeColor="text1"/>
        </w:rPr>
      </w:pPr>
      <w:r w:rsidRPr="00C84632">
        <w:t>Histor</w:t>
      </w:r>
      <w:r>
        <w:t>ically, imine synthesis has required</w:t>
      </w:r>
      <w:r w:rsidRPr="00C84632">
        <w:t xml:space="preserve"> the removal of water to drive the reaction equilibrium towards product</w:t>
      </w:r>
      <w:r>
        <w:t xml:space="preserve"> and reduce imine degradation by hydrolysis.</w:t>
      </w:r>
      <w:r>
        <w:fldChar w:fldCharType="begin" w:fldLock="1"/>
      </w:r>
      <w:r w:rsidR="0085447D">
        <w:instrText>ADDIN CSL_CITATION {"citationItems":[{"id":"ITEM-1","itemData":{"DOI":"10.1039/c2cs15305j","ISBN":"1460-4744 (Electronic)\\n0306-0012 (Linking)","ISSN":"03060012","PMID":"22310886","abstract":"Formation of an imine--from an amine and an aldehyde--is a reversible reaction which operates under thermodynamic control such that the formation of kinetically competitive intermediates are, in the fullness of time, replaced by the thermodynamically most stable product(s). For this fundamental reason, the imine bond has emerged as an extraordinarily diverse and useful one in the hands of synthetic chemists. Imine bond formation is one of a handful of reactions which define a discipline known as dynamic covalent chemistry (DCC), which is now employed widely in the construction of exotic molecules and extended structures on account of the inherent 'proof-reading' and 'error-checking' associated with these reversible reactions. While both supramolecular chemistry and DCC operate under the regime of reversibility, DCC has the added advantage of constructing robust molecules on account of the formation of covalent bonds rather than fragile supermolecules resulting from noncovalent bonding interactions. On the other hand, these products tend to require more time to form--sometimes days or even months--but their formation can often be catalysed. In this manner, highly symmetrical molecules and extended structures can be prepared from relatively simple precursors. When DCC is utilised in conjunction with template-directed protocols--which rely on the use of noncovalent bonding interactions between molecular building blocks in order to preorganise them into certain relative geometries as a prelude to the formation of covalent bonds under equilibrium control--an additional level of control of structure and topology arises which offers a disarmingly simple way of constructing mechanically-interlocked molecules, such as rotaxanes, catenanes, Borromean rings, and Solomon knots. This tutorial review focuses on the use of dynamic imine bonds in the construction of compounds and products formed with and without the aid of additional templates. While synthesis under thermodynamic control is giving the field of chemical topology a new lease of life, it is also providing access to an endless array of new materials that are, in many circumstances, simply not accessible using more traditional synthetic methodologies where kinetic control rules the roost. One of the most endearing qualities of chemistry is its ability to reinvent itself in order to create its own object, as Berthelot first pointed out a century and a half ago.","author":[{"dropping-particle":"","family":"Belowich","given":"Matthew E.","non-dropping-particle":"","parse-names":false,"suffix":""},{"dropping-particle":"","family":"Stoddart","given":"J. Fraser","non-dropping-particle":"","parse-names":false,"suffix":""}],"container-title":"Chemical Society Reviews","id":"ITEM-1","issue":"6","issued":{"date-parts":[["2012"]]},"page":"2003-2024","title":"Dynamic imine chemistry","type":"article-journal","volume":"41"},"uris":["http://www.mendeley.com/documents/?uuid=892d9d9c-e6a5-45ef-84ad-af1f1b56d859"]}],"mendeley":{"formattedCitation":"&lt;sup&gt;161&lt;/sup&gt;","plainTextFormattedCitation":"161","previouslyFormattedCitation":"&lt;sup&gt;161&lt;/sup&gt;"},"properties":{"noteIndex":0},"schema":"https://github.com/citation-style-language/schema/raw/master/csl-citation.json"}</w:instrText>
      </w:r>
      <w:r>
        <w:fldChar w:fldCharType="separate"/>
      </w:r>
      <w:r w:rsidR="00B02713" w:rsidRPr="00B02713">
        <w:rPr>
          <w:noProof/>
          <w:vertAlign w:val="superscript"/>
        </w:rPr>
        <w:t>161</w:t>
      </w:r>
      <w:r>
        <w:fldChar w:fldCharType="end"/>
      </w:r>
      <w:r w:rsidRPr="0069256B">
        <w:t xml:space="preserve"> </w:t>
      </w:r>
      <w:r>
        <w:t xml:space="preserve">As a result, dry solvents and a nitrogen atmosphere are often required. </w:t>
      </w:r>
      <w:r w:rsidRPr="00C84632">
        <w:t>In the synthesis described, water is the solvent for the β</w:t>
      </w:r>
      <w:r>
        <w:noBreakHyphen/>
      </w:r>
      <w:r w:rsidRPr="00C84632">
        <w:t xml:space="preserve">APN salt in the reaction, yet it has been demonstrated that novel imine products can be isolated and purified. </w:t>
      </w:r>
      <w:r>
        <w:t xml:space="preserve">This is a clear </w:t>
      </w:r>
      <w:r>
        <w:lastRenderedPageBreak/>
        <w:t>contrast to the work outlined earlier in this chapter, where imine products were unstable and difficult to isolate. It is possible that the use of salicylaldehyde as a starting material has led to more stable products being able to form. A comparable result was found by Rao and colleagues who were able to synthesise a range of imines and diimines from the reaction of aromatic amines with salicylaldehyde, and other aromatic aldehydes, in water.</w:t>
      </w:r>
      <w:r>
        <w:fldChar w:fldCharType="begin" w:fldLock="1"/>
      </w:r>
      <w:r w:rsidR="0085447D">
        <w:instrText>ADDIN CSL_CITATION {"citationItems":[{"id":"ITEM-1","itemData":{"DOI":"10.1080/17518251003716550","ISBN":"1751-8253","ISSN":"17517192","abstract":"Schiff's bases constitute a class of pharmaceutical and medicinally important mols.  The conventional methods for the synthesis of Schiff's bases require long reaction times and use of org. solvents.  We report a novel and eco-friendly condensation reaction method permitting the \"green synthesis\" of various Schiff's bases by stirring 1,2-diaminobenzene with various arom. aldehydes in water as solvent.  This method is exptl. simple, clean, high yielding, green, and with reduced reaction times.  The product is purified by simple filtration followed by washing with water and drying processes. [on SciFinder(R)]","author":[{"dropping-particle":"","family":"Rao","given":"V. Koteswara","non-dropping-particle":"","parse-names":false,"suffix":""},{"dropping-particle":"","family":"Reddy","given":"S. Subba","non-dropping-particle":"","parse-names":false,"suffix":""},{"dropping-particle":"","family":"Krishna","given":"B. Satheesh","non-dropping-particle":"","parse-names":false,"suffix":""},{"dropping-particle":"","family":"Naidu","given":"K. Reddi Mohan","non-dropping-particle":"","parse-names":false,"suffix":""},{"dropping-particle":"","family":"Raju","given":"C. Naga","non-dropping-particle":"","parse-names":false,"suffix":""},{"dropping-particle":"","family":"Ghosh","given":"S. K.","non-dropping-particle":"","parse-names":false,"suffix":""}],"container-title":"Green Chemistry Letters and Reviews","id":"ITEM-1","issue":"3","issued":{"date-parts":[["2010"]]},"page":"217-223","title":"Synthesis of schiff's bases in aqueous medium: A green alternative approach with effective mass yield and high reaction rates","type":"article-journal","volume":"3"},"uris":["http://www.mendeley.com/documents/?uuid=77d41d2d-cd4d-4f3e-acfc-a5294e7c41b1"]}],"mendeley":{"formattedCitation":"&lt;sup&gt;171&lt;/sup&gt;","plainTextFormattedCitation":"171","previouslyFormattedCitation":"&lt;sup&gt;171&lt;/sup&gt;"},"properties":{"noteIndex":0},"schema":"https://github.com/citation-style-language/schema/raw/master/csl-citation.json"}</w:instrText>
      </w:r>
      <w:r>
        <w:fldChar w:fldCharType="separate"/>
      </w:r>
      <w:r w:rsidR="00B02713" w:rsidRPr="00B02713">
        <w:rPr>
          <w:noProof/>
          <w:vertAlign w:val="superscript"/>
        </w:rPr>
        <w:t>171</w:t>
      </w:r>
      <w:r>
        <w:fldChar w:fldCharType="end"/>
      </w:r>
      <w:r>
        <w:t xml:space="preserve"> Similarly, Bhagat </w:t>
      </w:r>
      <w:r w:rsidRPr="00002B53">
        <w:rPr>
          <w:i/>
        </w:rPr>
        <w:t>et al</w:t>
      </w:r>
      <w:r>
        <w:t>. were able to synthesise pure imine products from the reaction of salicyla</w:t>
      </w:r>
      <w:r w:rsidRPr="00AA2249">
        <w:rPr>
          <w:color w:val="000000" w:themeColor="text1"/>
        </w:rPr>
        <w:t>ldehyde with various aromatic amines in water, using microwave synthesis.</w:t>
      </w:r>
      <w:r w:rsidRPr="00AA2249">
        <w:rPr>
          <w:color w:val="000000" w:themeColor="text1"/>
        </w:rPr>
        <w:fldChar w:fldCharType="begin" w:fldLock="1"/>
      </w:r>
      <w:r w:rsidR="0085447D">
        <w:rPr>
          <w:color w:val="000000" w:themeColor="text1"/>
        </w:rPr>
        <w:instrText>ADDIN CSL_CITATION {"citationItems":[{"id":"ITEM-1","itemData":{"DOI":"10.1155/2013/909217","ISBN":"2090-9063","ISSN":"20909063","abstract":"A new efficient and environmental friendly procedure for the synthesis of a series of salicylaldehyde-based schiff bases under microwave irradiation is described. ?e method is compared with the conventional method also. ?e present work involves condensation of salicylaldehyde with various aromatic amines in water under microwave irradiation. A judicious choice of the solvent and reaction conditions allowed the �nal products to be generated in excellent yields in a one-step procedure, whereas experiments under thermal conditions led to lower yields with tedious work-up.Microwave irradiation method gives advantages like reduction in reaction time, increase in conversion, reduced wastes, and good yields.?e structures of synthesized compounds were con�rmed by IR, 1H�MR, andMass Spectra data. 1.","author":[{"dropping-particle":"","family":"Bhagat","given":"Sunita","non-dropping-particle":"","parse-names":false,"suffix":""},{"dropping-particle":"","family":"Sharma","given":"Nutan","non-dropping-particle":"","parse-names":false,"suffix":""},{"dropping-particle":"","family":"Chundawat","given":"Tejpal Singh","non-dropping-particle":"","parse-names":false,"suffix":""}],"container-title":"Journal of Chemistry","id":"ITEM-1","issued":{"date-parts":[["2013"]]},"title":"Synthesis of some salicylaldehyde-based schiff bases in aqueous media","type":"article-journal","volume":"2013"},"uris":["http://www.mendeley.com/documents/?uuid=11516f08-e90e-45f5-aef5-aa92546d0111"]}],"mendeley":{"formattedCitation":"&lt;sup&gt;172&lt;/sup&gt;","plainTextFormattedCitation":"172","previouslyFormattedCitation":"&lt;sup&gt;172&lt;/sup&gt;"},"properties":{"noteIndex":0},"schema":"https://github.com/citation-style-language/schema/raw/master/csl-citation.json"}</w:instrText>
      </w:r>
      <w:r w:rsidRPr="00AA2249">
        <w:rPr>
          <w:color w:val="000000" w:themeColor="text1"/>
        </w:rPr>
        <w:fldChar w:fldCharType="separate"/>
      </w:r>
      <w:r w:rsidR="00B02713" w:rsidRPr="00B02713">
        <w:rPr>
          <w:noProof/>
          <w:color w:val="000000" w:themeColor="text1"/>
          <w:vertAlign w:val="superscript"/>
        </w:rPr>
        <w:t>172</w:t>
      </w:r>
      <w:r w:rsidRPr="00AA2249">
        <w:rPr>
          <w:color w:val="000000" w:themeColor="text1"/>
        </w:rPr>
        <w:fldChar w:fldCharType="end"/>
      </w:r>
      <w:r w:rsidRPr="00AA2249">
        <w:rPr>
          <w:color w:val="000000" w:themeColor="text1"/>
        </w:rPr>
        <w:t xml:space="preserve"> Finally Shamly </w:t>
      </w:r>
      <w:r w:rsidRPr="00AA2249">
        <w:rPr>
          <w:i/>
          <w:color w:val="000000" w:themeColor="text1"/>
        </w:rPr>
        <w:t>et al</w:t>
      </w:r>
      <w:r w:rsidRPr="00AA2249">
        <w:rPr>
          <w:color w:val="000000" w:themeColor="text1"/>
        </w:rPr>
        <w:t xml:space="preserve">. </w:t>
      </w:r>
      <w:r>
        <w:rPr>
          <w:color w:val="000000" w:themeColor="text1"/>
        </w:rPr>
        <w:t>synthesised</w:t>
      </w:r>
      <w:r w:rsidRPr="00AA2249">
        <w:rPr>
          <w:color w:val="000000" w:themeColor="text1"/>
        </w:rPr>
        <w:t xml:space="preserve"> </w:t>
      </w:r>
      <w:r>
        <w:rPr>
          <w:color w:val="000000" w:themeColor="text1"/>
        </w:rPr>
        <w:t xml:space="preserve">and isolated </w:t>
      </w:r>
      <w:r w:rsidRPr="00AA2249">
        <w:rPr>
          <w:color w:val="000000" w:themeColor="text1"/>
        </w:rPr>
        <w:t>imines from the reaction between salicylaldehyde and different amines in water, and tested their antibacterial effects when complexed with a metal ion.</w:t>
      </w:r>
      <w:r w:rsidRPr="00AA2249">
        <w:rPr>
          <w:color w:val="000000" w:themeColor="text1"/>
        </w:rPr>
        <w:fldChar w:fldCharType="begin" w:fldLock="1"/>
      </w:r>
      <w:r w:rsidR="0085447D">
        <w:rPr>
          <w:color w:val="000000" w:themeColor="text1"/>
        </w:rPr>
        <w:instrText>ADDIN CSL_CITATION {"citationItems":[{"id":"ITEM-1","itemData":{"DOI":"http://dx.doi.org/10.24327/ijrsr.2018.0905.2083 ARTICLE","abstract":"A new, efficient and environmental friendly procedure for the synthesis of a series of salicylaldehyde-based Schiff bases and their metal complexes in aqueous media were conducted. The work involved the condensation of salicylaldehyde with various amines, both aromatic and aliphatic and the Schiff bases formed were complexed with a transition metal Ni and an alkaline earth metal Mg. This green synthetic approach was compared with conventional procedure and found to have advantages like good yield and reduction in reaction time and byproducts. The synthesized Schiff bases and their complexes were characterized by FTIR. The antibacterial activity of complexed and uncomplexed Schiff bases were compared against Escherichia coli and the Mg complex is found to have better antibacterial activity than the corresponding Ni complex.","author":[{"dropping-particle":"","family":"Shamly","given":"P","non-dropping-particle":"","parse-names":false,"suffix":""},{"dropping-particle":"","family":"Nelson","given":"Mary Priya","non-dropping-particle":"","parse-names":false,"suffix":""},{"dropping-particle":"","family":"Antony","given":"Anitta","non-dropping-particle":"","parse-names":false,"suffix":""},{"dropping-particle":"","family":"Varkey","given":"Jaya. T","non-dropping-particle":"","parse-names":false,"suffix":""}],"container-title":"International Journal of Recent Scientific Research","id":"ITEM-1","issue":"5","issued":{"date-parts":[["2018"]]},"page":"26566-26570","title":"SYNTHESIS OF SALICYLALDEHYDE BASED SCHIFF BASES AND THEIR METAL COMPLEXES IN AQUEOUS MEDIA -CHARACTERIZATION AND ANTIBACTERIAL STUDY","type":"article-journal","volume":"9"},"uris":["http://www.mendeley.com/documents/?uuid=117732f6-75ea-426a-82ad-c7b9236a0087"]}],"mendeley":{"formattedCitation":"&lt;sup&gt;173&lt;/sup&gt;","plainTextFormattedCitation":"173","previouslyFormattedCitation":"&lt;sup&gt;173&lt;/sup&gt;"},"properties":{"noteIndex":0},"schema":"https://github.com/citation-style-language/schema/raw/master/csl-citation.json"}</w:instrText>
      </w:r>
      <w:r w:rsidRPr="00AA2249">
        <w:rPr>
          <w:color w:val="000000" w:themeColor="text1"/>
        </w:rPr>
        <w:fldChar w:fldCharType="separate"/>
      </w:r>
      <w:r w:rsidR="00B02713" w:rsidRPr="00B02713">
        <w:rPr>
          <w:noProof/>
          <w:color w:val="000000" w:themeColor="text1"/>
          <w:vertAlign w:val="superscript"/>
        </w:rPr>
        <w:t>173</w:t>
      </w:r>
      <w:r w:rsidRPr="00AA2249">
        <w:rPr>
          <w:color w:val="000000" w:themeColor="text1"/>
        </w:rPr>
        <w:fldChar w:fldCharType="end"/>
      </w:r>
      <w:r w:rsidRPr="00AA2249">
        <w:rPr>
          <w:color w:val="000000" w:themeColor="text1"/>
        </w:rPr>
        <w:t xml:space="preserve"> </w:t>
      </w:r>
      <w:r>
        <w:rPr>
          <w:color w:val="000000" w:themeColor="text1"/>
        </w:rPr>
        <w:t xml:space="preserve">In each case, despite the use of water as solvent, salicylaldehyde-based imines were successfully synthesised. There is very little discussion in the literature as to why imines are able to be formed in water, especially considering imine synthesis usually requires the removal of even small amounts of water. </w:t>
      </w:r>
      <w:r w:rsidRPr="00316B6B">
        <w:rPr>
          <w:color w:val="000000" w:themeColor="text1"/>
        </w:rPr>
        <w:t xml:space="preserve">This work, along with that described in the literature, suggests a role for salicylaldehyde in the stabilisation of the imine product. </w:t>
      </w:r>
    </w:p>
    <w:p w14:paraId="2F6816A3" w14:textId="77777777" w:rsidR="00AF52F5" w:rsidRPr="007C2FD6" w:rsidRDefault="00AF52F5" w:rsidP="00AF52F5">
      <w:pPr>
        <w:pStyle w:val="Heading3"/>
      </w:pPr>
      <w:bookmarkStart w:id="132" w:name="_Toc320882546"/>
      <w:bookmarkStart w:id="133" w:name="_Toc510023017"/>
      <w:r>
        <w:t xml:space="preserve"> </w:t>
      </w:r>
      <w:bookmarkStart w:id="134" w:name="_Toc525587685"/>
      <w:bookmarkStart w:id="135" w:name="_Toc2451005"/>
      <w:r w:rsidRPr="00C84632">
        <w:t>Investigating the position of the aromatic hydroxyl group</w:t>
      </w:r>
      <w:bookmarkEnd w:id="132"/>
      <w:bookmarkEnd w:id="133"/>
      <w:bookmarkEnd w:id="134"/>
      <w:bookmarkEnd w:id="135"/>
    </w:p>
    <w:p w14:paraId="47394A26" w14:textId="4070F1E1" w:rsidR="00AF52F5" w:rsidRPr="00EC0B87" w:rsidRDefault="00AF52F5" w:rsidP="00AF52F5">
      <w:r w:rsidRPr="00707B6C">
        <w:rPr>
          <w:color w:val="000000" w:themeColor="text1"/>
        </w:rPr>
        <w:t xml:space="preserve">The role of salicylaldehyde in the formation of stable imine products was further investigated. It </w:t>
      </w:r>
      <w:r w:rsidRPr="00C84632">
        <w:t xml:space="preserve">was hypothesised that the presence of the hydroxyl group </w:t>
      </w:r>
      <w:r w:rsidRPr="00C84632">
        <w:rPr>
          <w:i/>
        </w:rPr>
        <w:t>ortho</w:t>
      </w:r>
      <w:r>
        <w:rPr>
          <w:i/>
        </w:rPr>
        <w:t>-</w:t>
      </w:r>
      <w:r w:rsidRPr="00C84632">
        <w:t xml:space="preserve"> to the aldehyde of the starting material was providing stability to the imine. A potential explanation for this is the presence of hydrogen bonding between the imine nitrogen and the hydroxyl proton, as depicted </w:t>
      </w:r>
      <w:r>
        <w:t xml:space="preserve">in </w:t>
      </w:r>
      <w:r>
        <w:fldChar w:fldCharType="begin"/>
      </w:r>
      <w:r>
        <w:instrText xml:space="preserve"> REF _Ref512171440 \h </w:instrText>
      </w:r>
      <w:r>
        <w:fldChar w:fldCharType="separate"/>
      </w:r>
      <w:r w:rsidR="00E6157A">
        <w:t xml:space="preserve">Scheme </w:t>
      </w:r>
      <w:r w:rsidR="00E6157A">
        <w:rPr>
          <w:noProof/>
        </w:rPr>
        <w:t>2</w:t>
      </w:r>
      <w:r>
        <w:fldChar w:fldCharType="end"/>
      </w:r>
      <w:r>
        <w:t>.</w:t>
      </w:r>
    </w:p>
    <w:p w14:paraId="7BDE72F6" w14:textId="77777777" w:rsidR="00AF52F5" w:rsidRDefault="00AF52F5" w:rsidP="00AF52F5">
      <w:pPr>
        <w:keepNext/>
        <w:jc w:val="center"/>
      </w:pPr>
      <w:r w:rsidRPr="00C84632">
        <w:rPr>
          <w:rFonts w:ascii="Cambria" w:hAnsi="Cambria"/>
          <w:noProof/>
          <w:szCs w:val="22"/>
          <w:lang w:eastAsia="en-GB"/>
        </w:rPr>
        <w:drawing>
          <wp:inline distT="0" distB="0" distL="0" distR="0" wp14:anchorId="50F7C670" wp14:editId="4C849014">
            <wp:extent cx="4573928" cy="8293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86788" cy="849803"/>
                    </a:xfrm>
                    <a:prstGeom prst="rect">
                      <a:avLst/>
                    </a:prstGeom>
                  </pic:spPr>
                </pic:pic>
              </a:graphicData>
            </a:graphic>
          </wp:inline>
        </w:drawing>
      </w:r>
    </w:p>
    <w:p w14:paraId="1FED3B6F" w14:textId="6BF5F41A" w:rsidR="00AF52F5" w:rsidRPr="00C84632" w:rsidRDefault="00AF52F5" w:rsidP="00AF52F5">
      <w:pPr>
        <w:pStyle w:val="Caption"/>
        <w:jc w:val="both"/>
        <w:rPr>
          <w:rFonts w:ascii="Cambria" w:hAnsi="Cambria"/>
          <w:szCs w:val="22"/>
        </w:rPr>
      </w:pPr>
      <w:bookmarkStart w:id="136" w:name="_Ref512171440"/>
      <w:r>
        <w:t xml:space="preserve">Scheme </w:t>
      </w:r>
      <w:r>
        <w:rPr>
          <w:noProof/>
        </w:rPr>
        <w:fldChar w:fldCharType="begin"/>
      </w:r>
      <w:r>
        <w:rPr>
          <w:noProof/>
        </w:rPr>
        <w:instrText xml:space="preserve"> SEQ Scheme \* ARABIC </w:instrText>
      </w:r>
      <w:r>
        <w:rPr>
          <w:noProof/>
        </w:rPr>
        <w:fldChar w:fldCharType="separate"/>
      </w:r>
      <w:r w:rsidR="00E6157A">
        <w:rPr>
          <w:noProof/>
        </w:rPr>
        <w:t>2</w:t>
      </w:r>
      <w:r>
        <w:rPr>
          <w:noProof/>
        </w:rPr>
        <w:fldChar w:fldCharType="end"/>
      </w:r>
      <w:bookmarkEnd w:id="136"/>
      <w:r>
        <w:t xml:space="preserve">. </w:t>
      </w:r>
      <w:r w:rsidRPr="00AF26DB">
        <w:rPr>
          <w:b w:val="0"/>
        </w:rPr>
        <w:t xml:space="preserve">Arrangement of ortho-hydroxyl group for 2-(2-cyanoethyliminomethyl)phenol </w:t>
      </w:r>
      <w:r>
        <w:rPr>
          <w:b w:val="0"/>
        </w:rPr>
        <w:t xml:space="preserve">(compound </w:t>
      </w:r>
      <w:r w:rsidRPr="009D71E0">
        <w:t>1b</w:t>
      </w:r>
      <w:r>
        <w:rPr>
          <w:b w:val="0"/>
        </w:rPr>
        <w:t xml:space="preserve">) </w:t>
      </w:r>
      <w:r w:rsidRPr="009D71E0">
        <w:rPr>
          <w:b w:val="0"/>
        </w:rPr>
        <w:t>to</w:t>
      </w:r>
      <w:r w:rsidRPr="00AF26DB">
        <w:rPr>
          <w:b w:val="0"/>
        </w:rPr>
        <w:t xml:space="preserve"> allow hydrogen bonding to occur</w:t>
      </w:r>
      <w:r>
        <w:rPr>
          <w:b w:val="0"/>
        </w:rPr>
        <w:t>.</w:t>
      </w:r>
    </w:p>
    <w:p w14:paraId="6B0DD2BC" w14:textId="77777777" w:rsidR="00AF52F5" w:rsidRPr="002B07FA" w:rsidRDefault="00AF52F5" w:rsidP="00AF52F5">
      <w:r w:rsidRPr="00C84632">
        <w:t xml:space="preserve">To investigate whether the </w:t>
      </w:r>
      <w:r w:rsidRPr="00C84632">
        <w:rPr>
          <w:i/>
        </w:rPr>
        <w:t>ortho</w:t>
      </w:r>
      <w:r w:rsidRPr="00C84632">
        <w:t>-hydroxyl group was providing stability to the imine, two isomers of methoxy-salicylaldehyde were obtained, namely</w:t>
      </w:r>
      <w:r>
        <w:t xml:space="preserve"> 4</w:t>
      </w:r>
      <w:r>
        <w:noBreakHyphen/>
        <w:t>hydroxy-3-methoxybenzaldehyde (vanillin) and 2-hydroxy-3-methoxybenzaldehyde (</w:t>
      </w:r>
      <w:r w:rsidRPr="00885ADD">
        <w:rPr>
          <w:i/>
        </w:rPr>
        <w:t>ortho</w:t>
      </w:r>
      <w:r>
        <w:t xml:space="preserve">-vanillin). </w:t>
      </w:r>
      <w:r w:rsidRPr="00C84632">
        <w:t xml:space="preserve">These isomers differ by the position of the hydroxyl group being either </w:t>
      </w:r>
      <w:r w:rsidRPr="00C84632">
        <w:rPr>
          <w:i/>
        </w:rPr>
        <w:t>ortho</w:t>
      </w:r>
      <w:r w:rsidRPr="00C84632">
        <w:t xml:space="preserve">- or </w:t>
      </w:r>
      <w:r w:rsidRPr="00C84632">
        <w:rPr>
          <w:i/>
        </w:rPr>
        <w:t>para</w:t>
      </w:r>
      <w:r w:rsidRPr="00C84632">
        <w:t xml:space="preserve">- to the aldehyde functional group on the benzene ring. Each aldehyde was reacted in a 1:1 ratio with β-APN according to the general procedure and analysed by </w:t>
      </w:r>
      <w:r w:rsidRPr="00C84632">
        <w:rPr>
          <w:vertAlign w:val="superscript"/>
        </w:rPr>
        <w:t>1</w:t>
      </w:r>
      <w:r w:rsidRPr="00C84632">
        <w:t>H NMR spectroscopy.</w:t>
      </w:r>
    </w:p>
    <w:p w14:paraId="0C5A6618" w14:textId="77777777" w:rsidR="00AF52F5" w:rsidRPr="001D025F" w:rsidRDefault="00AF52F5" w:rsidP="00AF52F5">
      <w:pPr>
        <w:pStyle w:val="Caption"/>
        <w:keepNext/>
        <w:jc w:val="center"/>
      </w:pPr>
      <w:r w:rsidRPr="001D025F">
        <w:rPr>
          <w:noProof/>
          <w:lang w:eastAsia="en-GB"/>
        </w:rPr>
        <w:lastRenderedPageBreak/>
        <w:drawing>
          <wp:inline distT="0" distB="0" distL="0" distR="0" wp14:anchorId="14981D7E" wp14:editId="2AB03687">
            <wp:extent cx="5201920" cy="4011295"/>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1920" cy="4011295"/>
                    </a:xfrm>
                    <a:prstGeom prst="rect">
                      <a:avLst/>
                    </a:prstGeom>
                  </pic:spPr>
                </pic:pic>
              </a:graphicData>
            </a:graphic>
          </wp:inline>
        </w:drawing>
      </w:r>
    </w:p>
    <w:p w14:paraId="030B5A80" w14:textId="67B03176" w:rsidR="00AF52F5" w:rsidRPr="003C0E81" w:rsidRDefault="00AF52F5" w:rsidP="00AF52F5">
      <w:pPr>
        <w:pStyle w:val="Caption"/>
        <w:jc w:val="both"/>
        <w:rPr>
          <w:rFonts w:ascii="Cambria" w:hAnsi="Cambria"/>
          <w:b w:val="0"/>
        </w:rPr>
      </w:pPr>
      <w:bookmarkStart w:id="137" w:name="_Ref512171562"/>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5</w:t>
      </w:r>
      <w:r w:rsidR="009352BF">
        <w:rPr>
          <w:noProof/>
        </w:rPr>
        <w:fldChar w:fldCharType="end"/>
      </w:r>
      <w:bookmarkEnd w:id="137"/>
      <w:r>
        <w:t xml:space="preserve">. </w:t>
      </w:r>
      <w:r w:rsidRPr="003C0E81">
        <w:rPr>
          <w:b w:val="0"/>
          <w:vertAlign w:val="superscript"/>
        </w:rPr>
        <w:t>1</w:t>
      </w:r>
      <w:r w:rsidRPr="003C0E81">
        <w:rPr>
          <w:b w:val="0"/>
        </w:rPr>
        <w:t xml:space="preserve">H NMR spectrum of </w:t>
      </w:r>
      <w:r>
        <w:rPr>
          <w:b w:val="0"/>
        </w:rPr>
        <w:t xml:space="preserve">the </w:t>
      </w:r>
      <w:r w:rsidRPr="003C0E81">
        <w:rPr>
          <w:b w:val="0"/>
        </w:rPr>
        <w:t xml:space="preserve">reaction mixture for a 1:1 reaction of </w:t>
      </w:r>
      <w:r w:rsidRPr="003C0E81">
        <w:rPr>
          <w:b w:val="0"/>
        </w:rPr>
        <w:sym w:font="Symbol" w:char="F062"/>
      </w:r>
      <w:r>
        <w:rPr>
          <w:b w:val="0"/>
        </w:rPr>
        <w:t>-APN with</w:t>
      </w:r>
      <w:r w:rsidRPr="003C0E81">
        <w:rPr>
          <w:b w:val="0"/>
        </w:rPr>
        <w:t xml:space="preserve"> 4</w:t>
      </w:r>
      <w:r w:rsidRPr="003C0E81">
        <w:rPr>
          <w:b w:val="0"/>
        </w:rPr>
        <w:noBreakHyphen/>
        <w:t>hydroxy-3-methoxybenzaldehyde</w:t>
      </w:r>
      <w:r w:rsidR="00F41630">
        <w:rPr>
          <w:b w:val="0"/>
        </w:rPr>
        <w:t xml:space="preserve"> in CDCl</w:t>
      </w:r>
      <w:r w:rsidR="00F41630" w:rsidRPr="00F41630">
        <w:rPr>
          <w:b w:val="0"/>
          <w:vertAlign w:val="subscript"/>
        </w:rPr>
        <w:t>3</w:t>
      </w:r>
      <w:r w:rsidR="00F41630">
        <w:rPr>
          <w:b w:val="0"/>
        </w:rPr>
        <w:t>.</w:t>
      </w:r>
    </w:p>
    <w:p w14:paraId="659B8151" w14:textId="77777777" w:rsidR="00AF52F5" w:rsidRPr="00C84632" w:rsidRDefault="00AF52F5" w:rsidP="00AF52F5">
      <w:pPr>
        <w:pStyle w:val="Caption"/>
        <w:jc w:val="center"/>
        <w:rPr>
          <w:rFonts w:ascii="Cambria" w:hAnsi="Cambria"/>
        </w:rPr>
      </w:pPr>
    </w:p>
    <w:p w14:paraId="19BCEFB3" w14:textId="77777777" w:rsidR="00AF52F5" w:rsidRPr="00C84632" w:rsidRDefault="00AF52F5" w:rsidP="00AF52F5">
      <w:pPr>
        <w:pStyle w:val="Caption"/>
        <w:rPr>
          <w:rFonts w:ascii="Cambria" w:hAnsi="Cambria"/>
        </w:rPr>
      </w:pPr>
    </w:p>
    <w:p w14:paraId="00446665" w14:textId="77777777" w:rsidR="00AF52F5" w:rsidRDefault="00AF52F5" w:rsidP="00AF52F5">
      <w:pPr>
        <w:pStyle w:val="Caption"/>
        <w:keepNext/>
        <w:jc w:val="center"/>
      </w:pPr>
      <w:r w:rsidRPr="00C84632">
        <w:rPr>
          <w:rFonts w:ascii="Cambria" w:hAnsi="Cambria"/>
          <w:noProof/>
          <w:lang w:eastAsia="en-GB"/>
        </w:rPr>
        <w:drawing>
          <wp:inline distT="0" distB="0" distL="0" distR="0" wp14:anchorId="4528A505" wp14:editId="434F91B3">
            <wp:extent cx="4805916" cy="314148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11809" cy="3145334"/>
                    </a:xfrm>
                    <a:prstGeom prst="rect">
                      <a:avLst/>
                    </a:prstGeom>
                  </pic:spPr>
                </pic:pic>
              </a:graphicData>
            </a:graphic>
          </wp:inline>
        </w:drawing>
      </w:r>
    </w:p>
    <w:p w14:paraId="5B18E54A" w14:textId="5A5ECBBF" w:rsidR="00AF52F5" w:rsidRPr="009D71E0" w:rsidRDefault="00AF52F5" w:rsidP="00AF52F5">
      <w:pPr>
        <w:pStyle w:val="Caption"/>
        <w:jc w:val="both"/>
        <w:rPr>
          <w:rFonts w:ascii="Cambria" w:hAnsi="Cambria"/>
          <w:b w:val="0"/>
        </w:rPr>
      </w:pPr>
      <w:bookmarkStart w:id="138" w:name="_Ref512171682"/>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6</w:t>
      </w:r>
      <w:r w:rsidR="009352BF">
        <w:rPr>
          <w:noProof/>
        </w:rPr>
        <w:fldChar w:fldCharType="end"/>
      </w:r>
      <w:bookmarkEnd w:id="138"/>
      <w:r>
        <w:t xml:space="preserve">. </w:t>
      </w:r>
      <w:r w:rsidRPr="003D7E1A">
        <w:rPr>
          <w:b w:val="0"/>
          <w:vertAlign w:val="superscript"/>
        </w:rPr>
        <w:t>1</w:t>
      </w:r>
      <w:r w:rsidRPr="003D7E1A">
        <w:rPr>
          <w:b w:val="0"/>
        </w:rPr>
        <w:t>H NMR spectrum of recrystallised 6-methoxy-2-(2-cyanoethyliminomethyl)phenol</w:t>
      </w:r>
      <w:r>
        <w:rPr>
          <w:b w:val="0"/>
        </w:rPr>
        <w:t xml:space="preserve"> (compound </w:t>
      </w:r>
      <w:r>
        <w:t>5b</w:t>
      </w:r>
      <w:r w:rsidRPr="006459AB">
        <w:rPr>
          <w:b w:val="0"/>
        </w:rPr>
        <w:t>)</w:t>
      </w:r>
      <w:r w:rsidR="00F41630">
        <w:rPr>
          <w:b w:val="0"/>
        </w:rPr>
        <w:t xml:space="preserve"> in CDCl</w:t>
      </w:r>
      <w:r w:rsidR="00F41630" w:rsidRPr="00F41630">
        <w:rPr>
          <w:b w:val="0"/>
          <w:vertAlign w:val="subscript"/>
        </w:rPr>
        <w:t>3</w:t>
      </w:r>
      <w:r w:rsidR="00F41630">
        <w:rPr>
          <w:b w:val="0"/>
        </w:rPr>
        <w:t>.</w:t>
      </w:r>
    </w:p>
    <w:p w14:paraId="6521355A" w14:textId="442CD363" w:rsidR="00AF52F5" w:rsidRPr="00B47F0C" w:rsidRDefault="00AF52F5" w:rsidP="00AF52F5">
      <w:r w:rsidRPr="00C84632">
        <w:lastRenderedPageBreak/>
        <w:t xml:space="preserve">Considering the </w:t>
      </w:r>
      <w:r w:rsidRPr="00C84632">
        <w:rPr>
          <w:vertAlign w:val="superscript"/>
        </w:rPr>
        <w:t>1</w:t>
      </w:r>
      <w:r w:rsidRPr="00C84632">
        <w:t>H NMR spectrum in</w:t>
      </w:r>
      <w:r>
        <w:t xml:space="preserve"> </w:t>
      </w:r>
      <w:r>
        <w:fldChar w:fldCharType="begin"/>
      </w:r>
      <w:r>
        <w:instrText xml:space="preserve"> REF _Ref512171562 \h </w:instrText>
      </w:r>
      <w:r>
        <w:fldChar w:fldCharType="separate"/>
      </w:r>
      <w:r w:rsidR="00E6157A">
        <w:t xml:space="preserve">Figure </w:t>
      </w:r>
      <w:r w:rsidR="00E6157A">
        <w:rPr>
          <w:noProof/>
        </w:rPr>
        <w:t>2</w:t>
      </w:r>
      <w:r w:rsidR="00E6157A">
        <w:t>.</w:t>
      </w:r>
      <w:r w:rsidR="00E6157A">
        <w:rPr>
          <w:noProof/>
        </w:rPr>
        <w:t>5</w:t>
      </w:r>
      <w:r>
        <w:fldChar w:fldCharType="end"/>
      </w:r>
      <w:r w:rsidRPr="00C84632">
        <w:t>, the 1:1 reaction of β-APN and 3-methoxy-4-hydroxybenzaldehyde resulted in 50 % conversion</w:t>
      </w:r>
      <w:r>
        <w:t xml:space="preserve"> to the imine</w:t>
      </w:r>
      <w:r w:rsidRPr="00C84632">
        <w:t xml:space="preserve"> after 15 minutes and produced a viscous brown solution. Attempts to isolate the product </w:t>
      </w:r>
      <w:r>
        <w:t>by recrystallisation</w:t>
      </w:r>
      <w:r w:rsidRPr="00C84632">
        <w:t xml:space="preserve"> were unsuccessful.</w:t>
      </w:r>
      <w:r>
        <w:t xml:space="preserve"> The results of this synthesis are similar to those found earlier in this chapter for benzaldehyde. In comparison</w:t>
      </w:r>
      <w:r w:rsidRPr="00C84632">
        <w:t>, the 1:1 reaction of 3-methoxy-2-hydroxybenzaldehyde</w:t>
      </w:r>
      <w:r>
        <w:t xml:space="preserve"> (</w:t>
      </w:r>
      <w:r w:rsidRPr="00AA2249">
        <w:rPr>
          <w:b/>
        </w:rPr>
        <w:t>5a</w:t>
      </w:r>
      <w:r>
        <w:t>)</w:t>
      </w:r>
      <w:r w:rsidRPr="00C84632">
        <w:t xml:space="preserve"> with β-APN produced a solid product </w:t>
      </w:r>
      <w:r>
        <w:t>(</w:t>
      </w:r>
      <w:r w:rsidRPr="0085321A">
        <w:rPr>
          <w:b/>
        </w:rPr>
        <w:t>5b</w:t>
      </w:r>
      <w:r>
        <w:t xml:space="preserve">) </w:t>
      </w:r>
      <w:r w:rsidRPr="00C84632">
        <w:t>after 10 minutes, which was isolated and recrystallised with a 70</w:t>
      </w:r>
      <w:r>
        <w:t> </w:t>
      </w:r>
      <w:r w:rsidRPr="00C84632">
        <w:t>% yield</w:t>
      </w:r>
      <w:r>
        <w:t xml:space="preserve">. </w:t>
      </w:r>
      <w:r>
        <w:fldChar w:fldCharType="begin"/>
      </w:r>
      <w:r>
        <w:instrText xml:space="preserve"> REF _Ref512171682 \h </w:instrText>
      </w:r>
      <w:r>
        <w:fldChar w:fldCharType="separate"/>
      </w:r>
      <w:r w:rsidR="00E6157A">
        <w:t xml:space="preserve">Figure </w:t>
      </w:r>
      <w:r w:rsidR="00E6157A">
        <w:rPr>
          <w:noProof/>
        </w:rPr>
        <w:t>2</w:t>
      </w:r>
      <w:r w:rsidR="00E6157A">
        <w:t>.</w:t>
      </w:r>
      <w:r w:rsidR="00E6157A">
        <w:rPr>
          <w:noProof/>
        </w:rPr>
        <w:t>6</w:t>
      </w:r>
      <w:r>
        <w:fldChar w:fldCharType="end"/>
      </w:r>
      <w:r w:rsidRPr="00C84632">
        <w:t xml:space="preserve"> shows the </w:t>
      </w:r>
      <w:r w:rsidRPr="00C84632">
        <w:rPr>
          <w:vertAlign w:val="superscript"/>
        </w:rPr>
        <w:t>1</w:t>
      </w:r>
      <w:r w:rsidRPr="00C84632">
        <w:t>H NMR spectrum for this produc</w:t>
      </w:r>
      <w:r>
        <w:t>t, which was</w:t>
      </w:r>
      <w:r w:rsidRPr="00C84632">
        <w:t xml:space="preserve"> </w:t>
      </w:r>
      <w:r>
        <w:t>fully characterised using previously described methods.</w:t>
      </w:r>
      <w:r w:rsidRPr="00C84632">
        <w:t xml:space="preserve"> </w:t>
      </w:r>
      <w:r>
        <w:t xml:space="preserve">This synthesis produced comparable results to those using salicylaldehyde. </w:t>
      </w:r>
      <w:r w:rsidRPr="00FC78A4">
        <w:rPr>
          <w:color w:val="000000" w:themeColor="text1"/>
        </w:rPr>
        <w:t>This simple investigation indicates that the stability of the imine is influenced by the position of the hydroxyl group</w:t>
      </w:r>
      <w:r>
        <w:rPr>
          <w:color w:val="000000" w:themeColor="text1"/>
        </w:rPr>
        <w:t xml:space="preserve"> on the substituted benzaldehyde</w:t>
      </w:r>
      <w:r w:rsidRPr="00FC78A4">
        <w:rPr>
          <w:color w:val="000000" w:themeColor="text1"/>
        </w:rPr>
        <w:t>. Whilst the reaction of an aldehyde containing a</w:t>
      </w:r>
      <w:r w:rsidRPr="00FC78A4">
        <w:rPr>
          <w:i/>
          <w:color w:val="000000" w:themeColor="text1"/>
        </w:rPr>
        <w:t xml:space="preserve"> para</w:t>
      </w:r>
      <w:r w:rsidRPr="00FC78A4">
        <w:rPr>
          <w:color w:val="000000" w:themeColor="text1"/>
        </w:rPr>
        <w:t xml:space="preserve">-hydroxyl group only went to 50 % conversion and was not easily isolated, the use of an aldehyde containing an </w:t>
      </w:r>
      <w:r w:rsidRPr="00FC78A4">
        <w:rPr>
          <w:i/>
          <w:color w:val="000000" w:themeColor="text1"/>
        </w:rPr>
        <w:t>ortho</w:t>
      </w:r>
      <w:r w:rsidRPr="00FC78A4">
        <w:rPr>
          <w:color w:val="000000" w:themeColor="text1"/>
        </w:rPr>
        <w:t>-hydroxyl group lead to the successful synthesis and isolation of a stable imine p</w:t>
      </w:r>
      <w:r>
        <w:rPr>
          <w:color w:val="000000" w:themeColor="text1"/>
        </w:rPr>
        <w:t>roduct. This suggests that intra</w:t>
      </w:r>
      <w:r w:rsidRPr="00FC78A4">
        <w:rPr>
          <w:color w:val="000000" w:themeColor="text1"/>
        </w:rPr>
        <w:t>molecular interactions</w:t>
      </w:r>
      <w:r>
        <w:rPr>
          <w:color w:val="000000" w:themeColor="text1"/>
        </w:rPr>
        <w:t>, such as hydrogen bonding,</w:t>
      </w:r>
      <w:r w:rsidRPr="00FC78A4">
        <w:rPr>
          <w:color w:val="000000" w:themeColor="text1"/>
        </w:rPr>
        <w:t xml:space="preserve"> may </w:t>
      </w:r>
      <w:r>
        <w:rPr>
          <w:color w:val="000000" w:themeColor="text1"/>
        </w:rPr>
        <w:t>occur</w:t>
      </w:r>
      <w:r w:rsidRPr="00FC78A4">
        <w:rPr>
          <w:color w:val="000000" w:themeColor="text1"/>
        </w:rPr>
        <w:t xml:space="preserve"> when an </w:t>
      </w:r>
      <w:r w:rsidRPr="00FC78A4">
        <w:rPr>
          <w:i/>
          <w:color w:val="000000" w:themeColor="text1"/>
        </w:rPr>
        <w:t>ortho</w:t>
      </w:r>
      <w:r w:rsidRPr="00FC78A4">
        <w:rPr>
          <w:color w:val="000000" w:themeColor="text1"/>
        </w:rPr>
        <w:t xml:space="preserve">-hydroxyl group is present. </w:t>
      </w:r>
    </w:p>
    <w:p w14:paraId="4608B462" w14:textId="030F222E" w:rsidR="00AF52F5" w:rsidRPr="00B34511" w:rsidRDefault="00AF52F5" w:rsidP="00AF52F5">
      <w:pPr>
        <w:rPr>
          <w:color w:val="000000" w:themeColor="text1"/>
        </w:rPr>
      </w:pPr>
      <w:r w:rsidRPr="001A479B">
        <w:rPr>
          <w:color w:val="000000" w:themeColor="text1"/>
        </w:rPr>
        <w:t xml:space="preserve">To determine </w:t>
      </w:r>
      <w:r>
        <w:t>whether intra</w:t>
      </w:r>
      <w:r w:rsidRPr="00C84632">
        <w:t xml:space="preserve">molecular hydrogen bonding was present, </w:t>
      </w:r>
      <w:r>
        <w:t xml:space="preserve">crystals of each of </w:t>
      </w:r>
      <w:r w:rsidRPr="00C84632">
        <w:t xml:space="preserve">the </w:t>
      </w:r>
      <w:r>
        <w:t>five</w:t>
      </w:r>
      <w:r w:rsidRPr="00C84632">
        <w:t xml:space="preserve"> imines were subjected to single crystal X-ray analysis. Single crystal X-ray crystallography generates the most likely structural arrangement based on the measured electron </w:t>
      </w:r>
      <w:r w:rsidRPr="00E67E95">
        <w:rPr>
          <w:color w:val="000000" w:themeColor="text1"/>
        </w:rPr>
        <w:t>density. X-ray crystal structures were obtained for all five imines</w:t>
      </w:r>
      <w:r>
        <w:rPr>
          <w:color w:val="000000" w:themeColor="text1"/>
        </w:rPr>
        <w:t xml:space="preserve"> and a</w:t>
      </w:r>
      <w:r w:rsidRPr="00E67E95">
        <w:rPr>
          <w:color w:val="000000" w:themeColor="text1"/>
        </w:rPr>
        <w:t>nalysis of each compound suggested that intramolecular hydrogen bonds were present</w:t>
      </w:r>
      <w:r>
        <w:rPr>
          <w:color w:val="000000" w:themeColor="text1"/>
        </w:rPr>
        <w:t xml:space="preserve">. </w:t>
      </w:r>
      <w:r w:rsidRPr="00E67E95">
        <w:rPr>
          <w:color w:val="000000" w:themeColor="text1"/>
        </w:rPr>
        <w:t xml:space="preserve">For compound </w:t>
      </w:r>
      <w:r w:rsidRPr="00E67E95">
        <w:rPr>
          <w:b/>
          <w:color w:val="000000" w:themeColor="text1"/>
        </w:rPr>
        <w:t>1b</w:t>
      </w:r>
      <w:r w:rsidRPr="00E67E95">
        <w:rPr>
          <w:color w:val="000000" w:themeColor="text1"/>
        </w:rPr>
        <w:t xml:space="preserve">, hydrogen bonding </w:t>
      </w:r>
      <w:r>
        <w:rPr>
          <w:color w:val="000000" w:themeColor="text1"/>
        </w:rPr>
        <w:t>is indicated</w:t>
      </w:r>
      <w:r w:rsidRPr="00E67E95">
        <w:rPr>
          <w:color w:val="000000" w:themeColor="text1"/>
        </w:rPr>
        <w:t xml:space="preserve"> between the hydroxyl proton and the imine nitrogen </w:t>
      </w:r>
      <w:r>
        <w:rPr>
          <w:color w:val="000000" w:themeColor="text1"/>
        </w:rPr>
        <w:t>(</w:t>
      </w:r>
      <w:r>
        <w:rPr>
          <w:color w:val="000000" w:themeColor="text1"/>
        </w:rPr>
        <w:fldChar w:fldCharType="begin"/>
      </w:r>
      <w:r>
        <w:rPr>
          <w:color w:val="000000" w:themeColor="text1"/>
        </w:rPr>
        <w:instrText xml:space="preserve"> REF _Ref525729910 \h </w:instrText>
      </w:r>
      <w:r>
        <w:rPr>
          <w:color w:val="000000" w:themeColor="text1"/>
        </w:rPr>
      </w:r>
      <w:r>
        <w:rPr>
          <w:color w:val="000000" w:themeColor="text1"/>
        </w:rPr>
        <w:fldChar w:fldCharType="separate"/>
      </w:r>
      <w:r w:rsidR="00E6157A">
        <w:t xml:space="preserve">Figure </w:t>
      </w:r>
      <w:r w:rsidR="00E6157A">
        <w:rPr>
          <w:noProof/>
        </w:rPr>
        <w:t>2</w:t>
      </w:r>
      <w:r w:rsidR="00E6157A">
        <w:t>.</w:t>
      </w:r>
      <w:r w:rsidR="00E6157A">
        <w:rPr>
          <w:noProof/>
        </w:rPr>
        <w:t>7</w:t>
      </w:r>
      <w:r>
        <w:rPr>
          <w:color w:val="000000" w:themeColor="text1"/>
        </w:rPr>
        <w:fldChar w:fldCharType="end"/>
      </w:r>
      <w:r>
        <w:rPr>
          <w:color w:val="000000" w:themeColor="text1"/>
        </w:rPr>
        <w:t>) Crystal structures for the four other</w:t>
      </w:r>
      <w:r w:rsidRPr="00E67E95">
        <w:rPr>
          <w:color w:val="000000" w:themeColor="text1"/>
        </w:rPr>
        <w:t xml:space="preserve"> imines</w:t>
      </w:r>
      <w:r>
        <w:rPr>
          <w:color w:val="000000" w:themeColor="text1"/>
        </w:rPr>
        <w:t>,</w:t>
      </w:r>
      <w:r w:rsidRPr="00E67E95">
        <w:rPr>
          <w:color w:val="000000" w:themeColor="text1"/>
        </w:rPr>
        <w:t xml:space="preserve"> </w:t>
      </w:r>
      <w:r>
        <w:rPr>
          <w:color w:val="000000" w:themeColor="text1"/>
        </w:rPr>
        <w:t xml:space="preserve">as well as tabulated values for hydrogen bond lengths, are displayed in </w:t>
      </w:r>
      <w:bookmarkStart w:id="139" w:name="_Toc320882547"/>
      <w:r>
        <w:rPr>
          <w:color w:val="000000" w:themeColor="text1"/>
        </w:rPr>
        <w:t>Appendi</w:t>
      </w:r>
      <w:r w:rsidR="00F41630">
        <w:rPr>
          <w:color w:val="000000" w:themeColor="text1"/>
        </w:rPr>
        <w:t>ces 1.3, 1.5, 1.7 and 1.9.</w:t>
      </w:r>
    </w:p>
    <w:p w14:paraId="56FCE2A6" w14:textId="77777777" w:rsidR="00AF52F5" w:rsidRDefault="00AF52F5" w:rsidP="00AF52F5">
      <w:pPr>
        <w:rPr>
          <w:color w:val="FF0000"/>
        </w:rPr>
      </w:pPr>
    </w:p>
    <w:p w14:paraId="3E8FEC59" w14:textId="77777777" w:rsidR="00AF52F5" w:rsidRDefault="00AF52F5" w:rsidP="00AF52F5">
      <w:pPr>
        <w:keepNext/>
        <w:jc w:val="center"/>
      </w:pPr>
      <w:r>
        <w:rPr>
          <w:rFonts w:ascii="Cambria" w:hAnsi="Cambria"/>
          <w:noProof/>
          <w:szCs w:val="22"/>
        </w:rPr>
        <w:lastRenderedPageBreak/>
        <w:drawing>
          <wp:inline distT="0" distB="0" distL="0" distR="0" wp14:anchorId="5E95548B" wp14:editId="21D95481">
            <wp:extent cx="4258933" cy="2877068"/>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AM2_115.png"/>
                    <pic:cNvPicPr/>
                  </pic:nvPicPr>
                  <pic:blipFill>
                    <a:blip r:embed="rId29">
                      <a:extLst>
                        <a:ext uri="{28A0092B-C50C-407E-A947-70E740481C1C}">
                          <a14:useLocalDpi xmlns:a14="http://schemas.microsoft.com/office/drawing/2010/main" val="0"/>
                        </a:ext>
                      </a:extLst>
                    </a:blip>
                    <a:stretch>
                      <a:fillRect/>
                    </a:stretch>
                  </pic:blipFill>
                  <pic:spPr>
                    <a:xfrm>
                      <a:off x="0" y="0"/>
                      <a:ext cx="4282893" cy="2893254"/>
                    </a:xfrm>
                    <a:prstGeom prst="rect">
                      <a:avLst/>
                    </a:prstGeom>
                  </pic:spPr>
                </pic:pic>
              </a:graphicData>
            </a:graphic>
          </wp:inline>
        </w:drawing>
      </w:r>
    </w:p>
    <w:p w14:paraId="326AD758" w14:textId="03E75C82" w:rsidR="00AF52F5" w:rsidRDefault="00AF52F5" w:rsidP="00AF52F5">
      <w:pPr>
        <w:pStyle w:val="Caption"/>
        <w:jc w:val="center"/>
        <w:rPr>
          <w:rFonts w:ascii="Cambria" w:hAnsi="Cambria"/>
          <w:szCs w:val="22"/>
        </w:rPr>
      </w:pPr>
      <w:bookmarkStart w:id="140" w:name="_Ref525729910"/>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7</w:t>
      </w:r>
      <w:r w:rsidR="009352BF">
        <w:rPr>
          <w:noProof/>
        </w:rPr>
        <w:fldChar w:fldCharType="end"/>
      </w:r>
      <w:bookmarkEnd w:id="140"/>
      <w:r>
        <w:t xml:space="preserve"> </w:t>
      </w:r>
      <w:r w:rsidRPr="00B34511">
        <w:rPr>
          <w:b w:val="0"/>
        </w:rPr>
        <w:t xml:space="preserve">X-ray crystallographic structure of 2-(2-cyanoethyliminomethyl)phenol (compound </w:t>
      </w:r>
      <w:r w:rsidRPr="00F41630">
        <w:t>1b</w:t>
      </w:r>
      <w:r w:rsidRPr="00B34511">
        <w:rPr>
          <w:b w:val="0"/>
        </w:rPr>
        <w:t>), displaying intramolecular hydrogen bonding between the hydroxyl hydrogen and the imine nitrogen</w:t>
      </w:r>
      <w:r>
        <w:rPr>
          <w:b w:val="0"/>
        </w:rPr>
        <w:t>.</w:t>
      </w:r>
    </w:p>
    <w:p w14:paraId="47D4099C" w14:textId="77777777" w:rsidR="00AF52F5" w:rsidRDefault="00AF52F5" w:rsidP="00AF52F5">
      <w:pPr>
        <w:pStyle w:val="Caption"/>
        <w:rPr>
          <w:rFonts w:ascii="Cambria" w:hAnsi="Cambria"/>
          <w:szCs w:val="22"/>
        </w:rPr>
      </w:pPr>
    </w:p>
    <w:p w14:paraId="2C8179D1" w14:textId="34EF8CE2" w:rsidR="00AF52F5" w:rsidRPr="00BF3268" w:rsidRDefault="00AF52F5" w:rsidP="00AF52F5">
      <w:pPr>
        <w:rPr>
          <w:color w:val="000000" w:themeColor="text1"/>
        </w:rPr>
      </w:pPr>
      <w:r w:rsidRPr="00BF3268">
        <w:rPr>
          <w:color w:val="000000" w:themeColor="text1"/>
        </w:rPr>
        <w:t xml:space="preserve">This work is supported by Crugeiras </w:t>
      </w:r>
      <w:r w:rsidRPr="00DD7DAA">
        <w:rPr>
          <w:i/>
          <w:color w:val="000000" w:themeColor="text1"/>
        </w:rPr>
        <w:t>et al</w:t>
      </w:r>
      <w:r>
        <w:rPr>
          <w:color w:val="000000" w:themeColor="text1"/>
        </w:rPr>
        <w:t>.</w:t>
      </w:r>
      <w:r w:rsidRPr="00BF3268">
        <w:rPr>
          <w:color w:val="000000" w:themeColor="text1"/>
        </w:rPr>
        <w:t xml:space="preserve">, who used </w:t>
      </w:r>
      <w:r w:rsidRPr="00BF3268">
        <w:rPr>
          <w:color w:val="000000" w:themeColor="text1"/>
          <w:vertAlign w:val="superscript"/>
        </w:rPr>
        <w:t>1</w:t>
      </w:r>
      <w:r w:rsidRPr="00BF3268">
        <w:rPr>
          <w:color w:val="000000" w:themeColor="text1"/>
        </w:rPr>
        <w:t>H NMR</w:t>
      </w:r>
      <w:r>
        <w:rPr>
          <w:color w:val="000000" w:themeColor="text1"/>
        </w:rPr>
        <w:t xml:space="preserve"> spectroscopy</w:t>
      </w:r>
      <w:r w:rsidRPr="00BF3268">
        <w:rPr>
          <w:color w:val="000000" w:themeColor="text1"/>
        </w:rPr>
        <w:t xml:space="preserve"> to study equilibrium constants for the addition of glycine to substituted benzaldehydes.</w:t>
      </w:r>
      <w:r w:rsidRPr="00BF3268">
        <w:rPr>
          <w:color w:val="000000" w:themeColor="text1"/>
        </w:rPr>
        <w:fldChar w:fldCharType="begin" w:fldLock="1"/>
      </w:r>
      <w:r w:rsidR="0085447D">
        <w:rPr>
          <w:color w:val="000000" w:themeColor="text1"/>
        </w:rPr>
        <w:instrText>ADDIN CSL_CITATION {"citationItems":[{"id":"ITEM-1","itemData":{"DOI":"10.1021/ja906230n.Substituent","author":[{"dropping-particle":"","family":"Crugeiras","given":"Juan","non-dropping-particle":"","parse-names":false,"suffix":""},{"dropping-particle":"","family":"Rios","given":"Ana","non-dropping-particle":"","parse-names":false,"suffix":""},{"dropping-particle":"","family":"Riveiros","given":"Enrique","non-dropping-particle":"","parse-names":false,"suffix":""},{"dropping-particle":"","family":"Richard","given":"John P","non-dropping-particle":"","parse-names":false,"suffix":""}],"container-title":"Journal of the American Chemical Society","id":"ITEM-1","issue":"43","issued":{"date-parts":[["2010"]]},"page":"15815-15824","title":"Substituent Effects on the Thermodynamic Stability of Imines Formed from Glycine and Aromatic Aldehydes: Implications for the Catalytic Activity of Pyridoxal-5'-Phosphate (PLP)","type":"article-journal","volume":"131"},"uris":["http://www.mendeley.com/documents/?uuid=fd706453-10df-4c9d-bd1a-2fce89d43d61"]}],"mendeley":{"formattedCitation":"&lt;sup&gt;174&lt;/sup&gt;","plainTextFormattedCitation":"174","previouslyFormattedCitation":"&lt;sup&gt;174&lt;/sup&gt;"},"properties":{"noteIndex":0},"schema":"https://github.com/citation-style-language/schema/raw/master/csl-citation.json"}</w:instrText>
      </w:r>
      <w:r w:rsidRPr="00BF3268">
        <w:rPr>
          <w:color w:val="000000" w:themeColor="text1"/>
        </w:rPr>
        <w:fldChar w:fldCharType="separate"/>
      </w:r>
      <w:r w:rsidR="00B02713" w:rsidRPr="00B02713">
        <w:rPr>
          <w:noProof/>
          <w:color w:val="000000" w:themeColor="text1"/>
          <w:vertAlign w:val="superscript"/>
        </w:rPr>
        <w:t>174</w:t>
      </w:r>
      <w:r w:rsidRPr="00BF3268">
        <w:rPr>
          <w:color w:val="000000" w:themeColor="text1"/>
        </w:rPr>
        <w:fldChar w:fldCharType="end"/>
      </w:r>
      <w:r w:rsidRPr="00BF3268">
        <w:rPr>
          <w:color w:val="000000" w:themeColor="text1"/>
        </w:rPr>
        <w:t xml:space="preserve"> </w:t>
      </w:r>
      <w:r>
        <w:rPr>
          <w:color w:val="000000" w:themeColor="text1"/>
        </w:rPr>
        <w:t>They found that when salicylaldehyde was used, the pK</w:t>
      </w:r>
      <w:r w:rsidRPr="00BF3268">
        <w:rPr>
          <w:color w:val="000000" w:themeColor="text1"/>
          <w:vertAlign w:val="subscript"/>
        </w:rPr>
        <w:t>a</w:t>
      </w:r>
      <w:r>
        <w:rPr>
          <w:color w:val="000000" w:themeColor="text1"/>
        </w:rPr>
        <w:t xml:space="preserve"> of the resulting iminium ion increased due to the presence of an intramolecular hydrogen bond, compared to the </w:t>
      </w:r>
      <w:r w:rsidRPr="00BF3268">
        <w:rPr>
          <w:i/>
          <w:color w:val="000000" w:themeColor="text1"/>
        </w:rPr>
        <w:t>para</w:t>
      </w:r>
      <w:r>
        <w:rPr>
          <w:color w:val="000000" w:themeColor="text1"/>
        </w:rPr>
        <w:t xml:space="preserve">-substituted hydroxy-benzaldehyde. A similar phenomenon is seen for other </w:t>
      </w:r>
      <w:r w:rsidRPr="008F45F3">
        <w:rPr>
          <w:i/>
          <w:color w:val="000000" w:themeColor="text1"/>
        </w:rPr>
        <w:t>ortho</w:t>
      </w:r>
      <w:r>
        <w:rPr>
          <w:color w:val="000000" w:themeColor="text1"/>
        </w:rPr>
        <w:t xml:space="preserve">-substituted phenols, such as </w:t>
      </w:r>
      <w:r w:rsidRPr="008F45F3">
        <w:rPr>
          <w:i/>
          <w:color w:val="000000" w:themeColor="text1"/>
        </w:rPr>
        <w:t>ortho</w:t>
      </w:r>
      <w:r>
        <w:rPr>
          <w:color w:val="000000" w:themeColor="text1"/>
        </w:rPr>
        <w:t>-nitrophenol.</w:t>
      </w:r>
      <w:r>
        <w:rPr>
          <w:color w:val="000000" w:themeColor="text1"/>
        </w:rPr>
        <w:fldChar w:fldCharType="begin" w:fldLock="1"/>
      </w:r>
      <w:r w:rsidR="0085447D">
        <w:rPr>
          <w:color w:val="000000" w:themeColor="text1"/>
        </w:rPr>
        <w:instrText>ADDIN CSL_CITATION {"citationItems":[{"id":"ITEM-1","itemData":{"author":[{"dropping-particle":"","family":"Clayden","given":"Jonathon","non-dropping-particle":"","parse-names":false,"suffix":""},{"dropping-particle":"","family":"Greeves","given":"Nick","non-dropping-particle":"","parse-names":false,"suffix":""},{"dropping-particle":"","family":"Warren","given":"Stuart","non-dropping-particle":"","parse-names":false,"suffix":""},{"dropping-particle":"","family":"Wothers","given":"Peter","non-dropping-particle":"","parse-names":false,"suffix":""}],"edition":"Second Edi","id":"ITEM-1","issued":{"date-parts":[["2012"]]},"number-of-pages":"568","publisher":"Oxford University Press","publisher-place":"New York","title":"Organic Chemistry","type":"book"},"uris":["http://www.mendeley.com/documents/?uuid=2feaaeb0-ea67-4f2a-aa5f-f1f75a051997"]}],"mendeley":{"formattedCitation":"&lt;sup&gt;175&lt;/sup&gt;","plainTextFormattedCitation":"175","previouslyFormattedCitation":"&lt;sup&gt;175&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175</w:t>
      </w:r>
      <w:r>
        <w:rPr>
          <w:color w:val="000000" w:themeColor="text1"/>
        </w:rPr>
        <w:fldChar w:fldCharType="end"/>
      </w:r>
      <w:r w:rsidRPr="00BF3268">
        <w:rPr>
          <w:color w:val="000000" w:themeColor="text1"/>
        </w:rPr>
        <w:t xml:space="preserve"> </w:t>
      </w:r>
    </w:p>
    <w:p w14:paraId="7E2B2016" w14:textId="385E31E0" w:rsidR="00AF52F5" w:rsidRPr="007C2FD6" w:rsidRDefault="00AF52F5" w:rsidP="00AF52F5">
      <w:pPr>
        <w:pStyle w:val="Heading3"/>
      </w:pPr>
      <w:bookmarkStart w:id="141" w:name="_Toc510023018"/>
      <w:r>
        <w:t xml:space="preserve"> </w:t>
      </w:r>
      <w:bookmarkStart w:id="142" w:name="_Toc2451006"/>
      <w:bookmarkEnd w:id="139"/>
      <w:bookmarkEnd w:id="141"/>
      <w:r>
        <w:t>Investigating imine dissociation in aqueous and non-aqueous solvents</w:t>
      </w:r>
      <w:bookmarkEnd w:id="142"/>
    </w:p>
    <w:p w14:paraId="577AF20A" w14:textId="77777777" w:rsidR="00AF52F5" w:rsidRDefault="00AF52F5" w:rsidP="00AF52F5">
      <w:r w:rsidRPr="00C84632">
        <w:t xml:space="preserve">The rationale behind synthesising imines was to produce prodrugs of β-APN, with the intention of developing these prodrugs as a </w:t>
      </w:r>
      <w:r>
        <w:t xml:space="preserve">topical </w:t>
      </w:r>
      <w:r w:rsidRPr="00C84632">
        <w:t xml:space="preserve">therapy for scar contracture. </w:t>
      </w:r>
      <w:r>
        <w:t xml:space="preserve">The prodrugs were designed based on an imine linker, which should hydrolyse when in contact with an aqueous environment. </w:t>
      </w:r>
      <w:r w:rsidRPr="00C84632">
        <w:t>To test the ability of the synthesised imines to dissociate back into β-APN and the starting aldehyde, imines were dissolved in either aqueous or non-aqueous solvents and</w:t>
      </w:r>
      <w:r>
        <w:t xml:space="preserve"> analysed by</w:t>
      </w:r>
      <w:r w:rsidRPr="00C84632">
        <w:t xml:space="preserve"> </w:t>
      </w:r>
      <w:r w:rsidRPr="00C84632">
        <w:rPr>
          <w:vertAlign w:val="superscript"/>
        </w:rPr>
        <w:t>1</w:t>
      </w:r>
      <w:r>
        <w:t>H </w:t>
      </w:r>
      <w:r w:rsidRPr="00C84632">
        <w:t>NMR spectroscopy to detect structural changes of the compounds in solution.</w:t>
      </w:r>
      <w:r>
        <w:t xml:space="preserve"> </w:t>
      </w:r>
      <w:r w:rsidRPr="00C84632">
        <w:t xml:space="preserve">An initial study evaluated imine </w:t>
      </w:r>
      <w:r>
        <w:t>dissociation</w:t>
      </w:r>
      <w:r w:rsidRPr="00C84632">
        <w:t xml:space="preserve"> in a non-aqueous environment. I</w:t>
      </w:r>
      <w:r>
        <w:t>mines were dissolved in d6-DMSO and</w:t>
      </w:r>
      <w:r w:rsidRPr="00C84632">
        <w:t xml:space="preserve"> </w:t>
      </w:r>
      <w:r w:rsidRPr="00C84632">
        <w:rPr>
          <w:vertAlign w:val="superscript"/>
        </w:rPr>
        <w:t>1</w:t>
      </w:r>
      <w:r w:rsidRPr="00C84632">
        <w:t xml:space="preserve">H NMR </w:t>
      </w:r>
      <w:r>
        <w:t>spectra</w:t>
      </w:r>
      <w:r w:rsidRPr="00C84632">
        <w:t xml:space="preserve"> were recorded at set time points. </w:t>
      </w:r>
      <w:r>
        <w:t>Spectra</w:t>
      </w:r>
      <w:r w:rsidRPr="00C84632">
        <w:t xml:space="preserve"> were analysed for the reappearance of the aldehyde </w:t>
      </w:r>
      <w:r>
        <w:t xml:space="preserve">proton </w:t>
      </w:r>
      <w:r w:rsidRPr="00C84632">
        <w:t>peak at ~10 ppm.</w:t>
      </w:r>
    </w:p>
    <w:p w14:paraId="22A441D3" w14:textId="79BD9DE8" w:rsidR="00AF52F5" w:rsidRDefault="00AF52F5" w:rsidP="00AF52F5">
      <w:r>
        <w:t xml:space="preserve">Analysis of the two spectra for compound </w:t>
      </w:r>
      <w:r w:rsidRPr="00504B58">
        <w:rPr>
          <w:b/>
        </w:rPr>
        <w:t>1b</w:t>
      </w:r>
      <w:r>
        <w:t xml:space="preserve"> on day 0 and day 7 (</w:t>
      </w:r>
      <w:r>
        <w:fldChar w:fldCharType="begin"/>
      </w:r>
      <w:r>
        <w:instrText xml:space="preserve"> REF _Ref512171776 \h </w:instrText>
      </w:r>
      <w:r>
        <w:fldChar w:fldCharType="separate"/>
      </w:r>
      <w:r w:rsidR="00E6157A">
        <w:t xml:space="preserve">Figure </w:t>
      </w:r>
      <w:r w:rsidR="00E6157A">
        <w:rPr>
          <w:noProof/>
        </w:rPr>
        <w:t>2</w:t>
      </w:r>
      <w:r w:rsidR="00E6157A">
        <w:t>.</w:t>
      </w:r>
      <w:r w:rsidR="00E6157A">
        <w:rPr>
          <w:noProof/>
        </w:rPr>
        <w:t>8</w:t>
      </w:r>
      <w:r>
        <w:fldChar w:fldCharType="end"/>
      </w:r>
      <w:r>
        <w:t xml:space="preserve">) found no appearance of a peak corresponding to an aldehyde proton (~10 ppm), even after 7 </w:t>
      </w:r>
      <w:r>
        <w:lastRenderedPageBreak/>
        <w:t>days in solution. This was further supported by the presence of a peak at ~ 8.5 ppm in the 7-day spectrum, corresponding to the imine proton</w:t>
      </w:r>
      <w:r w:rsidRPr="00C84632">
        <w:t xml:space="preserve">. In addition, the spectra for the two time points </w:t>
      </w:r>
      <w:r>
        <w:t>were</w:t>
      </w:r>
      <w:r w:rsidRPr="00C84632">
        <w:t xml:space="preserve"> very similar</w:t>
      </w:r>
      <w:r>
        <w:t>,</w:t>
      </w:r>
      <w:r w:rsidRPr="00C84632">
        <w:t xml:space="preserve"> </w:t>
      </w:r>
      <w:r>
        <w:t>further indicating that the imine had</w:t>
      </w:r>
      <w:r w:rsidRPr="00C84632">
        <w:t xml:space="preserve"> not d</w:t>
      </w:r>
      <w:r>
        <w:t>issociated back to the starting materials</w:t>
      </w:r>
      <w:r w:rsidRPr="00C84632">
        <w:t xml:space="preserve"> during the experiment.</w:t>
      </w:r>
    </w:p>
    <w:p w14:paraId="127E0D7A" w14:textId="77777777" w:rsidR="00AF52F5" w:rsidRDefault="00AF52F5" w:rsidP="00AF52F5">
      <w:pPr>
        <w:keepNext/>
        <w:jc w:val="center"/>
      </w:pPr>
      <w:r w:rsidRPr="001C78B6">
        <w:rPr>
          <w:noProof/>
          <w:lang w:eastAsia="en-GB"/>
        </w:rPr>
        <w:drawing>
          <wp:inline distT="0" distB="0" distL="0" distR="0" wp14:anchorId="298BA3F1" wp14:editId="6D1D2E8A">
            <wp:extent cx="4809600" cy="3972969"/>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09600" cy="3972969"/>
                    </a:xfrm>
                    <a:prstGeom prst="rect">
                      <a:avLst/>
                    </a:prstGeom>
                  </pic:spPr>
                </pic:pic>
              </a:graphicData>
            </a:graphic>
          </wp:inline>
        </w:drawing>
      </w:r>
    </w:p>
    <w:p w14:paraId="08D7C249" w14:textId="6C3F90AE" w:rsidR="00AF52F5" w:rsidRPr="00C84632" w:rsidRDefault="00AF52F5" w:rsidP="00AF52F5">
      <w:pPr>
        <w:pStyle w:val="Caption"/>
        <w:jc w:val="both"/>
        <w:rPr>
          <w:rFonts w:ascii="Cambria" w:hAnsi="Cambria"/>
        </w:rPr>
      </w:pPr>
      <w:bookmarkStart w:id="143" w:name="_Ref512171776"/>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8</w:t>
      </w:r>
      <w:r w:rsidR="009352BF">
        <w:rPr>
          <w:noProof/>
        </w:rPr>
        <w:fldChar w:fldCharType="end"/>
      </w:r>
      <w:bookmarkEnd w:id="143"/>
      <w:r>
        <w:t xml:space="preserve">. </w:t>
      </w:r>
      <w:r w:rsidRPr="003D7E1A">
        <w:rPr>
          <w:b w:val="0"/>
          <w:vertAlign w:val="superscript"/>
        </w:rPr>
        <w:t>1</w:t>
      </w:r>
      <w:r w:rsidRPr="003D7E1A">
        <w:rPr>
          <w:b w:val="0"/>
        </w:rPr>
        <w:t xml:space="preserve">H NMR spectra for </w:t>
      </w:r>
      <w:r w:rsidRPr="00AF26DB">
        <w:rPr>
          <w:b w:val="0"/>
        </w:rPr>
        <w:t xml:space="preserve">2-(2-cyanoethyliminomethyl)phenol </w:t>
      </w:r>
      <w:r>
        <w:rPr>
          <w:b w:val="0"/>
        </w:rPr>
        <w:t xml:space="preserve">(compound </w:t>
      </w:r>
      <w:r w:rsidRPr="009D71E0">
        <w:t>1b</w:t>
      </w:r>
      <w:r w:rsidRPr="006459AB">
        <w:rPr>
          <w:b w:val="0"/>
        </w:rPr>
        <w:t xml:space="preserve">) </w:t>
      </w:r>
      <w:r>
        <w:rPr>
          <w:b w:val="0"/>
        </w:rPr>
        <w:t>in DMSO after 0 and 7</w:t>
      </w:r>
      <w:r w:rsidRPr="003D7E1A">
        <w:rPr>
          <w:b w:val="0"/>
        </w:rPr>
        <w:t xml:space="preserve"> days</w:t>
      </w:r>
      <w:r>
        <w:rPr>
          <w:b w:val="0"/>
        </w:rPr>
        <w:t xml:space="preserve"> in d6</w:t>
      </w:r>
      <w:r>
        <w:rPr>
          <w:b w:val="0"/>
        </w:rPr>
        <w:noBreakHyphen/>
      </w:r>
      <w:r w:rsidRPr="003D7E1A">
        <w:rPr>
          <w:b w:val="0"/>
        </w:rPr>
        <w:t>DMSO</w:t>
      </w:r>
      <w:r>
        <w:rPr>
          <w:b w:val="0"/>
        </w:rPr>
        <w:t>.</w:t>
      </w:r>
    </w:p>
    <w:p w14:paraId="58453080" w14:textId="2D042A63" w:rsidR="00AF52F5" w:rsidRPr="00C84632" w:rsidRDefault="00AF52F5" w:rsidP="00AF52F5">
      <w:r w:rsidRPr="00C84632">
        <w:t>In a second experiment, deionised water was used</w:t>
      </w:r>
      <w:r>
        <w:t xml:space="preserve"> as the solvent to study imine dissociation</w:t>
      </w:r>
      <w:r w:rsidRPr="00C84632">
        <w:t xml:space="preserve"> in an aqueous environment. Sin</w:t>
      </w:r>
      <w:r>
        <w:t xml:space="preserve">ce the imines were found to be poorly </w:t>
      </w:r>
      <w:r w:rsidRPr="00C84632">
        <w:t>soluble in water, DMSO was used to initially dissolve the imines, then solutions were d</w:t>
      </w:r>
      <w:r>
        <w:t xml:space="preserve">iluted 1 in </w:t>
      </w:r>
      <w:r w:rsidRPr="00C84632">
        <w:t>100 in deionised water</w:t>
      </w:r>
      <w:r>
        <w:t xml:space="preserve"> (final DMSO concentration was 1 %)</w:t>
      </w:r>
      <w:r w:rsidRPr="00C84632">
        <w:t xml:space="preserve">. </w:t>
      </w:r>
      <w:r>
        <w:fldChar w:fldCharType="begin"/>
      </w:r>
      <w:r>
        <w:instrText xml:space="preserve"> REF _Ref512171858 \h </w:instrText>
      </w:r>
      <w:r>
        <w:fldChar w:fldCharType="separate"/>
      </w:r>
      <w:r w:rsidR="00E6157A">
        <w:t xml:space="preserve">Figure </w:t>
      </w:r>
      <w:r w:rsidR="00E6157A">
        <w:rPr>
          <w:noProof/>
        </w:rPr>
        <w:t>2</w:t>
      </w:r>
      <w:r w:rsidR="00E6157A">
        <w:t>.</w:t>
      </w:r>
      <w:r w:rsidR="00E6157A">
        <w:rPr>
          <w:noProof/>
        </w:rPr>
        <w:t>9</w:t>
      </w:r>
      <w:r>
        <w:fldChar w:fldCharType="end"/>
      </w:r>
      <w:r>
        <w:t xml:space="preserve"> </w:t>
      </w:r>
      <w:r w:rsidRPr="00C84632">
        <w:t xml:space="preserve">displays the </w:t>
      </w:r>
      <w:r w:rsidRPr="00C84632">
        <w:rPr>
          <w:vertAlign w:val="superscript"/>
        </w:rPr>
        <w:t>1</w:t>
      </w:r>
      <w:r w:rsidRPr="00C84632">
        <w:t xml:space="preserve">H NMR spectrum for </w:t>
      </w:r>
      <w:r>
        <w:t xml:space="preserve">compound </w:t>
      </w:r>
      <w:r w:rsidRPr="001834FD">
        <w:rPr>
          <w:b/>
        </w:rPr>
        <w:t>1b</w:t>
      </w:r>
      <w:r>
        <w:t xml:space="preserve"> </w:t>
      </w:r>
      <w:r w:rsidRPr="002C4121">
        <w:t>in</w:t>
      </w:r>
      <w:r>
        <w:t xml:space="preserve"> water (1 % DMSO) on day 0. </w:t>
      </w:r>
    </w:p>
    <w:p w14:paraId="7162915D" w14:textId="77777777" w:rsidR="00AF52F5" w:rsidRPr="008E71BD" w:rsidRDefault="00AF52F5" w:rsidP="00AF52F5"/>
    <w:p w14:paraId="6D6F8814" w14:textId="77777777" w:rsidR="00AF52F5" w:rsidRDefault="00AF52F5" w:rsidP="00AF52F5">
      <w:pPr>
        <w:keepNext/>
        <w:jc w:val="center"/>
      </w:pPr>
      <w:r>
        <w:rPr>
          <w:noProof/>
          <w:lang w:eastAsia="en-GB"/>
        </w:rPr>
        <w:lastRenderedPageBreak/>
        <w:drawing>
          <wp:inline distT="0" distB="0" distL="0" distR="0" wp14:anchorId="138F43BF" wp14:editId="7A26A12B">
            <wp:extent cx="5201920" cy="4050030"/>
            <wp:effectExtent l="0" t="0" r="508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2O NMR_KAM 2 32 dA 0.png"/>
                    <pic:cNvPicPr/>
                  </pic:nvPicPr>
                  <pic:blipFill>
                    <a:blip r:embed="rId31">
                      <a:extLst>
                        <a:ext uri="{28A0092B-C50C-407E-A947-70E740481C1C}">
                          <a14:useLocalDpi xmlns:a14="http://schemas.microsoft.com/office/drawing/2010/main" val="0"/>
                        </a:ext>
                      </a:extLst>
                    </a:blip>
                    <a:stretch>
                      <a:fillRect/>
                    </a:stretch>
                  </pic:blipFill>
                  <pic:spPr>
                    <a:xfrm>
                      <a:off x="0" y="0"/>
                      <a:ext cx="5201920" cy="4050030"/>
                    </a:xfrm>
                    <a:prstGeom prst="rect">
                      <a:avLst/>
                    </a:prstGeom>
                  </pic:spPr>
                </pic:pic>
              </a:graphicData>
            </a:graphic>
          </wp:inline>
        </w:drawing>
      </w:r>
    </w:p>
    <w:p w14:paraId="6AC46BA9" w14:textId="2E695D0F" w:rsidR="00AF52F5" w:rsidRDefault="00AF52F5" w:rsidP="00AF52F5">
      <w:pPr>
        <w:pStyle w:val="Caption"/>
        <w:jc w:val="both"/>
      </w:pPr>
      <w:bookmarkStart w:id="144" w:name="_Ref512171858"/>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9</w:t>
      </w:r>
      <w:r w:rsidR="009352BF">
        <w:rPr>
          <w:noProof/>
        </w:rPr>
        <w:fldChar w:fldCharType="end"/>
      </w:r>
      <w:bookmarkEnd w:id="144"/>
      <w:r>
        <w:t xml:space="preserve">. </w:t>
      </w:r>
      <w:r w:rsidRPr="003D7E1A">
        <w:rPr>
          <w:b w:val="0"/>
          <w:vertAlign w:val="superscript"/>
        </w:rPr>
        <w:t>1</w:t>
      </w:r>
      <w:r w:rsidRPr="003D7E1A">
        <w:rPr>
          <w:b w:val="0"/>
        </w:rPr>
        <w:t xml:space="preserve">H </w:t>
      </w:r>
      <w:r>
        <w:rPr>
          <w:b w:val="0"/>
        </w:rPr>
        <w:t xml:space="preserve">NMR spectrum of </w:t>
      </w:r>
      <w:r w:rsidRPr="00AF26DB">
        <w:rPr>
          <w:b w:val="0"/>
        </w:rPr>
        <w:t xml:space="preserve">2-(2-cyanoethyliminomethyl)phenol </w:t>
      </w:r>
      <w:r>
        <w:rPr>
          <w:b w:val="0"/>
        </w:rPr>
        <w:t xml:space="preserve">(compound </w:t>
      </w:r>
      <w:r w:rsidRPr="009D71E0">
        <w:t>1b</w:t>
      </w:r>
      <w:r w:rsidRPr="006459AB">
        <w:rPr>
          <w:b w:val="0"/>
        </w:rPr>
        <w:t>)</w:t>
      </w:r>
      <w:r w:rsidRPr="003D7E1A">
        <w:rPr>
          <w:b w:val="0"/>
        </w:rPr>
        <w:t xml:space="preserve"> in H</w:t>
      </w:r>
      <w:r w:rsidRPr="003D7E1A">
        <w:rPr>
          <w:b w:val="0"/>
          <w:vertAlign w:val="subscript"/>
        </w:rPr>
        <w:t>2</w:t>
      </w:r>
      <w:r w:rsidRPr="003D7E1A">
        <w:rPr>
          <w:b w:val="0"/>
        </w:rPr>
        <w:t xml:space="preserve">O on day 0 in deionised water (1% </w:t>
      </w:r>
      <w:r>
        <w:rPr>
          <w:b w:val="0"/>
        </w:rPr>
        <w:t>d6-</w:t>
      </w:r>
      <w:r w:rsidRPr="003D7E1A">
        <w:rPr>
          <w:b w:val="0"/>
        </w:rPr>
        <w:t>DMSO)</w:t>
      </w:r>
      <w:r>
        <w:rPr>
          <w:b w:val="0"/>
        </w:rPr>
        <w:t>.</w:t>
      </w:r>
    </w:p>
    <w:p w14:paraId="0C63311A" w14:textId="4503D514" w:rsidR="00AF52F5" w:rsidRDefault="00AF52F5" w:rsidP="00AF52F5">
      <w:r w:rsidRPr="008E71BD">
        <w:t xml:space="preserve">From </w:t>
      </w:r>
      <w:r>
        <w:fldChar w:fldCharType="begin"/>
      </w:r>
      <w:r>
        <w:instrText xml:space="preserve"> REF _Ref512171858 \h </w:instrText>
      </w:r>
      <w:r>
        <w:fldChar w:fldCharType="separate"/>
      </w:r>
      <w:r w:rsidR="00E6157A">
        <w:t xml:space="preserve">Figure </w:t>
      </w:r>
      <w:r w:rsidR="00E6157A">
        <w:rPr>
          <w:noProof/>
        </w:rPr>
        <w:t>2</w:t>
      </w:r>
      <w:r w:rsidR="00E6157A">
        <w:t>.</w:t>
      </w:r>
      <w:r w:rsidR="00E6157A">
        <w:rPr>
          <w:noProof/>
        </w:rPr>
        <w:t>9</w:t>
      </w:r>
      <w:r>
        <w:fldChar w:fldCharType="end"/>
      </w:r>
      <w:r>
        <w:t xml:space="preserve"> </w:t>
      </w:r>
      <w:r w:rsidRPr="008E71BD">
        <w:t>it is clear that</w:t>
      </w:r>
      <w:r>
        <w:t xml:space="preserve">, when dissolved in an aqueous environment, the imine dissociates into </w:t>
      </w:r>
      <w:r>
        <w:sym w:font="Symbol" w:char="F062"/>
      </w:r>
      <w:r>
        <w:t>-APN and the starting aldehyde. Comparing the ratio of the integrals for the imine and aldehyde protons peaks at ~ 8.5 ppm and 10 ppm respectively, demonstrates a 70:30 ratio of aldehyde:</w:t>
      </w:r>
      <w:r w:rsidR="00561FF7">
        <w:t xml:space="preserve"> </w:t>
      </w:r>
      <w:r>
        <w:t xml:space="preserve">imine is achieved. </w:t>
      </w:r>
      <w:r w:rsidRPr="003531EE">
        <w:rPr>
          <w:vertAlign w:val="superscript"/>
        </w:rPr>
        <w:t>1</w:t>
      </w:r>
      <w:r>
        <w:t xml:space="preserve">H NMR analysis was repeated for the remaining four imines dissolved in water (1 % DMSO). All imines displayed the ability to dissociate back into the starting materials. The ratio of aldehyde to imine proton peaks on day 0 for each imine is summarised in </w:t>
      </w:r>
      <w:r>
        <w:fldChar w:fldCharType="begin"/>
      </w:r>
      <w:r>
        <w:instrText xml:space="preserve"> REF _Ref512171974 \h </w:instrText>
      </w:r>
      <w:r>
        <w:fldChar w:fldCharType="separate"/>
      </w:r>
      <w:r w:rsidR="00E6157A">
        <w:t xml:space="preserve">Figure </w:t>
      </w:r>
      <w:r w:rsidR="00E6157A">
        <w:rPr>
          <w:noProof/>
        </w:rPr>
        <w:t>2</w:t>
      </w:r>
      <w:r w:rsidR="00E6157A">
        <w:t>.</w:t>
      </w:r>
      <w:r w:rsidR="00E6157A">
        <w:rPr>
          <w:noProof/>
        </w:rPr>
        <w:t>10</w:t>
      </w:r>
      <w:r>
        <w:fldChar w:fldCharType="end"/>
      </w:r>
      <w:r w:rsidR="00B73ED0">
        <w:t> (</w:t>
      </w:r>
      <w:r>
        <w:t>A</w:t>
      </w:r>
      <w:r w:rsidR="00B73ED0">
        <w:t>)</w:t>
      </w:r>
      <w:r>
        <w:t>. These ratios changed very little after 7 days (</w:t>
      </w:r>
      <w:r>
        <w:fldChar w:fldCharType="begin"/>
      </w:r>
      <w:r>
        <w:instrText xml:space="preserve"> REF _Ref512171974 \h </w:instrText>
      </w:r>
      <w:r>
        <w:fldChar w:fldCharType="separate"/>
      </w:r>
      <w:r w:rsidR="00E6157A">
        <w:t xml:space="preserve">Figure </w:t>
      </w:r>
      <w:r w:rsidR="00E6157A">
        <w:rPr>
          <w:noProof/>
        </w:rPr>
        <w:t>2</w:t>
      </w:r>
      <w:r w:rsidR="00E6157A">
        <w:t>.</w:t>
      </w:r>
      <w:r w:rsidR="00E6157A">
        <w:rPr>
          <w:noProof/>
        </w:rPr>
        <w:t>10</w:t>
      </w:r>
      <w:r>
        <w:fldChar w:fldCharType="end"/>
      </w:r>
      <w:r w:rsidR="00B73ED0">
        <w:t xml:space="preserve"> (</w:t>
      </w:r>
      <w:r>
        <w:t>B</w:t>
      </w:r>
      <w:r w:rsidR="00B73ED0">
        <w:t>)</w:t>
      </w:r>
      <w:r>
        <w:t xml:space="preserve">), suggesting that the dissociation of each imine reached equilibrium rapidly. </w:t>
      </w:r>
    </w:p>
    <w:p w14:paraId="545F6BEA" w14:textId="77777777" w:rsidR="00AF52F5" w:rsidRPr="009164CB" w:rsidRDefault="00AF52F5" w:rsidP="00AF52F5">
      <w:pPr>
        <w:rPr>
          <w:rFonts w:ascii="Cambria" w:hAnsi="Cambria"/>
          <w:color w:val="000000" w:themeColor="text1"/>
          <w:szCs w:val="22"/>
        </w:rPr>
      </w:pPr>
      <w:r w:rsidRPr="00E20078">
        <w:rPr>
          <w:rFonts w:ascii="Cambria" w:hAnsi="Cambria"/>
          <w:noProof/>
          <w:color w:val="000000" w:themeColor="text1"/>
          <w:szCs w:val="22"/>
        </w:rPr>
        <w:lastRenderedPageBreak/>
        <w:drawing>
          <wp:inline distT="0" distB="0" distL="0" distR="0" wp14:anchorId="3701E3F6" wp14:editId="5E93193A">
            <wp:extent cx="5201920" cy="2294890"/>
            <wp:effectExtent l="0" t="0" r="508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01920" cy="2294890"/>
                    </a:xfrm>
                    <a:prstGeom prst="rect">
                      <a:avLst/>
                    </a:prstGeom>
                  </pic:spPr>
                </pic:pic>
              </a:graphicData>
            </a:graphic>
          </wp:inline>
        </w:drawing>
      </w:r>
    </w:p>
    <w:p w14:paraId="6BBBD60F" w14:textId="538A3D8E" w:rsidR="00AF52F5" w:rsidRDefault="00AF52F5" w:rsidP="00AF52F5">
      <w:pPr>
        <w:pStyle w:val="Caption"/>
        <w:jc w:val="both"/>
      </w:pPr>
      <w:bookmarkStart w:id="145" w:name="_Ref512171974"/>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10</w:t>
      </w:r>
      <w:r w:rsidR="009352BF">
        <w:rPr>
          <w:noProof/>
        </w:rPr>
        <w:fldChar w:fldCharType="end"/>
      </w:r>
      <w:bookmarkEnd w:id="145"/>
      <w:r>
        <w:rPr>
          <w:b w:val="0"/>
        </w:rPr>
        <w:t>. Ratio of aldehyde to</w:t>
      </w:r>
      <w:r w:rsidRPr="003D7E1A">
        <w:rPr>
          <w:b w:val="0"/>
        </w:rPr>
        <w:t xml:space="preserve"> imine</w:t>
      </w:r>
      <w:r>
        <w:rPr>
          <w:b w:val="0"/>
        </w:rPr>
        <w:t>, expressed as a percentage,</w:t>
      </w:r>
      <w:r w:rsidRPr="003D7E1A">
        <w:rPr>
          <w:b w:val="0"/>
        </w:rPr>
        <w:t xml:space="preserve"> for synthesis</w:t>
      </w:r>
      <w:r>
        <w:rPr>
          <w:b w:val="0"/>
        </w:rPr>
        <w:t>ed imines in deionised water (1 </w:t>
      </w:r>
      <w:r w:rsidRPr="003D7E1A">
        <w:rPr>
          <w:b w:val="0"/>
        </w:rPr>
        <w:t xml:space="preserve">% DMSO) on </w:t>
      </w:r>
      <w:r>
        <w:rPr>
          <w:b w:val="0"/>
        </w:rPr>
        <w:t xml:space="preserve">A) </w:t>
      </w:r>
      <w:r w:rsidRPr="003D7E1A">
        <w:rPr>
          <w:b w:val="0"/>
        </w:rPr>
        <w:t>day 0</w:t>
      </w:r>
      <w:r>
        <w:rPr>
          <w:b w:val="0"/>
        </w:rPr>
        <w:t xml:space="preserve"> and B) day 7</w:t>
      </w:r>
      <w:r w:rsidRPr="003D7E1A">
        <w:rPr>
          <w:b w:val="0"/>
        </w:rPr>
        <w:t xml:space="preserve">. </w:t>
      </w:r>
    </w:p>
    <w:p w14:paraId="200FE66D" w14:textId="540A0F06" w:rsidR="00AF52F5" w:rsidRPr="00C808D8" w:rsidRDefault="00AF52F5" w:rsidP="00AF52F5">
      <w:pPr>
        <w:rPr>
          <w:color w:val="000000" w:themeColor="text1"/>
          <w:szCs w:val="22"/>
        </w:rPr>
      </w:pPr>
      <w:r w:rsidRPr="00EE7170">
        <w:rPr>
          <w:color w:val="000000" w:themeColor="text1"/>
          <w:szCs w:val="22"/>
        </w:rPr>
        <w:t xml:space="preserve">To determine whether temperature had an effect on the </w:t>
      </w:r>
      <w:r>
        <w:rPr>
          <w:color w:val="000000" w:themeColor="text1"/>
          <w:szCs w:val="22"/>
        </w:rPr>
        <w:t xml:space="preserve">dissociation of imines </w:t>
      </w:r>
      <w:r w:rsidRPr="00EE7170">
        <w:rPr>
          <w:color w:val="000000" w:themeColor="text1"/>
          <w:szCs w:val="22"/>
        </w:rPr>
        <w:t xml:space="preserve">in an aqueous environment, </w:t>
      </w:r>
      <w:r>
        <w:rPr>
          <w:color w:val="000000" w:themeColor="text1"/>
          <w:szCs w:val="22"/>
        </w:rPr>
        <w:t xml:space="preserve">compound </w:t>
      </w:r>
      <w:r w:rsidRPr="00F41630">
        <w:rPr>
          <w:rFonts w:cs="AppleSystemUIFont"/>
          <w:b/>
          <w:color w:val="000000" w:themeColor="text1"/>
          <w:lang w:val="en-US"/>
        </w:rPr>
        <w:t>1b</w:t>
      </w:r>
      <w:r>
        <w:rPr>
          <w:rFonts w:ascii="AppleSystemUIFont" w:hAnsi="AppleSystemUIFont" w:cs="AppleSystemUIFont"/>
          <w:color w:val="353535"/>
          <w:lang w:val="en-US"/>
        </w:rPr>
        <w:t xml:space="preserve"> </w:t>
      </w:r>
      <w:r>
        <w:t xml:space="preserve">was dissolved in deionised water (1 % DMSO) and analysed by </w:t>
      </w:r>
      <w:r w:rsidRPr="0068560C">
        <w:rPr>
          <w:vertAlign w:val="superscript"/>
        </w:rPr>
        <w:t>1</w:t>
      </w:r>
      <w:r>
        <w:t>H NMR spectroscopy at 4, 20 and 37 </w:t>
      </w:r>
      <w:r>
        <w:sym w:font="Symbol" w:char="F0B0"/>
      </w:r>
      <w:r>
        <w:t xml:space="preserve">C. The ratio of the integrals of aldehyde and imine protons are summarised in </w:t>
      </w:r>
      <w:r>
        <w:fldChar w:fldCharType="begin"/>
      </w:r>
      <w:r>
        <w:instrText xml:space="preserve"> REF _Ref512172027 \h </w:instrText>
      </w:r>
      <w:r>
        <w:fldChar w:fldCharType="separate"/>
      </w:r>
      <w:r w:rsidR="00E6157A">
        <w:t xml:space="preserve">Figure </w:t>
      </w:r>
      <w:r w:rsidR="00E6157A">
        <w:rPr>
          <w:noProof/>
        </w:rPr>
        <w:t>2</w:t>
      </w:r>
      <w:r w:rsidR="00E6157A">
        <w:t>.</w:t>
      </w:r>
      <w:r w:rsidR="00E6157A">
        <w:rPr>
          <w:noProof/>
        </w:rPr>
        <w:t>11</w:t>
      </w:r>
      <w:r>
        <w:fldChar w:fldCharType="end"/>
      </w:r>
      <w:r>
        <w:t xml:space="preserve">. </w:t>
      </w:r>
    </w:p>
    <w:p w14:paraId="1D07A982" w14:textId="77777777" w:rsidR="00AF52F5" w:rsidRDefault="00AF52F5" w:rsidP="00AF52F5">
      <w:pPr>
        <w:keepNext/>
        <w:jc w:val="center"/>
      </w:pPr>
      <w:r w:rsidRPr="00C808D8">
        <w:rPr>
          <w:noProof/>
        </w:rPr>
        <w:drawing>
          <wp:inline distT="0" distB="0" distL="0" distR="0" wp14:anchorId="4C3B9D23" wp14:editId="2608241A">
            <wp:extent cx="3911081" cy="2222205"/>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40428" cy="2238880"/>
                    </a:xfrm>
                    <a:prstGeom prst="rect">
                      <a:avLst/>
                    </a:prstGeom>
                  </pic:spPr>
                </pic:pic>
              </a:graphicData>
            </a:graphic>
          </wp:inline>
        </w:drawing>
      </w:r>
    </w:p>
    <w:p w14:paraId="49FEA5C2" w14:textId="6740E288" w:rsidR="00AF52F5" w:rsidRPr="00C84632" w:rsidRDefault="00AF52F5" w:rsidP="00AF52F5">
      <w:pPr>
        <w:pStyle w:val="Caption"/>
        <w:jc w:val="both"/>
        <w:rPr>
          <w:rFonts w:ascii="Cambria" w:hAnsi="Cambria"/>
          <w:szCs w:val="22"/>
        </w:rPr>
      </w:pPr>
      <w:bookmarkStart w:id="146" w:name="_Ref512172027"/>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11</w:t>
      </w:r>
      <w:r w:rsidR="009352BF">
        <w:rPr>
          <w:noProof/>
        </w:rPr>
        <w:fldChar w:fldCharType="end"/>
      </w:r>
      <w:bookmarkEnd w:id="146"/>
      <w:r>
        <w:t xml:space="preserve">. </w:t>
      </w:r>
      <w:r w:rsidRPr="003D7E1A">
        <w:rPr>
          <w:b w:val="0"/>
          <w:color w:val="000000" w:themeColor="text1"/>
        </w:rPr>
        <w:t>Ratio of the integrals of aldehyde and imine protons for</w:t>
      </w:r>
      <w:r>
        <w:rPr>
          <w:b w:val="0"/>
          <w:color w:val="000000" w:themeColor="text1"/>
        </w:rPr>
        <w:t xml:space="preserve"> (</w:t>
      </w:r>
      <w:r>
        <w:rPr>
          <w:rFonts w:cs="AppleSystemUIFont"/>
          <w:b w:val="0"/>
          <w:color w:val="000000" w:themeColor="text1"/>
          <w:lang w:val="en-US"/>
        </w:rPr>
        <w:t>2</w:t>
      </w:r>
      <w:r>
        <w:rPr>
          <w:rFonts w:cs="AppleSystemUIFont"/>
          <w:b w:val="0"/>
          <w:color w:val="000000" w:themeColor="text1"/>
          <w:lang w:val="en-US"/>
        </w:rPr>
        <w:noBreakHyphen/>
        <w:t>(2</w:t>
      </w:r>
      <w:r>
        <w:rPr>
          <w:rFonts w:cs="AppleSystemUIFont"/>
          <w:b w:val="0"/>
          <w:color w:val="000000" w:themeColor="text1"/>
          <w:lang w:val="en-US"/>
        </w:rPr>
        <w:noBreakHyphen/>
      </w:r>
      <w:r w:rsidRPr="003D7E1A">
        <w:rPr>
          <w:rFonts w:cs="AppleSystemUIFont"/>
          <w:b w:val="0"/>
          <w:color w:val="000000" w:themeColor="text1"/>
          <w:lang w:val="en-US"/>
        </w:rPr>
        <w:t>cyanoethyliminomethyl)phenol</w:t>
      </w:r>
      <w:r>
        <w:rPr>
          <w:rFonts w:cs="AppleSystemUIFont"/>
          <w:b w:val="0"/>
          <w:color w:val="000000" w:themeColor="text1"/>
          <w:lang w:val="en-US"/>
        </w:rPr>
        <w:t>) (</w:t>
      </w:r>
      <w:r>
        <w:rPr>
          <w:b w:val="0"/>
          <w:color w:val="000000" w:themeColor="text1"/>
        </w:rPr>
        <w:t xml:space="preserve">compound </w:t>
      </w:r>
      <w:r w:rsidRPr="009F11E7">
        <w:rPr>
          <w:color w:val="000000" w:themeColor="text1"/>
        </w:rPr>
        <w:t>1b</w:t>
      </w:r>
      <w:r>
        <w:rPr>
          <w:b w:val="0"/>
          <w:color w:val="000000" w:themeColor="text1"/>
        </w:rPr>
        <w:t xml:space="preserve">) </w:t>
      </w:r>
      <w:r w:rsidRPr="003D7E1A">
        <w:rPr>
          <w:b w:val="0"/>
          <w:color w:val="000000" w:themeColor="text1"/>
        </w:rPr>
        <w:t>at 4, 20 and 37</w:t>
      </w:r>
      <w:r>
        <w:rPr>
          <w:b w:val="0"/>
          <w:color w:val="000000" w:themeColor="text1"/>
        </w:rPr>
        <w:t> </w:t>
      </w:r>
      <w:r w:rsidRPr="003D7E1A">
        <w:rPr>
          <w:b w:val="0"/>
          <w:color w:val="000000" w:themeColor="text1"/>
        </w:rPr>
        <w:sym w:font="Symbol" w:char="F0B0"/>
      </w:r>
      <w:r w:rsidRPr="003D7E1A">
        <w:rPr>
          <w:b w:val="0"/>
          <w:color w:val="000000" w:themeColor="text1"/>
        </w:rPr>
        <w:t>C</w:t>
      </w:r>
      <w:r>
        <w:rPr>
          <w:b w:val="0"/>
          <w:color w:val="000000" w:themeColor="text1"/>
        </w:rPr>
        <w:t xml:space="preserve">. </w:t>
      </w:r>
    </w:p>
    <w:p w14:paraId="4929F2E5" w14:textId="39854FD3" w:rsidR="00AF52F5" w:rsidRDefault="00AF52F5" w:rsidP="00AF52F5">
      <w:r>
        <w:fldChar w:fldCharType="begin"/>
      </w:r>
      <w:r>
        <w:instrText xml:space="preserve"> REF _Ref512172027 \h </w:instrText>
      </w:r>
      <w:r>
        <w:fldChar w:fldCharType="separate"/>
      </w:r>
      <w:r w:rsidR="00E6157A">
        <w:t xml:space="preserve">Figure </w:t>
      </w:r>
      <w:r w:rsidR="00E6157A">
        <w:rPr>
          <w:noProof/>
        </w:rPr>
        <w:t>2</w:t>
      </w:r>
      <w:r w:rsidR="00E6157A">
        <w:t>.</w:t>
      </w:r>
      <w:r w:rsidR="00E6157A">
        <w:rPr>
          <w:noProof/>
        </w:rPr>
        <w:t>11</w:t>
      </w:r>
      <w:r>
        <w:fldChar w:fldCharType="end"/>
      </w:r>
      <w:r>
        <w:t xml:space="preserve"> shows</w:t>
      </w:r>
      <w:r w:rsidRPr="00D83C2C">
        <w:t xml:space="preserve"> as the temperature of the sample is increased</w:t>
      </w:r>
      <w:r>
        <w:t xml:space="preserve"> towards physiological temperature</w:t>
      </w:r>
      <w:r w:rsidRPr="00D83C2C">
        <w:t xml:space="preserve">, the </w:t>
      </w:r>
      <w:r>
        <w:t>equilibrium for dissociation shifts towards the aldehyde starting material. Overall</w:t>
      </w:r>
      <w:r w:rsidR="008B4910">
        <w:t>,</w:t>
      </w:r>
      <w:r>
        <w:t xml:space="preserve"> this work demonstrates the ability of the salicylaldehyde-based imines to dissociate back </w:t>
      </w:r>
      <w:r w:rsidR="008B4910">
        <w:t>in</w:t>
      </w:r>
      <w:r>
        <w:t xml:space="preserve">to the starting aldehyde and </w:t>
      </w:r>
      <w:r>
        <w:sym w:font="Symbol" w:char="F062"/>
      </w:r>
      <w:r>
        <w:t>-APN in response to an environmental cue and outlines their potential as topical prodrugs.</w:t>
      </w:r>
    </w:p>
    <w:p w14:paraId="4B3BC9C7" w14:textId="49644CBD" w:rsidR="001F1B26" w:rsidRPr="008B4910" w:rsidRDefault="007806CC" w:rsidP="007806CC">
      <w:pPr>
        <w:rPr>
          <w:color w:val="000000" w:themeColor="text1"/>
        </w:rPr>
      </w:pPr>
      <w:r w:rsidRPr="008B4910">
        <w:rPr>
          <w:color w:val="000000" w:themeColor="text1"/>
        </w:rPr>
        <w:t>These experiments were performed for a single replicate, therefore no error has been reported for the data displayed in Figures 2.10</w:t>
      </w:r>
      <w:r w:rsidR="00B73ED0">
        <w:rPr>
          <w:color w:val="000000" w:themeColor="text1"/>
        </w:rPr>
        <w:t xml:space="preserve"> (</w:t>
      </w:r>
      <w:r w:rsidRPr="008B4910">
        <w:rPr>
          <w:color w:val="000000" w:themeColor="text1"/>
        </w:rPr>
        <w:t>A</w:t>
      </w:r>
      <w:r w:rsidR="00B73ED0">
        <w:rPr>
          <w:color w:val="000000" w:themeColor="text1"/>
        </w:rPr>
        <w:t>)</w:t>
      </w:r>
      <w:r w:rsidRPr="008B4910">
        <w:rPr>
          <w:color w:val="000000" w:themeColor="text1"/>
        </w:rPr>
        <w:t>, 2.10</w:t>
      </w:r>
      <w:r w:rsidR="00B73ED0">
        <w:rPr>
          <w:color w:val="000000" w:themeColor="text1"/>
        </w:rPr>
        <w:t xml:space="preserve"> (</w:t>
      </w:r>
      <w:r w:rsidRPr="008B4910">
        <w:rPr>
          <w:color w:val="000000" w:themeColor="text1"/>
        </w:rPr>
        <w:t>B</w:t>
      </w:r>
      <w:r w:rsidR="00B73ED0">
        <w:rPr>
          <w:color w:val="000000" w:themeColor="text1"/>
        </w:rPr>
        <w:t>)</w:t>
      </w:r>
      <w:r w:rsidRPr="008B4910">
        <w:rPr>
          <w:color w:val="000000" w:themeColor="text1"/>
        </w:rPr>
        <w:t xml:space="preserve"> and 2.11. In order to </w:t>
      </w:r>
      <w:r w:rsidRPr="008B4910">
        <w:rPr>
          <w:color w:val="000000" w:themeColor="text1"/>
        </w:rPr>
        <w:lastRenderedPageBreak/>
        <w:t>understand the reproducibility of this data, the experiments could be repeated multiple times, taking an average of the aldehyde to imine ratios for each compound across the replicates. This would help to understand whether the trends seen in Figures 2.10</w:t>
      </w:r>
      <w:r w:rsidR="00B73ED0">
        <w:rPr>
          <w:color w:val="000000" w:themeColor="text1"/>
        </w:rPr>
        <w:t xml:space="preserve"> (</w:t>
      </w:r>
      <w:r w:rsidRPr="008B4910">
        <w:rPr>
          <w:color w:val="000000" w:themeColor="text1"/>
        </w:rPr>
        <w:t>A</w:t>
      </w:r>
      <w:r w:rsidR="00B73ED0">
        <w:rPr>
          <w:color w:val="000000" w:themeColor="text1"/>
        </w:rPr>
        <w:t>)</w:t>
      </w:r>
      <w:r w:rsidRPr="008B4910">
        <w:rPr>
          <w:color w:val="000000" w:themeColor="text1"/>
        </w:rPr>
        <w:t>, 2.10</w:t>
      </w:r>
      <w:r w:rsidR="00B73ED0">
        <w:rPr>
          <w:color w:val="000000" w:themeColor="text1"/>
        </w:rPr>
        <w:t xml:space="preserve"> (</w:t>
      </w:r>
      <w:r w:rsidRPr="008B4910">
        <w:rPr>
          <w:color w:val="000000" w:themeColor="text1"/>
        </w:rPr>
        <w:t>B</w:t>
      </w:r>
      <w:r w:rsidR="00B73ED0">
        <w:rPr>
          <w:color w:val="000000" w:themeColor="text1"/>
        </w:rPr>
        <w:t>)</w:t>
      </w:r>
      <w:r w:rsidRPr="008B4910">
        <w:rPr>
          <w:color w:val="000000" w:themeColor="text1"/>
        </w:rPr>
        <w:t xml:space="preserve"> and 2.11 are reproducible. There are several sources that could introduce error in these experiments. Firstly, the solutions were prepared by weighing the mass of the compound using a balance, accurate to 4 decimal places. Errors</w:t>
      </w:r>
      <w:r w:rsidR="001F1B26" w:rsidRPr="008B4910">
        <w:rPr>
          <w:color w:val="000000" w:themeColor="text1"/>
        </w:rPr>
        <w:t xml:space="preserve"> associated with</w:t>
      </w:r>
      <w:r w:rsidRPr="008B4910">
        <w:rPr>
          <w:color w:val="000000" w:themeColor="text1"/>
        </w:rPr>
        <w:t xml:space="preserve"> the balance, as well as human error preparing the compound in solution, could result in discrepancies in sample concentrations</w:t>
      </w:r>
      <w:r w:rsidR="001F1B26" w:rsidRPr="008B4910">
        <w:rPr>
          <w:color w:val="000000" w:themeColor="text1"/>
        </w:rPr>
        <w:t xml:space="preserve">. </w:t>
      </w:r>
      <w:r w:rsidRPr="008B4910">
        <w:rPr>
          <w:color w:val="000000" w:themeColor="text1"/>
        </w:rPr>
        <w:t>Changes to the sample concentration would have a large effect on the equilibrium ratio between the aldehyde and imine, and therefore would be one of the largest sources of error for this data.</w:t>
      </w:r>
      <w:r w:rsidR="001F1B26" w:rsidRPr="008B4910">
        <w:rPr>
          <w:color w:val="000000" w:themeColor="text1"/>
        </w:rPr>
        <w:t xml:space="preserve"> </w:t>
      </w:r>
      <w:r w:rsidRPr="008B4910">
        <w:rPr>
          <w:color w:val="000000" w:themeColor="text1"/>
        </w:rPr>
        <w:t>Second, the samples in Figures 2.10</w:t>
      </w:r>
      <w:r w:rsidR="00651AFA">
        <w:rPr>
          <w:color w:val="000000" w:themeColor="text1"/>
        </w:rPr>
        <w:t> (</w:t>
      </w:r>
      <w:r w:rsidRPr="008B4910">
        <w:rPr>
          <w:color w:val="000000" w:themeColor="text1"/>
        </w:rPr>
        <w:t>A</w:t>
      </w:r>
      <w:r w:rsidR="00651AFA">
        <w:rPr>
          <w:color w:val="000000" w:themeColor="text1"/>
        </w:rPr>
        <w:t>)</w:t>
      </w:r>
      <w:r w:rsidRPr="008B4910">
        <w:rPr>
          <w:color w:val="000000" w:themeColor="text1"/>
        </w:rPr>
        <w:t xml:space="preserve"> and 2.10</w:t>
      </w:r>
      <w:r w:rsidR="00651AFA">
        <w:rPr>
          <w:color w:val="000000" w:themeColor="text1"/>
        </w:rPr>
        <w:t> (</w:t>
      </w:r>
      <w:r w:rsidRPr="008B4910">
        <w:rPr>
          <w:color w:val="000000" w:themeColor="text1"/>
        </w:rPr>
        <w:t>B</w:t>
      </w:r>
      <w:r w:rsidR="00651AFA">
        <w:rPr>
          <w:color w:val="000000" w:themeColor="text1"/>
        </w:rPr>
        <w:t>)</w:t>
      </w:r>
      <w:r w:rsidRPr="008B4910">
        <w:rPr>
          <w:color w:val="000000" w:themeColor="text1"/>
        </w:rPr>
        <w:t xml:space="preserve"> were maintained at ambient temperature for 1 week, however the lab temperature was not controlled during the experiment and therefore could be susceptible to fluctuations during this period. As demonstrated by the data in Figure 2.11, temperature has an effect on the equilibrium for the hydrolysis of the imine to the aldehyde. For the data in Figure 2.11, samples were allowed to equilibrate at the set temperature for 15 minutes prior to data acquisition. This was deemed sufficient to allow the sample to reach equilibrium, however future work could investigate leaving the sample at a set temperature for a longer time period prior to spectrum acquisition and determine whether this gave a more reproducible result.</w:t>
      </w:r>
      <w:r w:rsidR="001F1B26" w:rsidRPr="008B4910">
        <w:rPr>
          <w:color w:val="000000" w:themeColor="text1"/>
        </w:rPr>
        <w:t xml:space="preserve"> </w:t>
      </w:r>
      <w:r w:rsidRPr="008B4910">
        <w:rPr>
          <w:color w:val="000000" w:themeColor="text1"/>
        </w:rPr>
        <w:t>A f</w:t>
      </w:r>
      <w:r w:rsidR="00561FF7">
        <w:rPr>
          <w:color w:val="000000" w:themeColor="text1"/>
        </w:rPr>
        <w:t xml:space="preserve">urther </w:t>
      </w:r>
      <w:r w:rsidR="001F1B26" w:rsidRPr="008B4910">
        <w:rPr>
          <w:color w:val="000000" w:themeColor="text1"/>
        </w:rPr>
        <w:t>s</w:t>
      </w:r>
      <w:r w:rsidRPr="008B4910">
        <w:rPr>
          <w:color w:val="000000" w:themeColor="text1"/>
        </w:rPr>
        <w:t>our</w:t>
      </w:r>
      <w:r w:rsidR="001F1B26" w:rsidRPr="008B4910">
        <w:rPr>
          <w:color w:val="000000" w:themeColor="text1"/>
        </w:rPr>
        <w:t>c</w:t>
      </w:r>
      <w:r w:rsidRPr="008B4910">
        <w:rPr>
          <w:color w:val="000000" w:themeColor="text1"/>
        </w:rPr>
        <w:t xml:space="preserve">e of error for this data is </w:t>
      </w:r>
      <w:r w:rsidR="00337FB4" w:rsidRPr="008B4910">
        <w:rPr>
          <w:color w:val="000000" w:themeColor="text1"/>
        </w:rPr>
        <w:t>from</w:t>
      </w:r>
      <w:r w:rsidRPr="008B4910">
        <w:rPr>
          <w:color w:val="000000" w:themeColor="text1"/>
        </w:rPr>
        <w:t xml:space="preserve"> the measurement of the integrals for both the aldehyde and imine protons </w:t>
      </w:r>
      <w:r w:rsidR="001F1B26" w:rsidRPr="008B4910">
        <w:rPr>
          <w:color w:val="000000" w:themeColor="text1"/>
        </w:rPr>
        <w:t>in</w:t>
      </w:r>
      <w:r w:rsidRPr="008B4910">
        <w:rPr>
          <w:color w:val="000000" w:themeColor="text1"/>
        </w:rPr>
        <w:t xml:space="preserve"> the </w:t>
      </w:r>
      <w:r w:rsidRPr="008B4910">
        <w:rPr>
          <w:color w:val="000000" w:themeColor="text1"/>
          <w:vertAlign w:val="superscript"/>
        </w:rPr>
        <w:t>1</w:t>
      </w:r>
      <w:r w:rsidRPr="008B4910">
        <w:rPr>
          <w:color w:val="000000" w:themeColor="text1"/>
        </w:rPr>
        <w:t>H NMR spectrum.</w:t>
      </w:r>
      <w:r w:rsidR="00337FB4" w:rsidRPr="008B4910">
        <w:rPr>
          <w:color w:val="000000" w:themeColor="text1"/>
        </w:rPr>
        <w:t xml:space="preserve"> </w:t>
      </w:r>
      <w:r w:rsidR="001F1B26" w:rsidRPr="008B4910">
        <w:rPr>
          <w:color w:val="000000" w:themeColor="text1"/>
        </w:rPr>
        <w:t>The samples were run using a solvent suppression protocol, to reduce the signal</w:t>
      </w:r>
      <w:r w:rsidR="00337FB4" w:rsidRPr="008B4910">
        <w:rPr>
          <w:color w:val="000000" w:themeColor="text1"/>
        </w:rPr>
        <w:t xml:space="preserve"> from the water protons</w:t>
      </w:r>
      <w:r w:rsidR="001F1B26" w:rsidRPr="008B4910">
        <w:rPr>
          <w:color w:val="000000" w:themeColor="text1"/>
        </w:rPr>
        <w:t xml:space="preserve"> in the </w:t>
      </w:r>
      <w:r w:rsidR="001F1B26" w:rsidRPr="008B4910">
        <w:rPr>
          <w:color w:val="000000" w:themeColor="text1"/>
          <w:vertAlign w:val="superscript"/>
        </w:rPr>
        <w:t>1</w:t>
      </w:r>
      <w:r w:rsidR="001F1B26" w:rsidRPr="008B4910">
        <w:rPr>
          <w:color w:val="000000" w:themeColor="text1"/>
        </w:rPr>
        <w:t>H</w:t>
      </w:r>
      <w:r w:rsidR="00337FB4" w:rsidRPr="008B4910">
        <w:rPr>
          <w:color w:val="000000" w:themeColor="text1"/>
        </w:rPr>
        <w:t> </w:t>
      </w:r>
      <w:r w:rsidR="001F1B26" w:rsidRPr="008B4910">
        <w:rPr>
          <w:color w:val="000000" w:themeColor="text1"/>
        </w:rPr>
        <w:t>NMR spectrum</w:t>
      </w:r>
      <w:r w:rsidR="00337FB4" w:rsidRPr="008B4910">
        <w:rPr>
          <w:color w:val="000000" w:themeColor="text1"/>
        </w:rPr>
        <w:t>. This technique often results in a greater amount of noise in the spectrum</w:t>
      </w:r>
      <w:r w:rsidR="001F1B26" w:rsidRPr="008B4910">
        <w:rPr>
          <w:color w:val="000000" w:themeColor="text1"/>
        </w:rPr>
        <w:t>.</w:t>
      </w:r>
      <w:r w:rsidR="00337FB4" w:rsidRPr="008B4910">
        <w:rPr>
          <w:color w:val="000000" w:themeColor="text1"/>
        </w:rPr>
        <w:t xml:space="preserve"> To improve the signal to noise ratio, the number of scans can be increased in the experiment, however, this comes at a cost greatly increasing the acquisition times of the experiment. </w:t>
      </w:r>
    </w:p>
    <w:p w14:paraId="287A6E34" w14:textId="44582D02" w:rsidR="00DA60D0" w:rsidRDefault="001F1B26" w:rsidP="00AF52F5">
      <w:pPr>
        <w:rPr>
          <w:color w:val="000000" w:themeColor="text1"/>
        </w:rPr>
      </w:pPr>
      <w:r w:rsidRPr="001F1B26">
        <w:rPr>
          <w:color w:val="000000" w:themeColor="text1"/>
        </w:rPr>
        <w:t>Having demonstrated the ability of the synthesised compounds to dissociate in an aqueous environment, a final experiment</w:t>
      </w:r>
      <w:r w:rsidR="00AF52F5" w:rsidRPr="001F1B26">
        <w:rPr>
          <w:color w:val="000000" w:themeColor="text1"/>
        </w:rPr>
        <w:t xml:space="preserve"> considered how these prodrugs might be delivered therapeutically. As mentioned in Chapter </w:t>
      </w:r>
      <w:r w:rsidR="00AF52F5" w:rsidRPr="00645C23">
        <w:rPr>
          <w:color w:val="000000" w:themeColor="text1"/>
        </w:rPr>
        <w:t>1, film forming systems (FFS) are an efficient and pain-free method of topical drug delivery.</w:t>
      </w:r>
      <w:r w:rsidR="00AF52F5" w:rsidRPr="00645C23">
        <w:rPr>
          <w:color w:val="000000" w:themeColor="text1"/>
        </w:rPr>
        <w:fldChar w:fldCharType="begin" w:fldLock="1"/>
      </w:r>
      <w:r w:rsidR="0085447D">
        <w:rPr>
          <w:color w:val="000000" w:themeColor="text1"/>
        </w:rPr>
        <w:instrText>ADDIN CSL_CITATION {"citationItems":[{"id":"ITEM-1","itemData":{"DOI":"10.1016/j.ajps.2017.07.004","ISSN":"2221285X","abstract":"Skin is considered as an important route of administration of drugs for both local and systemic effects. The effectiveness of topical therapy depends on the physicochemical properties of the drug and adherence of the patient to the treatment regimen as well as the system's ability to adhere to skin during the therapy so as to promote drug penetration through the skin barrier. Conventional formulations for topical and dermatological administration of drugs have certain limitations like poor adherence to skin, poor permeability and compromised patient compliance. For the treatment of diseases of body tissues and wounds, the drug has to be maintained at the site of treatment for an effective period of time. Topical film forming systems are such developing drug delivery systems meant for topical application to the skin, which adhere to the body, forming a thin transparent film and provide delivery of the active ingredients to the body tissue. These are intended for skin application as emollient or protective and for local action or transdermal penetration of medicament for systemic action. The transparency is an appreciable feature of this polymeric system which greatly influences the patient acceptance. In the current discussion, the film forming systems are described as a promising choice for topical and transdermal drug delivery. Further the various types of film forming systems (sprays/solutions, gels and emulsions) along with their evaluation parameters have also been reviewed.","author":[{"dropping-particle":"","family":"Kathe","given":"Kashmira","non-dropping-particle":"","parse-names":false,"suffix":""},{"dropping-particle":"","family":"Kathpalia","given":"Harsha","non-dropping-particle":"","parse-names":false,"suffix":""}],"container-title":"Asian Journal of Pharmaceutical Sciences","id":"ITEM-1","issue":"6","issued":{"date-parts":[["2017"]]},"page":"487-497","publisher":"Elsevier B.V.","title":"Film forming systems for topical and transdermal drug delivery","type":"article-journal","volume":"12"},"uris":["http://www.mendeley.com/documents/?uuid=2f3d6700-ab86-4810-ba4f-e5a56337c680"]}],"mendeley":{"formattedCitation":"&lt;sup&gt;118&lt;/sup&gt;","plainTextFormattedCitation":"118","previouslyFormattedCitation":"&lt;sup&gt;118&lt;/sup&gt;"},"properties":{"noteIndex":0},"schema":"https://github.com/citation-style-language/schema/raw/master/csl-citation.json"}</w:instrText>
      </w:r>
      <w:r w:rsidR="00AF52F5" w:rsidRPr="00645C23">
        <w:rPr>
          <w:color w:val="000000" w:themeColor="text1"/>
        </w:rPr>
        <w:fldChar w:fldCharType="separate"/>
      </w:r>
      <w:r w:rsidR="00B02713" w:rsidRPr="00B02713">
        <w:rPr>
          <w:noProof/>
          <w:color w:val="000000" w:themeColor="text1"/>
          <w:vertAlign w:val="superscript"/>
        </w:rPr>
        <w:t>118</w:t>
      </w:r>
      <w:r w:rsidR="00AF52F5" w:rsidRPr="00645C23">
        <w:rPr>
          <w:color w:val="000000" w:themeColor="text1"/>
        </w:rPr>
        <w:fldChar w:fldCharType="end"/>
      </w:r>
      <w:r w:rsidR="00AF52F5" w:rsidRPr="00645C23">
        <w:rPr>
          <w:color w:val="000000" w:themeColor="text1"/>
        </w:rPr>
        <w:t xml:space="preserve"> Many FFS use volatile solvents, such as ethanol, to dissolve both the drug and the film forming polymer.</w:t>
      </w:r>
      <w:r w:rsidR="00AF52F5" w:rsidRPr="00645C23">
        <w:rPr>
          <w:color w:val="000000" w:themeColor="text1"/>
        </w:rPr>
        <w:fldChar w:fldCharType="begin" w:fldLock="1"/>
      </w:r>
      <w:r w:rsidR="0085447D">
        <w:rPr>
          <w:color w:val="000000" w:themeColor="text1"/>
        </w:rPr>
        <w:instrText>ADDIN CSL_CITATION {"citationItems":[{"id":"ITEM-1","itemData":{"DOI":"10.1016/j.ejpb.2015.01.002","ISSN":"18733441","PMID":"25595740","abstract":"Polymeric film-forming systems (FFSs) are potential drug delivery systems for topical application to the skin. The FFSs form thin and transparent polymeric films in situ upon solvent evaporation. Their application convenience and cosmetic attributes, superior to conventional semi-solids, may offer improved patient compliance. This study represents the first phase of an investigation into the use of FFSs for prolonged dermal drug delivery. FFS formulations were distinguished based on their ability to sustain the release of betamethasone 17-valerate (BMV) in vitro over 72 h. The effect of film-forming polymer (hydrophilic: hydroxypropyl cellulose (Klucel™ LF); hydrophobic: polymethacrylate copolymers (Eudragit® NE and Eudragit® RS), and polyacrylate copolymer (Dermacryl® 79) was first determined, and then the impact of incorporation of plasticisers (triethyl citrate, tributyl citrate, and dibutyl sebacate) was examined. The Klucel film released a significantly higher amount of BMV than the hydrophobic FFS, 42 versus 4 μg/cm2, respectively. The release was increased when a plasticiser was incorporated, and with higher enhancement ratios achieved with the more lipophilic plasticisers. In conclusion, the results show that FFSs can sustain drug release (hence representing useful systems for prolonged dermal therapy) and emphasise the importance of the formulation on drug delivery, with the type of polymer being of greatest significance.","author":[{"dropping-particle":"","family":"Frederiksen","given":"Kit","non-dropping-particle":"","parse-names":false,"suffix":""},{"dropping-particle":"","family":"Guy","given":"Richard H.","non-dropping-particle":"","parse-names":false,"suffix":""},{"dropping-particle":"","family":"Petersson","given":"Karsten","non-dropping-particle":"","parse-names":false,"suffix":""}],"container-title":"European Journal of Pharmaceutics and Biopharmaceutics","id":"ITEM-1","issued":{"date-parts":[["2015"]]},"page":"9-15","publisher":"Elsevier B.V.","title":"Formulation considerations in the design of topical, polymeric film-forming systems for sustained drug delivery to the skin","type":"article-journal","volume":"91"},"uris":["http://www.mendeley.com/documents/?uuid=e34c3f98-0c20-4632-a128-149bb74570a8"]}],"mendeley":{"formattedCitation":"&lt;sup&gt;176&lt;/sup&gt;","plainTextFormattedCitation":"176","previouslyFormattedCitation":"&lt;sup&gt;176&lt;/sup&gt;"},"properties":{"noteIndex":0},"schema":"https://github.com/citation-style-language/schema/raw/master/csl-citation.json"}</w:instrText>
      </w:r>
      <w:r w:rsidR="00AF52F5" w:rsidRPr="00645C23">
        <w:rPr>
          <w:color w:val="000000" w:themeColor="text1"/>
        </w:rPr>
        <w:fldChar w:fldCharType="separate"/>
      </w:r>
      <w:r w:rsidR="00B02713" w:rsidRPr="00B02713">
        <w:rPr>
          <w:noProof/>
          <w:color w:val="000000" w:themeColor="text1"/>
          <w:vertAlign w:val="superscript"/>
        </w:rPr>
        <w:t>176</w:t>
      </w:r>
      <w:r w:rsidR="00AF52F5" w:rsidRPr="00645C23">
        <w:rPr>
          <w:color w:val="000000" w:themeColor="text1"/>
        </w:rPr>
        <w:fldChar w:fldCharType="end"/>
      </w:r>
      <w:r w:rsidR="00AF52F5" w:rsidRPr="00645C23">
        <w:rPr>
          <w:color w:val="000000" w:themeColor="text1"/>
          <w:vertAlign w:val="superscript"/>
        </w:rPr>
        <w:t>,</w:t>
      </w:r>
      <w:r w:rsidR="00AF52F5" w:rsidRPr="00645C23">
        <w:rPr>
          <w:color w:val="000000" w:themeColor="text1"/>
        </w:rPr>
        <w:fldChar w:fldCharType="begin" w:fldLock="1"/>
      </w:r>
      <w:r w:rsidR="0085447D">
        <w:rPr>
          <w:color w:val="000000" w:themeColor="text1"/>
        </w:rPr>
        <w:instrText>ADDIN CSL_CITATION {"citationItems":[{"id":"ITEM-1","itemData":{"DOI":"10.1016/j.ejpb.2006.07.015","ISBN":"0939-6411","ISSN":"09396411","PMID":"16950609","abstract":"Film forming polymeric solutions as a novel approach for skin drug delivery were developed and characterized concerning their mechanical properties and water vapor permeability. They were developed by varying type and content of the film forming polymer as well as nature and content of the plasticizer. The resulting formulations were evaluated according to five criteria: drying time, cosmetical attractiveness, outward stickiness, integrity on skin (after 18 h) and viscosity. Among the 14 tested polymers 10 film formers yielded formulations with a positive evaluation in all five test criteria. Selected formulations were then investigated for tensile strength and elongation at break in vitro and for water vapor permeability in vitro (WVP) and in vivo (TEWL). Their mechanical properties determined in vitro were found to be not predictive for the flexibility and abrasion resistance observed on living skin. Similar to this, the results derived from the WVP and the TEWL methods were not in accordance with each other. Obviously, the investigated in vitro methods do not characterize the properties of the thin films on living skin satisfactorily. Nevertheless, the identified film forming solutions are a promising approach and will provide the basis for the further development of this novel dosage form. © 2006 Elsevier B.V. All rights reserved.","author":[{"dropping-particle":"","family":"Zurdo Schroeder","given":"Ines","non-dropping-particle":"","parse-names":false,"suffix":""},{"dropping-particle":"","family":"Franke","given":"Patrick","non-dropping-particle":"","parse-names":false,"suffix":""},{"dropping-particle":"","family":"Schaefer","given":"Ulrich F.","non-dropping-particle":"","parse-names":false,"suffix":""},{"dropping-particle":"","family":"Lehr","given":"Claus Michael","non-dropping-particle":"","parse-names":false,"suffix":""}],"container-title":"European Journal of Pharmaceutics and Biopharmaceutics","id":"ITEM-1","issue":"1","issued":{"date-parts":[["2007"]]},"page":"111-121","title":"Development and characterization of film forming polymeric solutions for skin drug delivery","type":"article-journal","volume":"65"},"uris":["http://www.mendeley.com/documents/?uuid=77d45a6d-21c5-4e30-9b81-a14d3a3ddaa0"]}],"mendeley":{"formattedCitation":"&lt;sup&gt;177&lt;/sup&gt;","plainTextFormattedCitation":"177","previouslyFormattedCitation":"&lt;sup&gt;177&lt;/sup&gt;"},"properties":{"noteIndex":0},"schema":"https://github.com/citation-style-language/schema/raw/master/csl-citation.json"}</w:instrText>
      </w:r>
      <w:r w:rsidR="00AF52F5" w:rsidRPr="00645C23">
        <w:rPr>
          <w:color w:val="000000" w:themeColor="text1"/>
        </w:rPr>
        <w:fldChar w:fldCharType="separate"/>
      </w:r>
      <w:r w:rsidR="00B02713" w:rsidRPr="00B02713">
        <w:rPr>
          <w:noProof/>
          <w:color w:val="000000" w:themeColor="text1"/>
          <w:vertAlign w:val="superscript"/>
        </w:rPr>
        <w:t>177</w:t>
      </w:r>
      <w:r w:rsidR="00AF52F5" w:rsidRPr="00645C23">
        <w:rPr>
          <w:color w:val="000000" w:themeColor="text1"/>
        </w:rPr>
        <w:fldChar w:fldCharType="end"/>
      </w:r>
      <w:r w:rsidR="00AF52F5" w:rsidRPr="00645C23">
        <w:rPr>
          <w:color w:val="000000" w:themeColor="text1"/>
        </w:rPr>
        <w:t xml:space="preserve"> Some of these film forming polymers, such as the commercial methacrylic acid polymer Eudragit RS, require the addition of water to aid the solubility of the </w:t>
      </w:r>
      <w:r w:rsidR="00AF52F5" w:rsidRPr="00645C23">
        <w:rPr>
          <w:color w:val="000000" w:themeColor="text1"/>
        </w:rPr>
        <w:lastRenderedPageBreak/>
        <w:t>polymer.</w:t>
      </w:r>
      <w:r w:rsidR="00AF52F5" w:rsidRPr="00645C23">
        <w:rPr>
          <w:color w:val="000000" w:themeColor="text1"/>
        </w:rPr>
        <w:fldChar w:fldCharType="begin" w:fldLock="1"/>
      </w:r>
      <w:r w:rsidR="0085447D">
        <w:rPr>
          <w:color w:val="000000" w:themeColor="text1"/>
        </w:rPr>
        <w:instrText>ADDIN CSL_CITATION {"citationItems":[{"id":"ITEM-1","itemData":{"DOI":"10.1016/j.ejpb.2015.01.002","ISSN":"18733441","PMID":"25595740","abstract":"Polymeric film-forming systems (FFSs) are potential drug delivery systems for topical application to the skin. The FFSs form thin and transparent polymeric films in situ upon solvent evaporation. Their application convenience and cosmetic attributes, superior to conventional semi-solids, may offer improved patient compliance. This study represents the first phase of an investigation into the use of FFSs for prolonged dermal drug delivery. FFS formulations were distinguished based on their ability to sustain the release of betamethasone 17-valerate (BMV) in vitro over 72 h. The effect of film-forming polymer (hydrophilic: hydroxypropyl cellulose (Klucel™ LF); hydrophobic: polymethacrylate copolymers (Eudragit® NE and Eudragit® RS), and polyacrylate copolymer (Dermacryl® 79) was first determined, and then the impact of incorporation of plasticisers (triethyl citrate, tributyl citrate, and dibutyl sebacate) was examined. The Klucel film released a significantly higher amount of BMV than the hydrophobic FFS, 42 versus 4 μg/cm2, respectively. The release was increased when a plasticiser was incorporated, and with higher enhancement ratios achieved with the more lipophilic plasticisers. In conclusion, the results show that FFSs can sustain drug release (hence representing useful systems for prolonged dermal therapy) and emphasise the importance of the formulation on drug delivery, with the type of polymer being of greatest significance.","author":[{"dropping-particle":"","family":"Frederiksen","given":"Kit","non-dropping-particle":"","parse-names":false,"suffix":""},{"dropping-particle":"","family":"Guy","given":"Richard H.","non-dropping-particle":"","parse-names":false,"suffix":""},{"dropping-particle":"","family":"Petersson","given":"Karsten","non-dropping-particle":"","parse-names":false,"suffix":""}],"container-title":"European Journal of Pharmaceutics and Biopharmaceutics","id":"ITEM-1","issued":{"date-parts":[["2015"]]},"page":"9-15","publisher":"Elsevier B.V.","title":"Formulation considerations in the design of topical, polymeric film-forming systems for sustained drug delivery to the skin","type":"article-journal","volume":"91"},"uris":["http://www.mendeley.com/documents/?uuid=e34c3f98-0c20-4632-a128-149bb74570a8"]}],"mendeley":{"formattedCitation":"&lt;sup&gt;176&lt;/sup&gt;","plainTextFormattedCitation":"176","previouslyFormattedCitation":"&lt;sup&gt;176&lt;/sup&gt;"},"properties":{"noteIndex":0},"schema":"https://github.com/citation-style-language/schema/raw/master/csl-citation.json"}</w:instrText>
      </w:r>
      <w:r w:rsidR="00AF52F5" w:rsidRPr="00645C23">
        <w:rPr>
          <w:color w:val="000000" w:themeColor="text1"/>
        </w:rPr>
        <w:fldChar w:fldCharType="separate"/>
      </w:r>
      <w:r w:rsidR="00B02713" w:rsidRPr="00B02713">
        <w:rPr>
          <w:noProof/>
          <w:color w:val="000000" w:themeColor="text1"/>
          <w:vertAlign w:val="superscript"/>
        </w:rPr>
        <w:t>176</w:t>
      </w:r>
      <w:r w:rsidR="00AF52F5" w:rsidRPr="00645C23">
        <w:rPr>
          <w:color w:val="000000" w:themeColor="text1"/>
        </w:rPr>
        <w:fldChar w:fldCharType="end"/>
      </w:r>
      <w:r w:rsidR="00AF52F5" w:rsidRPr="00645C23">
        <w:rPr>
          <w:color w:val="000000" w:themeColor="text1"/>
        </w:rPr>
        <w:t xml:space="preserve"> However, as </w:t>
      </w:r>
      <w:r w:rsidR="00AF52F5" w:rsidRPr="006C7D83">
        <w:rPr>
          <w:color w:val="000000" w:themeColor="text1"/>
        </w:rPr>
        <w:t xml:space="preserve">demonstrated </w:t>
      </w:r>
      <w:r w:rsidR="006C7D83" w:rsidRPr="006C7D83">
        <w:rPr>
          <w:color w:val="000000" w:themeColor="text1"/>
        </w:rPr>
        <w:t>in Figure 2.9</w:t>
      </w:r>
      <w:r w:rsidR="00AF52F5" w:rsidRPr="006C7D83">
        <w:rPr>
          <w:color w:val="000000" w:themeColor="text1"/>
        </w:rPr>
        <w:t xml:space="preserve">, </w:t>
      </w:r>
      <w:r w:rsidR="00AF52F5" w:rsidRPr="00645C23">
        <w:rPr>
          <w:color w:val="000000" w:themeColor="text1"/>
        </w:rPr>
        <w:t xml:space="preserve">water induces the hydrolysis of the imine prodrugs. Therefore, an experiment was conducted to determine whether the prodrugs were stable to hydrolysis in ethanol, and whether they could tolerate the addition of water into the system. To investigate this, compound </w:t>
      </w:r>
      <w:r w:rsidR="00AF52F5" w:rsidRPr="00645C23">
        <w:rPr>
          <w:b/>
          <w:color w:val="000000" w:themeColor="text1"/>
        </w:rPr>
        <w:t>1b</w:t>
      </w:r>
      <w:r w:rsidR="00AF52F5" w:rsidRPr="00645C23">
        <w:rPr>
          <w:color w:val="000000" w:themeColor="text1"/>
        </w:rPr>
        <w:t xml:space="preserve"> was dissolved in ethanol and analysed by </w:t>
      </w:r>
      <w:r w:rsidR="00AF52F5" w:rsidRPr="00645C23">
        <w:rPr>
          <w:color w:val="000000" w:themeColor="text1"/>
          <w:vertAlign w:val="superscript"/>
        </w:rPr>
        <w:t>1</w:t>
      </w:r>
      <w:r w:rsidR="00AF52F5" w:rsidRPr="00645C23">
        <w:rPr>
          <w:color w:val="000000" w:themeColor="text1"/>
        </w:rPr>
        <w:t>H NMR spectroscopy (</w:t>
      </w:r>
      <w:r w:rsidR="00AF52F5" w:rsidRPr="00645C23">
        <w:rPr>
          <w:color w:val="000000" w:themeColor="text1"/>
        </w:rPr>
        <w:fldChar w:fldCharType="begin"/>
      </w:r>
      <w:r w:rsidR="00AF52F5" w:rsidRPr="00645C23">
        <w:rPr>
          <w:color w:val="000000" w:themeColor="text1"/>
        </w:rPr>
        <w:instrText xml:space="preserve"> REF _Ref525676251 \h </w:instrText>
      </w:r>
      <w:r w:rsidR="00AF52F5" w:rsidRPr="00645C23">
        <w:rPr>
          <w:color w:val="000000" w:themeColor="text1"/>
        </w:rPr>
      </w:r>
      <w:r w:rsidR="00AF52F5" w:rsidRPr="00645C23">
        <w:rPr>
          <w:color w:val="000000" w:themeColor="text1"/>
        </w:rPr>
        <w:fldChar w:fldCharType="separate"/>
      </w:r>
      <w:r w:rsidR="00E6157A">
        <w:t xml:space="preserve">Figure </w:t>
      </w:r>
      <w:r w:rsidR="00E6157A">
        <w:rPr>
          <w:noProof/>
        </w:rPr>
        <w:t>2</w:t>
      </w:r>
      <w:r w:rsidR="00E6157A">
        <w:t>.</w:t>
      </w:r>
      <w:r w:rsidR="00E6157A">
        <w:rPr>
          <w:noProof/>
        </w:rPr>
        <w:t>12</w:t>
      </w:r>
      <w:r w:rsidR="00AF52F5" w:rsidRPr="00645C23">
        <w:rPr>
          <w:color w:val="000000" w:themeColor="text1"/>
        </w:rPr>
        <w:fldChar w:fldCharType="end"/>
      </w:r>
      <w:r w:rsidR="00AF52F5" w:rsidRPr="00645C23">
        <w:rPr>
          <w:color w:val="000000" w:themeColor="text1"/>
        </w:rPr>
        <w:t xml:space="preserve">). Subsequent samples were prepared </w:t>
      </w:r>
      <w:r w:rsidR="00F41630">
        <w:rPr>
          <w:color w:val="000000" w:themeColor="text1"/>
        </w:rPr>
        <w:t>by</w:t>
      </w:r>
      <w:r w:rsidR="00AF52F5" w:rsidRPr="00645C23">
        <w:rPr>
          <w:color w:val="000000" w:themeColor="text1"/>
        </w:rPr>
        <w:t xml:space="preserve"> increasing the ethanol: water ratio.</w:t>
      </w:r>
      <w:r w:rsidR="003F7B69" w:rsidRPr="003F7B69">
        <w:t xml:space="preserve"> </w:t>
      </w:r>
      <w:r w:rsidR="00561FF7" w:rsidRPr="003F7B69">
        <w:rPr>
          <w:color w:val="000000" w:themeColor="text1"/>
        </w:rPr>
        <w:t>Typically,</w:t>
      </w:r>
      <w:r w:rsidR="003F7B69" w:rsidRPr="003F7B69">
        <w:rPr>
          <w:color w:val="000000" w:themeColor="text1"/>
        </w:rPr>
        <w:t xml:space="preserve"> deuterated solvents are used in NMR spectroscopy because, unlike hydrogen, deuterium in not NMR active and therefore does not contribute to the NMR spectrum. However, non-deuterated solvents were used in this experiment to circumvent the isotope effect. The isotope effect describes the phenomenon whereby the rate constant for a reaction will change if a heavier or lighter isotope is </w:t>
      </w:r>
      <w:r w:rsidR="00DA60D0">
        <w:rPr>
          <w:color w:val="000000" w:themeColor="text1"/>
        </w:rPr>
        <w:t>present</w:t>
      </w:r>
      <w:r w:rsidR="003F7B69" w:rsidRPr="003F7B69">
        <w:rPr>
          <w:color w:val="000000" w:themeColor="text1"/>
        </w:rPr>
        <w:t xml:space="preserve">. Imine hydrolysis occurs through protonation of the imine nitrogen followed by attack of a water molecule. In the presence of </w:t>
      </w:r>
      <w:r w:rsidR="00DA60D0">
        <w:rPr>
          <w:color w:val="000000" w:themeColor="text1"/>
        </w:rPr>
        <w:t>deuterated solvents</w:t>
      </w:r>
      <w:r w:rsidR="003F7B69" w:rsidRPr="003F7B69">
        <w:rPr>
          <w:color w:val="000000" w:themeColor="text1"/>
        </w:rPr>
        <w:t xml:space="preserve"> the imine could become deuterated, which would present two issues. First</w:t>
      </w:r>
      <w:r w:rsidR="00DA60D0">
        <w:rPr>
          <w:color w:val="000000" w:themeColor="text1"/>
        </w:rPr>
        <w:t>,</w:t>
      </w:r>
      <w:r w:rsidR="003F7B69" w:rsidRPr="003F7B69">
        <w:rPr>
          <w:color w:val="000000" w:themeColor="text1"/>
        </w:rPr>
        <w:t xml:space="preserve"> due to the isotope effect the equilibrium between the imine and the aldehyde may differ compared to in the presence of hydrogen</w:t>
      </w:r>
      <w:r w:rsidR="00F21E3F">
        <w:rPr>
          <w:color w:val="000000" w:themeColor="text1"/>
        </w:rPr>
        <w:t xml:space="preserve"> atoms</w:t>
      </w:r>
      <w:r w:rsidR="003F7B69" w:rsidRPr="003F7B69">
        <w:rPr>
          <w:color w:val="000000" w:themeColor="text1"/>
        </w:rPr>
        <w:t xml:space="preserve"> alone, therefore the </w:t>
      </w:r>
      <w:r w:rsidR="00F63C77">
        <w:rPr>
          <w:color w:val="000000" w:themeColor="text1"/>
        </w:rPr>
        <w:t xml:space="preserve">observed </w:t>
      </w:r>
      <w:r w:rsidR="003F7B69" w:rsidRPr="003F7B69">
        <w:rPr>
          <w:color w:val="000000" w:themeColor="text1"/>
        </w:rPr>
        <w:t>ratio of aldehyde to imine</w:t>
      </w:r>
      <w:r w:rsidR="00F63C77">
        <w:rPr>
          <w:color w:val="000000" w:themeColor="text1"/>
        </w:rPr>
        <w:t xml:space="preserve"> protons</w:t>
      </w:r>
      <w:r w:rsidR="003F7B69" w:rsidRPr="003F7B69">
        <w:rPr>
          <w:color w:val="000000" w:themeColor="text1"/>
        </w:rPr>
        <w:t xml:space="preserve"> </w:t>
      </w:r>
      <w:r w:rsidR="00F63C77">
        <w:rPr>
          <w:color w:val="000000" w:themeColor="text1"/>
        </w:rPr>
        <w:t xml:space="preserve">in the NMR spectrum </w:t>
      </w:r>
      <w:r w:rsidR="003F7B69" w:rsidRPr="003F7B69">
        <w:rPr>
          <w:color w:val="000000" w:themeColor="text1"/>
        </w:rPr>
        <w:t xml:space="preserve">would not reflect the true equilibrium position. Second, any deuterated imine would not be displayed in the NMR spectrum (due to deuterium being NMR inactive), which would further distort the observed aldehyde to imine </w:t>
      </w:r>
      <w:r w:rsidR="00DA60D0">
        <w:rPr>
          <w:color w:val="000000" w:themeColor="text1"/>
        </w:rPr>
        <w:t>ratio</w:t>
      </w:r>
      <w:r w:rsidR="003F7B69" w:rsidRPr="003F7B69">
        <w:rPr>
          <w:color w:val="000000" w:themeColor="text1"/>
        </w:rPr>
        <w:t>. To circumvent this, samples were run in non-deuterated solvent</w:t>
      </w:r>
      <w:r w:rsidR="00DA60D0">
        <w:rPr>
          <w:color w:val="000000" w:themeColor="text1"/>
        </w:rPr>
        <w:t>s</w:t>
      </w:r>
      <w:r w:rsidR="003F7B69" w:rsidRPr="003F7B69">
        <w:rPr>
          <w:color w:val="000000" w:themeColor="text1"/>
        </w:rPr>
        <w:t xml:space="preserve"> (ethanol and water), in order to observe a true equilibrium for </w:t>
      </w:r>
      <w:r w:rsidR="00DA60D0">
        <w:rPr>
          <w:color w:val="000000" w:themeColor="text1"/>
        </w:rPr>
        <w:t xml:space="preserve">the </w:t>
      </w:r>
      <w:r w:rsidR="003F7B69" w:rsidRPr="003F7B69">
        <w:rPr>
          <w:color w:val="000000" w:themeColor="text1"/>
        </w:rPr>
        <w:t>hydrolysis of the prodrug. As a result, the peaks relating to the residual ethanol an</w:t>
      </w:r>
      <w:r w:rsidR="00DA60D0">
        <w:rPr>
          <w:color w:val="000000" w:themeColor="text1"/>
        </w:rPr>
        <w:t>d</w:t>
      </w:r>
      <w:r w:rsidR="003F7B69" w:rsidRPr="003F7B69">
        <w:rPr>
          <w:color w:val="000000" w:themeColor="text1"/>
        </w:rPr>
        <w:t xml:space="preserve"> water protons were suppressed using solvent suppression techniques.</w:t>
      </w:r>
      <w:r w:rsidR="00AF52F5">
        <w:rPr>
          <w:color w:val="000000" w:themeColor="text1"/>
        </w:rPr>
        <w:t xml:space="preserve"> </w:t>
      </w:r>
      <w:r w:rsidR="00DA60D0">
        <w:rPr>
          <w:color w:val="000000" w:themeColor="text1"/>
        </w:rPr>
        <w:t xml:space="preserve">For simplification, only the data from 7.5 to 10.0 ppm has been displayed, which contains the relevant proton peaks. </w:t>
      </w:r>
    </w:p>
    <w:p w14:paraId="40326A3A" w14:textId="75CDFBAE" w:rsidR="00DA60D0" w:rsidRPr="00645C23" w:rsidRDefault="00DA60D0" w:rsidP="00AF52F5">
      <w:pPr>
        <w:rPr>
          <w:color w:val="000000" w:themeColor="text1"/>
        </w:rPr>
      </w:pPr>
    </w:p>
    <w:p w14:paraId="73BE3EFB" w14:textId="77777777" w:rsidR="00AF52F5" w:rsidRDefault="00AF52F5" w:rsidP="00AF52F5">
      <w:pPr>
        <w:keepNext/>
        <w:jc w:val="center"/>
      </w:pPr>
      <w:r w:rsidRPr="0040497E">
        <w:rPr>
          <w:noProof/>
        </w:rPr>
        <w:lastRenderedPageBreak/>
        <w:drawing>
          <wp:inline distT="0" distB="0" distL="0" distR="0" wp14:anchorId="215DD1DD" wp14:editId="2748CBA7">
            <wp:extent cx="5243571" cy="3727048"/>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50407" cy="3731907"/>
                    </a:xfrm>
                    <a:prstGeom prst="rect">
                      <a:avLst/>
                    </a:prstGeom>
                  </pic:spPr>
                </pic:pic>
              </a:graphicData>
            </a:graphic>
          </wp:inline>
        </w:drawing>
      </w:r>
    </w:p>
    <w:p w14:paraId="64831094" w14:textId="2555BB31" w:rsidR="00AF52F5" w:rsidRPr="00387BDD" w:rsidRDefault="00AF52F5" w:rsidP="00AF52F5">
      <w:pPr>
        <w:pStyle w:val="Caption"/>
        <w:jc w:val="both"/>
        <w:rPr>
          <w:b w:val="0"/>
          <w:color w:val="000000" w:themeColor="text1"/>
        </w:rPr>
      </w:pPr>
      <w:bookmarkStart w:id="147" w:name="_Ref525676251"/>
      <w:r>
        <w:t xml:space="preserve">Figure </w:t>
      </w:r>
      <w:r w:rsidR="009352BF">
        <w:rPr>
          <w:noProof/>
        </w:rPr>
        <w:fldChar w:fldCharType="begin"/>
      </w:r>
      <w:r w:rsidR="009352BF">
        <w:rPr>
          <w:noProof/>
        </w:rPr>
        <w:instrText xml:space="preserve"> STYLEREF 1 \s </w:instrText>
      </w:r>
      <w:r w:rsidR="009352BF">
        <w:rPr>
          <w:noProof/>
        </w:rPr>
        <w:fldChar w:fldCharType="separate"/>
      </w:r>
      <w:r w:rsidR="00E6157A">
        <w:rPr>
          <w:noProof/>
        </w:rPr>
        <w:t>2</w:t>
      </w:r>
      <w:r w:rsidR="009352BF">
        <w:rPr>
          <w:noProof/>
        </w:rPr>
        <w:fldChar w:fldCharType="end"/>
      </w:r>
      <w:r>
        <w:t>.</w:t>
      </w:r>
      <w:r w:rsidR="009352BF">
        <w:rPr>
          <w:noProof/>
        </w:rPr>
        <w:fldChar w:fldCharType="begin"/>
      </w:r>
      <w:r w:rsidR="009352BF">
        <w:rPr>
          <w:noProof/>
        </w:rPr>
        <w:instrText xml:space="preserve"> SEQ Figure \* ARABIC \s 1 </w:instrText>
      </w:r>
      <w:r w:rsidR="009352BF">
        <w:rPr>
          <w:noProof/>
        </w:rPr>
        <w:fldChar w:fldCharType="separate"/>
      </w:r>
      <w:r w:rsidR="00E6157A">
        <w:rPr>
          <w:noProof/>
        </w:rPr>
        <w:t>12</w:t>
      </w:r>
      <w:r w:rsidR="009352BF">
        <w:rPr>
          <w:noProof/>
        </w:rPr>
        <w:fldChar w:fldCharType="end"/>
      </w:r>
      <w:bookmarkEnd w:id="147"/>
      <w:r>
        <w:rPr>
          <w:b w:val="0"/>
        </w:rPr>
        <w:t xml:space="preserve"> A section of the </w:t>
      </w:r>
      <w:r w:rsidRPr="00B06AA6">
        <w:rPr>
          <w:b w:val="0"/>
          <w:vertAlign w:val="superscript"/>
        </w:rPr>
        <w:t>1</w:t>
      </w:r>
      <w:r>
        <w:rPr>
          <w:b w:val="0"/>
        </w:rPr>
        <w:t xml:space="preserve">H NMR for </w:t>
      </w:r>
      <w:r w:rsidRPr="00AF26DB">
        <w:rPr>
          <w:b w:val="0"/>
        </w:rPr>
        <w:t xml:space="preserve">2-(2-cyanoethyliminomethyl)phenol </w:t>
      </w:r>
      <w:r>
        <w:rPr>
          <w:b w:val="0"/>
        </w:rPr>
        <w:t xml:space="preserve">(compound </w:t>
      </w:r>
      <w:r w:rsidRPr="009D71E0">
        <w:t>1b</w:t>
      </w:r>
      <w:r w:rsidRPr="006459AB">
        <w:rPr>
          <w:b w:val="0"/>
        </w:rPr>
        <w:t>)</w:t>
      </w:r>
      <w:r>
        <w:rPr>
          <w:b w:val="0"/>
        </w:rPr>
        <w:t xml:space="preserve"> in ethanol with increasing water content. Peaks </w:t>
      </w:r>
      <w:r w:rsidRPr="00387BDD">
        <w:rPr>
          <w:b w:val="0"/>
          <w:color w:val="000000" w:themeColor="text1"/>
        </w:rPr>
        <w:t xml:space="preserve">have been normalised relative to the imine proton at ~ 8.2-8.6 ppm. </w:t>
      </w:r>
    </w:p>
    <w:p w14:paraId="686868AD" w14:textId="434FDE28" w:rsidR="00DC2F81" w:rsidRDefault="00AF52F5" w:rsidP="00AF52F5">
      <w:pPr>
        <w:rPr>
          <w:color w:val="000000" w:themeColor="text1"/>
        </w:rPr>
      </w:pPr>
      <w:r w:rsidRPr="00387BDD">
        <w:rPr>
          <w:color w:val="000000" w:themeColor="text1"/>
        </w:rPr>
        <w:t xml:space="preserve">The </w:t>
      </w:r>
      <w:r w:rsidRPr="00387BDD">
        <w:rPr>
          <w:color w:val="000000" w:themeColor="text1"/>
          <w:vertAlign w:val="superscript"/>
        </w:rPr>
        <w:t>1</w:t>
      </w:r>
      <w:r w:rsidRPr="00387BDD">
        <w:rPr>
          <w:color w:val="000000" w:themeColor="text1"/>
        </w:rPr>
        <w:t xml:space="preserve">H NMR spectrum for compound </w:t>
      </w:r>
      <w:r w:rsidRPr="00387BDD">
        <w:rPr>
          <w:b/>
          <w:color w:val="000000" w:themeColor="text1"/>
        </w:rPr>
        <w:t>1b</w:t>
      </w:r>
      <w:r w:rsidRPr="00387BDD">
        <w:rPr>
          <w:color w:val="000000" w:themeColor="text1"/>
        </w:rPr>
        <w:t xml:space="preserve"> in ethanol displays a peak corresponding to the imine proton at ~ 8.6 ppm and no peak in the aldehyde region (~ 10 ppm), suggesting that compound </w:t>
      </w:r>
      <w:r w:rsidRPr="00387BDD">
        <w:rPr>
          <w:b/>
          <w:color w:val="000000" w:themeColor="text1"/>
        </w:rPr>
        <w:t>1b</w:t>
      </w:r>
      <w:r w:rsidRPr="00387BDD">
        <w:rPr>
          <w:color w:val="000000" w:themeColor="text1"/>
        </w:rPr>
        <w:t xml:space="preserve"> is stable in ethanol. </w:t>
      </w:r>
      <w:r>
        <w:rPr>
          <w:color w:val="000000" w:themeColor="text1"/>
        </w:rPr>
        <w:t xml:space="preserve">As water is introduced into the system, a peak appears at ~ 10 ppm indicating the presence of an aldehyde proton. Subsequent samples with </w:t>
      </w:r>
      <w:r w:rsidR="00DC2F81">
        <w:rPr>
          <w:color w:val="000000" w:themeColor="text1"/>
        </w:rPr>
        <w:t>higher</w:t>
      </w:r>
      <w:r>
        <w:rPr>
          <w:color w:val="000000" w:themeColor="text1"/>
        </w:rPr>
        <w:t xml:space="preserve"> water content demonstrate an increase in the integral of this aldehyde peak,</w:t>
      </w:r>
      <w:r w:rsidR="00DC2F81">
        <w:rPr>
          <w:color w:val="000000" w:themeColor="text1"/>
        </w:rPr>
        <w:t xml:space="preserve"> indicating that the imine is hydrolysing to a greater extend when there is more water present. </w:t>
      </w:r>
      <w:r w:rsidR="00297E09" w:rsidRPr="00962CE2">
        <w:rPr>
          <w:rFonts w:eastAsia="Times New Roman" w:cs="Times New Roman"/>
          <w:color w:val="000000" w:themeColor="text1"/>
        </w:rPr>
        <w:t>In addition to this, as the amount of water increases from 10 to 70 % (v/v)</w:t>
      </w:r>
      <w:r w:rsidR="00F21E3F">
        <w:rPr>
          <w:rFonts w:eastAsia="Times New Roman" w:cs="Times New Roman"/>
          <w:color w:val="000000" w:themeColor="text1"/>
        </w:rPr>
        <w:t>,</w:t>
      </w:r>
      <w:r w:rsidR="00297E09" w:rsidRPr="00962CE2">
        <w:rPr>
          <w:rFonts w:eastAsia="Times New Roman" w:cs="Times New Roman"/>
          <w:color w:val="000000" w:themeColor="text1"/>
        </w:rPr>
        <w:t xml:space="preserve"> the </w:t>
      </w:r>
      <w:r w:rsidR="00297E09">
        <w:rPr>
          <w:rFonts w:eastAsia="Times New Roman" w:cs="Times New Roman"/>
          <w:color w:val="000000" w:themeColor="text1"/>
        </w:rPr>
        <w:t>peaks</w:t>
      </w:r>
      <w:r w:rsidR="00297E09" w:rsidRPr="00962CE2">
        <w:rPr>
          <w:rFonts w:eastAsia="Times New Roman" w:cs="Times New Roman"/>
          <w:color w:val="000000" w:themeColor="text1"/>
        </w:rPr>
        <w:t xml:space="preserve"> </w:t>
      </w:r>
      <w:r w:rsidR="00297E09">
        <w:rPr>
          <w:rFonts w:eastAsia="Times New Roman" w:cs="Times New Roman"/>
          <w:color w:val="000000" w:themeColor="text1"/>
        </w:rPr>
        <w:t>for</w:t>
      </w:r>
      <w:r w:rsidR="00297E09" w:rsidRPr="00962CE2">
        <w:rPr>
          <w:rFonts w:eastAsia="Times New Roman" w:cs="Times New Roman"/>
          <w:color w:val="000000" w:themeColor="text1"/>
        </w:rPr>
        <w:t xml:space="preserve"> both the aldehyde and imine proton</w:t>
      </w:r>
      <w:r w:rsidR="00297E09">
        <w:rPr>
          <w:rFonts w:eastAsia="Times New Roman" w:cs="Times New Roman"/>
          <w:color w:val="000000" w:themeColor="text1"/>
        </w:rPr>
        <w:t>s</w:t>
      </w:r>
      <w:r w:rsidR="00297E09" w:rsidRPr="00962CE2">
        <w:rPr>
          <w:rFonts w:eastAsia="Times New Roman" w:cs="Times New Roman"/>
          <w:color w:val="000000" w:themeColor="text1"/>
        </w:rPr>
        <w:t xml:space="preserve"> move towards a lower chemical shift. </w:t>
      </w:r>
      <w:r>
        <w:rPr>
          <w:color w:val="000000" w:themeColor="text1"/>
        </w:rPr>
        <w:t xml:space="preserve">This change in chemical shift is likely due to the different environment experienced by the protons by addition of a new solvent. </w:t>
      </w:r>
      <w:r w:rsidR="00DC2F81">
        <w:rPr>
          <w:color w:val="000000" w:themeColor="text1"/>
        </w:rPr>
        <w:t xml:space="preserve">A lower chemical shift suggests the protons in compound </w:t>
      </w:r>
      <w:r w:rsidR="00DC2F81" w:rsidRPr="00DC2F81">
        <w:rPr>
          <w:b/>
          <w:color w:val="000000" w:themeColor="text1"/>
        </w:rPr>
        <w:t>1b</w:t>
      </w:r>
      <w:r w:rsidR="00DC2F81">
        <w:rPr>
          <w:color w:val="000000" w:themeColor="text1"/>
        </w:rPr>
        <w:t xml:space="preserve"> are being more shielded from the external magnetic field.</w:t>
      </w:r>
      <w:r w:rsidR="00610325" w:rsidRPr="00610325">
        <w:rPr>
          <w:color w:val="000000" w:themeColor="text1"/>
        </w:rPr>
        <w:t xml:space="preserve"> </w:t>
      </w:r>
      <w:r w:rsidR="00610325">
        <w:rPr>
          <w:color w:val="000000" w:themeColor="text1"/>
        </w:rPr>
        <w:t xml:space="preserve">Samples containing a 20:80 and 10:90 ratio of ethanol: water were prepared, however these recrystallised in the NMR tube and therefore couldn’t be analysed. </w:t>
      </w:r>
    </w:p>
    <w:p w14:paraId="259792DC" w14:textId="15C8A16F" w:rsidR="003C7CED" w:rsidRPr="00610325" w:rsidRDefault="00297E09" w:rsidP="00AF52F5">
      <w:pPr>
        <w:rPr>
          <w:color w:val="000000" w:themeColor="text1"/>
        </w:rPr>
      </w:pPr>
      <w:r w:rsidRPr="00610325">
        <w:rPr>
          <w:color w:val="000000" w:themeColor="text1"/>
        </w:rPr>
        <w:t>In order to monitor changes to the aldehyde: imine ratio the data was normalised to the</w:t>
      </w:r>
      <w:r w:rsidR="00C44CE8" w:rsidRPr="00610325">
        <w:rPr>
          <w:color w:val="000000" w:themeColor="text1"/>
        </w:rPr>
        <w:t xml:space="preserve"> integral of the</w:t>
      </w:r>
      <w:r w:rsidRPr="00610325">
        <w:rPr>
          <w:color w:val="000000" w:themeColor="text1"/>
        </w:rPr>
        <w:t xml:space="preserve"> imine proton peak, which was assigned the value of 1.</w:t>
      </w:r>
      <w:r w:rsidR="00C44CE8" w:rsidRPr="00610325">
        <w:rPr>
          <w:color w:val="000000" w:themeColor="text1"/>
        </w:rPr>
        <w:t xml:space="preserve"> </w:t>
      </w:r>
      <w:r w:rsidRPr="00610325">
        <w:rPr>
          <w:color w:val="000000" w:themeColor="text1"/>
        </w:rPr>
        <w:t xml:space="preserve">The reasoning behind this was due to </w:t>
      </w:r>
      <w:r w:rsidR="00610325" w:rsidRPr="00610325">
        <w:rPr>
          <w:color w:val="000000" w:themeColor="text1"/>
        </w:rPr>
        <w:t>only imine</w:t>
      </w:r>
      <w:r w:rsidRPr="00610325">
        <w:rPr>
          <w:color w:val="000000" w:themeColor="text1"/>
        </w:rPr>
        <w:t xml:space="preserve"> being present in the sample containing 100 % </w:t>
      </w:r>
      <w:r w:rsidRPr="00610325">
        <w:rPr>
          <w:color w:val="000000" w:themeColor="text1"/>
        </w:rPr>
        <w:lastRenderedPageBreak/>
        <w:t xml:space="preserve">ethanol, therefore normalising each sample to the </w:t>
      </w:r>
      <w:r w:rsidR="00C44CE8" w:rsidRPr="00610325">
        <w:rPr>
          <w:color w:val="000000" w:themeColor="text1"/>
        </w:rPr>
        <w:t xml:space="preserve">integral of the </w:t>
      </w:r>
      <w:r w:rsidRPr="00610325">
        <w:rPr>
          <w:color w:val="000000" w:themeColor="text1"/>
        </w:rPr>
        <w:t xml:space="preserve">imine proton allowed the reappearance of the aldehyde to be monitored. </w:t>
      </w:r>
      <w:r w:rsidR="00C44CE8" w:rsidRPr="00610325">
        <w:rPr>
          <w:color w:val="000000" w:themeColor="text1"/>
        </w:rPr>
        <w:t>As a result of this, the area of the imine proton peak remained constant between samples</w:t>
      </w:r>
      <w:r w:rsidR="00610325" w:rsidRPr="00610325">
        <w:rPr>
          <w:color w:val="000000" w:themeColor="text1"/>
        </w:rPr>
        <w:t xml:space="preserve"> and there is no apparent decrease in the amount of imine with increasing water content. This is further highlighted by the large increase in the magnitude of the aldehyde peak between samples containing 60 % water and 70 % water, which is due to a greater amount of aldehyde protons present in the sample than imine protons. </w:t>
      </w:r>
      <w:r w:rsidR="00AF52F5" w:rsidRPr="00610325">
        <w:rPr>
          <w:color w:val="000000" w:themeColor="text1"/>
        </w:rPr>
        <w:t xml:space="preserve">In future experiments this could be circumvented by adding </w:t>
      </w:r>
      <w:r w:rsidR="00610325" w:rsidRPr="00610325">
        <w:rPr>
          <w:color w:val="000000" w:themeColor="text1"/>
        </w:rPr>
        <w:t xml:space="preserve">the same concentration of </w:t>
      </w:r>
      <w:r w:rsidR="00AF52F5" w:rsidRPr="00610325">
        <w:rPr>
          <w:color w:val="000000" w:themeColor="text1"/>
        </w:rPr>
        <w:t xml:space="preserve">a known standard to each sample. </w:t>
      </w:r>
      <w:r w:rsidR="00610325" w:rsidRPr="00610325">
        <w:rPr>
          <w:color w:val="000000" w:themeColor="text1"/>
        </w:rPr>
        <w:t xml:space="preserve">Normalising the data to a known standard would allow both the increase in aldehyde protons and the decrease in imine protons to be monitored, giving a more accurate summary of the overall aldehyde: imine ratio. </w:t>
      </w:r>
      <w:r w:rsidR="003C7CED">
        <w:rPr>
          <w:color w:val="000000" w:themeColor="text1"/>
        </w:rPr>
        <w:t xml:space="preserve">Compound </w:t>
      </w:r>
      <w:r w:rsidR="003C7CED" w:rsidRPr="003C7CED">
        <w:rPr>
          <w:b/>
          <w:color w:val="000000" w:themeColor="text1"/>
        </w:rPr>
        <w:t>1b</w:t>
      </w:r>
      <w:r w:rsidR="003C7CED">
        <w:rPr>
          <w:color w:val="000000" w:themeColor="text1"/>
        </w:rPr>
        <w:t xml:space="preserve"> was chosen for this analysis as it had the most simple </w:t>
      </w:r>
      <w:r w:rsidR="003C7CED" w:rsidRPr="003C7CED">
        <w:rPr>
          <w:color w:val="000000" w:themeColor="text1"/>
          <w:vertAlign w:val="superscript"/>
        </w:rPr>
        <w:t>1</w:t>
      </w:r>
      <w:r w:rsidR="003C7CED">
        <w:rPr>
          <w:color w:val="000000" w:themeColor="text1"/>
        </w:rPr>
        <w:t>H NMR spectrum which could be easily assigned. Future work could analyse the other four prodrugs in an ethanol: water mixture to determine whether these demonstrated more, or less, tolerance to water.</w:t>
      </w:r>
    </w:p>
    <w:p w14:paraId="131FDF1A" w14:textId="59D23212" w:rsidR="00AF52F5" w:rsidRPr="00387BDD" w:rsidRDefault="00AF52F5" w:rsidP="00AF52F5">
      <w:pPr>
        <w:rPr>
          <w:color w:val="000000" w:themeColor="text1"/>
        </w:rPr>
      </w:pPr>
      <w:r>
        <w:rPr>
          <w:color w:val="000000" w:themeColor="text1"/>
        </w:rPr>
        <w:t xml:space="preserve">From </w:t>
      </w:r>
      <w:r>
        <w:rPr>
          <w:color w:val="000000" w:themeColor="text1"/>
        </w:rPr>
        <w:fldChar w:fldCharType="begin"/>
      </w:r>
      <w:r>
        <w:rPr>
          <w:color w:val="000000" w:themeColor="text1"/>
        </w:rPr>
        <w:instrText xml:space="preserve"> REF _Ref525676251 \h </w:instrText>
      </w:r>
      <w:r>
        <w:rPr>
          <w:color w:val="000000" w:themeColor="text1"/>
        </w:rPr>
      </w:r>
      <w:r>
        <w:rPr>
          <w:color w:val="000000" w:themeColor="text1"/>
        </w:rPr>
        <w:fldChar w:fldCharType="separate"/>
      </w:r>
      <w:r w:rsidR="00E6157A">
        <w:t xml:space="preserve">Figure </w:t>
      </w:r>
      <w:r w:rsidR="00E6157A">
        <w:rPr>
          <w:noProof/>
        </w:rPr>
        <w:t>2</w:t>
      </w:r>
      <w:r w:rsidR="00E6157A">
        <w:t>.</w:t>
      </w:r>
      <w:r w:rsidR="00E6157A">
        <w:rPr>
          <w:noProof/>
        </w:rPr>
        <w:t>12</w:t>
      </w:r>
      <w:r>
        <w:rPr>
          <w:color w:val="000000" w:themeColor="text1"/>
        </w:rPr>
        <w:fldChar w:fldCharType="end"/>
      </w:r>
      <w:r>
        <w:rPr>
          <w:color w:val="000000" w:themeColor="text1"/>
        </w:rPr>
        <w:t xml:space="preserve"> it is clear that imine hydrolysis occurs following the addition of water to the system. However, even at relatively high water content (for example 60 % water) the imine remains the dominant species. This suggests that the addition of water can be tolerated, if necessary, when formulating the imine prodrugs for future applications.  </w:t>
      </w:r>
    </w:p>
    <w:p w14:paraId="48BE9A0C" w14:textId="77777777" w:rsidR="00AF52F5" w:rsidRPr="005A152A" w:rsidRDefault="00AF52F5" w:rsidP="00AF52F5">
      <w:pPr>
        <w:pStyle w:val="Heading2"/>
      </w:pPr>
      <w:bookmarkStart w:id="148" w:name="_Toc510023019"/>
      <w:bookmarkStart w:id="149" w:name="_Toc525587687"/>
      <w:bookmarkStart w:id="150" w:name="_Toc2451007"/>
      <w:r w:rsidRPr="005A152A">
        <w:t>Conclusions</w:t>
      </w:r>
      <w:bookmarkEnd w:id="148"/>
      <w:bookmarkEnd w:id="149"/>
      <w:bookmarkEnd w:id="150"/>
    </w:p>
    <w:p w14:paraId="5328A1A3" w14:textId="77777777" w:rsidR="00AF52F5" w:rsidRPr="00C84632" w:rsidRDefault="00AF52F5" w:rsidP="00AF52F5">
      <w:r w:rsidRPr="00C84632">
        <w:t xml:space="preserve">Initial attempts were made to synthesise imines from β-APN with benzaldehyde, anisaldehyde and dodecylaldehyde. Different synthetic methods were trialled, and the effect of changing reaction parameters was investigated. Although imine formation was confirmed by </w:t>
      </w:r>
      <w:r w:rsidRPr="00C84632">
        <w:rPr>
          <w:vertAlign w:val="superscript"/>
        </w:rPr>
        <w:t>1</w:t>
      </w:r>
      <w:r w:rsidRPr="00C84632">
        <w:t>H NMR spectroscopy in all cases, and at times at high conversion, attempts to isolate the imine product were unsuccessful.</w:t>
      </w:r>
    </w:p>
    <w:p w14:paraId="58CDDDE7" w14:textId="77777777" w:rsidR="00AF52F5" w:rsidRPr="00C84632" w:rsidRDefault="00AF52F5" w:rsidP="00AF52F5">
      <w:r w:rsidRPr="00C84632">
        <w:t xml:space="preserve">Imines were synthesised from the reaction of β-APN and salicylaldehyde in a 1:1 ratio and pure crystals of product were successfully isolated. Four further imines based on salicylaldehyde derivatives were also successfully synthesised. These salicylaldehyde derivatives contained different functionalities around the aromatic ring to provide an electron withdrawing group, an electron donating group and a highly lipophilic group. Analysis by </w:t>
      </w:r>
      <w:r w:rsidRPr="00C84632">
        <w:rPr>
          <w:vertAlign w:val="superscript"/>
        </w:rPr>
        <w:t>1</w:t>
      </w:r>
      <w:r w:rsidRPr="00C84632">
        <w:t xml:space="preserve">H NMR and </w:t>
      </w:r>
      <w:r w:rsidRPr="00C84632">
        <w:rPr>
          <w:vertAlign w:val="superscript"/>
        </w:rPr>
        <w:t>13</w:t>
      </w:r>
      <w:r w:rsidRPr="00C84632">
        <w:t xml:space="preserve">C NMR spectroscopy, mass spectrometry, elemental </w:t>
      </w:r>
      <w:r w:rsidRPr="00C84632">
        <w:lastRenderedPageBreak/>
        <w:t>analysis, melting point, FTIR, UV-visible spectroscopy and single crystal X-ray crystallography indicated that pure product was successfully isolated in all cases.</w:t>
      </w:r>
    </w:p>
    <w:p w14:paraId="6CC6D223" w14:textId="77777777" w:rsidR="00AF52F5" w:rsidRDefault="00AF52F5" w:rsidP="00AF52F5">
      <w:r w:rsidRPr="00C84632">
        <w:t>To investigate why imine formation using salicylaldehyde (and derivatives) was so successful compared to the initial aldehyde starting materials, an experi</w:t>
      </w:r>
      <w:r>
        <w:t>ment compared the reaction of β</w:t>
      </w:r>
      <w:r>
        <w:noBreakHyphen/>
      </w:r>
      <w:r w:rsidRPr="00C84632">
        <w:t xml:space="preserve">APN with two different isomers of methoxy-salicylaldehyde. One isomer contained an </w:t>
      </w:r>
      <w:r w:rsidRPr="00C84632">
        <w:rPr>
          <w:i/>
        </w:rPr>
        <w:t>ortho</w:t>
      </w:r>
      <w:r w:rsidRPr="00C84632">
        <w:t xml:space="preserve">-hydroxyl group whilst the other contained a </w:t>
      </w:r>
      <w:r w:rsidRPr="00C84632">
        <w:rPr>
          <w:i/>
        </w:rPr>
        <w:t>para</w:t>
      </w:r>
      <w:r w:rsidRPr="00C84632">
        <w:t xml:space="preserve">-hydroxyl group. It was hypothesised that salicylaldehyde-derived starting materials formed more stable imines due to hydrogen-bonding of the </w:t>
      </w:r>
      <w:r w:rsidRPr="00C84632">
        <w:rPr>
          <w:i/>
        </w:rPr>
        <w:t>ortho</w:t>
      </w:r>
      <w:r w:rsidRPr="00C84632">
        <w:t xml:space="preserve">-hydroxyl proton to the imine nitrogen. Following a reaction with β-APN, it was found that the isomer containing the </w:t>
      </w:r>
      <w:r w:rsidRPr="00C84632">
        <w:rPr>
          <w:i/>
        </w:rPr>
        <w:t>ortho</w:t>
      </w:r>
      <w:r w:rsidRPr="00C84632">
        <w:t xml:space="preserve">-hydroxyl group produced solid product that could be easily isolated and recrystallised with a good yield. On the other hand, attempts to isolate a product from the synthesis of the isomer containing a </w:t>
      </w:r>
      <w:r w:rsidRPr="00C84632">
        <w:rPr>
          <w:i/>
        </w:rPr>
        <w:t>para</w:t>
      </w:r>
      <w:r w:rsidRPr="00C84632">
        <w:t xml:space="preserve">-hydroxyl group were unsuccessful. This, taken together with x-ray crystallography data, indicated that imine stability was aided by hydrogen bonding, provided by the presence of an </w:t>
      </w:r>
      <w:r w:rsidRPr="00C84632">
        <w:rPr>
          <w:i/>
        </w:rPr>
        <w:t>ortho</w:t>
      </w:r>
      <w:r w:rsidRPr="00C84632">
        <w:t xml:space="preserve">-hydroxyl group. </w:t>
      </w:r>
    </w:p>
    <w:p w14:paraId="22788626" w14:textId="77777777" w:rsidR="00AF52F5" w:rsidRDefault="00AF52F5" w:rsidP="00AF52F5">
      <w:r w:rsidRPr="00C84632">
        <w:t xml:space="preserve">To evaluate the synthesised imines as potential prodrugs, changes in imine structure when dissolved in aqueous and non-aqueous solutions were analysed by </w:t>
      </w:r>
      <w:r w:rsidRPr="00C84632">
        <w:rPr>
          <w:vertAlign w:val="superscript"/>
        </w:rPr>
        <w:t>1</w:t>
      </w:r>
      <w:r w:rsidRPr="00C84632">
        <w:t>H NMR spectroscopy. Imines rema</w:t>
      </w:r>
      <w:r>
        <w:t>ined intact in DMSO for at least 7</w:t>
      </w:r>
      <w:r w:rsidRPr="00C84632">
        <w:t xml:space="preserve"> days, with no reappearance of the aldehyde proton peak. This demonstrated the imines</w:t>
      </w:r>
      <w:r>
        <w:t>’</w:t>
      </w:r>
      <w:r w:rsidRPr="00C84632">
        <w:t xml:space="preserve"> stability in non-aqueous environments. Dissolving the imines in water (1</w:t>
      </w:r>
      <w:r>
        <w:t> </w:t>
      </w:r>
      <w:r w:rsidRPr="00C84632">
        <w:t>% DMSO) led to approximately 70</w:t>
      </w:r>
      <w:r>
        <w:t> </w:t>
      </w:r>
      <w:r w:rsidRPr="00C84632">
        <w:t>% o</w:t>
      </w:r>
      <w:r>
        <w:t>f the imine hydrolysing into β</w:t>
      </w:r>
      <w:r>
        <w:noBreakHyphen/>
      </w:r>
      <w:r w:rsidRPr="00C84632">
        <w:t xml:space="preserve">APN and </w:t>
      </w:r>
      <w:r>
        <w:t xml:space="preserve">the </w:t>
      </w:r>
      <w:r w:rsidRPr="00C84632">
        <w:t xml:space="preserve">aldehyde. This dissociation was found to be immediate, with very little change to </w:t>
      </w:r>
      <w:r>
        <w:t xml:space="preserve">the </w:t>
      </w:r>
      <w:r w:rsidRPr="00C84632">
        <w:t xml:space="preserve">ratio of imine and aldehyde after 7 days. Changing the temperature of the solution from 4 to 37 </w:t>
      </w:r>
      <w:r w:rsidRPr="00C84632">
        <w:sym w:font="Symbol" w:char="F0B0"/>
      </w:r>
      <w:r w:rsidRPr="00C84632">
        <w:t>C led to an increase in the amount of aldehyde.  This shift from imine to aldehyde in an aqueous environment highlights the potential of the</w:t>
      </w:r>
      <w:r>
        <w:t>se</w:t>
      </w:r>
      <w:r w:rsidRPr="00C84632">
        <w:t xml:space="preserve"> imines as prodrugs. </w:t>
      </w:r>
    </w:p>
    <w:p w14:paraId="04BF15FB" w14:textId="77777777" w:rsidR="00AF52F5" w:rsidRPr="00702527" w:rsidRDefault="00AF52F5" w:rsidP="00AF52F5">
      <w:pPr>
        <w:spacing w:after="0" w:line="240" w:lineRule="auto"/>
        <w:jc w:val="left"/>
        <w:rPr>
          <w:rFonts w:eastAsiaTheme="majorEastAsia" w:cstheme="majorBidi"/>
          <w:b/>
          <w:color w:val="000000" w:themeColor="text1"/>
          <w:sz w:val="32"/>
          <w:szCs w:val="32"/>
        </w:rPr>
      </w:pPr>
      <w:r>
        <w:br w:type="page"/>
      </w:r>
    </w:p>
    <w:p w14:paraId="0C43ED1F" w14:textId="46DE99B0" w:rsidR="008A122E" w:rsidRDefault="008A122E">
      <w:pPr>
        <w:spacing w:after="0" w:line="240" w:lineRule="auto"/>
        <w:jc w:val="left"/>
        <w:rPr>
          <w:rFonts w:eastAsiaTheme="majorEastAsia" w:cstheme="majorBidi"/>
          <w:b/>
          <w:color w:val="000000" w:themeColor="text1"/>
          <w:sz w:val="36"/>
          <w:szCs w:val="32"/>
        </w:rPr>
      </w:pPr>
    </w:p>
    <w:p w14:paraId="502291C4" w14:textId="77777777" w:rsidR="008A122E" w:rsidRDefault="008A122E">
      <w:pPr>
        <w:spacing w:after="0" w:line="240" w:lineRule="auto"/>
        <w:jc w:val="left"/>
        <w:rPr>
          <w:rFonts w:eastAsiaTheme="majorEastAsia" w:cstheme="majorBidi"/>
          <w:b/>
          <w:color w:val="000000" w:themeColor="text1"/>
          <w:sz w:val="36"/>
          <w:szCs w:val="32"/>
        </w:rPr>
      </w:pPr>
      <w:r>
        <w:br w:type="page"/>
      </w:r>
    </w:p>
    <w:p w14:paraId="50256E5D" w14:textId="58F87EBA" w:rsidR="004673FB" w:rsidRPr="00F627DC" w:rsidRDefault="004673FB" w:rsidP="003D132C">
      <w:pPr>
        <w:pStyle w:val="Heading1"/>
      </w:pPr>
      <w:bookmarkStart w:id="151" w:name="_Toc2451008"/>
      <w:r>
        <w:lastRenderedPageBreak/>
        <w:t>Chapter Three: Effect of prodrugs on enzyme activity and cytotoxicity</w:t>
      </w:r>
      <w:bookmarkEnd w:id="151"/>
    </w:p>
    <w:p w14:paraId="4707D760" w14:textId="77777777" w:rsidR="004673FB" w:rsidRPr="00F627DC" w:rsidRDefault="004673FB" w:rsidP="003D132C">
      <w:pPr>
        <w:pStyle w:val="Heading2"/>
      </w:pPr>
      <w:bookmarkStart w:id="152" w:name="_Toc2451009"/>
      <w:r w:rsidRPr="00F627DC">
        <w:t>Introduction</w:t>
      </w:r>
      <w:bookmarkEnd w:id="152"/>
    </w:p>
    <w:p w14:paraId="12DE65CE" w14:textId="2A8868E7" w:rsidR="004673FB" w:rsidRPr="00F67B8B" w:rsidRDefault="004673FB" w:rsidP="004673FB">
      <w:pPr>
        <w:rPr>
          <w:color w:val="000000" w:themeColor="text1"/>
        </w:rPr>
      </w:pPr>
      <w:r>
        <w:t>The previous chapter investigated synthetic methods to produce prodrugs of the lysyl oxidase (LOX) inhibitor β-aminopropionitrile (β-APN) for topical delivery. The formation of these prodrugs aimed to increase the hydrophobicity of β</w:t>
      </w:r>
      <w:r>
        <w:noBreakHyphen/>
        <w:t>APN to enhance its delivery into skin, whilst being able to dissociate back to β-APN and the starting aldehyde in response to an external stimulus. This dissociation was designed to be triggered in an aqueous environment, and the ability to do so was demonstrated using proton nuclear magnetic resonance (</w:t>
      </w:r>
      <w:r w:rsidRPr="00BC4EE6">
        <w:rPr>
          <w:vertAlign w:val="superscript"/>
        </w:rPr>
        <w:t>1</w:t>
      </w:r>
      <w:r>
        <w:t xml:space="preserve">H NMR) spectroscopy. </w:t>
      </w:r>
      <w:r w:rsidRPr="00B656DB">
        <w:rPr>
          <w:color w:val="000000" w:themeColor="text1"/>
        </w:rPr>
        <w:t>This provided two logical next steps. First, to consider whether this dissociation was sufficient to inhibi</w:t>
      </w:r>
      <w:r>
        <w:rPr>
          <w:color w:val="000000" w:themeColor="text1"/>
        </w:rPr>
        <w:t>t the catalytic activity of LOX, and s</w:t>
      </w:r>
      <w:r w:rsidRPr="00B656DB">
        <w:rPr>
          <w:color w:val="000000" w:themeColor="text1"/>
        </w:rPr>
        <w:t>econd</w:t>
      </w:r>
      <w:r>
        <w:rPr>
          <w:color w:val="000000" w:themeColor="text1"/>
        </w:rPr>
        <w:t xml:space="preserve">, to determine whether the prodrugs caused cytotoxic effects in an appropriate cellular </w:t>
      </w:r>
      <w:r w:rsidR="00F41630">
        <w:rPr>
          <w:color w:val="000000" w:themeColor="text1"/>
        </w:rPr>
        <w:t>system.</w:t>
      </w:r>
    </w:p>
    <w:p w14:paraId="78F440D6" w14:textId="77777777" w:rsidR="004673FB" w:rsidRDefault="004673FB" w:rsidP="003D132C">
      <w:pPr>
        <w:pStyle w:val="Heading3"/>
      </w:pPr>
      <w:bookmarkStart w:id="153" w:name="_Toc2451010"/>
      <w:r>
        <w:t>Lysyl oxidase activity assays</w:t>
      </w:r>
      <w:bookmarkEnd w:id="153"/>
    </w:p>
    <w:p w14:paraId="4D684A00" w14:textId="5EFA983A" w:rsidR="004673FB" w:rsidRDefault="004673FB" w:rsidP="004673FB">
      <w:r>
        <w:t xml:space="preserve">As </w:t>
      </w:r>
      <w:r w:rsidRPr="009B31FA">
        <w:rPr>
          <w:color w:val="000000" w:themeColor="text1"/>
        </w:rPr>
        <w:t xml:space="preserve">discussed in Chapter 1, </w:t>
      </w:r>
      <w:r w:rsidR="005F75AC">
        <w:rPr>
          <w:color w:val="000000" w:themeColor="text1"/>
        </w:rPr>
        <w:t>LOX</w:t>
      </w:r>
      <w:r>
        <w:t xml:space="preserve"> catalyses the deamination of lysine side chains of collagen and elastin molecules to produce aldehyde moieties.</w:t>
      </w:r>
      <w:r>
        <w:fldChar w:fldCharType="begin" w:fldLock="1"/>
      </w:r>
      <w:r w:rsidR="0085447D">
        <w:instrText>ADDIN CSL_CITATION {"citationItems":[{"id":"ITEM-1","itemData":{"DOI":"10.1038/nrc3319","ISBN":"1474-1768 (Electronic)\\r1474-175X (Linking)","ISSN":"1474-175X","PMID":"22810810","abstract":"The therapeutic targeting of extracellular proteins is becoming hugely attractive in light of evidence implicating the tumour microenvironment as pivotal in all aspects of tumour initiation and progression. Members of the lysyl oxidase (LOX) family of proteins are secreted by tumours and are the subject of much effort to understand their roles in cancer. In this Review we discuss the roles of members of this family in the remodelling of the tumour microenvironment and their paradoxical roles in tumorigenesis and metastasis. We also discuss how targeting this family of proteins might lead to a new avenue of cancer therapeutics.","author":[{"dropping-particle":"","family":"Barker","given":"Holly E.","non-dropping-particle":"","parse-names":false,"suffix":""},{"dropping-particle":"","family":"Cox","given":"Thomas R.","non-dropping-particle":"","parse-names":false,"suffix":""},{"dropping-particle":"","family":"Erler","given":"Janine T.","non-dropping-particle":"","parse-names":false,"suffix":""}],"container-title":"Nat. Rev. Cancer","id":"ITEM-1","issue":"8","issued":{"date-parts":[["2012"]]},"page":"540-552","publisher":"Nature Publishing Group","title":"The rationale for targeting the LOX family in cancer","type":"article-journal","volume":"12"},"uris":["http://www.mendeley.com/documents/?uuid=489791dd-2779-44ed-bbc5-30636ca2d8c3"]}],"mendeley":{"formattedCitation":"&lt;sup&gt;178&lt;/sup&gt;","plainTextFormattedCitation":"178","previouslyFormattedCitation":"&lt;sup&gt;178&lt;/sup&gt;"},"properties":{"noteIndex":0},"schema":"https://github.com/citation-style-language/schema/raw/master/csl-citation.json"}</w:instrText>
      </w:r>
      <w:r>
        <w:fldChar w:fldCharType="separate"/>
      </w:r>
      <w:r w:rsidR="00B02713" w:rsidRPr="00B02713">
        <w:rPr>
          <w:noProof/>
          <w:vertAlign w:val="superscript"/>
        </w:rPr>
        <w:t>178</w:t>
      </w:r>
      <w:r>
        <w:fldChar w:fldCharType="end"/>
      </w:r>
      <w:r>
        <w:t xml:space="preserve"> These aldehyde groups are then able to spontaneously react with amines or aldehydes on neighbouring c</w:t>
      </w:r>
      <w:r w:rsidRPr="00554734">
        <w:rPr>
          <w:color w:val="000000" w:themeColor="text1"/>
        </w:rPr>
        <w:t xml:space="preserve">ollagen molecules to produce covalent crosslinks between collagen fibrils. This process is an essential part of wound healing and remodelling, and </w:t>
      </w:r>
      <w:r>
        <w:t xml:space="preserve">the action of LOX has been widely investigated in diseases regarding the extracellular </w:t>
      </w:r>
      <w:r w:rsidRPr="00284681">
        <w:t xml:space="preserve">matrix </w:t>
      </w:r>
      <w:r>
        <w:t>such as hypertrophic scarring,</w:t>
      </w:r>
      <w:r>
        <w:fldChar w:fldCharType="begin" w:fldLock="1"/>
      </w:r>
      <w:r w:rsidR="0085447D">
        <w:instrText>ADDIN CSL_CITATION {"citationItems":[{"id":"ITEM-1","itemData":{"ISSN":"0002-9440","PMID":"12661","abstract":"Morphologic and biochemical analyses were performed to compare normal skin and mature scars to hypertrophic scar and keloid. Correlation of morphologic findings with biochemical profiles of the skin and scar samples proved feasible and enlightening. Scanning electron microscopy (SEM) was used to characterize the architectural arrangement of collagen fibers in skin and scars. Cultured fibroblasts from each specimen were also examined with the SEM. A biochemical profile of each tissue specimen was constructed, characterizing the collagen component of the specimen by sequential molecular sieve and ion exchange chromatography to determine a) the degree of intermolecular crosslinking, b) amino acid analysis, and c) levels of lysyl oxidase activity. Results indicate that collagen fibers and fiber bundles display a decreasing level of organization as the clinical degree of scar abnormality increases, and this structural gradient correlates with the gradient of intermolecular crosslinking in the same tissue--normal skin and mature scar being highly crosslinked, hypertrophic and keloid successively less so. Surprisingly, the level of the crosslinking enzyme lysyl oxidase is normal or elevated in hypertrophic scar and keloid despite the relative lack of crosslinking. Amino acid content was uniform for all specimens. Scanning electron microscopy examination of cultured fibroblasts from the tissue specimens demonstrated three phenotypically distinctive fibroblasts whose numerical and volumetric proportions correlated with the tissue of origin.","author":[{"dropping-particle":"","family":"Knapp","given":"T R","non-dropping-particle":"","parse-names":false,"suffix":""},{"dropping-particle":"","family":"Daniels","given":"R J","non-dropping-particle":"","parse-names":false,"suffix":""},{"dropping-particle":"","family":"Kaplan","given":"E N","non-dropping-particle":"","parse-names":false,"suffix":""}],"container-title":"The American journal of pathology","id":"ITEM-1","issue":"1","issued":{"date-parts":[["1977"]]},"page":"47-70","title":"Pathologic scar formation. Morphologic and biochemical correlates.","type":"article-journal","volume":"86"},"uris":["http://www.mendeley.com/documents/?uuid=dd37b209-e18b-4f8a-ade9-be94c7b1617e"]}],"mendeley":{"formattedCitation":"&lt;sup&gt;179&lt;/sup&gt;","plainTextFormattedCitation":"179","previouslyFormattedCitation":"&lt;sup&gt;179&lt;/sup&gt;"},"properties":{"noteIndex":0},"schema":"https://github.com/citation-style-language/schema/raw/master/csl-citation.json"}</w:instrText>
      </w:r>
      <w:r>
        <w:fldChar w:fldCharType="separate"/>
      </w:r>
      <w:r w:rsidR="00B02713" w:rsidRPr="00B02713">
        <w:rPr>
          <w:noProof/>
          <w:vertAlign w:val="superscript"/>
        </w:rPr>
        <w:t>179</w:t>
      </w:r>
      <w:r>
        <w:fldChar w:fldCharType="end"/>
      </w:r>
      <w:r>
        <w:t xml:space="preserve"> scleroderma</w:t>
      </w:r>
      <w:r>
        <w:fldChar w:fldCharType="begin" w:fldLock="1"/>
      </w:r>
      <w:r w:rsidR="0085447D">
        <w:instrText>ADDIN CSL_CITATION {"citationItems":[{"id":"ITEM-1","itemData":{"ISBN":"1365-2133","ISSN":"0007-0963","PMID":"8555021","abstract":"Lysyl oxidase initiates cross-linkage of collagen and elastin by catalysing the formation of a lysine-derived aldehyde. In order to study cross-linking in scleroderma, we used monoclonal antibodies to lysyl oxidase to determine the localization of this enzyme in systemic and localized scleroderma, and compared the distributions obtained with that in normal skin. Using an indirect immunofluorescent antibody method and an avidin-biotinylated enzyme complex method, 11 cases of diffuse type of systemic scleroderma and seven cases of localized scleroderma were studied. In the oedematous stage of systemic scleroderma, intracellular and extracellular lysyl oxidase were remarkably increased in the dermis, particularly in groups around blood vessels. In the sclerotic stage of systemic scleroderma, lysyl oxidase was detected intracellularly in fibroblasts and extracellularly among collagen bundles between the lower dermis and the subcutaneous fat tissue. In localized scleroderma, a marked increase in lysyl oxidase was observed in mononuclear cells and fibroblasts near blood vessels in the lower dermis and in the subcutaneous fat tissue, in addition to the extracellular deposits between collagen bundles. The increase in lysyl oxidase in localized scleroderma was much more common than in the oedematous stage of systemic scleroderma. These findings indicated that intracellular and extracellular expression of lysyl oxidase expression was greater in sclerodermatous skin than in normal skin.","author":[{"dropping-particle":"","family":"Chanoki","given":"M","non-dropping-particle":"","parse-names":false,"suffix":""},{"dropping-particle":"","family":"Ishii","given":"M","non-dropping-particle":"","parse-names":false,"suffix":""},{"dropping-particle":"","family":"Kobayashi","given":"H","non-dropping-particle":"","parse-names":false,"suffix":""},{"dropping-particle":"","family":"Fushida","given":"H","non-dropping-particle":"","parse-names":false,"suffix":""},{"dropping-particle":"","family":"Yashiro","given":"N","non-dropping-particle":"","parse-names":false,"suffix":""},{"dropping-particle":"","family":"Hamada","given":"T","non-dropping-particle":"","parse-names":false,"suffix":""},{"dropping-particle":"","family":"Ooshima","given":"A","non-dropping-particle":"","parse-names":false,"suffix":""}],"container-title":"The British journal of dermatology","id":"ITEM-1","issue":"5","issued":{"date-parts":[["1995"]]},"page":"710-5","title":"Increased expression of lysyl oxidase in skin with scleroderma.","type":"article-journal","volume":"133"},"uris":["http://www.mendeley.com/documents/?uuid=702595e3-09b9-4ebe-8bc8-e084ef8ca7af"]}],"mendeley":{"formattedCitation":"&lt;sup&gt;180&lt;/sup&gt;","plainTextFormattedCitation":"180","previouslyFormattedCitation":"&lt;sup&gt;180&lt;/sup&gt;"},"properties":{"noteIndex":0},"schema":"https://github.com/citation-style-language/schema/raw/master/csl-citation.json"}</w:instrText>
      </w:r>
      <w:r>
        <w:fldChar w:fldCharType="separate"/>
      </w:r>
      <w:r w:rsidR="00B02713" w:rsidRPr="00B02713">
        <w:rPr>
          <w:noProof/>
          <w:vertAlign w:val="superscript"/>
        </w:rPr>
        <w:t>180</w:t>
      </w:r>
      <w:r>
        <w:fldChar w:fldCharType="end"/>
      </w:r>
      <w:r>
        <w:t xml:space="preserve"> and diabetic skin abnormalities.</w:t>
      </w:r>
      <w:r>
        <w:fldChar w:fldCharType="begin" w:fldLock="1"/>
      </w:r>
      <w:r w:rsidR="0085447D">
        <w:instrText>ADDIN CSL_CITATION {"citationItems":[{"id":"ITEM-1","itemData":{"DOI":"10.1172/JCI114807","ISSN":"00219738","PMID":"1976653","abstract":"Many abnormalities in collagen have been reported in insulin-dependent diabetes mellitus, some or all of which have been attributed to increased cross-linking. Although recent work has focused on the role of glucose-derived collagen cross-links in the pathogenesis of diabetic complications, relatively few studies have investigated the role of lysyl oxidase-dependent (LOX) cross-links. In the present study, LOX cross-links and nonenzymatic glycosylation were quantified in skin collagen from diabetic subjects. There was an increase in the difunctional cross-link dihydroxylysinonorleucine (DHLNL) as well as in one of its trifunctional maturation products, hydroxypyridinium. All other LOX crosslinks were normal. Nonenzymatic glycosylation was increased in diabetic skin collagen, and this increase was correlated with increases in DHLNL (P less than 0.001). The biochemical results were examined for correlations with clinical data from the same subjects. Increases in DHLNL content were associated with duration of diabetes (P less than 0.003), glycohemoglobin levels (P less than 0.001), hand contractures (P less than 0.05), skin changes (P less than 0.005), and microalbuminuria (P less than 0.01). In nondiabetic subjects age was not correlated with collagen cross-link content with the exception that his-HLNL increased with age (r = 0.79, P less than 0.02). In diabetic subjects, PA levels decreased with age (r = 0.51, P less than 0.02). With increased duration of diabetes, DHLNL content was increased (r = 0.55, P less than 0.003) and OHP was increased (r = 0.59, P less than 0.01), whereas PA levels were decreased (r = -0.48, P less than 0.04). Nonenzymatic glycosylation of collagen was also increased with increased duration of diabetes (hex-lys, r = 0.47, P less than 0.02; hex-hyl, r = 0.39, P less than 0.05). We conclude that: (a) lysyl oxidase-dependent cross-linking is increased in skin collagen in diabetes and (b) that these changes in skin collagen are correlated with duration of diabetes, glycemic control, and long-term complications.","author":[{"dropping-particle":"","family":"Buckingham","given":"B.","non-dropping-particle":"","parse-names":false,"suffix":""},{"dropping-particle":"","family":"Reiser","given":"K. M.","non-dropping-particle":"","parse-names":false,"suffix":""}],"container-title":"Journal of Clinical Investigation","id":"ITEM-1","issue":"4","issued":{"date-parts":[["1990"]]},"page":"1046-1054","title":"Relationship between the content of lysyl oxidase-dependent cross-links in skin collagen, nonenzymatic glycosylation, and long-term complications in type I diabetes mellitus","type":"article-journal","volume":"86"},"uris":["http://www.mendeley.com/documents/?uuid=0fba8461-14e9-486e-8f8c-8da12d118224"]}],"mendeley":{"formattedCitation":"&lt;sup&gt;181&lt;/sup&gt;","plainTextFormattedCitation":"181","previouslyFormattedCitation":"&lt;sup&gt;181&lt;/sup&gt;"},"properties":{"noteIndex":0},"schema":"https://github.com/citation-style-language/schema/raw/master/csl-citation.json"}</w:instrText>
      </w:r>
      <w:r>
        <w:fldChar w:fldCharType="separate"/>
      </w:r>
      <w:r w:rsidR="00B02713" w:rsidRPr="00B02713">
        <w:rPr>
          <w:noProof/>
          <w:vertAlign w:val="superscript"/>
        </w:rPr>
        <w:t>181</w:t>
      </w:r>
      <w:r>
        <w:fldChar w:fldCharType="end"/>
      </w:r>
      <w:r>
        <w:t xml:space="preserve"> As a result, the activity of LOX, and the ability to inhibit its action, is a key area of research.</w:t>
      </w:r>
    </w:p>
    <w:p w14:paraId="34EBD05F" w14:textId="2D3DC8BA" w:rsidR="004673FB" w:rsidRDefault="004673FB" w:rsidP="004673FB">
      <w:pPr>
        <w:rPr>
          <w:color w:val="000000" w:themeColor="text1"/>
        </w:rPr>
      </w:pPr>
      <w:r>
        <w:t xml:space="preserve">In order to study the activity of LOX, a suitable </w:t>
      </w:r>
      <w:r w:rsidRPr="0088168A">
        <w:rPr>
          <w:i/>
        </w:rPr>
        <w:t>in vitro</w:t>
      </w:r>
      <w:r>
        <w:t xml:space="preserve"> assay is required. One of the most common methods for monitoring LOX activity </w:t>
      </w:r>
      <w:r w:rsidRPr="0088168A">
        <w:rPr>
          <w:i/>
        </w:rPr>
        <w:t>in vitro</w:t>
      </w:r>
      <w:r>
        <w:t xml:space="preserve"> is the use of tritium-labelled lysine side chains on elastin or collagen molecules.</w:t>
      </w:r>
      <w:r>
        <w:fldChar w:fldCharType="begin" w:fldLock="1"/>
      </w:r>
      <w:r w:rsidR="0085447D">
        <w:instrText>ADDIN CSL_CITATION {"citationItems":[{"id":"ITEM-1","itemData":{"DOI":"10.1073/pnas.61.2.708","ISBN":"0027-8424 (Print)\\r0027-8424 (Linking)","ISSN":"0027-8424","PMID":"5246001","author":[{"dropping-particle":"","family":"Pinnell","given":"Sheldon. R","non-dropping-particle":"","parse-names":false,"suffix":""},{"dropping-particle":"","family":"Martin","given":"George. R","non-dropping-particle":"","parse-names":false,"suffix":""}],"container-title":"Proceedings of the National Academy of Sciences of the United States of America","id":"ITEM-1","issue":"2","issued":{"date-parts":[["1968"]]},"page":"708-716","title":"The cross-linking of collagen and elastin: enzymatic conversion of lysine in peptide linkage to alpha-aminoadipic-delta-semialdehyde (allysine) by an extract from bone.","type":"article-journal","volume":"61"},"uris":["http://www.mendeley.com/documents/?uuid=09535a10-d3cd-4fc7-b453-3f65d0826893"]}],"mendeley":{"formattedCitation":"&lt;sup&gt;83&lt;/sup&gt;","plainTextFormattedCitation":"83","previouslyFormattedCitation":"&lt;sup&gt;83&lt;/sup&gt;"},"properties":{"noteIndex":0},"schema":"https://github.com/citation-style-language/schema/raw/master/csl-citation.json"}</w:instrText>
      </w:r>
      <w:r>
        <w:fldChar w:fldCharType="separate"/>
      </w:r>
      <w:r w:rsidR="00B02713" w:rsidRPr="00B02713">
        <w:rPr>
          <w:noProof/>
          <w:vertAlign w:val="superscript"/>
        </w:rPr>
        <w:t>83</w:t>
      </w:r>
      <w:r>
        <w:fldChar w:fldCharType="end"/>
      </w:r>
      <w:r w:rsidRPr="00CB5F43">
        <w:rPr>
          <w:vertAlign w:val="superscript"/>
        </w:rPr>
        <w:t>,</w:t>
      </w:r>
      <w:r>
        <w:fldChar w:fldCharType="begin" w:fldLock="1"/>
      </w:r>
      <w:r w:rsidR="0085447D">
        <w:instrText>ADDIN CSL_CITATION {"citationItems":[{"id":"ITEM-1","itemData":{"author":[{"dropping-particle":"","family":"Harris","given":"Edward D","non-dropping-particle":"","parse-names":false,"suffix":""}],"container-title":"Proc. Nat. Acad. Sci","id":"ITEM-1","issue":"2","issued":{"date-parts":[["1976"]]},"page":"371-374","title":"Copper induced activation of aortic lysyl oxidase in vivo","type":"article-journal","volume":"73"},"uris":["http://www.mendeley.com/documents/?uuid=006825e2-e79c-4890-bf22-152676d3cc5c"]}],"mendeley":{"formattedCitation":"&lt;sup&gt;82&lt;/sup&gt;","plainTextFormattedCitation":"82","previouslyFormattedCitation":"&lt;sup&gt;82&lt;/sup&gt;"},"properties":{"noteIndex":0},"schema":"https://github.com/citation-style-language/schema/raw/master/csl-citation.json"}</w:instrText>
      </w:r>
      <w:r>
        <w:fldChar w:fldCharType="separate"/>
      </w:r>
      <w:r w:rsidR="00B02713" w:rsidRPr="00B02713">
        <w:rPr>
          <w:noProof/>
          <w:vertAlign w:val="superscript"/>
        </w:rPr>
        <w:t>82</w:t>
      </w:r>
      <w:r>
        <w:fldChar w:fldCharType="end"/>
      </w:r>
      <w:r w:rsidRPr="0088168A">
        <w:rPr>
          <w:vertAlign w:val="superscript"/>
        </w:rPr>
        <w:t>,</w:t>
      </w:r>
      <w:r>
        <w:fldChar w:fldCharType="begin" w:fldLock="1"/>
      </w:r>
      <w:r w:rsidR="0085447D">
        <w:instrText>ADDIN CSL_CITATION {"citationItems":[{"id":"ITEM-1","itemData":{"author":[{"dropping-particle":"","family":"Layman","given":"Don. L","non-dropping-particle":"","parse-names":false,"suffix":""},{"dropping-particle":"","family":"Narayanan","given":"A S","non-dropping-particle":"","parse-names":false,"suffix":""},{"dropping-particle":"","family":"Martin","given":"George. R","non-dropping-particle":"","parse-names":false,"suffix":""}],"container-title":"Archives of Biochemistry and BioPhysics","id":"ITEM-1","issued":{"date-parts":[["1972"]]},"page":"97-101","title":"The Production of Lysyl Oxidase by Human Fibroblasts in Culture","type":"article-journal","volume":"149"},"uris":["http://www.mendeley.com/documents/?uuid=9f3756bc-bcdb-42e2-968c-18db9cc58128"]}],"mendeley":{"formattedCitation":"&lt;sup&gt;182&lt;/sup&gt;","plainTextFormattedCitation":"182","previouslyFormattedCitation":"&lt;sup&gt;182&lt;/sup&gt;"},"properties":{"noteIndex":0},"schema":"https://github.com/citation-style-language/schema/raw/master/csl-citation.json"}</w:instrText>
      </w:r>
      <w:r>
        <w:fldChar w:fldCharType="separate"/>
      </w:r>
      <w:r w:rsidR="00B02713" w:rsidRPr="00B02713">
        <w:rPr>
          <w:noProof/>
          <w:vertAlign w:val="superscript"/>
        </w:rPr>
        <w:t>182</w:t>
      </w:r>
      <w:r>
        <w:fldChar w:fldCharType="end"/>
      </w:r>
      <w:r w:rsidRPr="0088168A">
        <w:rPr>
          <w:vertAlign w:val="superscript"/>
        </w:rPr>
        <w:t>,</w:t>
      </w:r>
      <w:r>
        <w:fldChar w:fldCharType="begin" w:fldLock="1"/>
      </w:r>
      <w:r w:rsidR="0085447D">
        <w:instrText>ADDIN CSL_CITATION {"citationItems":[{"id":"ITEM-1","itemData":{"author":[{"dropping-particle":"","family":"Harris","given":"Edward. D","non-dropping-particle":"","parse-names":false,"suffix":""},{"dropping-particle":"","family":"Rayton","given":"John. K","non-dropping-particle":"","parse-names":false,"suffix":""}],"container-title":"The Journal of Biological Chemistry","id":"ITEM-1","issue":"3","issued":{"date-parts":[["1979"]]},"page":"621-626","title":"Induction of Lysyl Oxidase with Copper","type":"article-journal","volume":"254"},"uris":["http://www.mendeley.com/documents/?uuid=84a96502-b57c-4759-9751-d0e157231b47"]}],"mendeley":{"formattedCitation":"&lt;sup&gt;183&lt;/sup&gt;","plainTextFormattedCitation":"183","previouslyFormattedCitation":"&lt;sup&gt;183&lt;/sup&gt;"},"properties":{"noteIndex":0},"schema":"https://github.com/citation-style-language/schema/raw/master/csl-citation.json"}</w:instrText>
      </w:r>
      <w:r>
        <w:fldChar w:fldCharType="separate"/>
      </w:r>
      <w:r w:rsidR="00B02713" w:rsidRPr="00B02713">
        <w:rPr>
          <w:noProof/>
          <w:vertAlign w:val="superscript"/>
        </w:rPr>
        <w:t>183</w:t>
      </w:r>
      <w:r>
        <w:fldChar w:fldCharType="end"/>
      </w:r>
      <w:r>
        <w:t xml:space="preserve"> Both lysine</w:t>
      </w:r>
      <w:r>
        <w:noBreakHyphen/>
        <w:t>6</w:t>
      </w:r>
      <w:r>
        <w:noBreakHyphen/>
      </w:r>
      <w:r w:rsidRPr="00CB5F43">
        <w:rPr>
          <w:vertAlign w:val="superscript"/>
        </w:rPr>
        <w:t>3</w:t>
      </w:r>
      <w:r>
        <w:t>H and lysine</w:t>
      </w:r>
      <w:r>
        <w:noBreakHyphen/>
        <w:t>4,5</w:t>
      </w:r>
      <w:r>
        <w:noBreakHyphen/>
      </w:r>
      <w:r w:rsidRPr="00CB5F43">
        <w:rPr>
          <w:vertAlign w:val="superscript"/>
        </w:rPr>
        <w:t>3</w:t>
      </w:r>
      <w:r>
        <w:t>H have been used for this purpose.</w:t>
      </w:r>
      <w:r>
        <w:fldChar w:fldCharType="begin" w:fldLock="1"/>
      </w:r>
      <w:r w:rsidR="0085447D">
        <w:instrText>ADDIN CSL_CITATION {"citationItems":[{"id":"ITEM-1","itemData":{"DOI":"10.1016/0003-2697(77)90298-6","ISBN":"0003-2697","ISSN":"10960309","PMID":"12676","abstract":"A simplified method for the assay of lysyl oxidase activity was developed. The method is based on the measurement of tritiated water released by enzyme action from labeled protein-bound lysine and hydroxylysine. Trichloroacetic acid (TCA) supernates of the incubation mixtures are passed through small Dowex 50 (H+) columns and the effluents are counted. For rapid screening purposes an indication of the presence of enzyme activity in enzyme preparations can be obtained by measuring the radioactivity present in aliquots of the TCA supernates as such and by measuring the radioactivity after drying at 60°C, taking the difference between the two as a measurement of enzyme activity. © 1977.","author":[{"dropping-particle":"","family":"Melet","given":"J.","non-dropping-particle":"","parse-names":false,"suffix":""},{"dropping-particle":"","family":"Vianden","given":"G. D N E","non-dropping-particle":"","parse-names":false,"suffix":""},{"dropping-particle":"","family":"Bachra","given":"B. N.","non-dropping-particle":"","parse-names":false,"suffix":""}],"container-title":"Analytical Biochemistry","id":"ITEM-1","issue":"1","issued":{"date-parts":[["1977"]]},"page":"141-146","title":"Simplified assay for lysyl oxidase activity","type":"article-journal","volume":"77"},"uris":["http://www.mendeley.com/documents/?uuid=b9ca4635-bbe3-4938-bc18-be02d19f6229"]}],"mendeley":{"formattedCitation":"&lt;sup&gt;184&lt;/sup&gt;","plainTextFormattedCitation":"184","previouslyFormattedCitation":"&lt;sup&gt;184&lt;/sup&gt;"},"properties":{"noteIndex":0},"schema":"https://github.com/citation-style-language/schema/raw/master/csl-citation.json"}</w:instrText>
      </w:r>
      <w:r>
        <w:fldChar w:fldCharType="separate"/>
      </w:r>
      <w:r w:rsidR="00B02713" w:rsidRPr="00B02713">
        <w:rPr>
          <w:noProof/>
          <w:vertAlign w:val="superscript"/>
        </w:rPr>
        <w:t>184</w:t>
      </w:r>
      <w:r>
        <w:fldChar w:fldCharType="end"/>
      </w:r>
      <w:r w:rsidRPr="00CB5F43">
        <w:rPr>
          <w:vertAlign w:val="superscript"/>
        </w:rPr>
        <w:t>,</w:t>
      </w:r>
      <w:r>
        <w:fldChar w:fldCharType="begin" w:fldLock="1"/>
      </w:r>
      <w:r w:rsidR="0085447D">
        <w:instrText>ADDIN CSL_CITATION {"citationItems":[{"id":"ITEM-1","itemData":{"author":[{"dropping-particle":"","family":"Clark","given":"Robert A","non-dropping-particle":"","parse-names":false,"suffix":""},{"dropping-particle":"","family":"Szot","given":"Susan","non-dropping-particle":"","parse-names":false,"suffix":""},{"dropping-particle":"","family":"Williams","given":"Marcia A","non-dropping-particle":"","parse-names":false,"suffix":""},{"dropping-particle":"","family":"Kagan","given":"Herbert M","non-dropping-particle":"","parse-names":false,"suffix":""}],"container-title":"Biochemical and Biophysical Research Communications","id":"ITEM-1","issue":"2","issued":{"date-parts":[["1986"]]},"page":"451-457","title":"Oxidation of lysine side-chains of elastin by the myeloperoxidase system and by stimulated human neutrophils","type":"article-journal","volume":"135"},"uris":["http://www.mendeley.com/documents/?uuid=c0904999-807d-47fa-938f-af2679b818d5"]}],"mendeley":{"formattedCitation":"&lt;sup&gt;185&lt;/sup&gt;","plainTextFormattedCitation":"185","previouslyFormattedCitation":"&lt;sup&gt;185&lt;/sup&gt;"},"properties":{"noteIndex":0},"schema":"https://github.com/citation-style-language/schema/raw/master/csl-citation.json"}</w:instrText>
      </w:r>
      <w:r>
        <w:fldChar w:fldCharType="separate"/>
      </w:r>
      <w:r w:rsidR="00B02713" w:rsidRPr="00B02713">
        <w:rPr>
          <w:noProof/>
          <w:vertAlign w:val="superscript"/>
        </w:rPr>
        <w:t>185</w:t>
      </w:r>
      <w:r>
        <w:fldChar w:fldCharType="end"/>
      </w:r>
      <w:r>
        <w:t xml:space="preserve"> Following catalytic cleavage of the labelled lysine by LOX, tritium ions are released and exchange with the aqueous solvent to produce tritiated water. This water is then distilled, and its radioactivity measured. Melet </w:t>
      </w:r>
      <w:r w:rsidRPr="00B4119F">
        <w:rPr>
          <w:i/>
        </w:rPr>
        <w:t>et al.</w:t>
      </w:r>
      <w:r>
        <w:t xml:space="preserve"> developed the use of tritium-labelled lysine further by analysing tritium content using small ion exchange columns.</w:t>
      </w:r>
      <w:r>
        <w:fldChar w:fldCharType="begin" w:fldLock="1"/>
      </w:r>
      <w:r w:rsidR="0085447D">
        <w:instrText>ADDIN CSL_CITATION {"citationItems":[{"id":"ITEM-1","itemData":{"DOI":"10.1016/0003-2697(77)90298-6","ISBN":"0003-2697","ISSN":"10960309","PMID":"12676","abstract":"A simplified method for the assay of lysyl oxidase activity was developed. The method is based on the measurement of tritiated water released by enzyme action from labeled protein-bound lysine and hydroxylysine. Trichloroacetic acid (TCA) supernates of the incubation mixtures are passed through small Dowex 50 (H+) columns and the effluents are counted. For rapid screening purposes an indication of the presence of enzyme activity in enzyme preparations can be obtained by measuring the radioactivity present in aliquots of the TCA supernates as such and by measuring the radioactivity after drying at 60°C, taking the difference between the two as a measurement of enzyme activity. © 1977.","author":[{"dropping-particle":"","family":"Melet","given":"J.","non-dropping-particle":"","parse-names":false,"suffix":""},{"dropping-particle":"","family":"Vianden","given":"G. D N E","non-dropping-particle":"","parse-names":false,"suffix":""},{"dropping-particle":"","family":"Bachra","given":"B. N.","non-dropping-particle":"","parse-names":false,"suffix":""}],"container-title":"Analytical Biochemistry","id":"ITEM-1","issue":"1","issued":{"date-parts":[["1977"]]},"page":"141-146","title":"Simplified assay for lysyl oxidase activity","type":"article-journal","volume":"77"},"uris":["http://www.mendeley.com/documents/?uuid=b9ca4635-bbe3-4938-bc18-be02d19f6229"]}],"mendeley":{"formattedCitation":"&lt;sup&gt;184&lt;/sup&gt;","plainTextFormattedCitation":"184","previouslyFormattedCitation":"&lt;sup&gt;184&lt;/sup&gt;"},"properties":{"noteIndex":0},"schema":"https://github.com/citation-style-language/schema/raw/master/csl-citation.json"}</w:instrText>
      </w:r>
      <w:r>
        <w:fldChar w:fldCharType="separate"/>
      </w:r>
      <w:r w:rsidR="00B02713" w:rsidRPr="00B02713">
        <w:rPr>
          <w:noProof/>
          <w:vertAlign w:val="superscript"/>
        </w:rPr>
        <w:t>184</w:t>
      </w:r>
      <w:r>
        <w:fldChar w:fldCharType="end"/>
      </w:r>
      <w:r>
        <w:t xml:space="preserve"> They found this technique allowed more high-throughput screening of enzyme activity. </w:t>
      </w:r>
      <w:r w:rsidRPr="00F95BE1">
        <w:rPr>
          <w:color w:val="000000" w:themeColor="text1"/>
        </w:rPr>
        <w:t xml:space="preserve">Whilst tritium-labelling </w:t>
      </w:r>
      <w:r>
        <w:rPr>
          <w:color w:val="000000" w:themeColor="text1"/>
        </w:rPr>
        <w:lastRenderedPageBreak/>
        <w:t>has p</w:t>
      </w:r>
      <w:r w:rsidRPr="00F95BE1">
        <w:rPr>
          <w:color w:val="000000" w:themeColor="text1"/>
        </w:rPr>
        <w:t xml:space="preserve">roven to be a highly sensitive and reliable technique for measuring enzyme activity, </w:t>
      </w:r>
      <w:r>
        <w:rPr>
          <w:color w:val="000000" w:themeColor="text1"/>
        </w:rPr>
        <w:t xml:space="preserve">it requires access to a </w:t>
      </w:r>
      <w:r w:rsidRPr="00995114">
        <w:rPr>
          <w:color w:val="000000" w:themeColor="text1"/>
        </w:rPr>
        <w:t>radioactive source</w:t>
      </w:r>
      <w:r>
        <w:rPr>
          <w:color w:val="000000" w:themeColor="text1"/>
        </w:rPr>
        <w:t>,</w:t>
      </w:r>
      <w:r w:rsidRPr="00995114">
        <w:rPr>
          <w:color w:val="000000" w:themeColor="text1"/>
        </w:rPr>
        <w:t xml:space="preserve"> as well as lengthy work up and clean up from the distillation process. As a result, more</w:t>
      </w:r>
      <w:r>
        <w:rPr>
          <w:color w:val="000000" w:themeColor="text1"/>
        </w:rPr>
        <w:t xml:space="preserve"> rapid and continuous methods to measure</w:t>
      </w:r>
      <w:r w:rsidRPr="00995114">
        <w:rPr>
          <w:color w:val="000000" w:themeColor="text1"/>
        </w:rPr>
        <w:t xml:space="preserve"> enzyme activity have been de</w:t>
      </w:r>
      <w:r w:rsidRPr="00474B76">
        <w:rPr>
          <w:color w:val="000000" w:themeColor="text1"/>
        </w:rPr>
        <w:t xml:space="preserve">veloped. Trackman </w:t>
      </w:r>
      <w:r w:rsidRPr="00474B76">
        <w:rPr>
          <w:i/>
          <w:color w:val="000000" w:themeColor="text1"/>
        </w:rPr>
        <w:t>et al.</w:t>
      </w:r>
      <w:r w:rsidRPr="00474B76">
        <w:rPr>
          <w:color w:val="000000" w:themeColor="text1"/>
        </w:rPr>
        <w:t xml:space="preserve"> found that mono- and diamine substrates were able to be oxidised by </w:t>
      </w:r>
      <w:r>
        <w:rPr>
          <w:color w:val="000000" w:themeColor="text1"/>
        </w:rPr>
        <w:t>LOX</w:t>
      </w:r>
      <w:r w:rsidRPr="00474B76">
        <w:rPr>
          <w:color w:val="000000" w:themeColor="text1"/>
        </w:rPr>
        <w:t>,</w:t>
      </w:r>
      <w:r w:rsidRPr="00474B76">
        <w:rPr>
          <w:color w:val="000000" w:themeColor="text1"/>
        </w:rPr>
        <w:fldChar w:fldCharType="begin" w:fldLock="1"/>
      </w:r>
      <w:r w:rsidR="0085447D">
        <w:rPr>
          <w:color w:val="000000" w:themeColor="text1"/>
        </w:rPr>
        <w:instrText>ADDIN CSL_CITATION {"citationItems":[{"id":"ITEM-1","itemData":{"ISSN":"00219258","PMID":"38246","author":[{"dropping-particle":"","family":"Trackman","given":"P. C.","non-dropping-particle":"","parse-names":false,"suffix":""},{"dropping-particle":"","family":"Kagan","given":"H. M.","non-dropping-particle":"","parse-names":false,"suffix":""}],"container-title":"Journal of Biological Chemistry","id":"ITEM-1","issue":"16","issued":{"date-parts":[["1979"]]},"page":"7831-7836","title":"Nonpeptidyl amine inhibitors are substrates of lysyl oxidase.","type":"article-journal","volume":"254"},"uris":["http://www.mendeley.com/documents/?uuid=56f299a9-ad8b-4f15-8efc-a1dec56ee3e6"]}],"mendeley":{"formattedCitation":"&lt;sup&gt;94&lt;/sup&gt;","plainTextFormattedCitation":"94","previouslyFormattedCitation":"&lt;sup&gt;94&lt;/sup&gt;"},"properties":{"noteIndex":0},"schema":"https://github.com/citation-style-language/schema/raw/master/csl-citation.json"}</w:instrText>
      </w:r>
      <w:r w:rsidRPr="00474B76">
        <w:rPr>
          <w:color w:val="000000" w:themeColor="text1"/>
        </w:rPr>
        <w:fldChar w:fldCharType="separate"/>
      </w:r>
      <w:r w:rsidR="00B02713" w:rsidRPr="00B02713">
        <w:rPr>
          <w:noProof/>
          <w:color w:val="000000" w:themeColor="text1"/>
          <w:vertAlign w:val="superscript"/>
        </w:rPr>
        <w:t>94</w:t>
      </w:r>
      <w:r w:rsidRPr="00474B76">
        <w:rPr>
          <w:color w:val="000000" w:themeColor="text1"/>
        </w:rPr>
        <w:fldChar w:fldCharType="end"/>
      </w:r>
      <w:r w:rsidRPr="00474B76">
        <w:rPr>
          <w:color w:val="000000" w:themeColor="text1"/>
        </w:rPr>
        <w:t xml:space="preserve"> contrary to previous theories that the enzyme only </w:t>
      </w:r>
      <w:r>
        <w:rPr>
          <w:color w:val="000000" w:themeColor="text1"/>
        </w:rPr>
        <w:t>acted</w:t>
      </w:r>
      <w:r w:rsidRPr="00474B76">
        <w:rPr>
          <w:color w:val="000000" w:themeColor="text1"/>
        </w:rPr>
        <w:t xml:space="preserve"> on protein substrates. From this, Trackman </w:t>
      </w:r>
      <w:r w:rsidRPr="00D161F7">
        <w:rPr>
          <w:i/>
          <w:color w:val="000000" w:themeColor="text1"/>
        </w:rPr>
        <w:t>et al.</w:t>
      </w:r>
      <w:r w:rsidRPr="00474B76">
        <w:rPr>
          <w:color w:val="000000" w:themeColor="text1"/>
        </w:rPr>
        <w:t xml:space="preserve"> were able to develop a peroxidase-coupled fluorometric assay of enzyme activity.</w:t>
      </w:r>
      <w:r w:rsidRPr="00474B76">
        <w:rPr>
          <w:color w:val="000000" w:themeColor="text1"/>
        </w:rPr>
        <w:fldChar w:fldCharType="begin" w:fldLock="1"/>
      </w:r>
      <w:r w:rsidR="0085447D">
        <w:rPr>
          <w:color w:val="000000" w:themeColor="text1"/>
        </w:rPr>
        <w:instrText>ADDIN CSL_CITATION {"citationItems":[{"id":"ITEM-1","itemData":{"author":[{"dropping-particle":"","family":"Trackman","given":"Philip C","non-dropping-particle":"","parse-names":false,"suffix":""},{"dropping-particle":"","family":"Zoski","given":"Cynthia G.","non-dropping-particle":"","parse-names":false,"suffix":""},{"dropping-particle":"","family":"Kagan","given":"Herbert M.","non-dropping-particle":"","parse-names":false,"suffix":""}],"container-title":"Analytical Biochemistry","id":"ITEM-1","issued":{"date-parts":[["1981"]]},"page":"336-342","title":"Development of a Peroxidase-Coupled Assay for Lysyl Oxidase Fluorometric","type":"article-journal","volume":"342"},"uris":["http://www.mendeley.com/documents/?uuid=749e1d81-e1a4-4e68-bc62-7947298127a6"]}],"mendeley":{"formattedCitation":"&lt;sup&gt;186&lt;/sup&gt;","plainTextFormattedCitation":"186","previouslyFormattedCitation":"&lt;sup&gt;186&lt;/sup&gt;"},"properties":{"noteIndex":0},"schema":"https://github.com/citation-style-language/schema/raw/master/csl-citation.json"}</w:instrText>
      </w:r>
      <w:r w:rsidRPr="00474B76">
        <w:rPr>
          <w:color w:val="000000" w:themeColor="text1"/>
        </w:rPr>
        <w:fldChar w:fldCharType="separate"/>
      </w:r>
      <w:r w:rsidR="00B02713" w:rsidRPr="00B02713">
        <w:rPr>
          <w:noProof/>
          <w:color w:val="000000" w:themeColor="text1"/>
          <w:vertAlign w:val="superscript"/>
        </w:rPr>
        <w:t>186</w:t>
      </w:r>
      <w:r w:rsidRPr="00474B76">
        <w:rPr>
          <w:color w:val="000000" w:themeColor="text1"/>
        </w:rPr>
        <w:fldChar w:fldCharType="end"/>
      </w:r>
      <w:r w:rsidRPr="00474B76">
        <w:rPr>
          <w:color w:val="000000" w:themeColor="text1"/>
        </w:rPr>
        <w:t xml:space="preserve"> The technique utilised non-peptidyl </w:t>
      </w:r>
      <w:r>
        <w:rPr>
          <w:color w:val="000000" w:themeColor="text1"/>
        </w:rPr>
        <w:t xml:space="preserve">diamine </w:t>
      </w:r>
      <w:r w:rsidRPr="00474B76">
        <w:rPr>
          <w:color w:val="000000" w:themeColor="text1"/>
        </w:rPr>
        <w:t xml:space="preserve">substrates, which afford </w:t>
      </w:r>
      <w:r>
        <w:rPr>
          <w:color w:val="000000" w:themeColor="text1"/>
        </w:rPr>
        <w:t>hydrogen peroxide after</w:t>
      </w:r>
      <w:r w:rsidRPr="00474B76">
        <w:rPr>
          <w:color w:val="000000" w:themeColor="text1"/>
        </w:rPr>
        <w:t xml:space="preserve"> </w:t>
      </w:r>
      <w:r>
        <w:rPr>
          <w:color w:val="000000" w:themeColor="text1"/>
        </w:rPr>
        <w:t>catalytic deamination by</w:t>
      </w:r>
      <w:r w:rsidRPr="00474B76">
        <w:rPr>
          <w:color w:val="000000" w:themeColor="text1"/>
        </w:rPr>
        <w:t xml:space="preserve"> </w:t>
      </w:r>
      <w:r>
        <w:rPr>
          <w:color w:val="000000" w:themeColor="text1"/>
        </w:rPr>
        <w:t>LOX</w:t>
      </w:r>
      <w:r w:rsidRPr="00474B76">
        <w:rPr>
          <w:color w:val="000000" w:themeColor="text1"/>
        </w:rPr>
        <w:t xml:space="preserve">. </w:t>
      </w:r>
      <w:r>
        <w:rPr>
          <w:color w:val="000000" w:themeColor="text1"/>
        </w:rPr>
        <w:t xml:space="preserve">Horseradish peroxidase (HRP) is used in the reaction, with hydrogen peroxide as the oxidising agent, to facilitate the oxidation of the non-fluorescent substrate sodium homovanillate to its fluorescent product. Whilst the system was found to be as sensitive as the tritium-release method, limitations arose due to higher temperature required to run the assay (50 ˚C) as well as poor detection of LOX activity in crude samples. </w:t>
      </w:r>
      <w:r w:rsidRPr="00CF7308">
        <w:rPr>
          <w:color w:val="000000" w:themeColor="text1"/>
        </w:rPr>
        <w:t>Palamakumbura</w:t>
      </w:r>
      <w:r>
        <w:rPr>
          <w:color w:val="000000" w:themeColor="text1"/>
        </w:rPr>
        <w:t xml:space="preserve"> and Trackman were able to circumvent these issues by using an alternative, more sensitive fluorescent probe;</w:t>
      </w:r>
      <w:r w:rsidRPr="00CF7308">
        <w:t xml:space="preserve"> </w:t>
      </w:r>
      <w:r w:rsidRPr="00CF7308">
        <w:rPr>
          <w:i/>
          <w:color w:val="000000" w:themeColor="text1"/>
        </w:rPr>
        <w:t>N</w:t>
      </w:r>
      <w:r w:rsidR="00EA0CCD">
        <w:rPr>
          <w:color w:val="000000" w:themeColor="text1"/>
        </w:rPr>
        <w:noBreakHyphen/>
      </w:r>
      <w:r w:rsidRPr="00CF7308">
        <w:rPr>
          <w:color w:val="000000" w:themeColor="text1"/>
        </w:rPr>
        <w:t>Acetyl-3,7-dihydroxyphenoxazine</w:t>
      </w:r>
      <w:r>
        <w:rPr>
          <w:color w:val="000000" w:themeColor="text1"/>
        </w:rPr>
        <w:t xml:space="preserve"> (Amplex red)</w:t>
      </w:r>
      <w:r w:rsidR="00E4537B">
        <w:rPr>
          <w:color w:val="000000" w:themeColor="text1"/>
        </w:rPr>
        <w:t xml:space="preserve"> (</w:t>
      </w:r>
      <w:r w:rsidR="00E4537B">
        <w:rPr>
          <w:color w:val="000000" w:themeColor="text1"/>
        </w:rPr>
        <w:fldChar w:fldCharType="begin"/>
      </w:r>
      <w:r w:rsidR="00E4537B">
        <w:rPr>
          <w:color w:val="000000" w:themeColor="text1"/>
        </w:rPr>
        <w:instrText xml:space="preserve"> REF _Ref520127441 \h </w:instrText>
      </w:r>
      <w:r w:rsidR="00E4537B">
        <w:rPr>
          <w:color w:val="000000" w:themeColor="text1"/>
        </w:rPr>
      </w:r>
      <w:r w:rsidR="00E4537B">
        <w:rPr>
          <w:color w:val="000000" w:themeColor="text1"/>
        </w:rPr>
        <w:fldChar w:fldCharType="separate"/>
      </w:r>
      <w:r w:rsidR="00E6157A" w:rsidRPr="0006425C">
        <w:t xml:space="preserve">Figure </w:t>
      </w:r>
      <w:r w:rsidR="00E6157A">
        <w:rPr>
          <w:noProof/>
        </w:rPr>
        <w:t>3</w:t>
      </w:r>
      <w:r w:rsidR="00E6157A">
        <w:t>.</w:t>
      </w:r>
      <w:r w:rsidR="00E6157A">
        <w:rPr>
          <w:noProof/>
        </w:rPr>
        <w:t>1</w:t>
      </w:r>
      <w:r w:rsidR="00E4537B">
        <w:rPr>
          <w:color w:val="000000" w:themeColor="text1"/>
        </w:rPr>
        <w:fldChar w:fldCharType="end"/>
      </w:r>
      <w:r w:rsidR="00E4537B">
        <w:rPr>
          <w:color w:val="000000" w:themeColor="text1"/>
        </w:rPr>
        <w:t>)</w:t>
      </w:r>
      <w:r>
        <w:rPr>
          <w:color w:val="000000" w:themeColor="text1"/>
        </w:rPr>
        <w:t>.</w:t>
      </w:r>
      <w:r>
        <w:rPr>
          <w:color w:val="000000" w:themeColor="text1"/>
        </w:rPr>
        <w:fldChar w:fldCharType="begin" w:fldLock="1"/>
      </w:r>
      <w:r w:rsidR="0085447D">
        <w:rPr>
          <w:color w:val="000000" w:themeColor="text1"/>
        </w:rPr>
        <w:instrText>ADDIN CSL_CITATION {"citationItems":[{"id":"ITEM-1","itemData":{"DOI":"10.1006/abio.2001.5464","ISBN":"0003-2697","ISSN":"00032697","PMID":"11779117","abstract":"Lysyl oxidase catalyzes the final known enzymatic step required for collagen and elastin cross-linking in the biosynthesis of normal mature functional insoluble extracellular matrices. In addition, lysyl oxidase has been identified as a possible tumor suppressor. Lysyl oxidase activity in biological samples is traditionally and most reliably assessed by tritium release end-point assays using radiolabeled collagen or elastin substrates involving laborious vacuum distillation of the released tritiated water. In addition, a less sensitive fluorometric method exists that employs non-peptidyl amine lysyl oxidase substrates and measures hydrogen peroxide production with horseradish peroxidase coupled to homovanillate oxidation. The present study describes a more sensitive fluorescent assay for lysyl oxidase activity that utilizes 1,5-diaminopentane as substrate, and released hydrogen peroxide is detected using Amplex red in horseradish peroxidase-coupled reactions. This method allows the detection of 40 ng of enzyme per 2 ml assay at 37°C and is 7.5 times more sensitive than the currently available fluorometric assay for enzyme activity. This method eliminates the interference that occurs in some biological samples and can be successfully used to detect lysyl oxidase activity in cell culture experiments. © 2001 Elsevier Science.","author":[{"dropping-particle":"","family":"Palamakumbura","given":"Amitha H.","non-dropping-particle":"","parse-names":false,"suffix":""},{"dropping-particle":"","family":"Trackman","given":"Philip C.","non-dropping-particle":"","parse-names":false,"suffix":""}],"container-title":"Analytical Biochemistry","id":"ITEM-1","issue":"2","issued":{"date-parts":[["2002"]]},"page":"245-251","title":"A fluorometric assay for detection of lysyl oxidase enzyme activity in biological samples","type":"article-journal","volume":"300"},"uris":["http://www.mendeley.com/documents/?uuid=2ff50575-a258-4db9-9562-b8cf84fae6dc"]}],"mendeley":{"formattedCitation":"&lt;sup&gt;187&lt;/sup&gt;","plainTextFormattedCitation":"187","previouslyFormattedCitation":"&lt;sup&gt;187&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187</w:t>
      </w:r>
      <w:r>
        <w:rPr>
          <w:color w:val="000000" w:themeColor="text1"/>
        </w:rPr>
        <w:fldChar w:fldCharType="end"/>
      </w:r>
      <w:r>
        <w:rPr>
          <w:color w:val="000000" w:themeColor="text1"/>
        </w:rPr>
        <w:t xml:space="preserve"> </w:t>
      </w:r>
    </w:p>
    <w:p w14:paraId="55A59557" w14:textId="77777777" w:rsidR="004673FB" w:rsidRDefault="004673FB" w:rsidP="004673FB">
      <w:pPr>
        <w:keepNext/>
      </w:pPr>
      <w:r>
        <w:rPr>
          <w:noProof/>
          <w:color w:val="000000" w:themeColor="text1"/>
          <w:lang w:eastAsia="en-GB"/>
        </w:rPr>
        <w:drawing>
          <wp:inline distT="0" distB="0" distL="0" distR="0" wp14:anchorId="0F9A0AB0" wp14:editId="2398AEBF">
            <wp:extent cx="5201920" cy="37611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X redox figure.png"/>
                    <pic:cNvPicPr/>
                  </pic:nvPicPr>
                  <pic:blipFill>
                    <a:blip r:embed="rId35">
                      <a:extLst>
                        <a:ext uri="{28A0092B-C50C-407E-A947-70E740481C1C}">
                          <a14:useLocalDpi xmlns:a14="http://schemas.microsoft.com/office/drawing/2010/main" val="0"/>
                        </a:ext>
                      </a:extLst>
                    </a:blip>
                    <a:stretch>
                      <a:fillRect/>
                    </a:stretch>
                  </pic:blipFill>
                  <pic:spPr>
                    <a:xfrm>
                      <a:off x="0" y="0"/>
                      <a:ext cx="5201920" cy="3761105"/>
                    </a:xfrm>
                    <a:prstGeom prst="rect">
                      <a:avLst/>
                    </a:prstGeom>
                  </pic:spPr>
                </pic:pic>
              </a:graphicData>
            </a:graphic>
          </wp:inline>
        </w:drawing>
      </w:r>
    </w:p>
    <w:p w14:paraId="4C5F19B9" w14:textId="1F8B34F5" w:rsidR="004673FB" w:rsidRPr="0006425C" w:rsidRDefault="004673FB" w:rsidP="009D71E0">
      <w:pPr>
        <w:pStyle w:val="Caption"/>
        <w:jc w:val="both"/>
      </w:pPr>
      <w:bookmarkStart w:id="154" w:name="_Ref520127441"/>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w:t>
      </w:r>
      <w:r w:rsidR="00BE21E4">
        <w:rPr>
          <w:noProof/>
        </w:rPr>
        <w:fldChar w:fldCharType="end"/>
      </w:r>
      <w:bookmarkEnd w:id="154"/>
      <w:r w:rsidRPr="0006425C">
        <w:t xml:space="preserve">. </w:t>
      </w:r>
      <w:r w:rsidRPr="009D71E0">
        <w:rPr>
          <w:b w:val="0"/>
        </w:rPr>
        <w:t xml:space="preserve">Redox reaction of lysyl oxidase (LOX) converting a primary amine to an aldehyde, producing ammonia and hydrogen peroxide. Horseradish peroxidase (HRP) catalyses the oxidation of hydrogen peroxide, in doing so </w:t>
      </w:r>
      <w:r w:rsidR="002D1CE4">
        <w:rPr>
          <w:b w:val="0"/>
        </w:rPr>
        <w:t>oxidising</w:t>
      </w:r>
      <w:r w:rsidRPr="009D71E0">
        <w:rPr>
          <w:b w:val="0"/>
        </w:rPr>
        <w:t xml:space="preserve"> weakly fluorescent Amplex red to the fluorescent product resorufin. </w:t>
      </w:r>
    </w:p>
    <w:p w14:paraId="776AB65B" w14:textId="14828ACB" w:rsidR="004673FB" w:rsidRDefault="004673FB" w:rsidP="004673FB">
      <w:pPr>
        <w:rPr>
          <w:color w:val="000000" w:themeColor="text1"/>
        </w:rPr>
      </w:pPr>
      <w:r>
        <w:rPr>
          <w:color w:val="000000" w:themeColor="text1"/>
        </w:rPr>
        <w:lastRenderedPageBreak/>
        <w:t>The wavelengths required for excitation and emission of resorufin are higher than for homovanillate, reducing background autofluorescence.</w:t>
      </w:r>
      <w:r>
        <w:rPr>
          <w:color w:val="000000" w:themeColor="text1"/>
        </w:rPr>
        <w:fldChar w:fldCharType="begin" w:fldLock="1"/>
      </w:r>
      <w:r w:rsidR="0085447D">
        <w:rPr>
          <w:color w:val="000000" w:themeColor="text1"/>
        </w:rPr>
        <w:instrText>ADDIN CSL_CITATION {"citationItems":[{"id":"ITEM-1","itemData":{"DOI":"10.1006/abio.2001.5464","ISBN":"0003-2697","ISSN":"00032697","PMID":"11779117","abstract":"Lysyl oxidase catalyzes the final known enzymatic step required for collagen and elastin cross-linking in the biosynthesis of normal mature functional insoluble extracellular matrices. In addition, lysyl oxidase has been identified as a possible tumor suppressor. Lysyl oxidase activity in biological samples is traditionally and most reliably assessed by tritium release end-point assays using radiolabeled collagen or elastin substrates involving laborious vacuum distillation of the released tritiated water. In addition, a less sensitive fluorometric method exists that employs non-peptidyl amine lysyl oxidase substrates and measures hydrogen peroxide production with horseradish peroxidase coupled to homovanillate oxidation. The present study describes a more sensitive fluorescent assay for lysyl oxidase activity that utilizes 1,5-diaminopentane as substrate, and released hydrogen peroxide is detected using Amplex red in horseradish peroxidase-coupled reactions. This method allows the detection of 40 ng of enzyme per 2 ml assay at 37°C and is 7.5 times more sensitive than the currently available fluorometric assay for enzyme activity. This method eliminates the interference that occurs in some biological samples and can be successfully used to detect lysyl oxidase activity in cell culture experiments. © 2001 Elsevier Science.","author":[{"dropping-particle":"","family":"Palamakumbura","given":"Amitha H.","non-dropping-particle":"","parse-names":false,"suffix":""},{"dropping-particle":"","family":"Trackman","given":"Philip C.","non-dropping-particle":"","parse-names":false,"suffix":""}],"container-title":"Analytical Biochemistry","id":"ITEM-1","issue":"2","issued":{"date-parts":[["2002"]]},"page":"245-251","title":"A fluorometric assay for detection of lysyl oxidase enzyme activity in biological samples","type":"article-journal","volume":"300"},"uris":["http://www.mendeley.com/documents/?uuid=2ff50575-a258-4db9-9562-b8cf84fae6dc"]}],"mendeley":{"formattedCitation":"&lt;sup&gt;187&lt;/sup&gt;","plainTextFormattedCitation":"187","previouslyFormattedCitation":"&lt;sup&gt;187&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187</w:t>
      </w:r>
      <w:r>
        <w:rPr>
          <w:color w:val="000000" w:themeColor="text1"/>
        </w:rPr>
        <w:fldChar w:fldCharType="end"/>
      </w:r>
      <w:r>
        <w:rPr>
          <w:color w:val="000000" w:themeColor="text1"/>
        </w:rPr>
        <w:t xml:space="preserve"> This method has been shown to detect the activity of as little as 20 ng/mL LOX and has subsequently been used by multiple groups.</w:t>
      </w:r>
      <w:r>
        <w:rPr>
          <w:color w:val="000000" w:themeColor="text1"/>
        </w:rPr>
        <w:fldChar w:fldCharType="begin" w:fldLock="1"/>
      </w:r>
      <w:r w:rsidR="0085447D">
        <w:rPr>
          <w:color w:val="000000" w:themeColor="text1"/>
        </w:rPr>
        <w:instrText>ADDIN CSL_CITATION {"citationItems":[{"id":"ITEM-1","itemData":{"DOI":"10.1002/cmdc.200900247","ISBN":"1545968309332","ISSN":"1545-9683","PMID":"19318465","author":[{"dropping-particle":"","family":"Granchi","given":"Carlotta","non-dropping-particle":"","parse-names":false,"suffix":""},{"dropping-particle":"","family":"Funaioli","given":"Tiziana","non-dropping-particle":"","parse-names":false,"suffix":""},{"dropping-particle":"","family":"Erler","given":"Janine. T","non-dropping-particle":"","parse-names":false,"suffix":""},{"dropping-particle":"","family":"Giaccia","given":"Amato J.","non-dropping-particle":"","parse-names":false,"suffix":""},{"dropping-particle":"","family":"Macchia","given":"Marco","non-dropping-particle":"","parse-names":false,"suffix":""},{"dropping-particle":"","family":"Minutolo","given":"Filippo","non-dropping-particle":"","parse-names":false,"suffix":""}],"container-title":"ChemMedChem","id":"ITEM-1","issue":"10","issued":{"date-parts":[["2009"]]},"page":"6197-6214","title":"Bioreductively Activated Lysyl Oxidase Inhibitors against Hypoxic Tumours","type":"article-journal","volume":"4"},"uris":["http://www.mendeley.com/documents/?uuid=fb38652e-3bf7-4d34-9764-d5869547097b"]}],"mendeley":{"formattedCitation":"&lt;sup&gt;144&lt;/sup&gt;","plainTextFormattedCitation":"144","previouslyFormattedCitation":"&lt;sup&gt;144&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144</w:t>
      </w:r>
      <w:r>
        <w:rPr>
          <w:color w:val="000000" w:themeColor="text1"/>
        </w:rPr>
        <w:fldChar w:fldCharType="end"/>
      </w:r>
      <w:r w:rsidRPr="009644AE">
        <w:rPr>
          <w:color w:val="000000" w:themeColor="text1"/>
          <w:vertAlign w:val="superscript"/>
        </w:rPr>
        <w:t>,</w:t>
      </w:r>
      <w:r>
        <w:rPr>
          <w:color w:val="000000" w:themeColor="text1"/>
        </w:rPr>
        <w:fldChar w:fldCharType="begin" w:fldLock="1"/>
      </w:r>
      <w:r w:rsidR="0085447D">
        <w:rPr>
          <w:color w:val="000000" w:themeColor="text1"/>
        </w:rPr>
        <w:instrText>ADDIN CSL_CITATION {"citationItems":[{"id":"ITEM-1","itemData":{"DOI":"10.1074/jbc.M412979200","ISBN":"0021-9258 (Print)","ISSN":"00219258","PMID":"15843371","abstract":"Lysyl oxidase (LOX) is a copper-containing amine oxidase known to catalyze the covalent cross-linking of fibrillar collagens and elastin at peptidyl lysine residues. In addition, its involvement in cancer, wound healing, cell motility, chemotaxis, and differentiation reflect a remarkable functional diversity of LOX. To investigate novel mechanisms of LOX regulation and function, we performed a yeast two-hybrid screen to identify LOX-interacting proteins. Three overlapping positive clones were identified as C-terminal fragments of fibronectin (FN). Glutathione S-transferase pull-downs and solid phase binding assays confirmed this interaction. LOX binds to the cellular form of FN (cFN) with a dissociation constant (K(d)) of 2.5 nm. This was comparable with our measured K(d) of LOX binding to tropoelastin (1.9 nm) and type I collagen (5.2 nm), but LOX demonstrated a much lower binding affinity for the plasma form of FN (pFN). Immunofluorescent microscopy revealed co-localization of FN and LOX in normal human tissues, where these proteins may interact in vivo. LOX enzymatic activity assays showed that cFN does not seem to be a substrate of LOX. However, cFN can act as a scaffold for enzymatically active 30-kDa LOX. Furthermore, in FN-null mouse embryonic fibroblasts, we observed dramatically decreased proteolytic processing of the 45-kDa LOX proenzyme to the 30-kDa active form, with a corresponding decrease in LOX enzyme activity. Our results suggest that the FN matrix may provide specific microenvironments to regulate LOX catalytic activity.","author":[{"dropping-particle":"","family":"Fogelgren","given":"Ben","non-dropping-particle":"","parse-names":false,"suffix":""},{"dropping-particle":"","family":"Polgár","given":"Noémi","non-dropping-particle":"","parse-names":false,"suffix":""},{"dropping-particle":"","family":"Szauter","given":"Kornélia Molnárné","non-dropping-particle":"","parse-names":false,"suffix":""},{"dropping-particle":"","family":"Újfaludi","given":"Zsuzsanna","non-dropping-particle":"","parse-names":false,"suffix":""},{"dropping-particle":"","family":"Laczkó","given":"Rozália","non-dropping-particle":"","parse-names":false,"suffix":""},{"dropping-particle":"","family":"Fong","given":"Keith S.K.","non-dropping-particle":"","parse-names":false,"suffix":""},{"dropping-particle":"","family":"Csiszar","given":"Katalin","non-dropping-particle":"","parse-names":false,"suffix":""}],"container-title":"Journal of Biological Chemistry","id":"ITEM-1","issue":"26","issued":{"date-parts":[["2005"]]},"page":"24690-24697","title":"Cellular fibronectin binds to lysyl oxidase with high affinity and is critical for its proteolytic activation","type":"article-journal","volume":"280"},"uris":["http://www.mendeley.com/documents/?uuid=13a51727-c17c-4b68-8e51-54cd96b4534e"]}],"mendeley":{"formattedCitation":"&lt;sup&gt;188&lt;/sup&gt;","plainTextFormattedCitation":"188","previouslyFormattedCitation":"&lt;sup&gt;188&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188</w:t>
      </w:r>
      <w:r>
        <w:rPr>
          <w:color w:val="000000" w:themeColor="text1"/>
        </w:rPr>
        <w:fldChar w:fldCharType="end"/>
      </w:r>
      <w:r>
        <w:rPr>
          <w:color w:val="000000" w:themeColor="text1"/>
        </w:rPr>
        <w:t xml:space="preserve"> Peroxidase-coupled fluorescence assays are now widely used for LOX activity assays. </w:t>
      </w:r>
    </w:p>
    <w:p w14:paraId="53E2AD54" w14:textId="0488ABC3" w:rsidR="004673FB" w:rsidRDefault="004673FB" w:rsidP="004673FB">
      <w:pPr>
        <w:rPr>
          <w:color w:val="000000" w:themeColor="text1"/>
        </w:rPr>
      </w:pPr>
      <w:r>
        <w:t>One aim of performing enzyme activity assays in drug development is to determine the potency of the test compound. Potency is a measure of how much drug is required to elicit a biological response,</w:t>
      </w:r>
      <w:r>
        <w:fldChar w:fldCharType="begin" w:fldLock="1"/>
      </w:r>
      <w:r w:rsidR="0085447D">
        <w:instrText>ADDIN CSL_CITATION {"citationItems":[{"id":"ITEM-1","itemData":{"DOI":"10.1016/J.VACCINE.2006.01.005","ISSN":"0264-410X","abstract":"Many licensed vaccines are composed of live, attenuated or inactivated whole-cell microorganisms, or they comprise purified components from whole-cell extracts or culture supernatants. For some diseases, pathology is fairly well understood, and there may be known correlates of protection that provide obvious parameters for assessment of vaccine potency. However, this is not always the case, and some effective vaccines are routinely used even though the mechanisms or correlates of protection are unknown. Some more modern vaccine approaches employ purified recombinant proteins, based on molecules that appear on the surface of the pathogen. This is one of the strategies that has been adopted in the quest to develop a malaria vaccine. Use of these parasite antigens as vaccine candidates is supported by substantial epidemiological data, and some have demonstrated the ability to elicit protective responses in animal models of malaria infection. However, there is as yet no immunological correlate of protection and no functional assays or animal models that have demonstrated the ability to predict efficacy in humans. There is little precedence for the most appropriate and practical method for assessing potency of vaccines based on these recombinant molecules for malaria vaccines. This is likely because the majority of malaria vaccine candidates have only recently entered clinical evaluation. The PATH Malaria Vaccine Initiative (MVI) convened a panel with expertise in potency assay design from industry, governmental institutions, and regulatory bodies to discuss and review the rationale, available methods, and best approaches for assessing the potency of recombinant proteins, specifically for their use as malarial vaccines. The aim of this meeting was to produce a discussion document on the practical potency assessment of recombinant protein malaria vaccines, focusing on early phase potency assay development.","author":[{"dropping-particle":"","family":"Giersing","given":"Birgitte K.","non-dropping-particle":"","parse-names":false,"suffix":""},{"dropping-particle":"","family":"Dubovsky","given":"Filip","non-dropping-particle":"","parse-names":false,"suffix":""},{"dropping-particle":"","family":"Saul","given":"Allan","non-dropping-particle":"","parse-names":false,"suffix":""},{"dropping-particle":"","family":"Denamur","given":"Francoise","non-dropping-particle":"","parse-names":false,"suffix":""},{"dropping-particle":"","family":"Minor","given":"Philip","non-dropping-particle":"","parse-names":false,"suffix":""},{"dropping-particle":"","family":"Meade","given":"Bruce","non-dropping-particle":"","parse-names":false,"suffix":""}],"container-title":"Vaccine","id":"ITEM-1","issue":"20","issued":{"date-parts":[["2006","5","15"]]},"page":"4264-4270","publisher":"Elsevier","title":"Potency assay design for adjuvanted recombinant proteins as malaria vaccines","type":"article-journal","volume":"24"},"uris":["http://www.mendeley.com/documents/?uuid=08274a3d-6cf6-3afc-8183-f0c49d025200"]}],"mendeley":{"formattedCitation":"&lt;sup&gt;189&lt;/sup&gt;","plainTextFormattedCitation":"189","previouslyFormattedCitation":"&lt;sup&gt;189&lt;/sup&gt;"},"properties":{"noteIndex":0},"schema":"https://github.com/citation-style-language/schema/raw/master/csl-citation.json"}</w:instrText>
      </w:r>
      <w:r>
        <w:fldChar w:fldCharType="separate"/>
      </w:r>
      <w:r w:rsidR="00B02713" w:rsidRPr="00B02713">
        <w:rPr>
          <w:noProof/>
          <w:vertAlign w:val="superscript"/>
        </w:rPr>
        <w:t>189</w:t>
      </w:r>
      <w:r>
        <w:fldChar w:fldCharType="end"/>
      </w:r>
      <w:r>
        <w:t xml:space="preserve"> and well-defined parameters are used to </w:t>
      </w:r>
      <w:r>
        <w:rPr>
          <w:color w:val="000000" w:themeColor="text1"/>
        </w:rPr>
        <w:t>compare</w:t>
      </w:r>
      <w:r w:rsidRPr="00CF6590">
        <w:rPr>
          <w:color w:val="000000" w:themeColor="text1"/>
        </w:rPr>
        <w:t xml:space="preserve"> the potency </w:t>
      </w:r>
      <w:r>
        <w:rPr>
          <w:color w:val="000000" w:themeColor="text1"/>
        </w:rPr>
        <w:t>of</w:t>
      </w:r>
      <w:r w:rsidRPr="00CF6590">
        <w:rPr>
          <w:color w:val="000000" w:themeColor="text1"/>
        </w:rPr>
        <w:t xml:space="preserve"> different compounds. The most common parameter</w:t>
      </w:r>
      <w:r>
        <w:rPr>
          <w:color w:val="000000" w:themeColor="text1"/>
        </w:rPr>
        <w:t xml:space="preserve"> used</w:t>
      </w:r>
      <w:r w:rsidRPr="00CF6590">
        <w:rPr>
          <w:color w:val="000000" w:themeColor="text1"/>
        </w:rPr>
        <w:t xml:space="preserve"> is the</w:t>
      </w:r>
      <w:r>
        <w:rPr>
          <w:color w:val="000000" w:themeColor="text1"/>
        </w:rPr>
        <w:t xml:space="preserve"> half maximal inhibitory concentration</w:t>
      </w:r>
      <w:r w:rsidRPr="00CF6590">
        <w:rPr>
          <w:color w:val="000000" w:themeColor="text1"/>
        </w:rPr>
        <w:t xml:space="preserve"> </w:t>
      </w:r>
      <w:r>
        <w:rPr>
          <w:color w:val="000000" w:themeColor="text1"/>
        </w:rPr>
        <w:t>(</w:t>
      </w:r>
      <w:r w:rsidRPr="00CF6590">
        <w:rPr>
          <w:color w:val="000000" w:themeColor="text1"/>
        </w:rPr>
        <w:t>IC</w:t>
      </w:r>
      <w:r w:rsidRPr="00CF6590">
        <w:rPr>
          <w:color w:val="000000" w:themeColor="text1"/>
          <w:vertAlign w:val="subscript"/>
        </w:rPr>
        <w:t>50</w:t>
      </w:r>
      <w:r w:rsidRPr="00CF6590">
        <w:rPr>
          <w:color w:val="000000" w:themeColor="text1"/>
        </w:rPr>
        <w:t>) of a compound</w:t>
      </w:r>
      <w:r>
        <w:rPr>
          <w:color w:val="000000" w:themeColor="text1"/>
        </w:rPr>
        <w:t>,</w:t>
      </w:r>
      <w:r w:rsidRPr="00CF6590">
        <w:rPr>
          <w:color w:val="000000" w:themeColor="text1"/>
        </w:rPr>
        <w:t xml:space="preserve"> defined as the concentration of a drug that reduces the response of a biochemical or biological function</w:t>
      </w:r>
      <w:r>
        <w:rPr>
          <w:color w:val="000000" w:themeColor="text1"/>
        </w:rPr>
        <w:t xml:space="preserve"> to 50 %</w:t>
      </w:r>
      <w:r w:rsidRPr="00CF6590">
        <w:rPr>
          <w:color w:val="000000" w:themeColor="text1"/>
        </w:rPr>
        <w:t>.</w:t>
      </w:r>
      <w:r>
        <w:rPr>
          <w:color w:val="000000" w:themeColor="text1"/>
        </w:rPr>
        <w:fldChar w:fldCharType="begin" w:fldLock="1"/>
      </w:r>
      <w:r w:rsidR="0085447D">
        <w:rPr>
          <w:color w:val="000000" w:themeColor="text1"/>
        </w:rPr>
        <w:instrText>ADDIN CSL_CITATION {"citationItems":[{"id":"ITEM-1","itemData":{"DOI":"https://doi.org/10.1016/0006-2952(73)90196-2","ISSN":"0006-2952","author":[{"dropping-particle":"","family":"Yung-Chi","given":"Cheng","non-dropping-particle":"","parse-names":false,"suffix":""},{"dropping-particle":"","family":"Prusoff","given":"William H","non-dropping-particle":"","parse-names":false,"suffix":""}],"container-title":"Biochemical Pharmacology","id":"ITEM-1","issue":"23","issued":{"date-parts":[["1973"]]},"page":"3099-3108","title":"Relationship between the inhibition constant (KI) and the concentration of inhibitor which causes 50 per cent inhibition (I50) of an enzymatic reaction","type":"article-journal","volume":"22"},"uris":["http://www.mendeley.com/documents/?uuid=8ee99b31-a748-41eb-bd4c-0ed6e8d2c81f"]}],"mendeley":{"formattedCitation":"&lt;sup&gt;190&lt;/sup&gt;","plainTextFormattedCitation":"190","previouslyFormattedCitation":"&lt;sup&gt;190&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190</w:t>
      </w:r>
      <w:r>
        <w:rPr>
          <w:color w:val="000000" w:themeColor="text1"/>
        </w:rPr>
        <w:fldChar w:fldCharType="end"/>
      </w:r>
      <w:r>
        <w:rPr>
          <w:color w:val="000000" w:themeColor="text1"/>
        </w:rPr>
        <w:t xml:space="preserve"> This is similar to, but not the same as, the half maximal effective concentration (EC</w:t>
      </w:r>
      <w:r w:rsidRPr="00CF6590">
        <w:rPr>
          <w:color w:val="000000" w:themeColor="text1"/>
          <w:vertAlign w:val="subscript"/>
        </w:rPr>
        <w:t>50</w:t>
      </w:r>
      <w:r>
        <w:rPr>
          <w:color w:val="000000" w:themeColor="text1"/>
        </w:rPr>
        <w:t>) of a compound, which describes the increase in activity of a biological function up to 50 %, and is generally used for agonists.</w:t>
      </w:r>
      <w:r>
        <w:rPr>
          <w:color w:val="000000" w:themeColor="text1"/>
        </w:rPr>
        <w:fldChar w:fldCharType="begin" w:fldLock="1"/>
      </w:r>
      <w:r w:rsidR="0085447D">
        <w:rPr>
          <w:color w:val="000000" w:themeColor="text1"/>
        </w:rPr>
        <w:instrText>ADDIN CSL_CITATION {"citationItems":[{"id":"ITEM-1","itemData":{"DOI":"10.1002/pst.426","ISBN":"1539-1612","ISSN":"15391604","PMID":"22328315","abstract":"This article provides minimum requirements for having confidence in the accuracy of EC50/IC50 estimates. Two definitions of EC50/IC50s are considered: relative and absolute. The relative EC50/IC50 is the parameter c in the 4-parameter logistic model and is the concentration corresponding to a response midway between the estimates of the lower and upper plateaus. The absolute EC50/IC50 is the response corresponding to the 50% control (the mean of the 0% and 100% assay controls). The guidelines first describe how to decide whether to use the relative EC50/IC50 or the absolute EC50/IC50. Assays for which there is no stable 100% control must use the relative EC50/IC50. Assays having a stable 100% control but for which there may be more than 5% error in the estimate of the 50% control mean should use the relative EC50/IC50. Assays that can be demonstrated to produce an accurate and stable 100% control and less than 5% error in the estimate of the 50% control mean may gain efficiency as well as accuracy by using the absolute EC50/IC50. Next, the guidelines provide rules for deciding when the EC50/IC50 estimates are reportable. The relative EC50/IC50 should only be used if there are at least two assay concentrations beyond the lower and upper bend points. The absolute EC50/IC50 should only be used if there are at least two assay concentrations whose predicted response is less than 50% and two whose predicted response is greater than 50%. A wide range of typical assay conditions are considered in the development of the guidelines.","author":[{"dropping-particle":"","family":"Sebaugh","given":"J. L.","non-dropping-particle":"","parse-names":false,"suffix":""}],"container-title":"Pharmaceutical Statistics","id":"ITEM-1","issue":"2","issued":{"date-parts":[["2011"]]},"page":"128-134","title":"Guidelines for accurate EC50/IC50 estimation","type":"article-journal","volume":"10"},"uris":["http://www.mendeley.com/documents/?uuid=8dce79fc-5603-4fa9-b079-b0730edd842a"]}],"mendeley":{"formattedCitation":"&lt;sup&gt;191&lt;/sup&gt;","plainTextFormattedCitation":"191","previouslyFormattedCitation":"&lt;sup&gt;191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191</w:t>
      </w:r>
      <w:r>
        <w:rPr>
          <w:color w:val="000000" w:themeColor="text1"/>
        </w:rPr>
        <w:fldChar w:fldCharType="end"/>
      </w:r>
      <w:r>
        <w:rPr>
          <w:color w:val="000000" w:themeColor="text1"/>
        </w:rPr>
        <w:t xml:space="preserve"> Whilst the IC</w:t>
      </w:r>
      <w:r w:rsidRPr="002F5D3B">
        <w:rPr>
          <w:color w:val="000000" w:themeColor="text1"/>
          <w:vertAlign w:val="subscript"/>
        </w:rPr>
        <w:t>50</w:t>
      </w:r>
      <w:r>
        <w:rPr>
          <w:color w:val="000000" w:themeColor="text1"/>
        </w:rPr>
        <w:t xml:space="preserve"> of a compound cannot necessarily predict the efficacy of a drug in the body, it is a useful tool in drug screening to highlight which compounds will be most potent, and therefore are worth taking through to the next stage of development.</w:t>
      </w:r>
      <w:r>
        <w:rPr>
          <w:color w:val="000000" w:themeColor="text1"/>
        </w:rPr>
        <w:fldChar w:fldCharType="begin" w:fldLock="1"/>
      </w:r>
      <w:r w:rsidR="0085447D">
        <w:rPr>
          <w:color w:val="000000" w:themeColor="text1"/>
        </w:rPr>
        <w:instrText>ADDIN CSL_CITATION {"citationItems":[{"id":"ITEM-1","itemData":{"DOI":"10.1038/nchembio.1337","ISBN":"1552-4469 (Electronic)\\r1552-4450 (Linking)","ISSN":"15524450","PMID":"24013279","abstract":"Large-scale analysis of cellular response to anticancer drugs typically focuses on variation in potency (half-maximum inhibitory concentration, (IC50)), assuming that it is the most important difference between effective and ineffective drugs or sensitive and resistant cells. We took a multiparametric approach involving analysis of the slope of the dose-response curve, the area under the curve and the maximum effect (Emax). We found that some of these parameters vary systematically with cell line and others with drug class. For cell-cycle inhibitors, Emax often but not always correlated with cell proliferation rate. For drugs targeting the Akt/PI3K/mTOR pathway, dose-response curves were unusually shallow. Classical pharmacology has no ready explanation for this phenomenon, but single-cell analysis showed that it correlated with significant and heritable cell-to-cell variability in the extent of target inhibition. We conclude that parameters other than potency should be considered in the comparative analysis of drug response, particularly at clinically relevant concentrations near and above the IC50.","author":[{"dropping-particle":"","family":"Fallahi-Sichani","given":"Mohammad","non-dropping-particle":"","parse-names":false,"suffix":""},{"dropping-particle":"","family":"Honarnejad","given":"Saman","non-dropping-particle":"","parse-names":false,"suffix":""},{"dropping-particle":"","family":"Heiser","given":"Laura M.","non-dropping-particle":"","parse-names":false,"suffix":""},{"dropping-particle":"","family":"Gray","given":"Joe W.","non-dropping-particle":"","parse-names":false,"suffix":""},{"dropping-particle":"","family":"Sorger","given":"Peter K.","non-dropping-particle":"","parse-names":false,"suffix":""}],"container-title":"Nature Chemical Biology","id":"ITEM-1","issue":"11","issued":{"date-parts":[["2013"]]},"page":"708-714","publisher":"Nature Publishing Group","title":"Metrics other than potency reveal systematic variation in responses to cancer drugs","type":"article-journal","volume":"9"},"uris":["http://www.mendeley.com/documents/?uuid=5d90a410-f890-47a8-90fd-c2583665b3aa"]}],"mendeley":{"formattedCitation":"&lt;sup&gt;192&lt;/sup&gt;","plainTextFormattedCitation":"192","previouslyFormattedCitation":"&lt;sup&gt;192&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192</w:t>
      </w:r>
      <w:r>
        <w:rPr>
          <w:color w:val="000000" w:themeColor="text1"/>
        </w:rPr>
        <w:fldChar w:fldCharType="end"/>
      </w:r>
      <w:r>
        <w:rPr>
          <w:color w:val="000000" w:themeColor="text1"/>
        </w:rPr>
        <w:t xml:space="preserve"> IC</w:t>
      </w:r>
      <w:r w:rsidRPr="00CA79CD">
        <w:rPr>
          <w:color w:val="000000" w:themeColor="text1"/>
          <w:vertAlign w:val="subscript"/>
        </w:rPr>
        <w:t>50</w:t>
      </w:r>
      <w:r>
        <w:rPr>
          <w:color w:val="000000" w:themeColor="text1"/>
        </w:rPr>
        <w:t xml:space="preserve"> values can be quoted as either ‘relative’ or ‘absolute’.</w:t>
      </w:r>
      <w:r>
        <w:rPr>
          <w:color w:val="000000" w:themeColor="text1"/>
        </w:rPr>
        <w:fldChar w:fldCharType="begin" w:fldLock="1"/>
      </w:r>
      <w:r w:rsidR="0085447D">
        <w:rPr>
          <w:color w:val="000000" w:themeColor="text1"/>
        </w:rPr>
        <w:instrText>ADDIN CSL_CITATION {"citationItems":[{"id":"ITEM-1","itemData":{"abstract":"The recommendations that follow have been updated from the proposals of a Technical Subcommittee set up by the International Union of Pharmacology Committee on Receptor Nomenclature and Drug Classification (Jenkinson DH, Barnard EA, Hoyer D, Humphrey PPA, Leff P, and Shankley NP (1995) International Union of Pharmacology Committee on Receptor Nomenclature and Drug Classification. IX. Recommendations on terms and symbols in quantitative pharmacology. Pharmacol Rev 47:255–266).","author":[{"dropping-particle":"","family":"Neubig","given":"Richard R","non-dropping-particle":"","parse-names":false,"suffix":""},{"dropping-particle":"","family":"Spedding","given":"Michael","non-dropping-particle":"","parse-names":false,"suffix":""},{"dropping-particle":"","family":"Kenakin","given":"Terry","non-dropping-particle":"","parse-names":false,"suffix":""},{"dropping-particle":"","family":"Christopoulos","given":"Arthur","non-dropping-particle":"","parse-names":false,"suffix":""}],"container-title":"Pharmacological Reviews","id":"ITEM-1","issue":"4","issued":{"date-parts":[["2003","12","1"]]},"page":"597 LP  - 606","title":"International Union of Pharmacology Committee on Receptor Nomenclature and Drug Classification. XXXVIII. Update on Terms and Symbols in Quantitative Pharmacology","type":"article-journal","volume":"55"},"uris":["http://www.mendeley.com/documents/?uuid=1e4f6b9a-0319-44d2-b18a-f747337c0669"]}],"mendeley":{"formattedCitation":"&lt;sup&gt;193&lt;/sup&gt;","plainTextFormattedCitation":"193","previouslyFormattedCitation":"&lt;sup&gt;193&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193</w:t>
      </w:r>
      <w:r>
        <w:rPr>
          <w:color w:val="000000" w:themeColor="text1"/>
        </w:rPr>
        <w:fldChar w:fldCharType="end"/>
      </w:r>
      <w:r>
        <w:rPr>
          <w:color w:val="000000" w:themeColor="text1"/>
        </w:rPr>
        <w:t xml:space="preserve"> The relative IC</w:t>
      </w:r>
      <w:r w:rsidRPr="002F5D3B">
        <w:rPr>
          <w:color w:val="000000" w:themeColor="text1"/>
          <w:vertAlign w:val="subscript"/>
        </w:rPr>
        <w:t>50</w:t>
      </w:r>
      <w:r>
        <w:rPr>
          <w:color w:val="000000" w:themeColor="text1"/>
        </w:rPr>
        <w:t xml:space="preserve"> describes the 50 % point on a curve between the observed maximum and minimum values for that drug. In contrast, the absolute IC</w:t>
      </w:r>
      <w:r w:rsidRPr="002F5D3B">
        <w:rPr>
          <w:color w:val="000000" w:themeColor="text1"/>
          <w:vertAlign w:val="subscript"/>
        </w:rPr>
        <w:t>50</w:t>
      </w:r>
      <w:r>
        <w:rPr>
          <w:color w:val="000000" w:themeColor="text1"/>
        </w:rPr>
        <w:t xml:space="preserve"> describes the 50 % point on a curve between the assay blank (no inhibition of enzyme activity) and the maximum inhibitor control (complete inhibition of activity). In some cases, the test compound may reach a plateau of activity above the maximum inhibitor control, therefore the relative IC</w:t>
      </w:r>
      <w:r w:rsidRPr="00AA7949">
        <w:rPr>
          <w:color w:val="000000" w:themeColor="text1"/>
          <w:vertAlign w:val="subscript"/>
        </w:rPr>
        <w:t>50</w:t>
      </w:r>
      <w:r>
        <w:rPr>
          <w:color w:val="000000" w:themeColor="text1"/>
        </w:rPr>
        <w:t xml:space="preserve"> is quoted. This chapter will aim to report IC</w:t>
      </w:r>
      <w:r w:rsidRPr="00605CC0">
        <w:rPr>
          <w:color w:val="000000" w:themeColor="text1"/>
          <w:vertAlign w:val="subscript"/>
        </w:rPr>
        <w:t>50</w:t>
      </w:r>
      <w:r>
        <w:rPr>
          <w:color w:val="000000" w:themeColor="text1"/>
        </w:rPr>
        <w:t xml:space="preserve"> values for </w:t>
      </w:r>
      <w:r>
        <w:t>β</w:t>
      </w:r>
      <w:r>
        <w:rPr>
          <w:color w:val="000000" w:themeColor="text1"/>
        </w:rPr>
        <w:noBreakHyphen/>
        <w:t>APN and the synthesised prodrugs against LOX activity and form appropriate comparisons.</w:t>
      </w:r>
    </w:p>
    <w:p w14:paraId="3A205B7D" w14:textId="77777777" w:rsidR="004673FB" w:rsidRDefault="004673FB" w:rsidP="003D132C">
      <w:pPr>
        <w:pStyle w:val="Heading3"/>
      </w:pPr>
      <w:bookmarkStart w:id="155" w:name="_Toc2451011"/>
      <w:r>
        <w:t>Cytotoxicity</w:t>
      </w:r>
      <w:bookmarkEnd w:id="155"/>
    </w:p>
    <w:p w14:paraId="06629A70" w14:textId="1DB7CEF3" w:rsidR="004673FB" w:rsidRDefault="004673FB" w:rsidP="004673FB">
      <w:r>
        <w:t>In addition to investigating the ability of the synthesised compounds to inhibit LOX activity, it is important to establish whether they will cause any damage to human cells. Cytotoxicity testing has been recognised as an important stage in drug development to try and predict whether a compound, or treatment, may cause toxic side effects.</w:t>
      </w:r>
      <w:r>
        <w:fldChar w:fldCharType="begin" w:fldLock="1"/>
      </w:r>
      <w:r w:rsidR="0085447D">
        <w:instrText>ADDIN CSL_CITATION {"citationItems":[{"id":"ITEM-1","itemData":{"DOI":"https://doi.org/10.1016/j.cbi.2004.09.008","ISSN":"0009-2797","author":[{"dropping-particle":"","family":"Li","given":"Albert P","non-dropping-particle":"","parse-names":false,"suffix":""}],"container-title":"Chemico-Biological Interactions","id":"ITEM-1","issue":"1","issued":{"date-parts":[["2004"]]},"page":"3-7","title":"Accurate prediction of human drug toxicity: a major challenge in drug development","type":"article-journal","volume":"150"},"uris":["http://www.mendeley.com/documents/?uuid=6d0d1294-e051-41d9-8693-f5dc3c2df5e0"]}],"mendeley":{"formattedCitation":"&lt;sup&gt;194&lt;/sup&gt;","plainTextFormattedCitation":"194","previouslyFormattedCitation":"&lt;sup&gt;194&lt;/sup&gt;"},"properties":{"noteIndex":0},"schema":"https://github.com/citation-style-language/schema/raw/master/csl-citation.json"}</w:instrText>
      </w:r>
      <w:r>
        <w:fldChar w:fldCharType="separate"/>
      </w:r>
      <w:r w:rsidR="00B02713" w:rsidRPr="00B02713">
        <w:rPr>
          <w:noProof/>
          <w:vertAlign w:val="superscript"/>
        </w:rPr>
        <w:t>194</w:t>
      </w:r>
      <w:r>
        <w:fldChar w:fldCharType="end"/>
      </w:r>
      <w:r w:rsidRPr="004A4BF9">
        <w:rPr>
          <w:vertAlign w:val="superscript"/>
        </w:rPr>
        <w:t>,</w:t>
      </w:r>
      <w:r>
        <w:fldChar w:fldCharType="begin" w:fldLock="1"/>
      </w:r>
      <w:r w:rsidR="0085447D">
        <w:instrText>ADDIN CSL_CITATION {"citationItems":[{"id":"ITEM-1","itemData":{"DOI":"10.1007/978-1-61779-108-6_12","ISBN":"978-1-61779-108-6","abstract":"Testing the effects of compounds on the viability of cells grown in culture is widely used as a predictor of potential toxic effects in whole animals. Among the several alternative assays available, measuring the levels of ATP is the most sensitive, reliable, and convenient method for monitoring active cell metabolism. However, recently developed combinations of methods have made it possible to collect more information from in vitro cytotoxicity assays using standard fluorescence and luminescence plate readers. This chapter describes two assay methods. The first utilizes beetle luciferase for measuring the levels of ATP as a marker of viable cells. The second more recently developed multiplex method relies on selective measurement of three different protease activities as markers for viable, necrotic, and apoptotic cells. Data analysis from the measurement of three marker protease activities from the same sample provides a useful tool to help uncover the mechanism of cell death and can serve as an internal control to help identify assay artifacts.","author":[{"dropping-particle":"","family":"Riss","given":"Terry L","non-dropping-particle":"","parse-names":false,"suffix":""},{"dropping-particle":"","family":"Moravec","given":"Richard A","non-dropping-particle":"","parse-names":false,"suffix":""},{"dropping-particle":"","family":"Niles","given":"Andrew L","non-dropping-particle":"","parse-names":false,"suffix":""}],"container-title":"Mammalian Cell Viability: Methods and Protocols","editor":[{"dropping-particle":"","family":"Stoddart","given":"Martin J","non-dropping-particle":"","parse-names":false,"suffix":""}],"id":"ITEM-1","issued":{"date-parts":[["2011"]]},"page":"103-114","publisher":"Humana Press","publisher-place":"Totowa, NJ","title":"Cytotoxicity Testing: Measuring Viable Cells, Dead Cells, and Detecting Mechanism of Cell Death","type":"chapter"},"uris":["http://www.mendeley.com/documents/?uuid=716018dd-0464-45ed-94d2-56af8f342a1b"]}],"mendeley":{"formattedCitation":"&lt;sup&gt;195&lt;/sup&gt;","plainTextFormattedCitation":"195","previouslyFormattedCitation":"&lt;sup&gt;195&lt;/sup&gt;"},"properties":{"noteIndex":0},"schema":"https://github.com/citation-style-language/schema/raw/master/csl-citation.json"}</w:instrText>
      </w:r>
      <w:r>
        <w:fldChar w:fldCharType="separate"/>
      </w:r>
      <w:r w:rsidR="00B02713" w:rsidRPr="00B02713">
        <w:rPr>
          <w:noProof/>
          <w:vertAlign w:val="superscript"/>
        </w:rPr>
        <w:t>195</w:t>
      </w:r>
      <w:r>
        <w:fldChar w:fldCharType="end"/>
      </w:r>
      <w:r>
        <w:t xml:space="preserve"> A variety of methods can be used to test the cytotoxicity of a </w:t>
      </w:r>
      <w:r w:rsidRPr="00E04136">
        <w:rPr>
          <w:color w:val="000000" w:themeColor="text1"/>
        </w:rPr>
        <w:t>compound; from simple 2D</w:t>
      </w:r>
      <w:r>
        <w:rPr>
          <w:color w:val="000000" w:themeColor="text1"/>
        </w:rPr>
        <w:t xml:space="preserve"> cell culture, to co-cultures</w:t>
      </w:r>
      <w:r w:rsidRPr="00E04136">
        <w:rPr>
          <w:color w:val="000000" w:themeColor="text1"/>
        </w:rPr>
        <w:t>,</w:t>
      </w:r>
      <w:r w:rsidRPr="00E04136">
        <w:rPr>
          <w:color w:val="000000" w:themeColor="text1"/>
        </w:rPr>
        <w:fldChar w:fldCharType="begin" w:fldLock="1"/>
      </w:r>
      <w:r w:rsidR="0085447D">
        <w:rPr>
          <w:color w:val="000000" w:themeColor="text1"/>
        </w:rPr>
        <w:instrText>ADDIN CSL_CITATION {"citationItems":[{"id":"ITEM-1","itemData":{"DOI":"10.1038/srep17455","ISSN":"2045-2322","abstract":"Organotypic liver culture models for hepatotoxicity studies that mimic in vivo hepatic functionality could help facilitate improved strategies for early safety risk assessment during drug development. Interspecies differences in drug sensitivity and mechanistic profiles, low predictive capacity, and limitations of conventional monocultures of human hepatocytes, with high attrition rates remain major challenges. Herein, we show stable, cell-type specific phenotype/cellular polarity with differentiated functionality in human hepatocyte-like C3A cells (enhanced CYP3A4 activity/albumin synthesis) when in co-culture with human vascular endothelial cells (HUVECs), thus demonstrating biocompatibility and relevance for evaluating drug metabolism and toxicity. In agreement with in vivo studies, acetaminophen (APAP) toxicity was most profound in HUVEC mono-cultures; whilst in C3A:HUVEC co-culture, cells were less susceptible to the toxic effects of APAP, including parameters of oxidative stress and ATP depletion, altered redox homeostasis, and impaired respiration. This resistance to APAP is also observed in a primary human hepatocyte (PHH) based co-culture model, suggesting bidirectional communication/stabilization between different cell types. This simple and easy-to-implement human co-culture model may represent a sustainable and physiologically-relevant alternative cell system to PHHs, complementary to animal testing, for initial hepatotoxicity screening or mechanistic studies of candidate compounds differentially targeting hepatocytes and endothelial cells. ","author":[{"dropping-particle":"","family":"Nelson","given":"Leonard J","non-dropping-particle":"","parse-names":false,"suffix":""},{"dropping-particle":"","family":"Navarro","given":"Maria","non-dropping-particle":"","parse-names":false,"suffix":""},{"dropping-particle":"","family":"Treskes","given":"Philipp","non-dropping-particle":"","parse-names":false,"suffix":""},{"dropping-particle":"","family":"Samuel","given":"Kay","non-dropping-particle":"","parse-names":false,"suffix":""},{"dropping-particle":"","family":"Tura-Ceide","given":"Olga","non-dropping-particle":"","parse-names":false,"suffix":""},{"dropping-particle":"","family":"Morley","given":"Steven D","non-dropping-particle":"","parse-names":false,"suffix":""},{"dropping-particle":"","family":"Hayes","given":"Peter C","non-dropping-particle":"","parse-names":false,"suffix":""},{"dropping-particle":"","family":"Plevris","given":"John N","non-dropping-particle":"","parse-names":false,"suffix":""}],"container-title":"Scientific Reports","id":"ITEM-1","issued":{"date-parts":[["2015","12","3"]]},"page":"17455","publisher":"Nature Publishing Group","title":"Acetaminophen cytotoxicity is ameliorated in a human liver organotypic co-culture model","type":"article-journal","volume":"5"},"uris":["http://www.mendeley.com/documents/?uuid=53f64583-27e5-429d-85e9-3574efd82d14"]}],"mendeley":{"formattedCitation":"&lt;sup&gt;196&lt;/sup&gt;","plainTextFormattedCitation":"196","previouslyFormattedCitation":"&lt;sup&gt;196&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196</w:t>
      </w:r>
      <w:r w:rsidRPr="00E04136">
        <w:rPr>
          <w:color w:val="000000" w:themeColor="text1"/>
        </w:rPr>
        <w:fldChar w:fldCharType="end"/>
      </w:r>
      <w:r w:rsidRPr="00E04136">
        <w:rPr>
          <w:color w:val="000000" w:themeColor="text1"/>
        </w:rPr>
        <w:t xml:space="preserve"> 3D cell culture</w:t>
      </w:r>
      <w:r w:rsidRPr="00E04136">
        <w:rPr>
          <w:color w:val="000000" w:themeColor="text1"/>
        </w:rPr>
        <w:fldChar w:fldCharType="begin" w:fldLock="1"/>
      </w:r>
      <w:r w:rsidR="0085447D">
        <w:rPr>
          <w:color w:val="000000" w:themeColor="text1"/>
        </w:rPr>
        <w:instrText>ADDIN CSL_CITATION {"citationItems":[{"id":"ITEM-1","itemData":{"DOI":"10.3390/ijms19071993","ISBN":"1422-0067","ISSN":"1422-0067","abstract":"Since nanoparticles (NPs) can translocate to the brain and impact the highly vulnerable central nervous system (CNS), novel in vitro tools for the assessment of NP-induced neurotoxicity are advocated. In this study, two types of CNS spheroids have been developed from human D384 astrocyte- and SH-SY5Y neuronal-like cells, and optimized in combination with standard assays (viability readout and cell morphology) to test neurotoxic effects caused by Fe3O4NPs, as NP-model, after short- (24&amp;ndash;48 h; 1&amp;ndash;100&amp;micro;g/ml) and long-term repeated exposure (30days; 0.1&amp;ndash;25&amp;micro;g/ml). Short-term exposure of 3D-spheroids to Fe3O4NP induced cytotoxicity at 10 &amp;micro;g/mL in astrocytes and 25 &amp;micro;g/mL neurons. After long-term repeated dose regimen, spheroids showed concentration- and time-dependent cell mortality at 10 &amp;micro;g/mL for D384 and 0.5 &amp;micro;g/mL for SH-SY5Y, indicating a higher susceptibility of neurons than astrocytes. Both spheroid types displayed cell disaggregation after the first week of treatment at &amp;ge;0.1 &amp;micro;g/mL and becoming considerably evident at higher concentrations and over time. Recreating the 3D-spatial environment of the CNS allows cells to behave in vitro more closely to the in vivo situations, therefore providing a model that can be used as a stand-alone test or as a part of integrated testing strategies. These models could drive an improvement in the species-relevant predictivity of toxicity testing.","author":[{"dropping-particle":"","family":"Simone","given":"Uliana","non-dropping-particle":"De","parse-names":false,"suffix":""},{"dropping-particle":"","family":"Roccio","given":"Marianna","non-dropping-particle":"","parse-names":false,"suffix":""},{"dropping-particle":"","family":"Gribaldo","given":"Laura","non-dropping-particle":"","parse-names":false,"suffix":""},{"dropping-particle":"","family":"Spinillo","given":"Arsenio","non-dropping-particle":"","parse-names":false,"suffix":""},{"dropping-particle":"","family":"Caloni","given":"Francesca","non-dropping-particle":"","parse-names":false,"suffix":""},{"dropping-particle":"","family":"Coccini","given":"Teresa","non-dropping-particle":"","parse-names":false,"suffix":""},{"dropping-particle":"De","family":"Simone","given":"Uliana","non-dropping-particle":"","parse-names":false,"suffix":""},{"dropping-particle":"","family":"Roccio","given":"Marianna","non-dropping-particle":"","parse-names":false,"suffix":""},{"dropping-particle":"","family":"Gribaldo","given":"Laura","non-dropping-particle":"","parse-names":false,"suffix":""},{"dropping-particle":"","family":"Spinillo","given":"Arsenio","non-dropping-particle":"","parse-names":false,"suffix":""},{"dropping-particle":"","family":"Id","given":"Francesca Caloni","non-dropping-particle":"","parse-names":false,"suffix":""},{"dropping-particle":"","family":"Coccini","given":"Teresa","non-dropping-particle":"","parse-names":false,"suffix":""}],"container-title":"International Journal of Molecular Sciences ","id":"ITEM-1","issue":"7","issued":{"date-parts":[["2018"]]},"title":"Human 3D Cultures as Models for Evaluating Magnetic Nanoparticle CNS Cytotoxicity after Short- and Repeated Long-Term Exposure","type":"article-journal","volume":"19"},"uris":["http://www.mendeley.com/documents/?uuid=66c43061-12c8-4339-9b8a-36b90a14ed42"]}],"mendeley":{"formattedCitation":"&lt;sup&gt;197&lt;/sup&gt;","plainTextFormattedCitation":"197","previouslyFormattedCitation":"&lt;sup&gt;197&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197</w:t>
      </w:r>
      <w:r w:rsidRPr="00E04136">
        <w:rPr>
          <w:color w:val="000000" w:themeColor="text1"/>
        </w:rPr>
        <w:fldChar w:fldCharType="end"/>
      </w:r>
      <w:r w:rsidRPr="00E04136">
        <w:rPr>
          <w:color w:val="000000" w:themeColor="text1"/>
        </w:rPr>
        <w:t xml:space="preserve"> and animal models.</w:t>
      </w:r>
      <w:r w:rsidRPr="00E04136">
        <w:rPr>
          <w:color w:val="000000" w:themeColor="text1"/>
        </w:rPr>
        <w:fldChar w:fldCharType="begin" w:fldLock="1"/>
      </w:r>
      <w:r w:rsidR="0085447D">
        <w:rPr>
          <w:color w:val="000000" w:themeColor="text1"/>
        </w:rPr>
        <w:instrText>ADDIN CSL_CITATION {"citationItems":[{"id":"ITEM-1","itemData":{"DOI":"10.1016/j.etp.2015.07.005","ISBN":"2433449553","ISSN":"16181433","abstract":"In recent years, iron oxide nanorods find a lot of applications including drug delivery, cell separation, hyperthermia and magnetic resonance imaging. In this study the cytotoxicity of iron oxide nanorods was evaluated based on mouse fibroblast cell behavior and wistar rat's liver and kidney function. At first for modification, nanorods were added to Dulbecco's modified Eagle's medium (DMEM) which contained a lot of sources of vitamins, amino acids, proteins in Fetal Bovine Serum (FBS). The MTT assay was employed for evaluating the toxic effects of 200 and 400 μg/mL modified and non-modified iron oxide nanorods on L929 mouse fibroblast cells in a 24 h period. Changes in cell granularity and size as well as cell cycle were investigated using flow cytometry. Moreover liver and kidney function test and serum iron level measurement were performed 24. h after the injection of modified iron oxide nanorods via the tail peripheral vein of wistar rats. Results indicated that greater concentration of modified iron oxide nanorods had no significant effect on cell viability while greater concentration of non-modified iron oxide nanorods significantly decreased cell viability. Modified iron oxide nanorods did not have significant effects on cell cycle. The results of liver and kidney function tests did not differ significantly while a significant increase in serum iron level was observed. After H&amp;E staining of slices, there were no changes on morphology of rat's kidney and liver cells. This study suggests that short-time use of 200 and 400 μg/mL iron oxide nanorods are probably safe. Further studies are needed for investigation of toxic effects of different concentrations, coatings, and exposure time periods of iron oxide nanorods.","author":[{"dropping-particle":"","family":"Ghasempour","given":"Sarieh","non-dropping-particle":"","parse-names":false,"suffix":""},{"dropping-particle":"","family":"Shokrgozar","given":"Mohammad Ali","non-dropping-particle":"","parse-names":false,"suffix":""},{"dropping-particle":"","family":"Ghasempour","given":"Roghayeh","non-dropping-particle":"","parse-names":false,"suffix":""},{"dropping-particle":"","family":"Alipour","given":"Mohsen","non-dropping-particle":"","parse-names":false,"suffix":""}],"container-title":"Experimental and Toxicologic Pathology","id":"ITEM-1","issue":"10","issued":{"date-parts":[["2015"]]},"page":"509-515","publisher":"Elsevier GmbH.","title":"Investigating the cytotoxicity of iron oxide nanoparticles in in vivo and in vitro studies","type":"article-journal","volume":"67"},"uris":["http://www.mendeley.com/documents/?uuid=d33c009e-e848-4c30-960b-975674636236"]}],"mendeley":{"formattedCitation":"&lt;sup&gt;198&lt;/sup&gt;","plainTextFormattedCitation":"198","previouslyFormattedCitation":"&lt;sup&gt;198&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198</w:t>
      </w:r>
      <w:r w:rsidRPr="00E04136">
        <w:rPr>
          <w:color w:val="000000" w:themeColor="text1"/>
        </w:rPr>
        <w:fldChar w:fldCharType="end"/>
      </w:r>
      <w:r w:rsidRPr="00E04136">
        <w:rPr>
          <w:color w:val="000000" w:themeColor="text1"/>
        </w:rPr>
        <w:t xml:space="preserve"> Whilst there are benefits of each technique, 2D cell culture has the </w:t>
      </w:r>
      <w:r w:rsidRPr="00E04136">
        <w:rPr>
          <w:color w:val="000000" w:themeColor="text1"/>
        </w:rPr>
        <w:lastRenderedPageBreak/>
        <w:t>advantage of being rapid,</w:t>
      </w:r>
      <w:r w:rsidRPr="00E04136">
        <w:rPr>
          <w:color w:val="000000" w:themeColor="text1"/>
        </w:rPr>
        <w:fldChar w:fldCharType="begin" w:fldLock="1"/>
      </w:r>
      <w:r w:rsidR="0085447D">
        <w:rPr>
          <w:color w:val="000000" w:themeColor="text1"/>
        </w:rPr>
        <w:instrText>ADDIN CSL_CITATION {"citationItems":[{"id":"ITEM-1","itemData":{"DOI":"10.1021/nn901503q","ISSN":"1936-0851","author":[{"dropping-particle":"","family":"George","given":"Saji","non-dropping-particle":"","parse-names":false,"suffix":""},{"dropping-particle":"","family":"Pokhrel","given":"Suman","non-dropping-particle":"","parse-names":false,"suffix":""},{"dropping-particle":"","family":"Xia","given":"Tian","non-dropping-particle":"","parse-names":false,"suffix":""},{"dropping-particle":"","family":"Gilbert","given":"Benjamin","non-dropping-particle":"","parse-names":false,"suffix":""},{"dropping-particle":"","family":"Ji","given":"Zhaoxia","non-dropping-particle":"","parse-names":false,"suffix":""},{"dropping-particle":"","family":"Schowalter","given":"Marco","non-dropping-particle":"","parse-names":false,"suffix":""},{"dropping-particle":"","family":"Rosenauer","given":"Andreas","non-dropping-particle":"","parse-names":false,"suffix":""},{"dropping-particle":"","family":"Damoiseaux","given":"Robert","non-dropping-particle":"","parse-names":false,"suffix":""},{"dropping-particle":"","family":"Bradley","given":"Kenneth A","non-dropping-particle":"","parse-names":false,"suffix":""},{"dropping-particle":"","family":"Mädler","given":"Lutz","non-dropping-particle":"","parse-names":false,"suffix":""},{"dropping-particle":"","family":"Nel","given":"André E","non-dropping-particle":"","parse-names":false,"suffix":""}],"container-title":"ACS Nano","id":"ITEM-1","issue":"1","issued":{"date-parts":[["2010","1","26"]]},"note":"doi: 10.1021/nn901503q","page":"15-29","publisher":"American Chemical Society","title":"Use of a Rapid Cytotoxicity Screening Approach To Engineer a Safer Zinc Oxide Nanoparticle through Iron Doping","type":"article-journal","volume":"4"},"uris":["http://www.mendeley.com/documents/?uuid=0fe75942-ce43-4322-bd35-a112ce7898b0"]}],"mendeley":{"formattedCitation":"&lt;sup&gt;199&lt;/sup&gt;","plainTextFormattedCitation":"199","previouslyFormattedCitation":"&lt;sup&gt;199&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199</w:t>
      </w:r>
      <w:r w:rsidRPr="00E04136">
        <w:rPr>
          <w:color w:val="000000" w:themeColor="text1"/>
        </w:rPr>
        <w:fldChar w:fldCharType="end"/>
      </w:r>
      <w:r w:rsidRPr="00E04136">
        <w:rPr>
          <w:color w:val="000000" w:themeColor="text1"/>
        </w:rPr>
        <w:t xml:space="preserve"> reproducible</w:t>
      </w:r>
      <w:r w:rsidRPr="00E04136">
        <w:rPr>
          <w:color w:val="000000" w:themeColor="text1"/>
        </w:rPr>
        <w:fldChar w:fldCharType="begin" w:fldLock="1"/>
      </w:r>
      <w:r w:rsidR="0085447D">
        <w:rPr>
          <w:color w:val="000000" w:themeColor="text1"/>
        </w:rPr>
        <w:instrText>ADDIN CSL_CITATION {"citationItems":[{"id":"ITEM-1","itemData":{"DOI":"10.1016/S0887-2333(97)00060-X","ISBN":"0887-2333","ISSN":"08872333","PMID":"20654351","abstract":"Drug discovery and toxicological safety testing share a need for dependable in vitro cellular toxicity tests. Ideally such tests should be objective, quantitative, reproducible and able to lend themselves to automation. A number of assays fulfil these criteria well, but recently it has become clear that the molecular phenotype of the cell tested and the complex interplay between different cell types can radically alter the response to individual agents. The differences observed between primary cell cultures and cell lines make it preferable to use primary cultures for assessment of toxicity, yet the problems of using primary cell cultures are considerable as the number of cells available for testing is often small. Recently, we have developed a short-term cell culture assay based on the detection of ATP by the luciferin-luciferase reaction. Four drugs/agents can be tested in triplicate at seven dilutions in one 96-well microplate with 1000 cells/well in the case of cell lines, or 10,000 cells/well for primary tumour tissue. The small number of cells required is a major advantage of this method. Initially developed as a tumour chemosensitivity assay, the assay has shown considerable promise as a general in vitro toxicity assay allowing both cell lines and primary tissue cultures to be tested. Heterogeneity of sensitivity is present in benign tissue biopsies as well as tumours. Molecular alterations within the cell and the interplay of different cell types have been addressed in a number of different model systems using the assay, suggesting that this technology may have more general application.","author":[{"dropping-particle":"","family":"Cree","given":"I. A.","non-dropping-particle":"","parse-names":false,"suffix":""},{"dropping-particle":"","family":"Andreotti","given":"P. E.","non-dropping-particle":"","parse-names":false,"suffix":""}],"container-title":"Toxicology in Vitro","id":"ITEM-1","issue":"5","issued":{"date-parts":[["1997"]]},"note":"International Workshop on In Vitro Toxicology","page":"553-556","title":"Measurement of cytotoxicity by ATP-based luminescence assay in primary cell cultures and cell lines","type":"article-journal","volume":"11"},"uris":["http://www.mendeley.com/documents/?uuid=2c67d153-ff9c-44cf-af85-e96c6b53c6ce"]}],"mendeley":{"formattedCitation":"&lt;sup&gt;200&lt;/sup&gt;","plainTextFormattedCitation":"200","previouslyFormattedCitation":"&lt;sup&gt;200&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200</w:t>
      </w:r>
      <w:r w:rsidRPr="00E04136">
        <w:rPr>
          <w:color w:val="000000" w:themeColor="text1"/>
        </w:rPr>
        <w:fldChar w:fldCharType="end"/>
      </w:r>
      <w:r w:rsidRPr="00E04136">
        <w:rPr>
          <w:color w:val="000000" w:themeColor="text1"/>
        </w:rPr>
        <w:t xml:space="preserve"> and inexpensive</w:t>
      </w:r>
      <w:r>
        <w:rPr>
          <w:color w:val="000000" w:themeColor="text1"/>
        </w:rPr>
        <w:t>.</w:t>
      </w:r>
      <w:r w:rsidRPr="00E04136">
        <w:rPr>
          <w:color w:val="000000" w:themeColor="text1"/>
        </w:rPr>
        <w:fldChar w:fldCharType="begin" w:fldLock="1"/>
      </w:r>
      <w:r w:rsidR="0085447D">
        <w:rPr>
          <w:color w:val="000000" w:themeColor="text1"/>
        </w:rPr>
        <w:instrText>ADDIN CSL_CITATION {"citationItems":[{"id":"ITEM-1","itemData":{"DOI":"10.2174/1875397300903010033","ISSN":"1875-3973","abstract":"In vitro cytotoxicity testing has become an integral aspect of drug discovery because it is a convenient, costeffective, and predictive means of characterizing the toxic potential of new chemical entities. The early and routine implementation of this testing is testament to its prognostic importance for humans. Although a plethora of assay chemistries and methods exist for 96-well formats, few are practical and sufficiently sensitive enough for application in high throughput screening (HTS). Here we briefly describe a handful of the currently most robust and validated HTS assays for accurate and efficient assessment of cytotoxic risk. We also provide guidance for successful HTS implementation and discuss unique merits and detractions inherent in each method. Lastly, we discuss the advantages of combining specific HTS compatible assays into multi-parametric, same-well formats. ","author":[{"dropping-particle":"","family":"Niles","given":"Andrew L","non-dropping-particle":"","parse-names":false,"suffix":""},{"dropping-particle":"","family":"Moravec","given":"Richard A","non-dropping-particle":"","parse-names":false,"suffix":""},{"dropping-particle":"","family":"Riss","given":"Terry L","non-dropping-particle":"","parse-names":false,"suffix":""}],"container-title":"Current Chemical Genomics","id":"ITEM-1","issued":{"date-parts":[["2009","6","11"]]},"page":"33-41","publisher":"Bentham Open","title":"In Vitro Viability and Cytotoxicity Testing and Same-Well Multi-Parametric Combinations for High Throughput Screening","type":"article-journal","volume":"3"},"uris":["http://www.mendeley.com/documents/?uuid=4ed26bce-bef0-4756-8d98-0652849f991b"]}],"mendeley":{"formattedCitation":"&lt;sup&gt;201&lt;/sup&gt;","plainTextFormattedCitation":"201","previouslyFormattedCitation":"&lt;sup&gt;201&lt;/sup&gt;"},"properties":{"noteIndex":0},"schema":"https://github.com/citation-style-language/schema/raw/master/csl-citation.json"}</w:instrText>
      </w:r>
      <w:r w:rsidRPr="00E04136">
        <w:rPr>
          <w:color w:val="000000" w:themeColor="text1"/>
        </w:rPr>
        <w:fldChar w:fldCharType="separate"/>
      </w:r>
      <w:r w:rsidR="00B02713" w:rsidRPr="00B02713">
        <w:rPr>
          <w:noProof/>
          <w:color w:val="000000" w:themeColor="text1"/>
          <w:vertAlign w:val="superscript"/>
        </w:rPr>
        <w:t>201</w:t>
      </w:r>
      <w:r w:rsidRPr="00E04136">
        <w:rPr>
          <w:color w:val="000000" w:themeColor="text1"/>
        </w:rPr>
        <w:fldChar w:fldCharType="end"/>
      </w:r>
      <w:r w:rsidRPr="00E04136">
        <w:rPr>
          <w:color w:val="000000" w:themeColor="text1"/>
        </w:rPr>
        <w:t xml:space="preserve"> These properties are especially </w:t>
      </w:r>
      <w:r>
        <w:t>important during the early stages of drug development, where large numbers of compounds may be screened. 2D cytotoxicity assays focus primarily on analysing changes in cellular markers such as cell morphology, membrane integrity, metabolic activity and proliferation.</w:t>
      </w:r>
      <w:r>
        <w:fldChar w:fldCharType="begin" w:fldLock="1"/>
      </w:r>
      <w:r w:rsidR="0085447D">
        <w:instrText>ADDIN CSL_CITATION {"citationItems":[{"id":"ITEM-1","itemData":{"DOI":"10.1517/17460441.3.6.655","ISBN":"1746-0441","ISSN":"1746-0441","PMID":"23506147","abstract":"Background: in vitro cytotoxicity testing provides a crucial means of ranking compounds for consideration in drug discovery. The choice of using a particular viability or cytotoxicity assay technology may be influenced by specific research goals. Objective: Although the high-throughput screening (HTS) utility is typically dependent upon sensitivity and scalability, it is also impacted by signal robustness and resiliency to assay interferences. Further consideration should be given to data quality, ease-of-use, reagent stability, and matters of cost-effectiveness. Methods: Here we focus on three main classes of assays that are at present the most popular, useful, and practical for HTS drug discovery efforts. These methods measure: i) viability by metabolism reductase activities; ii) viability by bioluminescent ATP assays; or iii) cytotoxicity by enzymes ‘released’ into culture medium. Multi-parametric technologies are also briefly discussed. Results/conclusion: Each of these methods has its relative merits...","author":[{"dropping-particle":"","family":"Niles","given":"Andrew L","non-dropping-particle":"","parse-names":false,"suffix":""},{"dropping-particle":"","family":"Moravec","given":"Richard A","non-dropping-particle":"","parse-names":false,"suffix":""},{"dropping-particle":"","family":"Riss","given":"Terry L","non-dropping-particle":"","parse-names":false,"suffix":""}],"container-title":"Expert Opinion on Drug Discovery","id":"ITEM-1","issue":"6","issued":{"date-parts":[["2008"]]},"page":"655-669","title":"Update on &lt;i&gt;in vitro&lt;/i&gt; cytotoxicity assays for drug development","type":"article-journal","volume":"3"},"uris":["http://www.mendeley.com/documents/?uuid=33125c12-3f47-4ceb-a01f-1ddf3ccb6e2d"]}],"mendeley":{"formattedCitation":"&lt;sup&gt;202&lt;/sup&gt;","plainTextFormattedCitation":"202","previouslyFormattedCitation":"&lt;sup&gt;202&lt;/sup&gt;"},"properties":{"noteIndex":0},"schema":"https://github.com/citation-style-language/schema/raw/master/csl-citation.json"}</w:instrText>
      </w:r>
      <w:r>
        <w:fldChar w:fldCharType="separate"/>
      </w:r>
      <w:r w:rsidR="00B02713" w:rsidRPr="00B02713">
        <w:rPr>
          <w:noProof/>
          <w:vertAlign w:val="superscript"/>
        </w:rPr>
        <w:t>202</w:t>
      </w:r>
      <w:r>
        <w:fldChar w:fldCharType="end"/>
      </w:r>
      <w:r>
        <w:t xml:space="preserve"> It has been suggested that multiple cytotoxicity assays should be performed focussing on different cellular outputs, to gain information on a range toxicity pathways.</w:t>
      </w:r>
      <w:r>
        <w:fldChar w:fldCharType="begin" w:fldLock="1"/>
      </w:r>
      <w:r w:rsidR="0085447D">
        <w:instrText>ADDIN CSL_CITATION {"citationItems":[{"id":"ITEM-1","itemData":{"DOI":"10.1177/1087057105283787","ISBN":"1087-0571 (Print)\\r1087-0571 (Linking)","ISSN":"10870571","PMID":"16314402","abstract":"Cytotoxicity testing allows determining whether a compound or extract contains significant quantities of biologically harmful chemicals. Cytotoxicity test methods are useful for screening because they serve to separate toxic from nontoxic materials, providing predictive evidence of compound safety. However, a wide range of assays measuring different aspects of cell death is available in the market, but it is difficult to determine which one(s) to use when evaluating a selection of compounds. The objective of this study was to compare different commercially available in vitro assays for cytotoxicity in HepG2 cells according to its sensitivity, reproducibility, simplicity, cost, and speed. The assays evaluated included Alamar Blue for the measurement of mitochondrial activity, ATPlite and ViaLight for the determination of cellular adenosine triphosphate (ATP), ToxiLight as an indicator of cellular necrosis, and Caspase-3 Fluorometric Assay, Apo-ONE Caspase-3/7 Homogeneous Assay, and Caspase-Glo for the determination of caspase-3/7 activity. All assays were performed using 4 compounds of previously reported cytotoxic activity: DMSO, butyric acid, carbonyl cyanide 4-(trifluoromethoxy)phenylhydrazone (FCCP), and camptothecine. Overall, it was concluded that the best way to evaluate the potential cytotoxicity of a compound is to employ a battery of assays that focus on different aspects of cell death. In this case, the focus has been on ATP levels, cell necrosis, and capsase-3/7 activation. Many other kits are commercially available in the market for these and other aspects of necrosis and/or apoptosis. However, the use of ViaLight Plus, ToxiLight, and Caspase-3 Fluorometric Assay resulted in the most useful combination when working with HepG2 cells.","author":[{"dropping-particle":"","family":"Miret","given":"Silvia","non-dropping-particle":"","parse-names":false,"suffix":""},{"dropping-particle":"","family":"Groene","given":"Els M.","non-dropping-particle":"De","parse-names":false,"suffix":""},{"dropping-particle":"","family":"Klaffke","given":"Werner","non-dropping-particle":"","parse-names":false,"suffix":""}],"container-title":"Journal of Biomolecular Screening","id":"ITEM-1","issue":"2","issued":{"date-parts":[["2006"]]},"page":"184-193","title":"Comparison of in vitro assays of cellular toxicity in the human hepatic cell line HepG2","type":"article-journal","volume":"11"},"uris":["http://www.mendeley.com/documents/?uuid=f3a47a04-0255-4a3a-8d78-ad1dd718fb4d"]}],"mendeley":{"formattedCitation":"&lt;sup&gt;203&lt;/sup&gt;","plainTextFormattedCitation":"203","previouslyFormattedCitation":"&lt;sup&gt;203&lt;/sup&gt;"},"properties":{"noteIndex":0},"schema":"https://github.com/citation-style-language/schema/raw/master/csl-citation.json"}</w:instrText>
      </w:r>
      <w:r>
        <w:fldChar w:fldCharType="separate"/>
      </w:r>
      <w:r w:rsidR="00B02713" w:rsidRPr="00B02713">
        <w:rPr>
          <w:noProof/>
          <w:vertAlign w:val="superscript"/>
        </w:rPr>
        <w:t>203</w:t>
      </w:r>
      <w:r>
        <w:fldChar w:fldCharType="end"/>
      </w:r>
      <w:r>
        <w:t xml:space="preserve"> Whilst cytotoxicity testing is a useful tool, it cannot fully replicate the environment a compound will experience</w:t>
      </w:r>
      <w:r w:rsidRPr="007C61F5">
        <w:rPr>
          <w:i/>
        </w:rPr>
        <w:t xml:space="preserve"> in vivo</w:t>
      </w:r>
      <w:r>
        <w:t xml:space="preserve">. As a result, it should only be used as an initial indicator of toxicity.  </w:t>
      </w:r>
    </w:p>
    <w:p w14:paraId="0FCB6DDE" w14:textId="77777777" w:rsidR="004673FB" w:rsidRPr="00FA05B6" w:rsidRDefault="004673FB" w:rsidP="004673FB">
      <w:r>
        <w:t xml:space="preserve">The first aim of this chapter was to test the synthesised prodrugs in a biochemical assay of LOX activity, to determine whether their dissociation back to </w:t>
      </w:r>
      <w:r>
        <w:sym w:font="Symbol" w:char="F062"/>
      </w:r>
      <w:r>
        <w:noBreakHyphen/>
        <w:t xml:space="preserve">APN was sufficient enough to inhibit LOX activity. The second aim was to test the cytotoxicity of the synthesised prodrugs in cellular assays using primary human dermal fibroblasts. </w:t>
      </w:r>
    </w:p>
    <w:p w14:paraId="0A429373" w14:textId="54621EB2" w:rsidR="004673FB" w:rsidRDefault="004673FB" w:rsidP="003D132C">
      <w:pPr>
        <w:pStyle w:val="Heading2"/>
      </w:pPr>
      <w:bookmarkStart w:id="156" w:name="_Toc2451012"/>
      <w:r>
        <w:t>Materials</w:t>
      </w:r>
      <w:bookmarkEnd w:id="156"/>
      <w:r>
        <w:t xml:space="preserve"> </w:t>
      </w:r>
    </w:p>
    <w:p w14:paraId="371F664A" w14:textId="439D7AD3" w:rsidR="004673FB" w:rsidRPr="00C0003C" w:rsidRDefault="004673FB" w:rsidP="004673FB">
      <w:pPr>
        <w:rPr>
          <w:color w:val="FF0000"/>
        </w:rPr>
      </w:pPr>
      <w:r>
        <w:t xml:space="preserve">Lysyl </w:t>
      </w:r>
      <w:r w:rsidR="00B7406F">
        <w:t>o</w:t>
      </w:r>
      <w:r>
        <w:t>xidase activity assay kit (ab112139) was obtained from Abcam. Dimethyl sulfoxide (DMSO) (&gt; 99.9 %) was obtained from Alfa A</w:t>
      </w:r>
      <w:r w:rsidR="00E4537B">
        <w:t>esar. β</w:t>
      </w:r>
      <w:r w:rsidR="00E4537B">
        <w:noBreakHyphen/>
        <w:t>aminopropionitrile fuma</w:t>
      </w:r>
      <w:r>
        <w:t>rate salt (β</w:t>
      </w:r>
      <w:r>
        <w:noBreakHyphen/>
        <w:t>APN, &gt; 99 %) was obtained from Acros Organics.</w:t>
      </w:r>
      <w:r w:rsidRPr="003F72A6">
        <w:t xml:space="preserve"> </w:t>
      </w:r>
      <w:r>
        <w:t>Difco trypsin was obtained from Difco Labs. Industrially methylated spirit (IMS), propan</w:t>
      </w:r>
      <w:r>
        <w:noBreakHyphen/>
        <w:t>2</w:t>
      </w:r>
      <w:r>
        <w:noBreakHyphen/>
        <w:t>ol (IPA) (&gt; 99.5 %) and sodium chloride were obtained from Fisher Scientific. 3</w:t>
      </w:r>
      <w:r>
        <w:noBreakHyphen/>
      </w:r>
      <w:r w:rsidRPr="003F72A6">
        <w:t xml:space="preserve">(4,5-dimethylthiazol-2-yl)-2,5-diphenyltetrazolium bromide </w:t>
      </w:r>
      <w:r>
        <w:t xml:space="preserve">(MTT) was obtained from Invitrogen. Phosphate-buffered saline (PBS) tablets were obtained from Oxoid and prepared in deionised water at a </w:t>
      </w:r>
      <w:r w:rsidRPr="006547A7">
        <w:t>concentration of 100 mM, pH 7.3.</w:t>
      </w:r>
      <w:r>
        <w:t xml:space="preserve"> Recombinant human epidermal growth factor (rh EGF) (97 %) and recombinant human lysyl oxidase-like-2 (LOXL2) (&gt; 90 %) were obtained from R&amp;D systems.</w:t>
      </w:r>
      <w:r w:rsidRPr="00643D5F">
        <w:t xml:space="preserve"> </w:t>
      </w:r>
      <w:r>
        <w:t>Collagenase A was obtained from Roche and made up to a concentration of 0.5 mg/mL in DMEM.</w:t>
      </w:r>
    </w:p>
    <w:p w14:paraId="4AA3F19C" w14:textId="77777777" w:rsidR="004673FB" w:rsidRPr="00C25123" w:rsidRDefault="004673FB" w:rsidP="004673FB">
      <w:r>
        <w:t>Adenine, amphotericin B, cholera toxin (95 %), Dulbecco’s modified Eagle’s medium (DMEM), e</w:t>
      </w:r>
      <w:r w:rsidRPr="003F72A6">
        <w:t>thylenediaminetetraacetic acid solution</w:t>
      </w:r>
      <w:r>
        <w:t xml:space="preserve"> (EDTA) (0.02 %), fetal calf serum (FCS), formaldehyde (37 %), L</w:t>
      </w:r>
      <w:r>
        <w:noBreakHyphen/>
        <w:t>glutamine, HAM’s nutrient mixture F12, hydrocortisone, insulin, penicillin</w:t>
      </w:r>
      <w:r>
        <w:noBreakHyphen/>
        <w:t>streptomycin solution, resazurin sodium salt, transferrin,</w:t>
      </w:r>
      <w:r w:rsidRPr="000C2B6E">
        <w:t xml:space="preserve"> </w:t>
      </w:r>
      <w:r>
        <w:t>triiodo</w:t>
      </w:r>
      <w:r>
        <w:noBreakHyphen/>
        <w:t>L</w:t>
      </w:r>
      <w:r>
        <w:noBreakHyphen/>
        <w:t>t</w:t>
      </w:r>
      <w:r w:rsidRPr="000C2B6E">
        <w:t>hyronine (T3)</w:t>
      </w:r>
      <w:r>
        <w:t xml:space="preserve">, trypan blue and </w:t>
      </w:r>
      <w:r w:rsidRPr="005848D3">
        <w:t>trypsin (0.02 % EDTA)</w:t>
      </w:r>
      <w:r>
        <w:t xml:space="preserve"> were obtained from Sigma. </w:t>
      </w:r>
      <w:r w:rsidRPr="000C2B6E">
        <w:t>Pierce™ LDH Cytotoxicity Assay Kit</w:t>
      </w:r>
      <w:r>
        <w:t xml:space="preserve"> (88953) was obtained from ThermoFisher Scientific.</w:t>
      </w:r>
    </w:p>
    <w:p w14:paraId="646A69DE" w14:textId="77777777" w:rsidR="00DE3FCA" w:rsidRDefault="00DE3FCA" w:rsidP="00DE3FCA">
      <w:pPr>
        <w:pStyle w:val="Heading2"/>
        <w:rPr>
          <w:rFonts w:eastAsia="Times New Roman"/>
          <w:lang w:eastAsia="en-GB"/>
        </w:rPr>
      </w:pPr>
      <w:bookmarkStart w:id="157" w:name="_Toc2451013"/>
      <w:r>
        <w:rPr>
          <w:rFonts w:eastAsia="Times New Roman"/>
          <w:lang w:eastAsia="en-GB"/>
        </w:rPr>
        <w:lastRenderedPageBreak/>
        <w:t>Methods</w:t>
      </w:r>
      <w:bookmarkEnd w:id="157"/>
    </w:p>
    <w:p w14:paraId="0E78C784" w14:textId="2126B13E" w:rsidR="004673FB" w:rsidRPr="004B7228" w:rsidRDefault="004673FB" w:rsidP="003D132C">
      <w:pPr>
        <w:pStyle w:val="Heading3"/>
        <w:rPr>
          <w:rFonts w:eastAsia="Times New Roman"/>
          <w:lang w:eastAsia="en-GB"/>
        </w:rPr>
      </w:pPr>
      <w:bookmarkStart w:id="158" w:name="_Ref525727212"/>
      <w:bookmarkStart w:id="159" w:name="_Toc2451014"/>
      <w:r w:rsidRPr="004B7228">
        <w:rPr>
          <w:rFonts w:eastAsia="Times New Roman"/>
          <w:lang w:eastAsia="en-GB"/>
        </w:rPr>
        <w:t>Isolation and culture of human epidermal keratinocytes</w:t>
      </w:r>
      <w:bookmarkEnd w:id="158"/>
      <w:bookmarkEnd w:id="159"/>
    </w:p>
    <w:p w14:paraId="4A8ABE43" w14:textId="3FE235D3" w:rsidR="004673FB" w:rsidRDefault="004673FB" w:rsidP="004673FB">
      <w:pPr>
        <w:rPr>
          <w:lang w:eastAsia="en-GB"/>
        </w:rPr>
      </w:pPr>
      <w:r w:rsidRPr="00714811">
        <w:rPr>
          <w:lang w:eastAsia="en-GB"/>
        </w:rPr>
        <w:t xml:space="preserve">Human </w:t>
      </w:r>
      <w:r>
        <w:rPr>
          <w:lang w:eastAsia="en-GB"/>
        </w:rPr>
        <w:t>epi</w:t>
      </w:r>
      <w:r w:rsidRPr="00714811">
        <w:rPr>
          <w:lang w:eastAsia="en-GB"/>
        </w:rPr>
        <w:t xml:space="preserve">dermal keratinocytes were isolated from human </w:t>
      </w:r>
      <w:r>
        <w:rPr>
          <w:lang w:eastAsia="en-GB"/>
        </w:rPr>
        <w:t>skin</w:t>
      </w:r>
      <w:r w:rsidRPr="00714811">
        <w:rPr>
          <w:lang w:eastAsia="en-GB"/>
        </w:rPr>
        <w:t xml:space="preserve">, obtained </w:t>
      </w:r>
      <w:r>
        <w:rPr>
          <w:lang w:eastAsia="en-GB"/>
        </w:rPr>
        <w:t>from consenting patients</w:t>
      </w:r>
      <w:r w:rsidRPr="00714811">
        <w:rPr>
          <w:lang w:eastAsia="en-GB"/>
        </w:rPr>
        <w:t xml:space="preserve"> </w:t>
      </w:r>
      <w:r>
        <w:rPr>
          <w:lang w:eastAsia="en-GB"/>
        </w:rPr>
        <w:t>undergoing e</w:t>
      </w:r>
      <w:r w:rsidRPr="00A230F7">
        <w:rPr>
          <w:lang w:eastAsia="en-GB"/>
        </w:rPr>
        <w:t>lective surgery</w:t>
      </w:r>
      <w:r>
        <w:rPr>
          <w:lang w:eastAsia="en-GB"/>
        </w:rPr>
        <w:t xml:space="preserve"> </w:t>
      </w:r>
      <w:r w:rsidRPr="0064765F">
        <w:rPr>
          <w:lang w:eastAsia="en-GB"/>
        </w:rPr>
        <w:t>for breast reduction or abdominoplasty</w:t>
      </w:r>
      <w:r>
        <w:rPr>
          <w:lang w:eastAsia="en-GB"/>
        </w:rPr>
        <w:t xml:space="preserve"> </w:t>
      </w:r>
      <w:r w:rsidRPr="00714811">
        <w:rPr>
          <w:lang w:eastAsia="en-GB"/>
        </w:rPr>
        <w:t>at the Sheffield Hallamshire</w:t>
      </w:r>
      <w:r>
        <w:rPr>
          <w:lang w:eastAsia="en-GB"/>
        </w:rPr>
        <w:t xml:space="preserve"> Hospital</w:t>
      </w:r>
      <w:r w:rsidRPr="00714811">
        <w:rPr>
          <w:lang w:eastAsia="en-GB"/>
        </w:rPr>
        <w:t xml:space="preserve">. </w:t>
      </w:r>
      <w:r w:rsidRPr="00A230F7">
        <w:rPr>
          <w:lang w:eastAsia="en-GB"/>
        </w:rPr>
        <w:t>Pa</w:t>
      </w:r>
      <w:r>
        <w:rPr>
          <w:lang w:eastAsia="en-GB"/>
        </w:rPr>
        <w:t xml:space="preserve">tients gave written consent for </w:t>
      </w:r>
      <w:r w:rsidRPr="00A230F7">
        <w:rPr>
          <w:lang w:eastAsia="en-GB"/>
        </w:rPr>
        <w:t xml:space="preserve">skin that had been </w:t>
      </w:r>
      <w:r>
        <w:rPr>
          <w:lang w:eastAsia="en-GB"/>
        </w:rPr>
        <w:t>removed</w:t>
      </w:r>
      <w:r w:rsidR="00E4537B">
        <w:rPr>
          <w:lang w:eastAsia="en-GB"/>
        </w:rPr>
        <w:t>,</w:t>
      </w:r>
      <w:r>
        <w:rPr>
          <w:lang w:eastAsia="en-GB"/>
        </w:rPr>
        <w:t xml:space="preserve"> and </w:t>
      </w:r>
      <w:r w:rsidRPr="00A230F7">
        <w:rPr>
          <w:lang w:eastAsia="en-GB"/>
        </w:rPr>
        <w:t>was not required for the</w:t>
      </w:r>
      <w:r>
        <w:rPr>
          <w:lang w:eastAsia="en-GB"/>
        </w:rPr>
        <w:t>ir</w:t>
      </w:r>
      <w:r w:rsidRPr="00A230F7">
        <w:rPr>
          <w:lang w:eastAsia="en-GB"/>
        </w:rPr>
        <w:t xml:space="preserve"> treatment</w:t>
      </w:r>
      <w:r w:rsidR="00E4537B">
        <w:rPr>
          <w:lang w:eastAsia="en-GB"/>
        </w:rPr>
        <w:t>,</w:t>
      </w:r>
      <w:r w:rsidRPr="00A230F7">
        <w:rPr>
          <w:lang w:eastAsia="en-GB"/>
        </w:rPr>
        <w:t xml:space="preserve"> </w:t>
      </w:r>
      <w:r>
        <w:rPr>
          <w:lang w:eastAsia="en-GB"/>
        </w:rPr>
        <w:t>t</w:t>
      </w:r>
      <w:r w:rsidRPr="00A230F7">
        <w:rPr>
          <w:lang w:eastAsia="en-GB"/>
        </w:rPr>
        <w:t>o be used for</w:t>
      </w:r>
      <w:r>
        <w:rPr>
          <w:lang w:eastAsia="en-GB"/>
        </w:rPr>
        <w:t xml:space="preserve"> </w:t>
      </w:r>
      <w:r w:rsidRPr="00A230F7">
        <w:rPr>
          <w:lang w:eastAsia="en-GB"/>
        </w:rPr>
        <w:t>research</w:t>
      </w:r>
      <w:r>
        <w:rPr>
          <w:lang w:eastAsia="en-GB"/>
        </w:rPr>
        <w:t xml:space="preserve">. </w:t>
      </w:r>
      <w:r w:rsidRPr="00714811">
        <w:rPr>
          <w:lang w:eastAsia="en-GB"/>
        </w:rPr>
        <w:t xml:space="preserve">Full ethical approval was </w:t>
      </w:r>
      <w:r>
        <w:rPr>
          <w:lang w:eastAsia="en-GB"/>
        </w:rPr>
        <w:t>given by the NHS Research Ethics Committee, ethics number 15/YH/0177</w:t>
      </w:r>
      <w:r w:rsidRPr="00714811">
        <w:rPr>
          <w:lang w:eastAsia="en-GB"/>
        </w:rPr>
        <w:t xml:space="preserve">.  </w:t>
      </w:r>
      <w:r w:rsidRPr="00784C45">
        <w:t xml:space="preserve"> </w:t>
      </w:r>
    </w:p>
    <w:p w14:paraId="47B1E9BB" w14:textId="0C33E151" w:rsidR="004673FB" w:rsidRPr="00897B2D" w:rsidRDefault="004673FB" w:rsidP="004673FB">
      <w:pPr>
        <w:rPr>
          <w:lang w:eastAsia="en-GB"/>
        </w:rPr>
      </w:pPr>
      <w:r>
        <w:rPr>
          <w:lang w:eastAsia="en-GB"/>
        </w:rPr>
        <w:t>Split-thickness skin grafts (STSG) were prepared from full-thickness skin by a laboratory technician. STSG were washed twice with sterile phosphate buffered saline (PBS) and cut into 5 mm </w:t>
      </w:r>
      <w:r>
        <w:rPr>
          <w:lang w:eastAsia="en-GB"/>
        </w:rPr>
        <w:sym w:font="Symbol" w:char="F0B4"/>
      </w:r>
      <w:r>
        <w:rPr>
          <w:lang w:eastAsia="en-GB"/>
        </w:rPr>
        <w:t> 10 mm sections. Sections were placed in 0.1 % (w/v) Difco trypsin solution overnight at 4 </w:t>
      </w:r>
      <w:r>
        <w:rPr>
          <w:lang w:eastAsia="en-GB"/>
        </w:rPr>
        <w:sym w:font="Symbol" w:char="F0B0"/>
      </w:r>
      <w:r>
        <w:rPr>
          <w:lang w:eastAsia="en-GB"/>
        </w:rPr>
        <w:t>C. Following Difco trypsin treatment, the epithelium was peeled from the underlying connective tissue using forceps. Keratinocytes were scraped from the upper</w:t>
      </w:r>
      <w:r w:rsidRPr="00A230F7">
        <w:rPr>
          <w:lang w:eastAsia="en-GB"/>
        </w:rPr>
        <w:t xml:space="preserve"> surface of</w:t>
      </w:r>
      <w:r>
        <w:rPr>
          <w:lang w:eastAsia="en-GB"/>
        </w:rPr>
        <w:t xml:space="preserve"> the dermis and the l</w:t>
      </w:r>
      <w:r w:rsidRPr="00A230F7">
        <w:rPr>
          <w:lang w:eastAsia="en-GB"/>
        </w:rPr>
        <w:t>ower surface of the epidermis</w:t>
      </w:r>
      <w:r w:rsidR="00B272D7">
        <w:rPr>
          <w:lang w:eastAsia="en-GB"/>
        </w:rPr>
        <w:t xml:space="preserve"> </w:t>
      </w:r>
      <w:r>
        <w:rPr>
          <w:lang w:eastAsia="en-GB"/>
        </w:rPr>
        <w:t>using a scalpel blade. Cells were collected in Green’s media composed of Dulbecco’s modified Eagle’s medium (DMEM) and Ham’s F12 nutrient mixture in a 3:1 (v/v) ratio, supplemented with 10 % (v/v) fetal calf serum (FCS), 100 IU/mL penicillin, 100 mg/mL streptomycin, 2 mM</w:t>
      </w:r>
      <w:r w:rsidRPr="00714E8E">
        <w:t xml:space="preserve"> </w:t>
      </w:r>
      <w:r>
        <w:t>L</w:t>
      </w:r>
      <w:r>
        <w:noBreakHyphen/>
      </w:r>
      <w:r>
        <w:rPr>
          <w:lang w:eastAsia="en-GB"/>
        </w:rPr>
        <w:t>glutamine, 0.625 μg/mL amphotericin B, 0.1 μM cholera toxin, 10 ng/mL epidermal growth factor (EGF),</w:t>
      </w:r>
      <w:r w:rsidR="00B272D7">
        <w:rPr>
          <w:lang w:eastAsia="en-GB"/>
        </w:rPr>
        <w:t xml:space="preserve"> 0.4 μg/mL hydrocortisone, 0.18 </w:t>
      </w:r>
      <w:r>
        <w:rPr>
          <w:lang w:eastAsia="en-GB"/>
        </w:rPr>
        <w:t>mM adenine, 5 μg/mL insulin, 5 μg/mL transferrin, and 0.2 </w:t>
      </w:r>
      <w:r w:rsidRPr="00714E8E">
        <w:rPr>
          <w:lang w:eastAsia="en-GB"/>
        </w:rPr>
        <w:t>μM triiodo</w:t>
      </w:r>
      <w:r>
        <w:rPr>
          <w:lang w:eastAsia="en-GB"/>
        </w:rPr>
        <w:noBreakHyphen/>
        <w:t>L</w:t>
      </w:r>
      <w:r>
        <w:rPr>
          <w:lang w:eastAsia="en-GB"/>
        </w:rPr>
        <w:noBreakHyphen/>
      </w:r>
      <w:r w:rsidRPr="00714E8E">
        <w:rPr>
          <w:lang w:eastAsia="en-GB"/>
        </w:rPr>
        <w:t>thyronine</w:t>
      </w:r>
      <w:r>
        <w:rPr>
          <w:lang w:eastAsia="en-GB"/>
        </w:rPr>
        <w:t> (T3)</w:t>
      </w:r>
      <w:r w:rsidRPr="00714E8E">
        <w:rPr>
          <w:lang w:eastAsia="en-GB"/>
        </w:rPr>
        <w:t>.</w:t>
      </w:r>
      <w:r>
        <w:rPr>
          <w:lang w:eastAsia="en-GB"/>
        </w:rPr>
        <w:t xml:space="preserve"> Keratinocytes were cultured according to the method by </w:t>
      </w:r>
      <w:r w:rsidRPr="00D7482A">
        <w:rPr>
          <w:lang w:eastAsia="en-GB"/>
        </w:rPr>
        <w:t>Rheinwald and Green.</w:t>
      </w:r>
      <w:r w:rsidRPr="00D7482A">
        <w:rPr>
          <w:lang w:eastAsia="en-GB"/>
        </w:rPr>
        <w:fldChar w:fldCharType="begin" w:fldLock="1"/>
      </w:r>
      <w:r w:rsidR="0085447D">
        <w:rPr>
          <w:lang w:eastAsia="en-GB"/>
        </w:rPr>
        <w:instrText>ADDIN CSL_CITATION {"citationItems":[{"id":"ITEM-1","itemData":{"DOI":"10.1016/S0092-8674(75)80001-8","ISBN":"0092-8674 (Print)\\r0092-8674 (Linking)","ISSN":"00928674","PMID":"1052771","abstract":"Human diploid epidermal cells have been successfully grown in serial culture. To initiate colony formarion, they require the presence of fibroblasts, but proiiferation of fibroblasts must be controlled so that the epidermal cell population is not overgrown. Both conditions can be achieved by the use of lethally irradiated 3T3 cells at the correct denairy. When trypsinized human skin cells are plated together with the 3T3 cells, the growth of the human fibroblasts is largety suppressed, but the epidermal cels grow from singte ceils into cotonies. Each colony consists of keratinocytes ultimerely forming a stratified squamous epithelium in which the dividing cells are confined to the lowest layer(s). Hydrocortisone is added to the medium, since in secondary and subsequent subcultures it makes the coiony morphology more orderly and distinctive, and maintains proliferation at a slightly greater rate. Under these culture conditions, it is possible to isotate keratinocyte clones free of viable fibroblasts. Like human diploid fibroblasts, human diploid keratinocytes appear fo have a finite caiture lifetime. For 7 strains studied, the culture lifetime ranged from 20–50 cell generations. The plating efficiency of the epidermal cells taken directly from skin was usually 0.1–1.0%. On subsequent transfer of the cultures initiated from newborns, the plating efficiency rose to 10% or higher, but was most often in the range of 1–5% and dropped sharply toward the end of their culture life. The plating efficiency and culture lifetime were lower for keratinocytes of older persons. © 1997, Elsevier Science Ltd. All rights reserved.. All rights reserved.","author":[{"dropping-particle":"","family":"Rheinwald","given":"James G.","non-dropping-particle":"","parse-names":false,"suffix":""},{"dropping-particle":"","family":"Green","given":"Howard","non-dropping-particle":"","parse-names":false,"suffix":""}],"container-title":"Cell","id":"ITEM-1","issue":"3","issued":{"date-parts":[["1975"]]},"page":"331-343","title":"Seria cultivation of strains of human epidemal keratinocytes: the formation keratinizin colonies from single cell is","type":"article-journal","volume":"6"},"uris":["http://www.mendeley.com/documents/?uuid=5dbcd706-a6c1-42a6-8289-0c4de256c11a"]}],"mendeley":{"formattedCitation":"&lt;sup&gt;204&lt;/sup&gt;","plainTextFormattedCitation":"204","previouslyFormattedCitation":"&lt;sup&gt;204&lt;/sup&gt;"},"properties":{"noteIndex":0},"schema":"https://github.com/citation-style-language/schema/raw/master/csl-citation.json"}</w:instrText>
      </w:r>
      <w:r w:rsidRPr="00D7482A">
        <w:rPr>
          <w:lang w:eastAsia="en-GB"/>
        </w:rPr>
        <w:fldChar w:fldCharType="separate"/>
      </w:r>
      <w:r w:rsidR="00B02713" w:rsidRPr="00B02713">
        <w:rPr>
          <w:noProof/>
          <w:vertAlign w:val="superscript"/>
          <w:lang w:eastAsia="en-GB"/>
        </w:rPr>
        <w:t>204</w:t>
      </w:r>
      <w:r w:rsidRPr="00D7482A">
        <w:rPr>
          <w:lang w:eastAsia="en-GB"/>
        </w:rPr>
        <w:fldChar w:fldCharType="end"/>
      </w:r>
      <w:r w:rsidRPr="00D7482A">
        <w:rPr>
          <w:lang w:eastAsia="en-GB"/>
        </w:rPr>
        <w:t xml:space="preserve"> Briefly</w:t>
      </w:r>
      <w:r>
        <w:rPr>
          <w:lang w:eastAsia="en-GB"/>
        </w:rPr>
        <w:t>, keratinocytes were cultured on a feeder layer of irradiated mouse fibroblasts (i3T3) with media changes every 2</w:t>
      </w:r>
      <w:r>
        <w:rPr>
          <w:lang w:eastAsia="en-GB"/>
        </w:rPr>
        <w:noBreakHyphen/>
        <w:t>3 days</w:t>
      </w:r>
      <w:r w:rsidR="00B272D7">
        <w:rPr>
          <w:lang w:eastAsia="en-GB"/>
        </w:rPr>
        <w:t>,</w:t>
      </w:r>
      <w:r>
        <w:rPr>
          <w:lang w:eastAsia="en-GB"/>
        </w:rPr>
        <w:t xml:space="preserve"> or when the media appeared depleted. To passage, cells were treated with 0.02 % EDTA to remove the i3T3 feeder layer first, then treatment with </w:t>
      </w:r>
      <w:r w:rsidRPr="009B3518">
        <w:rPr>
          <w:lang w:eastAsia="en-GB"/>
        </w:rPr>
        <w:t>trypsin (0.02</w:t>
      </w:r>
      <w:r w:rsidR="00F41630">
        <w:rPr>
          <w:lang w:eastAsia="en-GB"/>
        </w:rPr>
        <w:t> </w:t>
      </w:r>
      <w:r w:rsidRPr="009B3518">
        <w:rPr>
          <w:lang w:eastAsia="en-GB"/>
        </w:rPr>
        <w:t>% EDTA</w:t>
      </w:r>
      <w:r>
        <w:rPr>
          <w:lang w:eastAsia="en-GB"/>
        </w:rPr>
        <w:t>) solution for 5 minutes at 37 </w:t>
      </w:r>
      <w:r>
        <w:rPr>
          <w:lang w:eastAsia="en-GB"/>
        </w:rPr>
        <w:sym w:font="Symbol" w:char="F0B0"/>
      </w:r>
      <w:r>
        <w:rPr>
          <w:lang w:eastAsia="en-GB"/>
        </w:rPr>
        <w:t>C, 5 % CO</w:t>
      </w:r>
      <w:r w:rsidRPr="001C734D">
        <w:rPr>
          <w:vertAlign w:val="subscript"/>
          <w:lang w:eastAsia="en-GB"/>
        </w:rPr>
        <w:t>2</w:t>
      </w:r>
      <w:r>
        <w:rPr>
          <w:lang w:eastAsia="en-GB"/>
        </w:rPr>
        <w:t xml:space="preserve"> removed the keratinocytes.</w:t>
      </w:r>
      <w:r w:rsidRPr="008D105E">
        <w:rPr>
          <w:lang w:eastAsia="en-GB"/>
        </w:rPr>
        <w:t xml:space="preserve"> </w:t>
      </w:r>
      <w:r>
        <w:rPr>
          <w:lang w:eastAsia="en-GB"/>
        </w:rPr>
        <w:t xml:space="preserve">Cell culture media containing serum was added to trypsin-treated cells (to prevent the trypsin </w:t>
      </w:r>
      <w:r w:rsidRPr="00A230F7">
        <w:rPr>
          <w:lang w:eastAsia="en-GB"/>
        </w:rPr>
        <w:t>continuing to work</w:t>
      </w:r>
      <w:r>
        <w:rPr>
          <w:lang w:eastAsia="en-GB"/>
        </w:rPr>
        <w:t xml:space="preserve">) and they were placed in a centrifuge tube and centrifuged </w:t>
      </w:r>
      <w:r w:rsidRPr="00427D37">
        <w:rPr>
          <w:color w:val="000000" w:themeColor="text1"/>
          <w:lang w:eastAsia="en-GB"/>
        </w:rPr>
        <w:t xml:space="preserve">at </w:t>
      </w:r>
      <w:r w:rsidR="008029E0" w:rsidRPr="00427D37">
        <w:rPr>
          <w:color w:val="000000" w:themeColor="text1"/>
          <w:lang w:eastAsia="en-GB"/>
        </w:rPr>
        <w:t>180</w:t>
      </w:r>
      <w:r w:rsidR="008029E0">
        <w:rPr>
          <w:color w:val="000000" w:themeColor="text1"/>
          <w:lang w:eastAsia="en-GB"/>
        </w:rPr>
        <w:t> </w:t>
      </w:r>
      <w:r w:rsidR="008029E0">
        <w:rPr>
          <w:color w:val="000000" w:themeColor="text1"/>
          <w:lang w:eastAsia="en-GB"/>
        </w:rPr>
        <w:sym w:font="Symbol" w:char="F0B4"/>
      </w:r>
      <w:r w:rsidR="008029E0">
        <w:rPr>
          <w:color w:val="000000" w:themeColor="text1"/>
          <w:lang w:eastAsia="en-GB"/>
        </w:rPr>
        <w:t> </w:t>
      </w:r>
      <w:r w:rsidR="008029E0" w:rsidRPr="00427D37">
        <w:rPr>
          <w:color w:val="000000" w:themeColor="text1"/>
          <w:lang w:eastAsia="en-GB"/>
        </w:rPr>
        <w:t>g</w:t>
      </w:r>
      <w:r w:rsidR="008029E0">
        <w:rPr>
          <w:color w:val="000000" w:themeColor="text1"/>
          <w:lang w:eastAsia="en-GB"/>
        </w:rPr>
        <w:t>/ </w:t>
      </w:r>
      <w:r w:rsidRPr="00427D37">
        <w:rPr>
          <w:color w:val="000000" w:themeColor="text1"/>
          <w:lang w:eastAsia="en-GB"/>
        </w:rPr>
        <w:t xml:space="preserve">1000 rpm </w:t>
      </w:r>
      <w:r w:rsidRPr="00D7482A">
        <w:rPr>
          <w:lang w:eastAsia="en-GB"/>
        </w:rPr>
        <w:t>for</w:t>
      </w:r>
      <w:r>
        <w:rPr>
          <w:lang w:eastAsia="en-GB"/>
        </w:rPr>
        <w:t xml:space="preserve"> 5 minutes. Keratinocytes were used up to passage 2.</w:t>
      </w:r>
    </w:p>
    <w:p w14:paraId="0F607929" w14:textId="77777777" w:rsidR="004673FB" w:rsidRPr="006F3215" w:rsidRDefault="004673FB" w:rsidP="003D132C">
      <w:pPr>
        <w:pStyle w:val="Heading3"/>
        <w:rPr>
          <w:rFonts w:eastAsia="Times New Roman"/>
          <w:lang w:eastAsia="en-GB"/>
        </w:rPr>
      </w:pPr>
      <w:bookmarkStart w:id="160" w:name="_Ref513980037"/>
      <w:bookmarkStart w:id="161" w:name="_Ref513980511"/>
      <w:bookmarkStart w:id="162" w:name="_Toc2451015"/>
      <w:r>
        <w:rPr>
          <w:rFonts w:eastAsia="Times New Roman"/>
          <w:lang w:eastAsia="en-GB"/>
        </w:rPr>
        <w:t xml:space="preserve">Isolation and </w:t>
      </w:r>
      <w:r w:rsidRPr="002810E8">
        <w:rPr>
          <w:rFonts w:eastAsia="Times New Roman"/>
          <w:lang w:eastAsia="en-GB"/>
        </w:rPr>
        <w:t>culture</w:t>
      </w:r>
      <w:r>
        <w:rPr>
          <w:rFonts w:eastAsia="Times New Roman"/>
          <w:lang w:eastAsia="en-GB"/>
        </w:rPr>
        <w:t xml:space="preserve"> of</w:t>
      </w:r>
      <w:r w:rsidRPr="00490A95">
        <w:rPr>
          <w:rFonts w:eastAsia="Times New Roman"/>
          <w:lang w:eastAsia="en-GB"/>
        </w:rPr>
        <w:t xml:space="preserve"> </w:t>
      </w:r>
      <w:r>
        <w:rPr>
          <w:rFonts w:eastAsia="Times New Roman"/>
          <w:lang w:eastAsia="en-GB"/>
        </w:rPr>
        <w:t>human dermal fi</w:t>
      </w:r>
      <w:r w:rsidRPr="002810E8">
        <w:rPr>
          <w:rFonts w:eastAsia="Times New Roman"/>
          <w:lang w:eastAsia="en-GB"/>
        </w:rPr>
        <w:t>broblast</w:t>
      </w:r>
      <w:r>
        <w:rPr>
          <w:rFonts w:eastAsia="Times New Roman"/>
          <w:lang w:eastAsia="en-GB"/>
        </w:rPr>
        <w:t>s</w:t>
      </w:r>
      <w:bookmarkEnd w:id="160"/>
      <w:bookmarkEnd w:id="161"/>
      <w:bookmarkEnd w:id="162"/>
    </w:p>
    <w:p w14:paraId="0314E5A7" w14:textId="7EDEA564" w:rsidR="004673FB" w:rsidRDefault="004673FB" w:rsidP="004673FB">
      <w:pPr>
        <w:rPr>
          <w:lang w:eastAsia="en-GB"/>
        </w:rPr>
      </w:pPr>
      <w:r>
        <w:rPr>
          <w:lang w:eastAsia="en-GB"/>
        </w:rPr>
        <w:t xml:space="preserve">Human dermal fibroblasts were isolated from the dermal connective tissue following keratinocyte isolation. Connective tissue was finely minced using scalpel blades and </w:t>
      </w:r>
      <w:r>
        <w:rPr>
          <w:lang w:eastAsia="en-GB"/>
        </w:rPr>
        <w:lastRenderedPageBreak/>
        <w:t xml:space="preserve">placed in 10 mL collagenase A (0.5 mg/mL) overnight at 37 </w:t>
      </w:r>
      <w:r>
        <w:rPr>
          <w:lang w:eastAsia="en-GB"/>
        </w:rPr>
        <w:sym w:font="Symbol" w:char="F0B0"/>
      </w:r>
      <w:r>
        <w:rPr>
          <w:lang w:eastAsia="en-GB"/>
        </w:rPr>
        <w:t>C, 5 % CO</w:t>
      </w:r>
      <w:r w:rsidRPr="001C734D">
        <w:rPr>
          <w:vertAlign w:val="subscript"/>
          <w:lang w:eastAsia="en-GB"/>
        </w:rPr>
        <w:t>2</w:t>
      </w:r>
      <w:r>
        <w:rPr>
          <w:lang w:eastAsia="en-GB"/>
        </w:rPr>
        <w:t xml:space="preserve">. Following collagenase A digestion, the suspension containing connective tissue and cells </w:t>
      </w:r>
      <w:r w:rsidRPr="00427D37">
        <w:rPr>
          <w:color w:val="000000" w:themeColor="text1"/>
          <w:lang w:eastAsia="en-GB"/>
        </w:rPr>
        <w:t xml:space="preserve">was </w:t>
      </w:r>
      <w:r w:rsidR="00B272D7">
        <w:rPr>
          <w:color w:val="000000" w:themeColor="text1"/>
          <w:lang w:eastAsia="en-GB"/>
        </w:rPr>
        <w:t>centrifuged at 725 </w:t>
      </w:r>
      <w:r w:rsidR="008029E0">
        <w:rPr>
          <w:color w:val="000000" w:themeColor="text1"/>
          <w:lang w:eastAsia="en-GB"/>
        </w:rPr>
        <w:sym w:font="Symbol" w:char="F0B4"/>
      </w:r>
      <w:r w:rsidR="008029E0">
        <w:rPr>
          <w:color w:val="000000" w:themeColor="text1"/>
          <w:lang w:eastAsia="en-GB"/>
        </w:rPr>
        <w:t xml:space="preserve"> </w:t>
      </w:r>
      <w:r w:rsidRPr="00427D37">
        <w:rPr>
          <w:color w:val="000000" w:themeColor="text1"/>
          <w:lang w:eastAsia="en-GB"/>
        </w:rPr>
        <w:t xml:space="preserve">g/ 2000 rpm for </w:t>
      </w:r>
      <w:r>
        <w:rPr>
          <w:lang w:eastAsia="en-GB"/>
        </w:rPr>
        <w:t>10 minutes. The pellet was resuspended in fibroblast growth media consisting of DMEM supplemented with 10 % (v/v) FCS, 100 IU/mL penicillin, 100 mg/mL streptomycin, 2 mM L</w:t>
      </w:r>
      <w:r>
        <w:rPr>
          <w:lang w:eastAsia="en-GB"/>
        </w:rPr>
        <w:noBreakHyphen/>
        <w:t xml:space="preserve">glutamine and 0.625 μg/ml amphotericin B. To passage, cells were treated with </w:t>
      </w:r>
      <w:r w:rsidRPr="009B3518">
        <w:rPr>
          <w:lang w:eastAsia="en-GB"/>
        </w:rPr>
        <w:t>trypsin (0.02</w:t>
      </w:r>
      <w:r>
        <w:rPr>
          <w:lang w:eastAsia="en-GB"/>
        </w:rPr>
        <w:t> </w:t>
      </w:r>
      <w:r w:rsidRPr="009B3518">
        <w:rPr>
          <w:lang w:eastAsia="en-GB"/>
        </w:rPr>
        <w:t>% EDTA</w:t>
      </w:r>
      <w:r>
        <w:rPr>
          <w:lang w:eastAsia="en-GB"/>
        </w:rPr>
        <w:t xml:space="preserve">) for 5 minutes at 37 </w:t>
      </w:r>
      <w:r>
        <w:rPr>
          <w:lang w:eastAsia="en-GB"/>
        </w:rPr>
        <w:sym w:font="Symbol" w:char="F0B0"/>
      </w:r>
      <w:r>
        <w:rPr>
          <w:lang w:eastAsia="en-GB"/>
        </w:rPr>
        <w:t>C, 5 % CO</w:t>
      </w:r>
      <w:r w:rsidRPr="001C734D">
        <w:rPr>
          <w:vertAlign w:val="subscript"/>
          <w:lang w:eastAsia="en-GB"/>
        </w:rPr>
        <w:t>2</w:t>
      </w:r>
      <w:r>
        <w:rPr>
          <w:lang w:eastAsia="en-GB"/>
        </w:rPr>
        <w:t xml:space="preserve">. Cell culture media was added to trypsin-treated cells, placed in a centrifuge tube and centrifuged </w:t>
      </w:r>
      <w:r w:rsidRPr="00427D37">
        <w:rPr>
          <w:color w:val="000000" w:themeColor="text1"/>
          <w:lang w:eastAsia="en-GB"/>
        </w:rPr>
        <w:t>at 180</w:t>
      </w:r>
      <w:r w:rsidR="008029E0">
        <w:rPr>
          <w:color w:val="000000" w:themeColor="text1"/>
          <w:lang w:eastAsia="en-GB"/>
        </w:rPr>
        <w:t> </w:t>
      </w:r>
      <w:r w:rsidR="00290362">
        <w:rPr>
          <w:color w:val="000000" w:themeColor="text1"/>
          <w:lang w:eastAsia="en-GB"/>
        </w:rPr>
        <w:sym w:font="Symbol" w:char="F0B4"/>
      </w:r>
      <w:r w:rsidR="008029E0">
        <w:rPr>
          <w:color w:val="000000" w:themeColor="text1"/>
          <w:lang w:eastAsia="en-GB"/>
        </w:rPr>
        <w:t> </w:t>
      </w:r>
      <w:r w:rsidRPr="00427D37">
        <w:rPr>
          <w:color w:val="000000" w:themeColor="text1"/>
          <w:lang w:eastAsia="en-GB"/>
        </w:rPr>
        <w:t xml:space="preserve">g/ 1000 rpm </w:t>
      </w:r>
      <w:r w:rsidRPr="00D7482A">
        <w:rPr>
          <w:lang w:eastAsia="en-GB"/>
        </w:rPr>
        <w:t>for</w:t>
      </w:r>
      <w:r>
        <w:rPr>
          <w:lang w:eastAsia="en-GB"/>
        </w:rPr>
        <w:t xml:space="preserve"> 5 minutes. Fibroblasts were used from passage 4 to 9. </w:t>
      </w:r>
    </w:p>
    <w:p w14:paraId="53BADD48" w14:textId="77777777" w:rsidR="004673FB" w:rsidRDefault="004673FB" w:rsidP="003D132C">
      <w:pPr>
        <w:pStyle w:val="Heading3"/>
        <w:rPr>
          <w:lang w:eastAsia="en-GB"/>
        </w:rPr>
      </w:pPr>
      <w:bookmarkStart w:id="163" w:name="_Toc2451016"/>
      <w:r>
        <w:rPr>
          <w:lang w:eastAsia="en-GB"/>
        </w:rPr>
        <w:t>Cell counting and viability assessment</w:t>
      </w:r>
      <w:bookmarkEnd w:id="163"/>
    </w:p>
    <w:p w14:paraId="42C7F40B" w14:textId="2FDDF8B0" w:rsidR="004673FB" w:rsidRPr="00DE7DCE" w:rsidRDefault="004673FB" w:rsidP="004673FB">
      <w:pPr>
        <w:rPr>
          <w:lang w:eastAsia="en-GB"/>
        </w:rPr>
      </w:pPr>
      <w:r>
        <w:rPr>
          <w:lang w:eastAsia="en-GB"/>
        </w:rPr>
        <w:t xml:space="preserve">Cells were removed from culture by treatment with </w:t>
      </w:r>
      <w:r w:rsidRPr="005848D3">
        <w:rPr>
          <w:lang w:eastAsia="en-GB"/>
        </w:rPr>
        <w:t>trypsin (0.02 % EDTA</w:t>
      </w:r>
      <w:r>
        <w:rPr>
          <w:lang w:eastAsia="en-GB"/>
        </w:rPr>
        <w:t>)</w:t>
      </w:r>
      <w:r w:rsidRPr="00B568EB">
        <w:rPr>
          <w:lang w:eastAsia="en-GB"/>
        </w:rPr>
        <w:t xml:space="preserve"> </w:t>
      </w:r>
      <w:r>
        <w:rPr>
          <w:lang w:eastAsia="en-GB"/>
        </w:rPr>
        <w:t xml:space="preserve">for 5 minutes at 37 </w:t>
      </w:r>
      <w:r>
        <w:rPr>
          <w:lang w:eastAsia="en-GB"/>
        </w:rPr>
        <w:sym w:font="Symbol" w:char="F0B0"/>
      </w:r>
      <w:r>
        <w:rPr>
          <w:lang w:eastAsia="en-GB"/>
        </w:rPr>
        <w:t>C, 5 % CO</w:t>
      </w:r>
      <w:r w:rsidRPr="001C734D">
        <w:rPr>
          <w:vertAlign w:val="subscript"/>
          <w:lang w:eastAsia="en-GB"/>
        </w:rPr>
        <w:t>2</w:t>
      </w:r>
      <w:r>
        <w:rPr>
          <w:lang w:eastAsia="en-GB"/>
        </w:rPr>
        <w:t xml:space="preserve">. Cell culture media was added to trypsin-treated cells, placed in a centrifuge tube and centrifuged </w:t>
      </w:r>
      <w:r w:rsidRPr="00427D37">
        <w:rPr>
          <w:color w:val="000000" w:themeColor="text1"/>
          <w:lang w:eastAsia="en-GB"/>
        </w:rPr>
        <w:t xml:space="preserve">at 180 g/ 1000 rpm </w:t>
      </w:r>
      <w:r w:rsidRPr="00D7482A">
        <w:rPr>
          <w:lang w:eastAsia="en-GB"/>
        </w:rPr>
        <w:t>for</w:t>
      </w:r>
      <w:r>
        <w:rPr>
          <w:lang w:eastAsia="en-GB"/>
        </w:rPr>
        <w:t xml:space="preserve"> 5 minutes. To count, the cell pellet was re</w:t>
      </w:r>
      <w:r>
        <w:rPr>
          <w:lang w:eastAsia="en-GB"/>
        </w:rPr>
        <w:noBreakHyphen/>
        <w:t>suspended in a known volume of appropriate cell culture media. An aliquot of the cell suspension was diluted 1:</w:t>
      </w:r>
      <w:r w:rsidR="00F41630">
        <w:rPr>
          <w:lang w:eastAsia="en-GB"/>
        </w:rPr>
        <w:t>1</w:t>
      </w:r>
      <w:r>
        <w:rPr>
          <w:lang w:eastAsia="en-GB"/>
        </w:rPr>
        <w:t xml:space="preserve"> with trypan blue, mixed and added to a haemocytometer. Viability was assessed using an OLYMPUS CK40 light microscope. </w:t>
      </w:r>
    </w:p>
    <w:p w14:paraId="0BEA0F29" w14:textId="4FF35895" w:rsidR="004673FB" w:rsidRDefault="004673FB" w:rsidP="003D132C">
      <w:pPr>
        <w:pStyle w:val="Heading3"/>
      </w:pPr>
      <w:bookmarkStart w:id="164" w:name="_Toc2451017"/>
      <w:r>
        <w:t xml:space="preserve">Screening conditions for </w:t>
      </w:r>
      <w:r w:rsidR="006D5170">
        <w:t>l</w:t>
      </w:r>
      <w:r>
        <w:t>ysyl oxidase-like 2 activity assay</w:t>
      </w:r>
      <w:bookmarkEnd w:id="164"/>
    </w:p>
    <w:p w14:paraId="2D543E1C" w14:textId="571DA77C" w:rsidR="004673FB" w:rsidRDefault="004673FB" w:rsidP="004673FB">
      <w:pPr>
        <w:rPr>
          <w:lang w:eastAsia="en-GB"/>
        </w:rPr>
      </w:pPr>
      <w:r>
        <w:rPr>
          <w:lang w:eastAsia="en-GB"/>
        </w:rPr>
        <w:t xml:space="preserve">A commercial lysyl oxidase (LOX) activity assay kit was obtained to determine enzyme activity of a commercial recombinant human lysyl oxidase-like 2 (LOXL2) standard. To determine an appropriate assay incubation time, recombinant human LOXL2 </w:t>
      </w:r>
      <w:r w:rsidRPr="00193D40">
        <w:rPr>
          <w:lang w:eastAsia="en-GB"/>
        </w:rPr>
        <w:t xml:space="preserve">was </w:t>
      </w:r>
      <w:r>
        <w:rPr>
          <w:lang w:eastAsia="en-GB"/>
        </w:rPr>
        <w:t xml:space="preserve">serially diluted 1 in 2 </w:t>
      </w:r>
      <w:r w:rsidRPr="003502FB">
        <w:rPr>
          <w:lang w:eastAsia="en-GB"/>
        </w:rPr>
        <w:t xml:space="preserve">in PBS </w:t>
      </w:r>
      <w:r>
        <w:rPr>
          <w:lang w:eastAsia="en-GB"/>
        </w:rPr>
        <w:t>containing 0.1 </w:t>
      </w:r>
      <w:r w:rsidRPr="003502FB">
        <w:rPr>
          <w:lang w:eastAsia="en-GB"/>
        </w:rPr>
        <w:t xml:space="preserve">% </w:t>
      </w:r>
      <w:r>
        <w:rPr>
          <w:lang w:eastAsia="en-GB"/>
        </w:rPr>
        <w:t>bovine serum albumin (</w:t>
      </w:r>
      <w:r w:rsidRPr="003502FB">
        <w:rPr>
          <w:lang w:eastAsia="en-GB"/>
        </w:rPr>
        <w:t>BSA</w:t>
      </w:r>
      <w:r>
        <w:rPr>
          <w:lang w:eastAsia="en-GB"/>
        </w:rPr>
        <w:t>)</w:t>
      </w:r>
      <w:r w:rsidRPr="003502FB">
        <w:rPr>
          <w:lang w:eastAsia="en-GB"/>
        </w:rPr>
        <w:t xml:space="preserve"> to obta</w:t>
      </w:r>
      <w:r>
        <w:rPr>
          <w:lang w:eastAsia="en-GB"/>
        </w:rPr>
        <w:t xml:space="preserve">in concentrations from </w:t>
      </w:r>
      <w:r w:rsidRPr="00DC4845">
        <w:rPr>
          <w:lang w:eastAsia="en-GB"/>
        </w:rPr>
        <w:t>0.125</w:t>
      </w:r>
      <w:r>
        <w:rPr>
          <w:lang w:eastAsia="en-GB"/>
        </w:rPr>
        <w:t xml:space="preserve"> to 4.0 </w:t>
      </w:r>
      <w:r w:rsidRPr="00DC4845">
        <w:rPr>
          <w:lang w:eastAsia="en-GB"/>
        </w:rPr>
        <w:t>µg/mL.</w:t>
      </w:r>
      <w:r>
        <w:rPr>
          <w:lang w:eastAsia="en-GB"/>
        </w:rPr>
        <w:t xml:space="preserve"> 25 µL of each concentration was added to a black-walled, clear bottom 96-well cell culture plate in duplicate. Assay reaction buffer was prepared according to the</w:t>
      </w:r>
      <w:r w:rsidR="00E71989">
        <w:rPr>
          <w:lang w:eastAsia="en-GB"/>
        </w:rPr>
        <w:t xml:space="preserve"> manufacturer’s protocol and 25 </w:t>
      </w:r>
      <w:r>
        <w:rPr>
          <w:lang w:eastAsia="en-GB"/>
        </w:rPr>
        <w:t xml:space="preserve">µL was added to each sample well. The plate was incubated at 37 </w:t>
      </w:r>
      <w:r>
        <w:rPr>
          <w:lang w:eastAsia="en-GB"/>
        </w:rPr>
        <w:sym w:font="Symbol" w:char="F0B0"/>
      </w:r>
      <w:r>
        <w:rPr>
          <w:lang w:eastAsia="en-GB"/>
        </w:rPr>
        <w:t>C, 5 % CO</w:t>
      </w:r>
      <w:r w:rsidRPr="001C734D">
        <w:rPr>
          <w:vertAlign w:val="subscript"/>
          <w:lang w:eastAsia="en-GB"/>
        </w:rPr>
        <w:t>2</w:t>
      </w:r>
      <w:r>
        <w:rPr>
          <w:lang w:eastAsia="en-GB"/>
        </w:rPr>
        <w:t xml:space="preserve"> for 20 minutes then fluorescence was read at excitation 540 nm, emission 590 nm using a BMG LABTECH POLARstar OMEGA plate reader. The plate was allowed to incubate for a further 10 minutes and the fluorescence was read again using the same protocol.  </w:t>
      </w:r>
    </w:p>
    <w:p w14:paraId="13DF8414" w14:textId="63066BCE" w:rsidR="004673FB" w:rsidRPr="00C83D5B" w:rsidRDefault="004673FB" w:rsidP="004673FB">
      <w:pPr>
        <w:rPr>
          <w:lang w:eastAsia="en-GB"/>
        </w:rPr>
      </w:pPr>
      <w:r>
        <w:rPr>
          <w:lang w:eastAsia="en-GB"/>
        </w:rPr>
        <w:t xml:space="preserve">To determine the appropriate concentration of LOXL2 to be used in test wells, </w:t>
      </w:r>
      <w:r w:rsidR="00F41630">
        <w:rPr>
          <w:lang w:eastAsia="en-GB"/>
        </w:rPr>
        <w:t>solutions of</w:t>
      </w:r>
      <w:r>
        <w:rPr>
          <w:lang w:eastAsia="en-GB"/>
        </w:rPr>
        <w:t xml:space="preserve"> LOXL2 from 0.125 to 4 µg/mL</w:t>
      </w:r>
      <w:r w:rsidRPr="00193D40">
        <w:rPr>
          <w:lang w:eastAsia="en-GB"/>
        </w:rPr>
        <w:t xml:space="preserve"> w</w:t>
      </w:r>
      <w:r w:rsidR="00F41630">
        <w:rPr>
          <w:lang w:eastAsia="en-GB"/>
        </w:rPr>
        <w:t>ere</w:t>
      </w:r>
      <w:r>
        <w:rPr>
          <w:lang w:eastAsia="en-GB"/>
        </w:rPr>
        <w:t xml:space="preserve"> prepared in PBS (0.1</w:t>
      </w:r>
      <w:r w:rsidR="00E71989">
        <w:rPr>
          <w:lang w:eastAsia="en-GB"/>
        </w:rPr>
        <w:t> </w:t>
      </w:r>
      <w:r>
        <w:rPr>
          <w:lang w:eastAsia="en-GB"/>
        </w:rPr>
        <w:t xml:space="preserve">% BSA). </w:t>
      </w:r>
      <w:r>
        <w:rPr>
          <w:lang w:eastAsia="en-GB"/>
        </w:rPr>
        <w:lastRenderedPageBreak/>
        <w:t xml:space="preserve">25 µL of each concentration was added to a black-walled, clear bottom 96 well cell culture plate. </w:t>
      </w:r>
      <w:r w:rsidR="00F41630">
        <w:rPr>
          <w:lang w:eastAsia="en-GB"/>
        </w:rPr>
        <w:t xml:space="preserve">A standard curve was prepared from the data of these solutions. </w:t>
      </w:r>
      <w:r>
        <w:rPr>
          <w:lang w:eastAsia="en-GB"/>
        </w:rPr>
        <w:t>Concentrations of 0.1, 1, 10 and 100 µM β</w:t>
      </w:r>
      <w:r>
        <w:rPr>
          <w:lang w:eastAsia="en-GB"/>
        </w:rPr>
        <w:noBreakHyphen/>
        <w:t xml:space="preserve">APN were prepared in PBS and 25 µL of each was added to the plate according to the plate </w:t>
      </w:r>
      <w:r w:rsidR="000E1F37">
        <w:rPr>
          <w:lang w:eastAsia="en-GB"/>
        </w:rPr>
        <w:t>map in Appendix 2</w:t>
      </w:r>
      <w:r w:rsidR="00E71989">
        <w:rPr>
          <w:lang w:eastAsia="en-GB"/>
        </w:rPr>
        <w:t xml:space="preserve">.1 (reflecting final plate concentrations). </w:t>
      </w:r>
      <w:r w:rsidR="00F41630">
        <w:rPr>
          <w:lang w:eastAsia="en-GB"/>
        </w:rPr>
        <w:t xml:space="preserve">The plate was incubated for 1 h at 37 </w:t>
      </w:r>
      <w:r w:rsidR="00F41630">
        <w:rPr>
          <w:lang w:eastAsia="en-GB"/>
        </w:rPr>
        <w:sym w:font="Symbol" w:char="F0B0"/>
      </w:r>
      <w:r w:rsidR="00F41630">
        <w:rPr>
          <w:lang w:eastAsia="en-GB"/>
        </w:rPr>
        <w:t>C, 5 % CO</w:t>
      </w:r>
      <w:r w:rsidR="00F41630" w:rsidRPr="001C734D">
        <w:rPr>
          <w:vertAlign w:val="subscript"/>
          <w:lang w:eastAsia="en-GB"/>
        </w:rPr>
        <w:t>2</w:t>
      </w:r>
      <w:r w:rsidR="00F41630">
        <w:rPr>
          <w:lang w:eastAsia="en-GB"/>
        </w:rPr>
        <w:t xml:space="preserve">. </w:t>
      </w:r>
      <w:r w:rsidR="00F41630" w:rsidRPr="00193D40">
        <w:rPr>
          <w:lang w:eastAsia="en-GB"/>
        </w:rPr>
        <w:t xml:space="preserve">Assay kit reaction mixture was prepared according the manufacturer's protocol. After 1 </w:t>
      </w:r>
      <w:r w:rsidR="00F41630">
        <w:rPr>
          <w:lang w:eastAsia="en-GB"/>
        </w:rPr>
        <w:t>h, 25 </w:t>
      </w:r>
      <w:r w:rsidR="00F41630" w:rsidRPr="00677AE0">
        <w:rPr>
          <w:lang w:eastAsia="en-GB"/>
        </w:rPr>
        <w:t>µ</w:t>
      </w:r>
      <w:r w:rsidR="00F41630">
        <w:rPr>
          <w:lang w:eastAsia="en-GB"/>
        </w:rPr>
        <w:t xml:space="preserve">L </w:t>
      </w:r>
      <w:r w:rsidR="00F41630" w:rsidRPr="00193D40">
        <w:rPr>
          <w:lang w:eastAsia="en-GB"/>
        </w:rPr>
        <w:t>assay reaction mixture was added to each well and the plate was incubated for a further 20 minutes</w:t>
      </w:r>
      <w:r w:rsidR="00F41630">
        <w:rPr>
          <w:lang w:eastAsia="en-GB"/>
        </w:rPr>
        <w:t xml:space="preserve">, </w:t>
      </w:r>
      <w:r w:rsidR="00E71989">
        <w:rPr>
          <w:lang w:eastAsia="en-GB"/>
        </w:rPr>
        <w:t>then fluorescence was read at excitation 540 nm, emission 590 nm using a BMG LABTECH POLARstar OMEGA plate reader.</w:t>
      </w:r>
    </w:p>
    <w:p w14:paraId="00DAA6D2" w14:textId="4CC6AEDB" w:rsidR="004673FB" w:rsidRPr="00C83D5B" w:rsidRDefault="004673FB" w:rsidP="003D132C">
      <w:pPr>
        <w:pStyle w:val="Heading3"/>
      </w:pPr>
      <w:bookmarkStart w:id="165" w:name="_Toc2451018"/>
      <w:r>
        <w:t>A</w:t>
      </w:r>
      <w:r w:rsidRPr="00C83D5B">
        <w:t xml:space="preserve">bility of synthesised prodrugs to inhibit </w:t>
      </w:r>
      <w:r w:rsidR="00C955BA">
        <w:t>lysyl oxidase-like 2</w:t>
      </w:r>
      <w:r>
        <w:t xml:space="preserve"> activity</w:t>
      </w:r>
      <w:bookmarkEnd w:id="165"/>
    </w:p>
    <w:p w14:paraId="7AA427F1" w14:textId="3461F54D" w:rsidR="004673FB" w:rsidRPr="003B5579" w:rsidRDefault="00F41630" w:rsidP="004673FB">
      <w:pPr>
        <w:rPr>
          <w:lang w:eastAsia="en-GB"/>
        </w:rPr>
      </w:pPr>
      <w:r>
        <w:rPr>
          <w:lang w:eastAsia="en-GB"/>
        </w:rPr>
        <w:t xml:space="preserve">Solutions </w:t>
      </w:r>
      <w:r w:rsidR="004673FB">
        <w:rPr>
          <w:lang w:eastAsia="en-GB"/>
        </w:rPr>
        <w:t>of</w:t>
      </w:r>
      <w:r>
        <w:rPr>
          <w:lang w:eastAsia="en-GB"/>
        </w:rPr>
        <w:t xml:space="preserve"> </w:t>
      </w:r>
      <w:r w:rsidR="004673FB">
        <w:rPr>
          <w:lang w:eastAsia="en-GB"/>
        </w:rPr>
        <w:t>LOXL2 from 0.25 to 8.0 µg/mL</w:t>
      </w:r>
      <w:r w:rsidR="004673FB" w:rsidRPr="00193D40">
        <w:rPr>
          <w:lang w:eastAsia="en-GB"/>
        </w:rPr>
        <w:t xml:space="preserve"> w</w:t>
      </w:r>
      <w:r>
        <w:rPr>
          <w:lang w:eastAsia="en-GB"/>
        </w:rPr>
        <w:t>ere</w:t>
      </w:r>
      <w:r w:rsidR="004673FB">
        <w:rPr>
          <w:lang w:eastAsia="en-GB"/>
        </w:rPr>
        <w:t xml:space="preserve"> prepared in PBS (0.1</w:t>
      </w:r>
      <w:r w:rsidR="00B272D7">
        <w:rPr>
          <w:lang w:eastAsia="en-GB"/>
        </w:rPr>
        <w:t> </w:t>
      </w:r>
      <w:r w:rsidR="004673FB">
        <w:rPr>
          <w:lang w:eastAsia="en-GB"/>
        </w:rPr>
        <w:t>% BSA). 25 µL of each concentration was added to a black-walled, clear bottom 96 well cell culture plate in duplicate (final plate concentration</w:t>
      </w:r>
      <w:r w:rsidR="00E71989">
        <w:rPr>
          <w:lang w:eastAsia="en-GB"/>
        </w:rPr>
        <w:t>s of 0.125 to 4.0 µg/mL)</w:t>
      </w:r>
      <w:r>
        <w:rPr>
          <w:lang w:eastAsia="en-GB"/>
        </w:rPr>
        <w:t>. A standard curve was prepared from the data of these solutions</w:t>
      </w:r>
      <w:r w:rsidR="00E71989">
        <w:rPr>
          <w:lang w:eastAsia="en-GB"/>
        </w:rPr>
        <w:t>. A 4.0 </w:t>
      </w:r>
      <w:r w:rsidR="004673FB">
        <w:rPr>
          <w:lang w:eastAsia="en-GB"/>
        </w:rPr>
        <w:t xml:space="preserve">µg/mL solution </w:t>
      </w:r>
      <w:r w:rsidR="004673FB" w:rsidRPr="00193D40">
        <w:rPr>
          <w:lang w:eastAsia="en-GB"/>
        </w:rPr>
        <w:t>of LOX</w:t>
      </w:r>
      <w:r w:rsidR="004673FB">
        <w:rPr>
          <w:lang w:eastAsia="en-GB"/>
        </w:rPr>
        <w:t>L2</w:t>
      </w:r>
      <w:r w:rsidR="004673FB" w:rsidRPr="00193D40">
        <w:rPr>
          <w:lang w:eastAsia="en-GB"/>
        </w:rPr>
        <w:t xml:space="preserve"> was prepared in PBS (0.1</w:t>
      </w:r>
      <w:r w:rsidR="00B272D7">
        <w:rPr>
          <w:lang w:eastAsia="en-GB"/>
        </w:rPr>
        <w:t> </w:t>
      </w:r>
      <w:r w:rsidR="004673FB" w:rsidRPr="00193D40">
        <w:rPr>
          <w:lang w:eastAsia="en-GB"/>
        </w:rPr>
        <w:t xml:space="preserve">% BSA) and </w:t>
      </w:r>
      <w:r w:rsidR="004673FB">
        <w:rPr>
          <w:lang w:eastAsia="en-GB"/>
        </w:rPr>
        <w:t xml:space="preserve">25 µL was </w:t>
      </w:r>
      <w:r w:rsidR="004673FB" w:rsidRPr="00193D40">
        <w:rPr>
          <w:lang w:eastAsia="en-GB"/>
        </w:rPr>
        <w:t>added to all</w:t>
      </w:r>
      <w:r w:rsidR="004673FB">
        <w:rPr>
          <w:lang w:eastAsia="en-GB"/>
        </w:rPr>
        <w:t xml:space="preserve"> test</w:t>
      </w:r>
      <w:r w:rsidR="004673FB" w:rsidRPr="00193D40">
        <w:rPr>
          <w:lang w:eastAsia="en-GB"/>
        </w:rPr>
        <w:t xml:space="preserve"> wells</w:t>
      </w:r>
      <w:r w:rsidR="004673FB">
        <w:rPr>
          <w:lang w:eastAsia="en-GB"/>
        </w:rPr>
        <w:t xml:space="preserve"> (final plate concentration 2.0 µg/mL)</w:t>
      </w:r>
      <w:r w:rsidR="004673FB" w:rsidRPr="00193D40">
        <w:rPr>
          <w:lang w:eastAsia="en-GB"/>
        </w:rPr>
        <w:t>.</w:t>
      </w:r>
      <w:r w:rsidR="004673FB">
        <w:rPr>
          <w:lang w:eastAsia="en-GB"/>
        </w:rPr>
        <w:t xml:space="preserve"> Solutions of β-APN and synthesised prodrugs were prepared by serial dilution to produce concentrations of 0.02 to 200 µM (final plate concentrations 0.01 to 100 </w:t>
      </w:r>
      <w:r w:rsidR="004673FB" w:rsidRPr="00193D40">
        <w:rPr>
          <w:lang w:eastAsia="en-GB"/>
        </w:rPr>
        <w:t>µM</w:t>
      </w:r>
      <w:r w:rsidR="004673FB">
        <w:rPr>
          <w:lang w:eastAsia="en-GB"/>
        </w:rPr>
        <w:t>) in PBS (</w:t>
      </w:r>
      <w:r w:rsidR="004673FB" w:rsidRPr="00193D40">
        <w:rPr>
          <w:lang w:eastAsia="en-GB"/>
        </w:rPr>
        <w:t>0.5</w:t>
      </w:r>
      <w:r w:rsidR="004673FB">
        <w:rPr>
          <w:lang w:eastAsia="en-GB"/>
        </w:rPr>
        <w:t> </w:t>
      </w:r>
      <w:r w:rsidR="004673FB" w:rsidRPr="00193D40">
        <w:rPr>
          <w:lang w:eastAsia="en-GB"/>
        </w:rPr>
        <w:t>% DMSO</w:t>
      </w:r>
      <w:r w:rsidR="009F15DC">
        <w:rPr>
          <w:lang w:eastAsia="en-GB"/>
        </w:rPr>
        <w:t>)</w:t>
      </w:r>
      <w:r w:rsidR="004673FB">
        <w:rPr>
          <w:lang w:eastAsia="en-GB"/>
        </w:rPr>
        <w:t xml:space="preserve"> and added to test wells containing LOXL2. </w:t>
      </w:r>
      <w:r w:rsidR="004673FB" w:rsidRPr="00EA4B76">
        <w:rPr>
          <w:lang w:eastAsia="en-GB"/>
        </w:rPr>
        <w:t xml:space="preserve">See </w:t>
      </w:r>
      <w:r w:rsidR="000E1F37">
        <w:rPr>
          <w:lang w:eastAsia="en-GB"/>
        </w:rPr>
        <w:t>Appendix 2.2</w:t>
      </w:r>
      <w:r w:rsidR="004673FB" w:rsidRPr="00EA4B76">
        <w:rPr>
          <w:lang w:eastAsia="en-GB"/>
        </w:rPr>
        <w:t xml:space="preserve"> for plate map</w:t>
      </w:r>
      <w:r w:rsidR="00E71989">
        <w:rPr>
          <w:lang w:eastAsia="en-GB"/>
        </w:rPr>
        <w:t xml:space="preserve"> (reflecting final plate concentrations).</w:t>
      </w:r>
      <w:r w:rsidR="003B5579">
        <w:rPr>
          <w:lang w:eastAsia="en-GB"/>
        </w:rPr>
        <w:t xml:space="preserve"> </w:t>
      </w:r>
      <w:r w:rsidR="004673FB">
        <w:rPr>
          <w:lang w:eastAsia="en-GB"/>
        </w:rPr>
        <w:t>The plate was</w:t>
      </w:r>
      <w:r w:rsidR="004673FB" w:rsidRPr="00193D40">
        <w:rPr>
          <w:lang w:eastAsia="en-GB"/>
        </w:rPr>
        <w:t xml:space="preserve"> incubated for 1 h at 37</w:t>
      </w:r>
      <w:r w:rsidR="004673FB">
        <w:rPr>
          <w:lang w:eastAsia="en-GB"/>
        </w:rPr>
        <w:t xml:space="preserve"> </w:t>
      </w:r>
      <w:r w:rsidR="004673FB" w:rsidRPr="00193D40">
        <w:rPr>
          <w:lang w:eastAsia="en-GB"/>
        </w:rPr>
        <w:t>°C, 5 % CO</w:t>
      </w:r>
      <w:r w:rsidR="004673FB" w:rsidRPr="00780D93">
        <w:rPr>
          <w:vertAlign w:val="subscript"/>
          <w:lang w:eastAsia="en-GB"/>
        </w:rPr>
        <w:t>2</w:t>
      </w:r>
      <w:r w:rsidR="004673FB" w:rsidRPr="00193D40">
        <w:rPr>
          <w:lang w:eastAsia="en-GB"/>
        </w:rPr>
        <w:t xml:space="preserve">. Assay kit reaction mixture was prepared according the manufacturer's protocol. After 1 </w:t>
      </w:r>
      <w:r w:rsidR="004673FB">
        <w:rPr>
          <w:lang w:eastAsia="en-GB"/>
        </w:rPr>
        <w:t xml:space="preserve">h, 25 </w:t>
      </w:r>
      <w:r w:rsidR="004673FB" w:rsidRPr="00677AE0">
        <w:rPr>
          <w:lang w:eastAsia="en-GB"/>
        </w:rPr>
        <w:t>µ</w:t>
      </w:r>
      <w:r w:rsidR="004673FB">
        <w:rPr>
          <w:lang w:eastAsia="en-GB"/>
        </w:rPr>
        <w:t xml:space="preserve">L </w:t>
      </w:r>
      <w:r w:rsidR="004673FB" w:rsidRPr="00193D40">
        <w:rPr>
          <w:lang w:eastAsia="en-GB"/>
        </w:rPr>
        <w:t>assay reaction mixture was added to each well and the plate was incubated for a further 20 minutes</w:t>
      </w:r>
      <w:r w:rsidR="003B5579" w:rsidRPr="003B5579">
        <w:rPr>
          <w:lang w:eastAsia="en-GB"/>
        </w:rPr>
        <w:t xml:space="preserve"> </w:t>
      </w:r>
      <w:r w:rsidR="003B5579" w:rsidRPr="00193D40">
        <w:rPr>
          <w:lang w:eastAsia="en-GB"/>
        </w:rPr>
        <w:t>at 37</w:t>
      </w:r>
      <w:r w:rsidR="003B5579">
        <w:rPr>
          <w:lang w:eastAsia="en-GB"/>
        </w:rPr>
        <w:t xml:space="preserve"> </w:t>
      </w:r>
      <w:r w:rsidR="003B5579" w:rsidRPr="00193D40">
        <w:rPr>
          <w:lang w:eastAsia="en-GB"/>
        </w:rPr>
        <w:t>°C, 5 % CO</w:t>
      </w:r>
      <w:r w:rsidR="003B5579" w:rsidRPr="00780D93">
        <w:rPr>
          <w:vertAlign w:val="subscript"/>
          <w:lang w:eastAsia="en-GB"/>
        </w:rPr>
        <w:t>2</w:t>
      </w:r>
      <w:r w:rsidR="004673FB" w:rsidRPr="00193D40">
        <w:rPr>
          <w:lang w:eastAsia="en-GB"/>
        </w:rPr>
        <w:t xml:space="preserve">. Fluorescence was detected using </w:t>
      </w:r>
      <w:r w:rsidR="004673FB">
        <w:rPr>
          <w:lang w:eastAsia="en-GB"/>
        </w:rPr>
        <w:t>a BMG LABTECH POLARstar OMEGA plate reader</w:t>
      </w:r>
      <w:r w:rsidR="004673FB" w:rsidRPr="00193D40">
        <w:rPr>
          <w:lang w:eastAsia="en-GB"/>
        </w:rPr>
        <w:t xml:space="preserve"> at </w:t>
      </w:r>
      <w:r w:rsidR="004673FB">
        <w:rPr>
          <w:lang w:eastAsia="en-GB"/>
        </w:rPr>
        <w:t>excitation 540 nm, emission 590 </w:t>
      </w:r>
      <w:r w:rsidR="004673FB" w:rsidRPr="00193D40">
        <w:rPr>
          <w:lang w:eastAsia="en-GB"/>
        </w:rPr>
        <w:t>nm.</w:t>
      </w:r>
      <w:r w:rsidR="004673FB" w:rsidRPr="00724311">
        <w:rPr>
          <w:color w:val="FF0000"/>
          <w:lang w:eastAsia="en-GB"/>
        </w:rPr>
        <w:t xml:space="preserve"> </w:t>
      </w:r>
      <w:r w:rsidR="004673FB" w:rsidRPr="00724311">
        <w:rPr>
          <w:color w:val="000000" w:themeColor="text1"/>
          <w:lang w:eastAsia="en-GB"/>
        </w:rPr>
        <w:t>Relative enzyme activity was calculated by interpolating values from the LOXL2 standard curve</w:t>
      </w:r>
      <w:r w:rsidR="003B5579">
        <w:rPr>
          <w:color w:val="000000" w:themeColor="text1"/>
          <w:lang w:eastAsia="en-GB"/>
        </w:rPr>
        <w:t xml:space="preserve"> and</w:t>
      </w:r>
      <w:r w:rsidR="004673FB">
        <w:rPr>
          <w:color w:val="000000" w:themeColor="text1"/>
          <w:lang w:eastAsia="en-GB"/>
        </w:rPr>
        <w:t xml:space="preserve"> expressed </w:t>
      </w:r>
      <w:r w:rsidR="00B3080F">
        <w:rPr>
          <w:color w:val="000000" w:themeColor="text1"/>
          <w:lang w:eastAsia="en-GB"/>
        </w:rPr>
        <w:t>as</w:t>
      </w:r>
      <w:r w:rsidR="00D801AD">
        <w:rPr>
          <w:color w:val="000000" w:themeColor="text1"/>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676"/>
      </w:tblGrid>
      <w:tr w:rsidR="004673FB" w14:paraId="7A1D81D9" w14:textId="77777777" w:rsidTr="00E95045">
        <w:trPr>
          <w:trHeight w:val="1304"/>
        </w:trPr>
        <w:tc>
          <w:tcPr>
            <w:tcW w:w="7508" w:type="dxa"/>
          </w:tcPr>
          <w:p w14:paraId="069D48FB" w14:textId="77777777" w:rsidR="004673FB" w:rsidRPr="0045399F" w:rsidRDefault="004673FB" w:rsidP="00E95045">
            <w:pPr>
              <w:jc w:val="center"/>
              <w:rPr>
                <w:color w:val="000000" w:themeColor="text1"/>
                <w:sz w:val="10"/>
                <w:szCs w:val="10"/>
                <w:lang w:eastAsia="en-GB"/>
              </w:rPr>
            </w:pPr>
          </w:p>
          <w:p w14:paraId="5B05858C" w14:textId="77777777" w:rsidR="004673FB" w:rsidRDefault="004673FB" w:rsidP="00E95045">
            <w:pPr>
              <w:jc w:val="center"/>
              <w:rPr>
                <w:color w:val="000000" w:themeColor="text1"/>
                <w:lang w:eastAsia="en-GB"/>
              </w:rPr>
            </w:pPr>
            <m:oMathPara>
              <m:oMath>
                <m:r>
                  <m:rPr>
                    <m:sty m:val="p"/>
                  </m:rPr>
                  <w:rPr>
                    <w:rFonts w:ascii="Cambria Math" w:hAnsi="Cambria Math"/>
                    <w:color w:val="000000" w:themeColor="text1"/>
                    <w:lang w:eastAsia="en-GB"/>
                  </w:rPr>
                  <m:t xml:space="preserve">Activity </m:t>
                </m:r>
                <m:d>
                  <m:dPr>
                    <m:ctrlPr>
                      <w:rPr>
                        <w:rFonts w:ascii="Cambria Math" w:hAnsi="Cambria Math"/>
                        <w:color w:val="000000" w:themeColor="text1"/>
                        <w:lang w:eastAsia="en-GB"/>
                      </w:rPr>
                    </m:ctrlPr>
                  </m:dPr>
                  <m:e>
                    <m:r>
                      <m:rPr>
                        <m:sty m:val="p"/>
                      </m:rPr>
                      <w:rPr>
                        <w:rFonts w:ascii="Cambria Math" w:hAnsi="Cambria Math"/>
                        <w:color w:val="000000" w:themeColor="text1"/>
                        <w:lang w:eastAsia="en-GB"/>
                      </w:rPr>
                      <m:t>%</m:t>
                    </m:r>
                  </m:e>
                </m:d>
                <m:r>
                  <w:rPr>
                    <w:rFonts w:ascii="Cambria Math" w:hAnsi="Cambria Math"/>
                    <w:color w:val="000000" w:themeColor="text1"/>
                    <w:lang w:eastAsia="en-GB"/>
                  </w:rPr>
                  <m:t>=</m:t>
                </m:r>
                <m:d>
                  <m:dPr>
                    <m:ctrlPr>
                      <w:rPr>
                        <w:rFonts w:ascii="Cambria Math" w:hAnsi="Cambria Math"/>
                        <w:i/>
                        <w:color w:val="000000" w:themeColor="text1"/>
                        <w:lang w:eastAsia="en-GB"/>
                      </w:rPr>
                    </m:ctrlPr>
                  </m:dPr>
                  <m:e>
                    <m:f>
                      <m:fPr>
                        <m:ctrlPr>
                          <w:rPr>
                            <w:rFonts w:ascii="Cambria Math" w:hAnsi="Cambria Math"/>
                            <w:color w:val="000000" w:themeColor="text1"/>
                            <w:lang w:eastAsia="en-GB"/>
                          </w:rPr>
                        </m:ctrlPr>
                      </m:fPr>
                      <m:num>
                        <m:sSub>
                          <m:sSubPr>
                            <m:ctrlPr>
                              <w:rPr>
                                <w:rFonts w:ascii="Cambria Math" w:hAnsi="Cambria Math"/>
                                <w:i/>
                                <w:color w:val="000000" w:themeColor="text1"/>
                                <w:lang w:eastAsia="en-GB"/>
                              </w:rPr>
                            </m:ctrlPr>
                          </m:sSubPr>
                          <m:e>
                            <m:r>
                              <w:rPr>
                                <w:rFonts w:ascii="Cambria Math" w:hAnsi="Cambria Math"/>
                                <w:color w:val="000000" w:themeColor="text1"/>
                                <w:lang w:eastAsia="en-GB"/>
                              </w:rPr>
                              <m:t>Activity</m:t>
                            </m:r>
                          </m:e>
                          <m:sub>
                            <m:r>
                              <w:rPr>
                                <w:rFonts w:ascii="Cambria Math" w:hAnsi="Cambria Math"/>
                                <w:color w:val="000000" w:themeColor="text1"/>
                                <w:lang w:eastAsia="en-GB"/>
                              </w:rPr>
                              <m:t>exp</m:t>
                            </m:r>
                          </m:sub>
                        </m:sSub>
                        <m:r>
                          <w:rPr>
                            <w:rFonts w:ascii="Cambria Math" w:hAnsi="Cambria Math"/>
                            <w:color w:val="000000" w:themeColor="text1"/>
                            <w:lang w:eastAsia="en-GB"/>
                          </w:rPr>
                          <m:t xml:space="preserve">- </m:t>
                        </m:r>
                        <m:sSub>
                          <m:sSubPr>
                            <m:ctrlPr>
                              <w:rPr>
                                <w:rFonts w:ascii="Cambria Math" w:hAnsi="Cambria Math"/>
                                <w:i/>
                                <w:color w:val="000000" w:themeColor="text1"/>
                                <w:lang w:eastAsia="en-GB"/>
                              </w:rPr>
                            </m:ctrlPr>
                          </m:sSubPr>
                          <m:e>
                            <m:r>
                              <w:rPr>
                                <w:rFonts w:ascii="Cambria Math" w:hAnsi="Cambria Math"/>
                                <w:color w:val="000000" w:themeColor="text1"/>
                                <w:lang w:eastAsia="en-GB"/>
                              </w:rPr>
                              <m:t>Activity</m:t>
                            </m:r>
                          </m:e>
                          <m:sub>
                            <m:r>
                              <w:rPr>
                                <w:rFonts w:ascii="Cambria Math" w:hAnsi="Cambria Math"/>
                                <w:color w:val="000000" w:themeColor="text1"/>
                                <w:lang w:eastAsia="en-GB"/>
                              </w:rPr>
                              <m:t>min</m:t>
                            </m:r>
                          </m:sub>
                        </m:sSub>
                      </m:num>
                      <m:den>
                        <m:sSub>
                          <m:sSubPr>
                            <m:ctrlPr>
                              <w:rPr>
                                <w:rFonts w:ascii="Cambria Math" w:hAnsi="Cambria Math"/>
                                <w:i/>
                                <w:color w:val="000000" w:themeColor="text1"/>
                                <w:lang w:eastAsia="en-GB"/>
                              </w:rPr>
                            </m:ctrlPr>
                          </m:sSubPr>
                          <m:e>
                            <m:r>
                              <w:rPr>
                                <w:rFonts w:ascii="Cambria Math" w:hAnsi="Cambria Math"/>
                                <w:color w:val="000000" w:themeColor="text1"/>
                                <w:lang w:eastAsia="en-GB"/>
                              </w:rPr>
                              <m:t>Activity</m:t>
                            </m:r>
                          </m:e>
                          <m:sub>
                            <m:r>
                              <w:rPr>
                                <w:rFonts w:ascii="Cambria Math" w:hAnsi="Cambria Math"/>
                                <w:color w:val="000000" w:themeColor="text1"/>
                                <w:lang w:eastAsia="en-GB"/>
                              </w:rPr>
                              <m:t>window</m:t>
                            </m:r>
                          </m:sub>
                        </m:sSub>
                      </m:den>
                    </m:f>
                  </m:e>
                </m:d>
                <m:r>
                  <w:rPr>
                    <w:rFonts w:ascii="Cambria Math" w:hAnsi="Cambria Math"/>
                    <w:color w:val="000000" w:themeColor="text1"/>
                    <w:lang w:eastAsia="en-GB"/>
                  </w:rPr>
                  <m:t>×100</m:t>
                </m:r>
              </m:oMath>
            </m:oMathPara>
          </w:p>
        </w:tc>
        <w:tc>
          <w:tcPr>
            <w:tcW w:w="674" w:type="dxa"/>
          </w:tcPr>
          <w:p w14:paraId="7DE126D2" w14:textId="77777777" w:rsidR="004673FB" w:rsidRPr="0045399F" w:rsidRDefault="004673FB" w:rsidP="00E95045">
            <w:pPr>
              <w:rPr>
                <w:sz w:val="15"/>
                <w:szCs w:val="15"/>
              </w:rPr>
            </w:pPr>
            <w:bookmarkStart w:id="166" w:name="_Ref519074637"/>
          </w:p>
          <w:p w14:paraId="419B33C2" w14:textId="3425131D" w:rsidR="004673FB" w:rsidRDefault="004673FB" w:rsidP="00E95045">
            <w:pPr>
              <w:rPr>
                <w:color w:val="000000" w:themeColor="text1"/>
                <w:lang w:eastAsia="en-GB"/>
              </w:rPr>
            </w:pPr>
            <w:bookmarkStart w:id="167" w:name="_Ref519076551"/>
            <w:r>
              <w:t>(</w:t>
            </w:r>
            <w:r w:rsidR="00B868B6">
              <w:t>3.</w:t>
            </w:r>
            <w:r>
              <w:rPr>
                <w:noProof/>
              </w:rPr>
              <w:fldChar w:fldCharType="begin"/>
            </w:r>
            <w:r>
              <w:rPr>
                <w:noProof/>
              </w:rPr>
              <w:instrText xml:space="preserve"> SEQ Equation \* ARABIC </w:instrText>
            </w:r>
            <w:r>
              <w:rPr>
                <w:noProof/>
              </w:rPr>
              <w:fldChar w:fldCharType="separate"/>
            </w:r>
            <w:r w:rsidR="00E6157A">
              <w:rPr>
                <w:noProof/>
              </w:rPr>
              <w:t>1</w:t>
            </w:r>
            <w:r>
              <w:rPr>
                <w:noProof/>
              </w:rPr>
              <w:fldChar w:fldCharType="end"/>
            </w:r>
            <w:bookmarkEnd w:id="166"/>
            <w:bookmarkEnd w:id="167"/>
            <w:r>
              <w:t>)</w:t>
            </w:r>
          </w:p>
        </w:tc>
      </w:tr>
    </w:tbl>
    <w:p w14:paraId="590B6302" w14:textId="2285DB14" w:rsidR="004673FB" w:rsidRPr="00CF161E" w:rsidRDefault="004673FB" w:rsidP="004673FB">
      <w:pPr>
        <w:rPr>
          <w:color w:val="000000" w:themeColor="text1"/>
          <w:lang w:eastAsia="en-GB"/>
        </w:rPr>
      </w:pPr>
      <w:r>
        <w:rPr>
          <w:color w:val="000000" w:themeColor="text1"/>
          <w:lang w:eastAsia="en-GB"/>
        </w:rPr>
        <w:t>where Activity</w:t>
      </w:r>
      <w:r w:rsidRPr="008A5D2F">
        <w:rPr>
          <w:color w:val="000000" w:themeColor="text1"/>
          <w:vertAlign w:val="subscript"/>
          <w:lang w:eastAsia="en-GB"/>
        </w:rPr>
        <w:t>exp</w:t>
      </w:r>
      <w:r>
        <w:rPr>
          <w:color w:val="000000" w:themeColor="text1"/>
          <w:lang w:eastAsia="en-GB"/>
        </w:rPr>
        <w:t>, Activity</w:t>
      </w:r>
      <w:r w:rsidRPr="008A5D2F">
        <w:rPr>
          <w:color w:val="000000" w:themeColor="text1"/>
          <w:vertAlign w:val="subscript"/>
          <w:lang w:eastAsia="en-GB"/>
        </w:rPr>
        <w:t>min</w:t>
      </w:r>
      <w:r>
        <w:rPr>
          <w:color w:val="000000" w:themeColor="text1"/>
          <w:lang w:eastAsia="en-GB"/>
        </w:rPr>
        <w:t xml:space="preserve"> and Activity</w:t>
      </w:r>
      <w:r>
        <w:rPr>
          <w:color w:val="000000" w:themeColor="text1"/>
          <w:vertAlign w:val="subscript"/>
          <w:lang w:eastAsia="en-GB"/>
        </w:rPr>
        <w:t>window</w:t>
      </w:r>
      <w:r>
        <w:rPr>
          <w:color w:val="000000" w:themeColor="text1"/>
          <w:lang w:eastAsia="en-GB"/>
        </w:rPr>
        <w:t xml:space="preserve"> represent the LOXL2 activity after treatment with different concentrations of β</w:t>
      </w:r>
      <w:r>
        <w:rPr>
          <w:color w:val="000000" w:themeColor="text1"/>
          <w:lang w:eastAsia="en-GB"/>
        </w:rPr>
        <w:noBreakHyphen/>
        <w:t>APN or prodrugs, the LOXL2 activity after treatment with 100 µM β</w:t>
      </w:r>
      <w:r>
        <w:rPr>
          <w:color w:val="000000" w:themeColor="text1"/>
          <w:lang w:eastAsia="en-GB"/>
        </w:rPr>
        <w:noBreakHyphen/>
        <w:t xml:space="preserve">APN (minimum value, maximum inhibition) and the assay window, respectively. </w:t>
      </w:r>
    </w:p>
    <w:p w14:paraId="24E22343" w14:textId="77777777" w:rsidR="004673FB" w:rsidRDefault="004673FB" w:rsidP="003D132C">
      <w:pPr>
        <w:pStyle w:val="Heading3"/>
      </w:pPr>
      <w:bookmarkStart w:id="168" w:name="_Toc2451019"/>
      <w:r>
        <w:lastRenderedPageBreak/>
        <w:t xml:space="preserve">Ability of compound </w:t>
      </w:r>
      <w:r w:rsidRPr="008B1D7D">
        <w:rPr>
          <w:b/>
        </w:rPr>
        <w:t>1b</w:t>
      </w:r>
      <w:r>
        <w:t xml:space="preserve"> to inhibit lysyl oxidase-like 2 activity</w:t>
      </w:r>
      <w:bookmarkEnd w:id="168"/>
    </w:p>
    <w:p w14:paraId="126F8B86" w14:textId="0542FCDC" w:rsidR="004673FB" w:rsidRPr="009E7904" w:rsidRDefault="009C656E" w:rsidP="004673FB">
      <w:pPr>
        <w:rPr>
          <w:color w:val="000000" w:themeColor="text1"/>
          <w:lang w:eastAsia="en-GB"/>
        </w:rPr>
      </w:pPr>
      <w:r>
        <w:rPr>
          <w:lang w:eastAsia="en-GB"/>
        </w:rPr>
        <w:t>Solutions</w:t>
      </w:r>
      <w:r w:rsidR="004673FB">
        <w:rPr>
          <w:lang w:eastAsia="en-GB"/>
        </w:rPr>
        <w:t xml:space="preserve"> of β</w:t>
      </w:r>
      <w:r w:rsidR="004673FB" w:rsidRPr="00193D40">
        <w:rPr>
          <w:lang w:eastAsia="en-GB"/>
        </w:rPr>
        <w:t>-APN, salicy</w:t>
      </w:r>
      <w:r w:rsidR="004673FB">
        <w:rPr>
          <w:lang w:eastAsia="en-GB"/>
        </w:rPr>
        <w:t>laldehyde</w:t>
      </w:r>
      <w:r w:rsidR="004673FB">
        <w:t xml:space="preserve"> (</w:t>
      </w:r>
      <w:r w:rsidR="004673FB" w:rsidRPr="009751C0">
        <w:rPr>
          <w:b/>
        </w:rPr>
        <w:t>1a</w:t>
      </w:r>
      <w:r w:rsidR="004673FB">
        <w:t xml:space="preserve">) and compound </w:t>
      </w:r>
      <w:r w:rsidR="004673FB" w:rsidRPr="009751C0">
        <w:rPr>
          <w:b/>
        </w:rPr>
        <w:t>1b</w:t>
      </w:r>
      <w:r w:rsidR="004673FB">
        <w:t xml:space="preserve"> (</w:t>
      </w:r>
      <w:r w:rsidR="004673FB" w:rsidRPr="009751C0">
        <w:t>2-(2-cyanoethyliminomethyl)phenol</w:t>
      </w:r>
      <w:r w:rsidR="004673FB">
        <w:t>)</w:t>
      </w:r>
      <w:r w:rsidR="004673FB" w:rsidRPr="00193D40">
        <w:rPr>
          <w:lang w:eastAsia="en-GB"/>
        </w:rPr>
        <w:t xml:space="preserve"> </w:t>
      </w:r>
      <w:r w:rsidR="004673FB">
        <w:rPr>
          <w:lang w:eastAsia="en-GB"/>
        </w:rPr>
        <w:t xml:space="preserve">were prepared </w:t>
      </w:r>
      <w:r>
        <w:rPr>
          <w:lang w:eastAsia="en-GB"/>
        </w:rPr>
        <w:t xml:space="preserve">by serial dilution </w:t>
      </w:r>
      <w:r w:rsidR="004673FB">
        <w:rPr>
          <w:lang w:eastAsia="en-GB"/>
        </w:rPr>
        <w:t>in PBS (</w:t>
      </w:r>
      <w:r w:rsidR="004673FB" w:rsidRPr="00193D40">
        <w:rPr>
          <w:lang w:eastAsia="en-GB"/>
        </w:rPr>
        <w:t>0.5</w:t>
      </w:r>
      <w:r w:rsidR="004673FB">
        <w:rPr>
          <w:lang w:eastAsia="en-GB"/>
        </w:rPr>
        <w:t> </w:t>
      </w:r>
      <w:r w:rsidR="004673FB" w:rsidRPr="00193D40">
        <w:rPr>
          <w:lang w:eastAsia="en-GB"/>
        </w:rPr>
        <w:t>% DMSO</w:t>
      </w:r>
      <w:r w:rsidR="004673FB">
        <w:rPr>
          <w:lang w:eastAsia="en-GB"/>
        </w:rPr>
        <w:t>)</w:t>
      </w:r>
      <w:r w:rsidR="004673FB" w:rsidRPr="00193D40">
        <w:rPr>
          <w:lang w:eastAsia="en-GB"/>
        </w:rPr>
        <w:t xml:space="preserve"> with final plat</w:t>
      </w:r>
      <w:r w:rsidR="004673FB">
        <w:rPr>
          <w:lang w:eastAsia="en-GB"/>
        </w:rPr>
        <w:t xml:space="preserve">e </w:t>
      </w:r>
      <w:r w:rsidR="00E71989">
        <w:rPr>
          <w:lang w:eastAsia="en-GB"/>
        </w:rPr>
        <w:t>concentrations of 0.032 to 100 </w:t>
      </w:r>
      <w:r w:rsidR="004673FB" w:rsidRPr="00193D40">
        <w:rPr>
          <w:lang w:eastAsia="en-GB"/>
        </w:rPr>
        <w:t>µM</w:t>
      </w:r>
      <w:r w:rsidR="004673FB">
        <w:rPr>
          <w:lang w:eastAsia="en-GB"/>
        </w:rPr>
        <w:t>. Solutions of LOXL2 from 0.25 to 8.0 µg/mL</w:t>
      </w:r>
      <w:r w:rsidR="004673FB" w:rsidRPr="00193D40">
        <w:rPr>
          <w:lang w:eastAsia="en-GB"/>
        </w:rPr>
        <w:t xml:space="preserve"> </w:t>
      </w:r>
      <w:r w:rsidR="004673FB">
        <w:rPr>
          <w:lang w:eastAsia="en-GB"/>
        </w:rPr>
        <w:t>(final plate concentra</w:t>
      </w:r>
      <w:r w:rsidR="00E71989">
        <w:rPr>
          <w:lang w:eastAsia="en-GB"/>
        </w:rPr>
        <w:t>tions of 0.125 to 4 </w:t>
      </w:r>
      <w:r w:rsidR="004673FB" w:rsidRPr="00193D40">
        <w:rPr>
          <w:lang w:eastAsia="en-GB"/>
        </w:rPr>
        <w:t>µg/mL</w:t>
      </w:r>
      <w:r w:rsidR="004673FB">
        <w:rPr>
          <w:lang w:eastAsia="en-GB"/>
        </w:rPr>
        <w:t>)</w:t>
      </w:r>
      <w:r w:rsidR="004673FB" w:rsidRPr="00193D40">
        <w:rPr>
          <w:lang w:eastAsia="en-GB"/>
        </w:rPr>
        <w:t xml:space="preserve"> </w:t>
      </w:r>
      <w:r w:rsidR="004673FB">
        <w:rPr>
          <w:lang w:eastAsia="en-GB"/>
        </w:rPr>
        <w:t>were</w:t>
      </w:r>
      <w:r w:rsidR="004673FB" w:rsidRPr="00193D40">
        <w:rPr>
          <w:lang w:eastAsia="en-GB"/>
        </w:rPr>
        <w:t xml:space="preserve"> prepared in PBS (0.1</w:t>
      </w:r>
      <w:r w:rsidR="004673FB">
        <w:rPr>
          <w:lang w:eastAsia="en-GB"/>
        </w:rPr>
        <w:t xml:space="preserve"> </w:t>
      </w:r>
      <w:r w:rsidR="004673FB" w:rsidRPr="00193D40">
        <w:rPr>
          <w:lang w:eastAsia="en-GB"/>
        </w:rPr>
        <w:t xml:space="preserve">% BSA) and added to the plate in duplicate. </w:t>
      </w:r>
      <w:r w:rsidR="004673FB">
        <w:rPr>
          <w:lang w:eastAsia="en-GB"/>
        </w:rPr>
        <w:t>A standard curve was prepared from the data of these solutions. A 4.0</w:t>
      </w:r>
      <w:r w:rsidR="004673FB" w:rsidRPr="00193D40">
        <w:rPr>
          <w:lang w:eastAsia="en-GB"/>
        </w:rPr>
        <w:t xml:space="preserve"> µg/mL of LOX</w:t>
      </w:r>
      <w:r w:rsidR="004673FB">
        <w:rPr>
          <w:lang w:eastAsia="en-GB"/>
        </w:rPr>
        <w:t>L2</w:t>
      </w:r>
      <w:r w:rsidR="004673FB" w:rsidRPr="00193D40">
        <w:rPr>
          <w:lang w:eastAsia="en-GB"/>
        </w:rPr>
        <w:t xml:space="preserve"> (final plate concentration</w:t>
      </w:r>
      <w:r w:rsidR="004673FB">
        <w:rPr>
          <w:lang w:eastAsia="en-GB"/>
        </w:rPr>
        <w:t xml:space="preserve"> of 2.0 µg/mL</w:t>
      </w:r>
      <w:r w:rsidR="004673FB" w:rsidRPr="00193D40">
        <w:rPr>
          <w:lang w:eastAsia="en-GB"/>
        </w:rPr>
        <w:t>) was prepared in PBS (0.1</w:t>
      </w:r>
      <w:r w:rsidR="004673FB">
        <w:rPr>
          <w:lang w:eastAsia="en-GB"/>
        </w:rPr>
        <w:t xml:space="preserve"> </w:t>
      </w:r>
      <w:r w:rsidR="004673FB" w:rsidRPr="00193D40">
        <w:rPr>
          <w:lang w:eastAsia="en-GB"/>
        </w:rPr>
        <w:t>% BSA) and added to all wells. Plate</w:t>
      </w:r>
      <w:r w:rsidR="004673FB">
        <w:rPr>
          <w:lang w:eastAsia="en-GB"/>
        </w:rPr>
        <w:t>s</w:t>
      </w:r>
      <w:r w:rsidR="004673FB" w:rsidRPr="00193D40">
        <w:rPr>
          <w:lang w:eastAsia="en-GB"/>
        </w:rPr>
        <w:t xml:space="preserve"> w</w:t>
      </w:r>
      <w:r w:rsidR="004673FB">
        <w:rPr>
          <w:lang w:eastAsia="en-GB"/>
        </w:rPr>
        <w:t>ere</w:t>
      </w:r>
      <w:r w:rsidR="004673FB" w:rsidRPr="00193D40">
        <w:rPr>
          <w:lang w:eastAsia="en-GB"/>
        </w:rPr>
        <w:t xml:space="preserve"> incubated for 1 h at 37</w:t>
      </w:r>
      <w:r w:rsidR="0069337F">
        <w:rPr>
          <w:lang w:eastAsia="en-GB"/>
        </w:rPr>
        <w:t> </w:t>
      </w:r>
      <w:r w:rsidR="004673FB" w:rsidRPr="00193D40">
        <w:rPr>
          <w:lang w:eastAsia="en-GB"/>
        </w:rPr>
        <w:t>°C, 5 % CO</w:t>
      </w:r>
      <w:r w:rsidR="004673FB" w:rsidRPr="00780D93">
        <w:rPr>
          <w:vertAlign w:val="subscript"/>
          <w:lang w:eastAsia="en-GB"/>
        </w:rPr>
        <w:t>2</w:t>
      </w:r>
      <w:r w:rsidR="004673FB" w:rsidRPr="00193D40">
        <w:rPr>
          <w:lang w:eastAsia="en-GB"/>
        </w:rPr>
        <w:t xml:space="preserve">. </w:t>
      </w:r>
      <w:r w:rsidR="004673FB">
        <w:rPr>
          <w:lang w:eastAsia="en-GB"/>
        </w:rPr>
        <w:t>The a</w:t>
      </w:r>
      <w:r w:rsidR="004673FB" w:rsidRPr="00193D40">
        <w:rPr>
          <w:lang w:eastAsia="en-GB"/>
        </w:rPr>
        <w:t>ssay kit reaction mixture was prepared according the m</w:t>
      </w:r>
      <w:r w:rsidR="004673FB">
        <w:rPr>
          <w:lang w:eastAsia="en-GB"/>
        </w:rPr>
        <w:t>anufacturer's protocol. After 1 h</w:t>
      </w:r>
      <w:r w:rsidR="00B272D7">
        <w:rPr>
          <w:lang w:eastAsia="en-GB"/>
        </w:rPr>
        <w:t>,</w:t>
      </w:r>
      <w:r w:rsidR="004673FB">
        <w:rPr>
          <w:lang w:eastAsia="en-GB"/>
        </w:rPr>
        <w:t xml:space="preserve"> </w:t>
      </w:r>
      <w:r>
        <w:rPr>
          <w:lang w:eastAsia="en-GB"/>
        </w:rPr>
        <w:t xml:space="preserve">25 µL of </w:t>
      </w:r>
      <w:r w:rsidR="004673FB" w:rsidRPr="00193D40">
        <w:rPr>
          <w:lang w:eastAsia="en-GB"/>
        </w:rPr>
        <w:t>assay reaction mixture was added to each well and the plate was incubated for a further 20 minutes</w:t>
      </w:r>
      <w:r w:rsidR="00C402B3" w:rsidRPr="00C402B3">
        <w:rPr>
          <w:lang w:eastAsia="en-GB"/>
        </w:rPr>
        <w:t xml:space="preserve"> </w:t>
      </w:r>
      <w:r w:rsidR="00C402B3" w:rsidRPr="00193D40">
        <w:rPr>
          <w:lang w:eastAsia="en-GB"/>
        </w:rPr>
        <w:t>at 37</w:t>
      </w:r>
      <w:r w:rsidR="00C402B3">
        <w:rPr>
          <w:lang w:eastAsia="en-GB"/>
        </w:rPr>
        <w:t> </w:t>
      </w:r>
      <w:r w:rsidR="00C402B3" w:rsidRPr="00193D40">
        <w:rPr>
          <w:lang w:eastAsia="en-GB"/>
        </w:rPr>
        <w:t>°C, 5 % CO</w:t>
      </w:r>
      <w:r w:rsidR="00C402B3" w:rsidRPr="00780D93">
        <w:rPr>
          <w:vertAlign w:val="subscript"/>
          <w:lang w:eastAsia="en-GB"/>
        </w:rPr>
        <w:t>2</w:t>
      </w:r>
      <w:r w:rsidR="004673FB" w:rsidRPr="00193D40">
        <w:rPr>
          <w:lang w:eastAsia="en-GB"/>
        </w:rPr>
        <w:t xml:space="preserve">. Fluorescence was detected using </w:t>
      </w:r>
      <w:r w:rsidR="004673FB">
        <w:rPr>
          <w:lang w:eastAsia="en-GB"/>
        </w:rPr>
        <w:t>a BMG LABTECH POLARstar OMEGA plate reader</w:t>
      </w:r>
      <w:r w:rsidR="004673FB" w:rsidRPr="00193D40">
        <w:rPr>
          <w:lang w:eastAsia="en-GB"/>
        </w:rPr>
        <w:t xml:space="preserve"> at </w:t>
      </w:r>
      <w:r w:rsidR="004673FB">
        <w:rPr>
          <w:lang w:eastAsia="en-GB"/>
        </w:rPr>
        <w:t>excitation 540 nm, emission 590 </w:t>
      </w:r>
      <w:r w:rsidR="004673FB" w:rsidRPr="00193D40">
        <w:rPr>
          <w:lang w:eastAsia="en-GB"/>
        </w:rPr>
        <w:t>nm.</w:t>
      </w:r>
      <w:r w:rsidR="004673FB" w:rsidRPr="00634E50">
        <w:rPr>
          <w:lang w:eastAsia="en-GB"/>
        </w:rPr>
        <w:t xml:space="preserve"> </w:t>
      </w:r>
      <w:r w:rsidR="004673FB" w:rsidRPr="00724311">
        <w:rPr>
          <w:color w:val="000000" w:themeColor="text1"/>
          <w:lang w:eastAsia="en-GB"/>
        </w:rPr>
        <w:t xml:space="preserve">Relative enzyme activity was calculated by interpolating values from the LOXL2 </w:t>
      </w:r>
      <w:r w:rsidR="004673FB" w:rsidRPr="005F2247">
        <w:rPr>
          <w:color w:val="000000" w:themeColor="text1"/>
          <w:lang w:eastAsia="en-GB"/>
        </w:rPr>
        <w:t>standard curve</w:t>
      </w:r>
      <w:r w:rsidR="00C402B3">
        <w:rPr>
          <w:color w:val="000000" w:themeColor="text1"/>
          <w:lang w:eastAsia="en-GB"/>
        </w:rPr>
        <w:t xml:space="preserve"> and</w:t>
      </w:r>
      <w:r w:rsidR="004673FB" w:rsidRPr="005F2247">
        <w:rPr>
          <w:color w:val="000000" w:themeColor="text1"/>
          <w:lang w:eastAsia="en-GB"/>
        </w:rPr>
        <w:t xml:space="preserve"> expressed using equation</w:t>
      </w:r>
      <w:r w:rsidR="0069337F">
        <w:rPr>
          <w:color w:val="000000" w:themeColor="text1"/>
          <w:lang w:eastAsia="en-GB"/>
        </w:rPr>
        <w:t xml:space="preserve"> (3.1). </w:t>
      </w:r>
      <w:r w:rsidR="004673FB" w:rsidRPr="005F2247">
        <w:rPr>
          <w:color w:val="000000" w:themeColor="text1"/>
          <w:lang w:eastAsia="en-GB"/>
        </w:rPr>
        <w:t xml:space="preserve"> Data was analysed by </w:t>
      </w:r>
      <w:r w:rsidR="004673FB" w:rsidRPr="005F2247">
        <w:rPr>
          <w:color w:val="000000" w:themeColor="text1"/>
        </w:rPr>
        <w:t>a non-linear, variable slope (4 parameter) line of best fit of inhibitor vs. response in order to interpolate relative IC</w:t>
      </w:r>
      <w:r w:rsidR="004673FB" w:rsidRPr="005F2247">
        <w:rPr>
          <w:color w:val="000000" w:themeColor="text1"/>
          <w:vertAlign w:val="subscript"/>
        </w:rPr>
        <w:t>50</w:t>
      </w:r>
      <w:r w:rsidR="004673FB" w:rsidRPr="005F2247">
        <w:rPr>
          <w:color w:val="000000" w:themeColor="text1"/>
        </w:rPr>
        <w:t xml:space="preserve"> values. </w:t>
      </w:r>
    </w:p>
    <w:p w14:paraId="5C484069" w14:textId="77777777" w:rsidR="004673FB" w:rsidRDefault="004673FB" w:rsidP="003D132C">
      <w:pPr>
        <w:pStyle w:val="Heading3"/>
      </w:pPr>
      <w:bookmarkStart w:id="169" w:name="_Toc2451020"/>
      <w:r>
        <w:t>Cell density screen using the MTT assay</w:t>
      </w:r>
      <w:bookmarkEnd w:id="169"/>
    </w:p>
    <w:p w14:paraId="5ADBE6D7" w14:textId="783A4874" w:rsidR="004673FB" w:rsidRDefault="004673FB" w:rsidP="004673FB">
      <w:r w:rsidRPr="00193D40">
        <w:rPr>
          <w:lang w:eastAsia="en-GB"/>
        </w:rPr>
        <w:t xml:space="preserve">Primary human dermal fibroblasts </w:t>
      </w:r>
      <w:r>
        <w:rPr>
          <w:lang w:eastAsia="en-GB"/>
        </w:rPr>
        <w:t xml:space="preserve">(HDF) </w:t>
      </w:r>
      <w:r w:rsidRPr="00193D40">
        <w:rPr>
          <w:lang w:eastAsia="en-GB"/>
        </w:rPr>
        <w:t xml:space="preserve">were isolated </w:t>
      </w:r>
      <w:r>
        <w:rPr>
          <w:lang w:eastAsia="en-GB"/>
        </w:rPr>
        <w:t xml:space="preserve">as described in section </w:t>
      </w:r>
      <w:r>
        <w:rPr>
          <w:lang w:eastAsia="en-GB"/>
        </w:rPr>
        <w:fldChar w:fldCharType="begin"/>
      </w:r>
      <w:r>
        <w:rPr>
          <w:lang w:eastAsia="en-GB"/>
        </w:rPr>
        <w:instrText xml:space="preserve"> REF _Ref513980037 \r \h </w:instrText>
      </w:r>
      <w:r>
        <w:rPr>
          <w:lang w:eastAsia="en-GB"/>
        </w:rPr>
      </w:r>
      <w:r>
        <w:rPr>
          <w:lang w:eastAsia="en-GB"/>
        </w:rPr>
        <w:fldChar w:fldCharType="separate"/>
      </w:r>
      <w:r w:rsidR="00E6157A">
        <w:rPr>
          <w:lang w:eastAsia="en-GB"/>
        </w:rPr>
        <w:t>3.3.2</w:t>
      </w:r>
      <w:r>
        <w:rPr>
          <w:lang w:eastAsia="en-GB"/>
        </w:rPr>
        <w:fldChar w:fldCharType="end"/>
      </w:r>
      <w:r>
        <w:rPr>
          <w:lang w:eastAsia="en-GB"/>
        </w:rPr>
        <w:t xml:space="preserve">. </w:t>
      </w:r>
      <w:r>
        <w:t>HDF were treated with trypsin, centrifuged and counted before dilution to obtain cell suspensions of 2.5, 5, 10, 20 and 40 </w:t>
      </w:r>
      <w:r>
        <w:sym w:font="Symbol" w:char="F0B4"/>
      </w:r>
      <w:r>
        <w:t> 10</w:t>
      </w:r>
      <w:r>
        <w:rPr>
          <w:vertAlign w:val="superscript"/>
        </w:rPr>
        <w:t>3</w:t>
      </w:r>
      <w:r>
        <w:t xml:space="preserve"> cells/well in a 96</w:t>
      </w:r>
      <w:r w:rsidR="00B272D7">
        <w:t xml:space="preserve"> well plate and cultured for 48 </w:t>
      </w:r>
      <w:r>
        <w:t xml:space="preserve">h at </w:t>
      </w:r>
      <w:r w:rsidRPr="00193D40">
        <w:rPr>
          <w:lang w:eastAsia="en-GB"/>
        </w:rPr>
        <w:t>37</w:t>
      </w:r>
      <w:r w:rsidR="00B272D7">
        <w:rPr>
          <w:lang w:eastAsia="en-GB"/>
        </w:rPr>
        <w:t> °C, 5 </w:t>
      </w:r>
      <w:r w:rsidRPr="00193D40">
        <w:rPr>
          <w:lang w:eastAsia="en-GB"/>
        </w:rPr>
        <w:t>% CO</w:t>
      </w:r>
      <w:r w:rsidRPr="00725F03">
        <w:rPr>
          <w:vertAlign w:val="subscript"/>
          <w:lang w:eastAsia="en-GB"/>
        </w:rPr>
        <w:t>2</w:t>
      </w:r>
      <w:r>
        <w:rPr>
          <w:lang w:eastAsia="en-GB"/>
        </w:rPr>
        <w:t xml:space="preserve">. </w:t>
      </w:r>
      <w:r w:rsidRPr="00804CFF">
        <w:rPr>
          <w:lang w:eastAsia="en-GB"/>
        </w:rPr>
        <w:t>3-(4,5-dimethylthiazol-2-yl)-2,5-diphenyltetrazolium bromide</w:t>
      </w:r>
      <w:r>
        <w:rPr>
          <w:lang w:eastAsia="en-GB"/>
        </w:rPr>
        <w:t xml:space="preserve"> (MTT) powder was dissolved in PBS (0.5 mg/mL) and sterile filtered through a </w:t>
      </w:r>
      <w:r w:rsidRPr="00643D5F">
        <w:rPr>
          <w:lang w:eastAsia="en-GB"/>
        </w:rPr>
        <w:t>0.2 µm polyether sulfone</w:t>
      </w:r>
      <w:r>
        <w:rPr>
          <w:lang w:eastAsia="en-GB"/>
        </w:rPr>
        <w:t xml:space="preserve"> (PES) filter. Cells were washed with sterile PBS, treated with </w:t>
      </w:r>
      <w:r w:rsidRPr="00E41C10">
        <w:rPr>
          <w:lang w:eastAsia="en-GB"/>
        </w:rPr>
        <w:t>100 µL MTT solution and incubated at 37</w:t>
      </w:r>
      <w:r>
        <w:rPr>
          <w:lang w:eastAsia="en-GB"/>
        </w:rPr>
        <w:t> </w:t>
      </w:r>
      <w:r w:rsidRPr="00E41C10">
        <w:rPr>
          <w:lang w:eastAsia="en-GB"/>
        </w:rPr>
        <w:sym w:font="Symbol" w:char="F0B0"/>
      </w:r>
      <w:r>
        <w:rPr>
          <w:lang w:eastAsia="en-GB"/>
        </w:rPr>
        <w:t>C, 5 </w:t>
      </w:r>
      <w:r w:rsidRPr="00E41C10">
        <w:rPr>
          <w:lang w:eastAsia="en-GB"/>
        </w:rPr>
        <w:t>% CO</w:t>
      </w:r>
      <w:r w:rsidRPr="00E41C10">
        <w:rPr>
          <w:vertAlign w:val="subscript"/>
          <w:lang w:eastAsia="en-GB"/>
        </w:rPr>
        <w:t>2</w:t>
      </w:r>
      <w:r w:rsidRPr="00E41C10">
        <w:rPr>
          <w:lang w:eastAsia="en-GB"/>
        </w:rPr>
        <w:t xml:space="preserve"> for 40 minutes.</w:t>
      </w:r>
      <w:r>
        <w:rPr>
          <w:lang w:eastAsia="en-GB"/>
        </w:rPr>
        <w:t xml:space="preserve"> Following MTT treatment, cells were washed with sterile PBS and 100 µL acidified IPA was added to each well to dissolve MTT crystals. Absorbance was measured on a BIO-TEK ELx800 </w:t>
      </w:r>
      <w:r w:rsidR="00F657E7">
        <w:rPr>
          <w:lang w:eastAsia="en-GB"/>
        </w:rPr>
        <w:t>a</w:t>
      </w:r>
      <w:r>
        <w:rPr>
          <w:lang w:eastAsia="en-GB"/>
        </w:rPr>
        <w:t>bsorbance microplate reader at 570 nm. The results are expressed as mean values ± standard deviation.</w:t>
      </w:r>
    </w:p>
    <w:p w14:paraId="4133B91F" w14:textId="37B5F855" w:rsidR="004673FB" w:rsidRPr="006A3918" w:rsidRDefault="009C656E" w:rsidP="003D132C">
      <w:pPr>
        <w:pStyle w:val="Heading3"/>
        <w:rPr>
          <w:lang w:eastAsia="en-GB"/>
        </w:rPr>
      </w:pPr>
      <w:bookmarkStart w:id="170" w:name="_Toc2451021"/>
      <w:r>
        <w:rPr>
          <w:rFonts w:eastAsia="Times New Roman"/>
          <w:lang w:eastAsia="en-GB"/>
        </w:rPr>
        <w:t>Cell density screen using the resazurin sodium salt assay</w:t>
      </w:r>
      <w:bookmarkEnd w:id="170"/>
    </w:p>
    <w:p w14:paraId="7851AD21" w14:textId="1AA8DA2B" w:rsidR="004673FB" w:rsidRDefault="004673FB" w:rsidP="004673FB">
      <w:pPr>
        <w:rPr>
          <w:lang w:eastAsia="en-GB"/>
        </w:rPr>
      </w:pPr>
      <w:r w:rsidRPr="00193D40">
        <w:rPr>
          <w:lang w:eastAsia="en-GB"/>
        </w:rPr>
        <w:t xml:space="preserve">Primary </w:t>
      </w:r>
      <w:r>
        <w:rPr>
          <w:lang w:eastAsia="en-GB"/>
        </w:rPr>
        <w:t xml:space="preserve">HDF </w:t>
      </w:r>
      <w:r w:rsidRPr="00193D40">
        <w:rPr>
          <w:lang w:eastAsia="en-GB"/>
        </w:rPr>
        <w:t xml:space="preserve">were isolated </w:t>
      </w:r>
      <w:r>
        <w:rPr>
          <w:lang w:eastAsia="en-GB"/>
        </w:rPr>
        <w:t xml:space="preserve">as described in section </w:t>
      </w:r>
      <w:r>
        <w:rPr>
          <w:lang w:eastAsia="en-GB"/>
        </w:rPr>
        <w:fldChar w:fldCharType="begin"/>
      </w:r>
      <w:r>
        <w:rPr>
          <w:lang w:eastAsia="en-GB"/>
        </w:rPr>
        <w:instrText xml:space="preserve"> REF _Ref513980037 \r \h </w:instrText>
      </w:r>
      <w:r>
        <w:rPr>
          <w:lang w:eastAsia="en-GB"/>
        </w:rPr>
      </w:r>
      <w:r>
        <w:rPr>
          <w:lang w:eastAsia="en-GB"/>
        </w:rPr>
        <w:fldChar w:fldCharType="separate"/>
      </w:r>
      <w:r w:rsidR="00E6157A">
        <w:rPr>
          <w:lang w:eastAsia="en-GB"/>
        </w:rPr>
        <w:t>3.3.2</w:t>
      </w:r>
      <w:r>
        <w:rPr>
          <w:lang w:eastAsia="en-GB"/>
        </w:rPr>
        <w:fldChar w:fldCharType="end"/>
      </w:r>
      <w:r>
        <w:rPr>
          <w:lang w:eastAsia="en-GB"/>
        </w:rPr>
        <w:t xml:space="preserve">. </w:t>
      </w:r>
      <w:r>
        <w:t>HDF were treated with trypsin, centrifuged and counted before dilution to obtain cell suspensions of 2.5, 5, 10, 20 and 40 </w:t>
      </w:r>
      <w:r>
        <w:sym w:font="Symbol" w:char="F0B4"/>
      </w:r>
      <w:r>
        <w:t> 10</w:t>
      </w:r>
      <w:r>
        <w:rPr>
          <w:vertAlign w:val="superscript"/>
        </w:rPr>
        <w:t>3</w:t>
      </w:r>
      <w:r>
        <w:t xml:space="preserve"> cells/well in a 96 well plate and cultured for 48 h at </w:t>
      </w:r>
      <w:r w:rsidRPr="00193D40">
        <w:rPr>
          <w:lang w:eastAsia="en-GB"/>
        </w:rPr>
        <w:t>37</w:t>
      </w:r>
      <w:r>
        <w:rPr>
          <w:lang w:eastAsia="en-GB"/>
        </w:rPr>
        <w:t xml:space="preserve"> </w:t>
      </w:r>
      <w:r w:rsidRPr="00193D40">
        <w:rPr>
          <w:lang w:eastAsia="en-GB"/>
        </w:rPr>
        <w:t>°C, 5 % CO</w:t>
      </w:r>
      <w:r w:rsidRPr="00725F03">
        <w:rPr>
          <w:vertAlign w:val="subscript"/>
          <w:lang w:eastAsia="en-GB"/>
        </w:rPr>
        <w:t>2</w:t>
      </w:r>
      <w:r>
        <w:rPr>
          <w:lang w:eastAsia="en-GB"/>
        </w:rPr>
        <w:t>.</w:t>
      </w:r>
      <w:r w:rsidRPr="00445A0C">
        <w:rPr>
          <w:lang w:eastAsia="en-GB"/>
        </w:rPr>
        <w:t xml:space="preserve"> </w:t>
      </w:r>
      <w:r>
        <w:rPr>
          <w:lang w:eastAsia="en-GB"/>
        </w:rPr>
        <w:t>A 1 mM solution of resazurin sodium s</w:t>
      </w:r>
      <w:r w:rsidRPr="00193D40">
        <w:rPr>
          <w:lang w:eastAsia="en-GB"/>
        </w:rPr>
        <w:t>alt was prepared in cell culture media</w:t>
      </w:r>
      <w:r>
        <w:rPr>
          <w:lang w:eastAsia="en-GB"/>
        </w:rPr>
        <w:t xml:space="preserve">. </w:t>
      </w:r>
      <w:r>
        <w:rPr>
          <w:lang w:eastAsia="en-GB"/>
        </w:rPr>
        <w:lastRenderedPageBreak/>
        <w:t>Cells were washed with sterile PBS</w:t>
      </w:r>
      <w:r w:rsidRPr="00193D40">
        <w:rPr>
          <w:lang w:eastAsia="en-GB"/>
        </w:rPr>
        <w:t xml:space="preserve"> and 100 µL </w:t>
      </w:r>
      <w:r>
        <w:rPr>
          <w:lang w:eastAsia="en-GB"/>
        </w:rPr>
        <w:t xml:space="preserve">resazurin solution </w:t>
      </w:r>
      <w:r w:rsidRPr="00193D40">
        <w:rPr>
          <w:lang w:eastAsia="en-GB"/>
        </w:rPr>
        <w:t>was added to each w</w:t>
      </w:r>
      <w:r>
        <w:rPr>
          <w:lang w:eastAsia="en-GB"/>
        </w:rPr>
        <w:t>ell. Cells were incubated for 4 </w:t>
      </w:r>
      <w:r w:rsidRPr="00193D40">
        <w:rPr>
          <w:lang w:eastAsia="en-GB"/>
        </w:rPr>
        <w:t>h at 37</w:t>
      </w:r>
      <w:r>
        <w:rPr>
          <w:lang w:eastAsia="en-GB"/>
        </w:rPr>
        <w:t xml:space="preserve"> </w:t>
      </w:r>
      <w:r w:rsidRPr="00193D40">
        <w:rPr>
          <w:lang w:eastAsia="en-GB"/>
        </w:rPr>
        <w:t>°C, 5 % CO</w:t>
      </w:r>
      <w:r w:rsidRPr="00C961D0">
        <w:rPr>
          <w:vertAlign w:val="subscript"/>
          <w:lang w:eastAsia="en-GB"/>
        </w:rPr>
        <w:t>2</w:t>
      </w:r>
      <w:r>
        <w:rPr>
          <w:lang w:eastAsia="en-GB"/>
        </w:rPr>
        <w:t>. After 4 h, the</w:t>
      </w:r>
      <w:r w:rsidRPr="00193D40">
        <w:rPr>
          <w:lang w:eastAsia="en-GB"/>
        </w:rPr>
        <w:t xml:space="preserve"> fluorescence was </w:t>
      </w:r>
      <w:r>
        <w:rPr>
          <w:lang w:eastAsia="en-GB"/>
        </w:rPr>
        <w:t>measured</w:t>
      </w:r>
      <w:r w:rsidRPr="00193D40">
        <w:rPr>
          <w:lang w:eastAsia="en-GB"/>
        </w:rPr>
        <w:t xml:space="preserve"> using a </w:t>
      </w:r>
      <w:r>
        <w:rPr>
          <w:lang w:eastAsia="en-GB"/>
        </w:rPr>
        <w:t>BIO-TEK Flx800 fluorescence microplate reader</w:t>
      </w:r>
      <w:r w:rsidRPr="00193D40">
        <w:rPr>
          <w:lang w:eastAsia="en-GB"/>
        </w:rPr>
        <w:t xml:space="preserve"> at </w:t>
      </w:r>
      <w:r>
        <w:rPr>
          <w:lang w:eastAsia="en-GB"/>
        </w:rPr>
        <w:t>excitation 540 nm, emission 635 </w:t>
      </w:r>
      <w:r w:rsidRPr="00193D40">
        <w:rPr>
          <w:lang w:eastAsia="en-GB"/>
        </w:rPr>
        <w:t>nm.</w:t>
      </w:r>
      <w:r w:rsidRPr="00A12FCD">
        <w:rPr>
          <w:lang w:eastAsia="en-GB"/>
        </w:rPr>
        <w:t xml:space="preserve"> </w:t>
      </w:r>
      <w:r>
        <w:rPr>
          <w:lang w:eastAsia="en-GB"/>
        </w:rPr>
        <w:t>The results are expressed as mean values ± standard deviation.</w:t>
      </w:r>
      <w:bookmarkStart w:id="171" w:name="_Ref514148183"/>
    </w:p>
    <w:p w14:paraId="0007ED3E" w14:textId="77777777" w:rsidR="009C656E" w:rsidRDefault="004673FB" w:rsidP="009C656E">
      <w:pPr>
        <w:pStyle w:val="Heading3"/>
      </w:pPr>
      <w:bookmarkStart w:id="172" w:name="_Ref530682527"/>
      <w:bookmarkStart w:id="173" w:name="_Toc2451022"/>
      <w:r w:rsidRPr="00856316">
        <w:t>Effect of synthesised prodrugs on cell metabolic activity</w:t>
      </w:r>
      <w:bookmarkEnd w:id="172"/>
      <w:bookmarkEnd w:id="173"/>
      <w:r w:rsidRPr="00856316">
        <w:t xml:space="preserve"> </w:t>
      </w:r>
      <w:bookmarkEnd w:id="171"/>
    </w:p>
    <w:p w14:paraId="71C3AF87" w14:textId="05AC2FE5" w:rsidR="004673FB" w:rsidRPr="00E71989" w:rsidRDefault="004673FB" w:rsidP="004673FB">
      <w:pPr>
        <w:rPr>
          <w:sz w:val="15"/>
          <w:szCs w:val="15"/>
        </w:rPr>
      </w:pPr>
      <w:r w:rsidRPr="00193D40">
        <w:rPr>
          <w:lang w:eastAsia="en-GB"/>
        </w:rPr>
        <w:t xml:space="preserve">Primary </w:t>
      </w:r>
      <w:r>
        <w:rPr>
          <w:lang w:eastAsia="en-GB"/>
        </w:rPr>
        <w:t xml:space="preserve">HDF </w:t>
      </w:r>
      <w:r w:rsidRPr="00193D40">
        <w:rPr>
          <w:lang w:eastAsia="en-GB"/>
        </w:rPr>
        <w:t>were iso</w:t>
      </w:r>
      <w:r>
        <w:rPr>
          <w:lang w:eastAsia="en-GB"/>
        </w:rPr>
        <w:t xml:space="preserve">lated as described in section </w:t>
      </w:r>
      <w:r>
        <w:rPr>
          <w:lang w:eastAsia="en-GB"/>
        </w:rPr>
        <w:fldChar w:fldCharType="begin"/>
      </w:r>
      <w:r>
        <w:rPr>
          <w:lang w:eastAsia="en-GB"/>
        </w:rPr>
        <w:instrText xml:space="preserve"> REF _Ref513980037 \r \h </w:instrText>
      </w:r>
      <w:r>
        <w:rPr>
          <w:lang w:eastAsia="en-GB"/>
        </w:rPr>
      </w:r>
      <w:r>
        <w:rPr>
          <w:lang w:eastAsia="en-GB"/>
        </w:rPr>
        <w:fldChar w:fldCharType="separate"/>
      </w:r>
      <w:r w:rsidR="00E6157A">
        <w:rPr>
          <w:lang w:eastAsia="en-GB"/>
        </w:rPr>
        <w:t>3.3.2</w:t>
      </w:r>
      <w:r>
        <w:rPr>
          <w:lang w:eastAsia="en-GB"/>
        </w:rPr>
        <w:fldChar w:fldCharType="end"/>
      </w:r>
      <w:r>
        <w:rPr>
          <w:lang w:eastAsia="en-GB"/>
        </w:rPr>
        <w:t xml:space="preserve">. </w:t>
      </w:r>
      <w:r w:rsidRPr="00193D40">
        <w:rPr>
          <w:lang w:eastAsia="en-GB"/>
        </w:rPr>
        <w:t xml:space="preserve">HDF were plated at </w:t>
      </w:r>
      <w:r>
        <w:rPr>
          <w:lang w:eastAsia="en-GB"/>
        </w:rPr>
        <w:t>10</w:t>
      </w:r>
      <w:r w:rsidRPr="006A3918">
        <w:rPr>
          <w:vertAlign w:val="superscript"/>
          <w:lang w:eastAsia="en-GB"/>
        </w:rPr>
        <w:t>4</w:t>
      </w:r>
      <w:r w:rsidRPr="00193D40">
        <w:rPr>
          <w:lang w:eastAsia="en-GB"/>
        </w:rPr>
        <w:t xml:space="preserve"> cells/well </w:t>
      </w:r>
      <w:r>
        <w:rPr>
          <w:lang w:eastAsia="en-GB"/>
        </w:rPr>
        <w:t xml:space="preserve">in </w:t>
      </w:r>
      <w:r w:rsidRPr="00193D40">
        <w:rPr>
          <w:lang w:eastAsia="en-GB"/>
        </w:rPr>
        <w:t xml:space="preserve">a 96-well culture </w:t>
      </w:r>
      <w:r>
        <w:rPr>
          <w:lang w:eastAsia="en-GB"/>
        </w:rPr>
        <w:t>(Corning Costar)</w:t>
      </w:r>
      <w:r w:rsidRPr="00193D40">
        <w:rPr>
          <w:lang w:eastAsia="en-GB"/>
        </w:rPr>
        <w:t xml:space="preserve"> in </w:t>
      </w:r>
      <w:r>
        <w:rPr>
          <w:lang w:eastAsia="en-GB"/>
        </w:rPr>
        <w:t xml:space="preserve">fibroblast cell culture medium for </w:t>
      </w:r>
      <w:r w:rsidRPr="00193D40">
        <w:rPr>
          <w:lang w:eastAsia="en-GB"/>
        </w:rPr>
        <w:t>24 h at 37</w:t>
      </w:r>
      <w:r>
        <w:rPr>
          <w:lang w:eastAsia="en-GB"/>
        </w:rPr>
        <w:t xml:space="preserve"> </w:t>
      </w:r>
      <w:r w:rsidRPr="00193D40">
        <w:rPr>
          <w:lang w:eastAsia="en-GB"/>
        </w:rPr>
        <w:t>°C, 5 % CO</w:t>
      </w:r>
      <w:r w:rsidRPr="006A3918">
        <w:rPr>
          <w:vertAlign w:val="subscript"/>
          <w:lang w:eastAsia="en-GB"/>
        </w:rPr>
        <w:t>2</w:t>
      </w:r>
      <w:r w:rsidRPr="00193D40">
        <w:rPr>
          <w:lang w:eastAsia="en-GB"/>
        </w:rPr>
        <w:t xml:space="preserve">. </w:t>
      </w:r>
      <w:r>
        <w:rPr>
          <w:lang w:eastAsia="en-GB"/>
        </w:rPr>
        <w:t>Solutions of synthesised compounds</w:t>
      </w:r>
      <w:r w:rsidRPr="00193D40">
        <w:rPr>
          <w:lang w:eastAsia="en-GB"/>
        </w:rPr>
        <w:t xml:space="preserve"> were prepared in filter-sterilised dimethyl sulfoxide (DMSO) and diluted in cell culture media to give </w:t>
      </w:r>
      <w:r>
        <w:rPr>
          <w:lang w:eastAsia="en-GB"/>
        </w:rPr>
        <w:t xml:space="preserve">concentrations of </w:t>
      </w:r>
      <w:r w:rsidRPr="00193D40">
        <w:rPr>
          <w:lang w:eastAsia="en-GB"/>
        </w:rPr>
        <w:t>0.</w:t>
      </w:r>
      <w:r>
        <w:rPr>
          <w:lang w:eastAsia="en-GB"/>
        </w:rPr>
        <w:t>032 µM</w:t>
      </w:r>
      <w:r w:rsidR="009C656E">
        <w:rPr>
          <w:lang w:eastAsia="en-GB"/>
        </w:rPr>
        <w:t xml:space="preserve"> to 100</w:t>
      </w:r>
      <w:r>
        <w:rPr>
          <w:lang w:eastAsia="en-GB"/>
        </w:rPr>
        <w:t xml:space="preserve"> (0.5 % DMSO). After 24 h</w:t>
      </w:r>
      <w:r w:rsidRPr="00193D40">
        <w:rPr>
          <w:lang w:eastAsia="en-GB"/>
        </w:rPr>
        <w:t xml:space="preserve"> cell culture media was removed and replaced with 100 µL </w:t>
      </w:r>
      <w:r>
        <w:rPr>
          <w:lang w:eastAsia="en-GB"/>
        </w:rPr>
        <w:t>compound</w:t>
      </w:r>
      <w:r w:rsidRPr="00193D40">
        <w:rPr>
          <w:lang w:eastAsia="en-GB"/>
        </w:rPr>
        <w:t xml:space="preserve"> solution. Cells </w:t>
      </w:r>
      <w:r>
        <w:rPr>
          <w:lang w:eastAsia="en-GB"/>
        </w:rPr>
        <w:t>were incubated for a further 24 </w:t>
      </w:r>
      <w:r w:rsidRPr="00193D40">
        <w:rPr>
          <w:lang w:eastAsia="en-GB"/>
        </w:rPr>
        <w:t>h at 37</w:t>
      </w:r>
      <w:r>
        <w:rPr>
          <w:lang w:eastAsia="en-GB"/>
        </w:rPr>
        <w:t xml:space="preserve"> </w:t>
      </w:r>
      <w:r w:rsidRPr="00193D40">
        <w:rPr>
          <w:lang w:eastAsia="en-GB"/>
        </w:rPr>
        <w:t>°C, 5 % CO</w:t>
      </w:r>
      <w:r w:rsidRPr="006A3918">
        <w:rPr>
          <w:vertAlign w:val="subscript"/>
          <w:lang w:eastAsia="en-GB"/>
        </w:rPr>
        <w:t>2</w:t>
      </w:r>
      <w:r>
        <w:rPr>
          <w:lang w:eastAsia="en-GB"/>
        </w:rPr>
        <w:t>. C</w:t>
      </w:r>
      <w:r w:rsidRPr="00193D40">
        <w:rPr>
          <w:lang w:eastAsia="en-GB"/>
        </w:rPr>
        <w:t xml:space="preserve">ell culture media containing </w:t>
      </w:r>
      <w:r>
        <w:rPr>
          <w:lang w:eastAsia="en-GB"/>
        </w:rPr>
        <w:t>compounds</w:t>
      </w:r>
      <w:r w:rsidRPr="00193D40">
        <w:rPr>
          <w:lang w:eastAsia="en-GB"/>
        </w:rPr>
        <w:t xml:space="preserve"> was removed and wells were washed with sterile </w:t>
      </w:r>
      <w:r>
        <w:rPr>
          <w:lang w:eastAsia="en-GB"/>
        </w:rPr>
        <w:t>PBS.</w:t>
      </w:r>
      <w:r w:rsidRPr="00193D40">
        <w:rPr>
          <w:lang w:eastAsia="en-GB"/>
        </w:rPr>
        <w:t xml:space="preserve"> A 1 mM solutio</w:t>
      </w:r>
      <w:r>
        <w:rPr>
          <w:lang w:eastAsia="en-GB"/>
        </w:rPr>
        <w:t>n of r</w:t>
      </w:r>
      <w:r w:rsidRPr="00193D40">
        <w:rPr>
          <w:lang w:eastAsia="en-GB"/>
        </w:rPr>
        <w:t xml:space="preserve">esazurin </w:t>
      </w:r>
      <w:r>
        <w:rPr>
          <w:lang w:eastAsia="en-GB"/>
        </w:rPr>
        <w:t>s</w:t>
      </w:r>
      <w:r w:rsidRPr="00193D40">
        <w:rPr>
          <w:lang w:eastAsia="en-GB"/>
        </w:rPr>
        <w:t xml:space="preserve">odium </w:t>
      </w:r>
      <w:r>
        <w:rPr>
          <w:lang w:eastAsia="en-GB"/>
        </w:rPr>
        <w:t>s</w:t>
      </w:r>
      <w:r w:rsidRPr="00193D40">
        <w:rPr>
          <w:lang w:eastAsia="en-GB"/>
        </w:rPr>
        <w:t>alt was prepared in cell culture media and 100 µL was added to each w</w:t>
      </w:r>
      <w:r>
        <w:rPr>
          <w:lang w:eastAsia="en-GB"/>
        </w:rPr>
        <w:t>ell. Cells were incubated for 4 </w:t>
      </w:r>
      <w:r w:rsidRPr="00193D40">
        <w:rPr>
          <w:lang w:eastAsia="en-GB"/>
        </w:rPr>
        <w:t>h at 37</w:t>
      </w:r>
      <w:r>
        <w:rPr>
          <w:lang w:eastAsia="en-GB"/>
        </w:rPr>
        <w:t xml:space="preserve"> </w:t>
      </w:r>
      <w:r w:rsidRPr="00193D40">
        <w:rPr>
          <w:lang w:eastAsia="en-GB"/>
        </w:rPr>
        <w:t>°C, 5 % CO</w:t>
      </w:r>
      <w:r w:rsidRPr="006A3918">
        <w:rPr>
          <w:vertAlign w:val="subscript"/>
          <w:lang w:eastAsia="en-GB"/>
        </w:rPr>
        <w:t>2</w:t>
      </w:r>
      <w:r>
        <w:rPr>
          <w:lang w:eastAsia="en-GB"/>
        </w:rPr>
        <w:t xml:space="preserve"> then the</w:t>
      </w:r>
      <w:r w:rsidRPr="00193D40">
        <w:rPr>
          <w:lang w:eastAsia="en-GB"/>
        </w:rPr>
        <w:t xml:space="preserve"> fluorescence was </w:t>
      </w:r>
      <w:r>
        <w:rPr>
          <w:lang w:eastAsia="en-GB"/>
        </w:rPr>
        <w:t>measured</w:t>
      </w:r>
      <w:r w:rsidRPr="00193D40">
        <w:rPr>
          <w:lang w:eastAsia="en-GB"/>
        </w:rPr>
        <w:t xml:space="preserve"> using a </w:t>
      </w:r>
      <w:r>
        <w:rPr>
          <w:lang w:eastAsia="en-GB"/>
        </w:rPr>
        <w:t>BIO-TEK Flx800 fluorescence microplate reader</w:t>
      </w:r>
      <w:r w:rsidRPr="00193D40">
        <w:rPr>
          <w:lang w:eastAsia="en-GB"/>
        </w:rPr>
        <w:t xml:space="preserve"> at </w:t>
      </w:r>
      <w:r>
        <w:rPr>
          <w:lang w:eastAsia="en-GB"/>
        </w:rPr>
        <w:t>excitation 540 nm, emission 635 </w:t>
      </w:r>
      <w:r w:rsidRPr="00193D40">
        <w:rPr>
          <w:lang w:eastAsia="en-GB"/>
        </w:rPr>
        <w:t xml:space="preserve">nm. All samples were run in triplicate and experiments were repeated three times. </w:t>
      </w:r>
      <w:r w:rsidRPr="000B6D37">
        <w:rPr>
          <w:color w:val="000000" w:themeColor="text1"/>
          <w:lang w:eastAsia="en-GB"/>
        </w:rPr>
        <w:t xml:space="preserve">Cell metabolism was expressed </w:t>
      </w:r>
      <w:r w:rsidR="00B3080F">
        <w:rPr>
          <w:lang w:eastAsia="en-GB"/>
        </w:rPr>
        <w:t>as</w:t>
      </w:r>
      <w:r w:rsidR="00D801AD">
        <w:rPr>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676"/>
      </w:tblGrid>
      <w:tr w:rsidR="004673FB" w14:paraId="221FFC10" w14:textId="77777777" w:rsidTr="00E95045">
        <w:trPr>
          <w:trHeight w:val="1304"/>
        </w:trPr>
        <w:tc>
          <w:tcPr>
            <w:tcW w:w="7508" w:type="dxa"/>
          </w:tcPr>
          <w:p w14:paraId="7B31CD31" w14:textId="77777777" w:rsidR="004673FB" w:rsidRPr="00203799" w:rsidRDefault="004673FB" w:rsidP="00E95045">
            <w:pPr>
              <w:rPr>
                <w:i/>
                <w:color w:val="000000" w:themeColor="text1"/>
                <w:sz w:val="10"/>
                <w:szCs w:val="10"/>
                <w:lang w:eastAsia="en-GB"/>
              </w:rPr>
            </w:pPr>
          </w:p>
          <w:p w14:paraId="4099DA72" w14:textId="0FFB7055" w:rsidR="004673FB" w:rsidRDefault="004673FB" w:rsidP="00E95045">
            <w:pPr>
              <w:rPr>
                <w:color w:val="000000" w:themeColor="text1"/>
                <w:lang w:eastAsia="en-GB"/>
              </w:rPr>
            </w:pPr>
            <m:oMathPara>
              <m:oMath>
                <m:r>
                  <m:rPr>
                    <m:sty m:val="p"/>
                  </m:rPr>
                  <w:rPr>
                    <w:rFonts w:ascii="Cambria Math" w:hAnsi="Cambria Math"/>
                    <w:color w:val="000000" w:themeColor="text1"/>
                    <w:lang w:eastAsia="en-GB"/>
                  </w:rPr>
                  <m:t xml:space="preserve">Cell metabolism </m:t>
                </m:r>
                <m:d>
                  <m:dPr>
                    <m:ctrlPr>
                      <w:rPr>
                        <w:rFonts w:ascii="Cambria Math" w:hAnsi="Cambria Math"/>
                        <w:color w:val="000000" w:themeColor="text1"/>
                        <w:lang w:eastAsia="en-GB"/>
                      </w:rPr>
                    </m:ctrlPr>
                  </m:dPr>
                  <m:e>
                    <m:r>
                      <m:rPr>
                        <m:sty m:val="p"/>
                      </m:rPr>
                      <w:rPr>
                        <w:rFonts w:ascii="Cambria Math" w:hAnsi="Cambria Math"/>
                        <w:color w:val="000000" w:themeColor="text1"/>
                        <w:lang w:eastAsia="en-GB"/>
                      </w:rPr>
                      <m:t>%</m:t>
                    </m:r>
                  </m:e>
                </m:d>
                <m:r>
                  <w:rPr>
                    <w:rFonts w:ascii="Cambria Math" w:hAnsi="Cambria Math"/>
                    <w:color w:val="000000" w:themeColor="text1"/>
                    <w:lang w:eastAsia="en-GB"/>
                  </w:rPr>
                  <m:t>=</m:t>
                </m:r>
                <m:d>
                  <m:dPr>
                    <m:ctrlPr>
                      <w:rPr>
                        <w:rFonts w:ascii="Cambria Math" w:hAnsi="Cambria Math"/>
                        <w:i/>
                        <w:color w:val="000000" w:themeColor="text1"/>
                        <w:lang w:eastAsia="en-GB"/>
                      </w:rPr>
                    </m:ctrlPr>
                  </m:dPr>
                  <m:e>
                    <m:f>
                      <m:fPr>
                        <m:ctrlPr>
                          <w:rPr>
                            <w:rFonts w:ascii="Cambria Math" w:hAnsi="Cambria Math"/>
                            <w:color w:val="000000" w:themeColor="text1"/>
                            <w:lang w:eastAsia="en-GB"/>
                          </w:rPr>
                        </m:ctrlPr>
                      </m:fPr>
                      <m:num>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exp</m:t>
                            </m:r>
                          </m:sub>
                        </m:sSub>
                        <m:r>
                          <w:rPr>
                            <w:rFonts w:ascii="Cambria Math" w:hAnsi="Cambria Math"/>
                            <w:color w:val="000000" w:themeColor="text1"/>
                            <w:lang w:eastAsia="en-GB"/>
                          </w:rPr>
                          <m:t xml:space="preserve">- </m:t>
                        </m:r>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blank</m:t>
                            </m:r>
                          </m:sub>
                        </m:sSub>
                      </m:num>
                      <m:den>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control</m:t>
                            </m:r>
                          </m:sub>
                        </m:sSub>
                        <m:r>
                          <w:rPr>
                            <w:rFonts w:ascii="Cambria Math" w:hAnsi="Cambria Math"/>
                            <w:color w:val="000000" w:themeColor="text1"/>
                            <w:lang w:eastAsia="en-GB"/>
                          </w:rPr>
                          <m:t>-</m:t>
                        </m:r>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blank</m:t>
                            </m:r>
                          </m:sub>
                        </m:sSub>
                      </m:den>
                    </m:f>
                  </m:e>
                </m:d>
                <m:r>
                  <w:rPr>
                    <w:rFonts w:ascii="Cambria Math" w:hAnsi="Cambria Math"/>
                    <w:color w:val="000000" w:themeColor="text1"/>
                    <w:lang w:eastAsia="en-GB"/>
                  </w:rPr>
                  <m:t>×100</m:t>
                </m:r>
              </m:oMath>
            </m:oMathPara>
          </w:p>
        </w:tc>
        <w:tc>
          <w:tcPr>
            <w:tcW w:w="674" w:type="dxa"/>
          </w:tcPr>
          <w:p w14:paraId="695E14D0" w14:textId="77777777" w:rsidR="004673FB" w:rsidRPr="00203799" w:rsidRDefault="004673FB" w:rsidP="00E95045">
            <w:pPr>
              <w:rPr>
                <w:sz w:val="15"/>
                <w:szCs w:val="15"/>
              </w:rPr>
            </w:pPr>
            <w:bookmarkStart w:id="174" w:name="_Ref519075784"/>
          </w:p>
          <w:p w14:paraId="595161C1" w14:textId="0E269625" w:rsidR="004673FB" w:rsidRDefault="004673FB" w:rsidP="00E95045">
            <w:pPr>
              <w:rPr>
                <w:color w:val="000000" w:themeColor="text1"/>
                <w:lang w:eastAsia="en-GB"/>
              </w:rPr>
            </w:pPr>
            <w:bookmarkStart w:id="175" w:name="_Ref519076461"/>
            <w:r>
              <w:t>(</w:t>
            </w:r>
            <w:r w:rsidR="00B868B6">
              <w:t>3.</w:t>
            </w:r>
            <w:r>
              <w:rPr>
                <w:noProof/>
              </w:rPr>
              <w:fldChar w:fldCharType="begin"/>
            </w:r>
            <w:r>
              <w:rPr>
                <w:noProof/>
              </w:rPr>
              <w:instrText xml:space="preserve"> SEQ Equation \* ARABIC </w:instrText>
            </w:r>
            <w:r>
              <w:rPr>
                <w:noProof/>
              </w:rPr>
              <w:fldChar w:fldCharType="separate"/>
            </w:r>
            <w:r w:rsidR="00E6157A">
              <w:rPr>
                <w:noProof/>
              </w:rPr>
              <w:t>2</w:t>
            </w:r>
            <w:r>
              <w:rPr>
                <w:noProof/>
              </w:rPr>
              <w:fldChar w:fldCharType="end"/>
            </w:r>
            <w:bookmarkEnd w:id="174"/>
            <w:bookmarkEnd w:id="175"/>
            <w:r>
              <w:t>)</w:t>
            </w:r>
          </w:p>
        </w:tc>
      </w:tr>
    </w:tbl>
    <w:p w14:paraId="4015A836" w14:textId="57D8B724" w:rsidR="004673FB" w:rsidRPr="003B6C2B" w:rsidRDefault="004673FB" w:rsidP="004673FB">
      <w:pPr>
        <w:rPr>
          <w:lang w:eastAsia="en-GB"/>
        </w:rPr>
      </w:pPr>
      <w:r>
        <w:rPr>
          <w:lang w:eastAsia="en-GB"/>
        </w:rPr>
        <w:t>where Fluor</w:t>
      </w:r>
      <w:r w:rsidRPr="003B6C2B">
        <w:rPr>
          <w:vertAlign w:val="subscript"/>
          <w:lang w:eastAsia="en-GB"/>
        </w:rPr>
        <w:t>exp</w:t>
      </w:r>
      <w:r>
        <w:rPr>
          <w:lang w:eastAsia="en-GB"/>
        </w:rPr>
        <w:t xml:space="preserve"> and Fluor</w:t>
      </w:r>
      <w:r w:rsidRPr="003B6C2B">
        <w:rPr>
          <w:vertAlign w:val="subscript"/>
          <w:lang w:eastAsia="en-GB"/>
        </w:rPr>
        <w:t>control</w:t>
      </w:r>
      <w:r>
        <w:rPr>
          <w:lang w:eastAsia="en-GB"/>
        </w:rPr>
        <w:t xml:space="preserve"> represent the amount of fluorescence produced by cells treated with different concentrations of prodrug and 0.5 % DMSO, respectively. Fluor</w:t>
      </w:r>
      <w:r w:rsidRPr="00203799">
        <w:rPr>
          <w:vertAlign w:val="subscript"/>
          <w:lang w:eastAsia="en-GB"/>
        </w:rPr>
        <w:t>blank</w:t>
      </w:r>
      <w:r>
        <w:rPr>
          <w:vertAlign w:val="subscript"/>
          <w:lang w:eastAsia="en-GB"/>
        </w:rPr>
        <w:t xml:space="preserve"> </w:t>
      </w:r>
      <w:r w:rsidRPr="00203799">
        <w:rPr>
          <w:lang w:eastAsia="en-GB"/>
        </w:rPr>
        <w:t>is the fluorescence</w:t>
      </w:r>
      <w:r>
        <w:rPr>
          <w:lang w:eastAsia="en-GB"/>
        </w:rPr>
        <w:t xml:space="preserve"> for the resazurin solution alone.</w:t>
      </w:r>
      <w:r w:rsidRPr="00203799">
        <w:rPr>
          <w:lang w:eastAsia="en-GB"/>
        </w:rPr>
        <w:t xml:space="preserve"> </w:t>
      </w:r>
      <w:r>
        <w:rPr>
          <w:lang w:eastAsia="en-GB"/>
        </w:rPr>
        <w:t>Statistical analysis was performed on Graphpad Prism version 7 using a 2</w:t>
      </w:r>
      <w:r>
        <w:rPr>
          <w:lang w:eastAsia="en-GB"/>
        </w:rPr>
        <w:noBreakHyphen/>
        <w:t xml:space="preserve">way ANOVA with Dunnett’s multiple comparisons test. An alpha value of 0.05 was used. The results are expressed as mean values ± standard deviation. </w:t>
      </w:r>
    </w:p>
    <w:p w14:paraId="19E2F483" w14:textId="77777777" w:rsidR="004673FB" w:rsidRPr="006A3918" w:rsidRDefault="004673FB" w:rsidP="003D132C">
      <w:pPr>
        <w:pStyle w:val="Heading3"/>
      </w:pPr>
      <w:bookmarkStart w:id="176" w:name="_Ref514148199"/>
      <w:bookmarkStart w:id="177" w:name="_Toc2451023"/>
      <w:r w:rsidRPr="00960415">
        <w:t>Effect of synthesised prodrugs</w:t>
      </w:r>
      <w:r>
        <w:t xml:space="preserve"> on c</w:t>
      </w:r>
      <w:r w:rsidRPr="006A3918">
        <w:t>ell membrane integrity</w:t>
      </w:r>
      <w:bookmarkEnd w:id="176"/>
      <w:bookmarkEnd w:id="177"/>
    </w:p>
    <w:p w14:paraId="32CB17B6" w14:textId="4F3E07D7" w:rsidR="004673FB" w:rsidRPr="009C656E" w:rsidRDefault="004673FB" w:rsidP="004673FB">
      <w:pPr>
        <w:rPr>
          <w:lang w:eastAsia="en-GB"/>
        </w:rPr>
      </w:pPr>
      <w:r>
        <w:rPr>
          <w:lang w:eastAsia="en-GB"/>
        </w:rPr>
        <w:t>The concentration of</w:t>
      </w:r>
      <w:r w:rsidRPr="00193D40">
        <w:rPr>
          <w:lang w:eastAsia="en-GB"/>
        </w:rPr>
        <w:t xml:space="preserve"> </w:t>
      </w:r>
      <w:r>
        <w:rPr>
          <w:lang w:eastAsia="en-GB"/>
        </w:rPr>
        <w:t xml:space="preserve">lactate dehydrogenase (LDH) </w:t>
      </w:r>
      <w:r w:rsidRPr="00193D40">
        <w:rPr>
          <w:lang w:eastAsia="en-GB"/>
        </w:rPr>
        <w:t xml:space="preserve">in cell culture </w:t>
      </w:r>
      <w:r>
        <w:rPr>
          <w:lang w:eastAsia="en-GB"/>
        </w:rPr>
        <w:t>media from cells</w:t>
      </w:r>
      <w:r w:rsidRPr="00193D40">
        <w:rPr>
          <w:lang w:eastAsia="en-GB"/>
        </w:rPr>
        <w:t xml:space="preserve"> treated with various concentrations of </w:t>
      </w:r>
      <w:r>
        <w:rPr>
          <w:lang w:eastAsia="en-GB"/>
        </w:rPr>
        <w:t>synthesised compounds</w:t>
      </w:r>
      <w:r w:rsidRPr="00193D40">
        <w:rPr>
          <w:lang w:eastAsia="en-GB"/>
        </w:rPr>
        <w:t xml:space="preserve"> was analysed using a commercial kit (cat #</w:t>
      </w:r>
      <w:r w:rsidRPr="00195EEF">
        <w:t xml:space="preserve"> </w:t>
      </w:r>
      <w:r w:rsidRPr="00195EEF">
        <w:rPr>
          <w:lang w:eastAsia="en-GB"/>
        </w:rPr>
        <w:t>88953</w:t>
      </w:r>
      <w:r>
        <w:rPr>
          <w:lang w:eastAsia="en-GB"/>
        </w:rPr>
        <w:t>, Thermo Fisher Scientific</w:t>
      </w:r>
      <w:r w:rsidRPr="00193D40">
        <w:rPr>
          <w:lang w:eastAsia="en-GB"/>
        </w:rPr>
        <w:t xml:space="preserve">). </w:t>
      </w:r>
      <w:r>
        <w:rPr>
          <w:lang w:eastAsia="en-GB"/>
        </w:rPr>
        <w:t xml:space="preserve">Primary </w:t>
      </w:r>
      <w:r w:rsidRPr="00193D40">
        <w:rPr>
          <w:lang w:eastAsia="en-GB"/>
        </w:rPr>
        <w:t xml:space="preserve">HDF were plated at </w:t>
      </w:r>
      <w:r>
        <w:rPr>
          <w:lang w:eastAsia="en-GB"/>
        </w:rPr>
        <w:t>10</w:t>
      </w:r>
      <w:r w:rsidRPr="00A47047">
        <w:rPr>
          <w:vertAlign w:val="superscript"/>
          <w:lang w:eastAsia="en-GB"/>
        </w:rPr>
        <w:t>4</w:t>
      </w:r>
      <w:r>
        <w:rPr>
          <w:lang w:eastAsia="en-GB"/>
        </w:rPr>
        <w:t xml:space="preserve"> cells/well in a </w:t>
      </w:r>
      <w:r w:rsidRPr="00193D40">
        <w:rPr>
          <w:lang w:eastAsia="en-GB"/>
        </w:rPr>
        <w:t xml:space="preserve">96-well </w:t>
      </w:r>
      <w:r w:rsidRPr="00335B2D">
        <w:rPr>
          <w:lang w:eastAsia="en-GB"/>
        </w:rPr>
        <w:t>culture plate (</w:t>
      </w:r>
      <w:r>
        <w:rPr>
          <w:lang w:eastAsia="en-GB"/>
        </w:rPr>
        <w:t xml:space="preserve">Corning Costar) </w:t>
      </w:r>
      <w:r w:rsidRPr="00193D40">
        <w:rPr>
          <w:lang w:eastAsia="en-GB"/>
        </w:rPr>
        <w:t xml:space="preserve">in </w:t>
      </w:r>
      <w:r>
        <w:rPr>
          <w:lang w:eastAsia="en-GB"/>
        </w:rPr>
        <w:t xml:space="preserve">fibroblast cell culture </w:t>
      </w:r>
      <w:r>
        <w:rPr>
          <w:lang w:eastAsia="en-GB"/>
        </w:rPr>
        <w:lastRenderedPageBreak/>
        <w:t xml:space="preserve">medium for </w:t>
      </w:r>
      <w:r w:rsidRPr="00193D40">
        <w:rPr>
          <w:lang w:eastAsia="en-GB"/>
        </w:rPr>
        <w:t>24 h at 37</w:t>
      </w:r>
      <w:r>
        <w:rPr>
          <w:lang w:eastAsia="en-GB"/>
        </w:rPr>
        <w:t xml:space="preserve"> </w:t>
      </w:r>
      <w:r w:rsidRPr="00193D40">
        <w:rPr>
          <w:lang w:eastAsia="en-GB"/>
        </w:rPr>
        <w:t>°C, 5 % CO</w:t>
      </w:r>
      <w:r w:rsidRPr="00725F03">
        <w:rPr>
          <w:vertAlign w:val="subscript"/>
          <w:lang w:eastAsia="en-GB"/>
        </w:rPr>
        <w:t>2</w:t>
      </w:r>
      <w:r w:rsidRPr="00193D40">
        <w:rPr>
          <w:lang w:eastAsia="en-GB"/>
        </w:rPr>
        <w:t xml:space="preserve">. </w:t>
      </w:r>
      <w:r>
        <w:rPr>
          <w:lang w:eastAsia="en-GB"/>
        </w:rPr>
        <w:t>After 24 </w:t>
      </w:r>
      <w:r w:rsidRPr="00193D40">
        <w:rPr>
          <w:lang w:eastAsia="en-GB"/>
        </w:rPr>
        <w:t>h</w:t>
      </w:r>
      <w:r w:rsidR="00B272D7">
        <w:rPr>
          <w:lang w:eastAsia="en-GB"/>
        </w:rPr>
        <w:t>,</w:t>
      </w:r>
      <w:r w:rsidRPr="00193D40">
        <w:rPr>
          <w:lang w:eastAsia="en-GB"/>
        </w:rPr>
        <w:t xml:space="preserve"> cell culture media was removed and replaced by </w:t>
      </w:r>
      <w:r w:rsidR="009C656E">
        <w:rPr>
          <w:lang w:eastAsia="en-GB"/>
        </w:rPr>
        <w:t xml:space="preserve">solutions of </w:t>
      </w:r>
      <w:r>
        <w:rPr>
          <w:lang w:eastAsia="en-GB"/>
        </w:rPr>
        <w:t>β</w:t>
      </w:r>
      <w:r>
        <w:rPr>
          <w:lang w:eastAsia="en-GB"/>
        </w:rPr>
        <w:noBreakHyphen/>
        <w:t xml:space="preserve">APN or </w:t>
      </w:r>
      <w:r w:rsidRPr="00193D40">
        <w:rPr>
          <w:lang w:eastAsia="en-GB"/>
        </w:rPr>
        <w:t>pro</w:t>
      </w:r>
      <w:r>
        <w:rPr>
          <w:lang w:eastAsia="en-GB"/>
        </w:rPr>
        <w:t xml:space="preserve">drug from 0.032 to 100 </w:t>
      </w:r>
      <w:r w:rsidR="00B272D7">
        <w:rPr>
          <w:lang w:eastAsia="en-GB"/>
        </w:rPr>
        <w:t>µM (0.5 </w:t>
      </w:r>
      <w:r w:rsidRPr="00193D40">
        <w:rPr>
          <w:lang w:eastAsia="en-GB"/>
        </w:rPr>
        <w:t>% DMSO). Plates were incubated at 37</w:t>
      </w:r>
      <w:r>
        <w:rPr>
          <w:lang w:eastAsia="en-GB"/>
        </w:rPr>
        <w:t xml:space="preserve"> </w:t>
      </w:r>
      <w:r w:rsidRPr="00193D40">
        <w:rPr>
          <w:lang w:eastAsia="en-GB"/>
        </w:rPr>
        <w:t>°C, 5 % CO</w:t>
      </w:r>
      <w:r w:rsidRPr="008E1DD4">
        <w:rPr>
          <w:vertAlign w:val="subscript"/>
          <w:lang w:eastAsia="en-GB"/>
        </w:rPr>
        <w:t>2</w:t>
      </w:r>
      <w:r w:rsidRPr="00193D40">
        <w:rPr>
          <w:lang w:eastAsia="en-GB"/>
        </w:rPr>
        <w:t xml:space="preserve">. After </w:t>
      </w:r>
      <w:r>
        <w:rPr>
          <w:lang w:eastAsia="en-GB"/>
        </w:rPr>
        <w:t xml:space="preserve">a further </w:t>
      </w:r>
      <w:r w:rsidRPr="00193D40">
        <w:rPr>
          <w:lang w:eastAsia="en-GB"/>
        </w:rPr>
        <w:t>24 h</w:t>
      </w:r>
      <w:r>
        <w:rPr>
          <w:lang w:eastAsia="en-GB"/>
        </w:rPr>
        <w:t>,</w:t>
      </w:r>
      <w:r w:rsidRPr="00193D40">
        <w:rPr>
          <w:lang w:eastAsia="en-GB"/>
        </w:rPr>
        <w:t xml:space="preserve"> 10 µL of </w:t>
      </w:r>
      <w:r>
        <w:rPr>
          <w:lang w:eastAsia="en-GB"/>
        </w:rPr>
        <w:t xml:space="preserve">lysis buffer was added to </w:t>
      </w:r>
      <w:r w:rsidRPr="00193D40">
        <w:rPr>
          <w:lang w:eastAsia="en-GB"/>
        </w:rPr>
        <w:t xml:space="preserve">wells </w:t>
      </w:r>
      <w:r>
        <w:rPr>
          <w:lang w:eastAsia="en-GB"/>
        </w:rPr>
        <w:t xml:space="preserve">in triplicate </w:t>
      </w:r>
      <w:r w:rsidRPr="00193D40">
        <w:rPr>
          <w:lang w:eastAsia="en-GB"/>
        </w:rPr>
        <w:t>as a maximum LDH rele</w:t>
      </w:r>
      <w:r>
        <w:rPr>
          <w:lang w:eastAsia="en-GB"/>
        </w:rPr>
        <w:t>ase control. After incubation for 45 minutes,</w:t>
      </w:r>
      <w:r w:rsidRPr="00193D40">
        <w:rPr>
          <w:lang w:eastAsia="en-GB"/>
        </w:rPr>
        <w:t xml:space="preserve"> 50 µL</w:t>
      </w:r>
      <w:r>
        <w:rPr>
          <w:lang w:eastAsia="en-GB"/>
        </w:rPr>
        <w:t xml:space="preserve"> of each sample</w:t>
      </w:r>
      <w:r w:rsidRPr="00193D40">
        <w:rPr>
          <w:lang w:eastAsia="en-GB"/>
        </w:rPr>
        <w:t xml:space="preserve"> was transferred to a new 96-well culture plate and 50 µL </w:t>
      </w:r>
      <w:r>
        <w:rPr>
          <w:lang w:eastAsia="en-GB"/>
        </w:rPr>
        <w:t xml:space="preserve">of assay reaction mix was added. </w:t>
      </w:r>
      <w:r w:rsidRPr="00193D40">
        <w:rPr>
          <w:lang w:eastAsia="en-GB"/>
        </w:rPr>
        <w:t>Plate</w:t>
      </w:r>
      <w:r>
        <w:rPr>
          <w:lang w:eastAsia="en-GB"/>
        </w:rPr>
        <w:t>s</w:t>
      </w:r>
      <w:r w:rsidRPr="00193D40">
        <w:rPr>
          <w:lang w:eastAsia="en-GB"/>
        </w:rPr>
        <w:t xml:space="preserve"> w</w:t>
      </w:r>
      <w:r>
        <w:rPr>
          <w:lang w:eastAsia="en-GB"/>
        </w:rPr>
        <w:t>ere</w:t>
      </w:r>
      <w:r w:rsidRPr="00193D40">
        <w:rPr>
          <w:lang w:eastAsia="en-GB"/>
        </w:rPr>
        <w:t xml:space="preserve"> incubated at room temperature for 2</w:t>
      </w:r>
      <w:r>
        <w:rPr>
          <w:lang w:eastAsia="en-GB"/>
        </w:rPr>
        <w:t>0 minutes then 50 </w:t>
      </w:r>
      <w:r w:rsidRPr="00193D40">
        <w:rPr>
          <w:lang w:eastAsia="en-GB"/>
        </w:rPr>
        <w:t xml:space="preserve">µL stop solution was added. Absorbance was measured on </w:t>
      </w:r>
      <w:r>
        <w:rPr>
          <w:lang w:eastAsia="en-GB"/>
        </w:rPr>
        <w:t>a BIO</w:t>
      </w:r>
      <w:r>
        <w:rPr>
          <w:lang w:eastAsia="en-GB"/>
        </w:rPr>
        <w:noBreakHyphen/>
        <w:t>TEK ELx800 absorbance microplate reader at 490 </w:t>
      </w:r>
      <w:r w:rsidRPr="00193D40">
        <w:rPr>
          <w:lang w:eastAsia="en-GB"/>
        </w:rPr>
        <w:t>nm and 680 nm, subtracting the 680 nm background f</w:t>
      </w:r>
      <w:r>
        <w:rPr>
          <w:lang w:eastAsia="en-GB"/>
        </w:rPr>
        <w:t>ro</w:t>
      </w:r>
      <w:r w:rsidRPr="00193D40">
        <w:rPr>
          <w:lang w:eastAsia="en-GB"/>
        </w:rPr>
        <w:t>m 490 nm values.</w:t>
      </w:r>
      <w:r>
        <w:rPr>
          <w:lang w:eastAsia="en-GB"/>
        </w:rPr>
        <w:t xml:space="preserve"> </w:t>
      </w:r>
      <w:r w:rsidRPr="00193D40">
        <w:rPr>
          <w:lang w:eastAsia="en-GB"/>
        </w:rPr>
        <w:t>Relati</w:t>
      </w:r>
      <w:r>
        <w:rPr>
          <w:lang w:eastAsia="en-GB"/>
        </w:rPr>
        <w:t xml:space="preserve">ve LDH release was defined </w:t>
      </w:r>
      <w:r w:rsidR="00B3080F">
        <w:rPr>
          <w:lang w:eastAsia="en-GB"/>
        </w:rPr>
        <w:t>as</w:t>
      </w:r>
      <w:r w:rsidR="00D801AD">
        <w:rPr>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676"/>
      </w:tblGrid>
      <w:tr w:rsidR="004673FB" w14:paraId="381BEA7A" w14:textId="77777777" w:rsidTr="00E95045">
        <w:trPr>
          <w:trHeight w:val="1134"/>
        </w:trPr>
        <w:tc>
          <w:tcPr>
            <w:tcW w:w="7508" w:type="dxa"/>
          </w:tcPr>
          <w:p w14:paraId="34597DF4" w14:textId="77777777" w:rsidR="004673FB" w:rsidRPr="0045399F" w:rsidRDefault="004673FB" w:rsidP="00E95045">
            <w:pPr>
              <w:rPr>
                <w:sz w:val="10"/>
                <w:szCs w:val="10"/>
              </w:rPr>
            </w:pPr>
          </w:p>
          <w:p w14:paraId="6841D580" w14:textId="037886AD" w:rsidR="004673FB" w:rsidRPr="0045399F" w:rsidRDefault="004B7228" w:rsidP="00E95045">
            <w:pPr>
              <w:rPr>
                <w:i/>
                <w:color w:val="000000" w:themeColor="text1"/>
                <w:sz w:val="10"/>
                <w:szCs w:val="10"/>
                <w:lang w:eastAsia="en-GB"/>
              </w:rPr>
            </w:pPr>
            <m:oMathPara>
              <m:oMath>
                <m:r>
                  <m:rPr>
                    <m:sty m:val="p"/>
                  </m:rPr>
                  <w:rPr>
                    <w:rFonts w:ascii="Cambria Math" w:hAnsi="Cambria Math"/>
                  </w:rPr>
                  <m:t xml:space="preserve">LDH release </m:t>
                </m:r>
                <m:d>
                  <m:dPr>
                    <m:ctrlPr>
                      <w:rPr>
                        <w:rFonts w:ascii="Cambria Math" w:hAnsi="Cambria Math"/>
                      </w:rPr>
                    </m:ctrlPr>
                  </m:dPr>
                  <m:e>
                    <m:r>
                      <m:rPr>
                        <m:sty m:val="p"/>
                      </m:rPr>
                      <w:rPr>
                        <w:rFonts w:ascii="Cambria Math" w:hAnsi="Cambria Math"/>
                      </w:rPr>
                      <m:t>%</m:t>
                    </m: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Abs</m:t>
                        </m:r>
                      </m:e>
                      <m:sub>
                        <m:r>
                          <w:rPr>
                            <w:rFonts w:ascii="Cambria Math" w:hAnsi="Cambria Math"/>
                          </w:rPr>
                          <m:t>exp</m:t>
                        </m:r>
                      </m:sub>
                    </m:sSub>
                    <m:sSub>
                      <m:sSubPr>
                        <m:ctrlPr>
                          <w:rPr>
                            <w:rFonts w:ascii="Cambria Math" w:hAnsi="Cambria Math"/>
                            <w:i/>
                          </w:rPr>
                        </m:ctrlPr>
                      </m:sSubPr>
                      <m:e>
                        <m:r>
                          <w:rPr>
                            <w:rFonts w:ascii="Cambria Math" w:hAnsi="Cambria Math"/>
                          </w:rPr>
                          <m:t>- Abs</m:t>
                        </m:r>
                      </m:e>
                      <m:sub>
                        <m:r>
                          <w:rPr>
                            <w:rFonts w:ascii="Cambria Math" w:hAnsi="Cambria Math"/>
                          </w:rPr>
                          <m:t>spont</m:t>
                        </m:r>
                      </m:sub>
                    </m:sSub>
                  </m:num>
                  <m:den>
                    <m:sSub>
                      <m:sSubPr>
                        <m:ctrlPr>
                          <w:rPr>
                            <w:rFonts w:ascii="Cambria Math" w:hAnsi="Cambria Math"/>
                            <w:i/>
                          </w:rPr>
                        </m:ctrlPr>
                      </m:sSubPr>
                      <m:e>
                        <m:r>
                          <w:rPr>
                            <w:rFonts w:ascii="Cambria Math" w:hAnsi="Cambria Math"/>
                          </w:rPr>
                          <m:t>Abs</m:t>
                        </m:r>
                      </m:e>
                      <m:sub>
                        <m:r>
                          <w:rPr>
                            <w:rFonts w:ascii="Cambria Math" w:hAnsi="Cambria Math"/>
                          </w:rPr>
                          <m:t>max</m:t>
                        </m:r>
                      </m:sub>
                    </m:sSub>
                  </m:den>
                </m:f>
                <m:r>
                  <w:rPr>
                    <w:rFonts w:ascii="Cambria Math" w:hAnsi="Cambria Math"/>
                  </w:rPr>
                  <m:t>)× 100</m:t>
                </m:r>
              </m:oMath>
            </m:oMathPara>
          </w:p>
        </w:tc>
        <w:tc>
          <w:tcPr>
            <w:tcW w:w="674" w:type="dxa"/>
          </w:tcPr>
          <w:p w14:paraId="40A883DD" w14:textId="77777777" w:rsidR="004673FB" w:rsidRPr="00203799" w:rsidRDefault="004673FB" w:rsidP="00E95045">
            <w:pPr>
              <w:rPr>
                <w:sz w:val="15"/>
                <w:szCs w:val="15"/>
              </w:rPr>
            </w:pPr>
          </w:p>
          <w:p w14:paraId="1BD79280" w14:textId="71A584D0" w:rsidR="004673FB" w:rsidRDefault="004673FB" w:rsidP="00E95045">
            <w:pPr>
              <w:rPr>
                <w:color w:val="000000" w:themeColor="text1"/>
                <w:lang w:eastAsia="en-GB"/>
              </w:rPr>
            </w:pPr>
            <w:bookmarkStart w:id="178" w:name="_Ref519076398"/>
            <w:r>
              <w:t>(</w:t>
            </w:r>
            <w:r w:rsidR="00B868B6">
              <w:t>3.</w:t>
            </w:r>
            <w:r>
              <w:rPr>
                <w:noProof/>
              </w:rPr>
              <w:fldChar w:fldCharType="begin"/>
            </w:r>
            <w:r>
              <w:rPr>
                <w:noProof/>
              </w:rPr>
              <w:instrText xml:space="preserve"> SEQ Equation \* ARABIC </w:instrText>
            </w:r>
            <w:r>
              <w:rPr>
                <w:noProof/>
              </w:rPr>
              <w:fldChar w:fldCharType="separate"/>
            </w:r>
            <w:r w:rsidR="00E6157A">
              <w:rPr>
                <w:noProof/>
              </w:rPr>
              <w:t>3</w:t>
            </w:r>
            <w:r>
              <w:rPr>
                <w:noProof/>
              </w:rPr>
              <w:fldChar w:fldCharType="end"/>
            </w:r>
            <w:bookmarkStart w:id="179" w:name="_Ref519076391"/>
            <w:bookmarkEnd w:id="178"/>
            <w:r>
              <w:t>)</w:t>
            </w:r>
            <w:bookmarkEnd w:id="179"/>
          </w:p>
        </w:tc>
      </w:tr>
    </w:tbl>
    <w:p w14:paraId="21FF2A15" w14:textId="53F87BC7" w:rsidR="004673FB" w:rsidRDefault="004673FB" w:rsidP="004673FB">
      <w:pPr>
        <w:rPr>
          <w:lang w:eastAsia="en-GB"/>
        </w:rPr>
      </w:pPr>
      <w:r>
        <w:rPr>
          <w:lang w:eastAsia="en-GB"/>
        </w:rPr>
        <w:t>where Abs</w:t>
      </w:r>
      <w:r w:rsidRPr="003B6C2B">
        <w:rPr>
          <w:vertAlign w:val="subscript"/>
          <w:lang w:eastAsia="en-GB"/>
        </w:rPr>
        <w:t>exp</w:t>
      </w:r>
      <w:r>
        <w:rPr>
          <w:lang w:eastAsia="en-GB"/>
        </w:rPr>
        <w:t xml:space="preserve"> and Abs</w:t>
      </w:r>
      <w:r>
        <w:rPr>
          <w:vertAlign w:val="subscript"/>
          <w:lang w:eastAsia="en-GB"/>
        </w:rPr>
        <w:t>spon</w:t>
      </w:r>
      <w:r w:rsidR="009C656E">
        <w:rPr>
          <w:vertAlign w:val="subscript"/>
          <w:lang w:eastAsia="en-GB"/>
        </w:rPr>
        <w:t>t</w:t>
      </w:r>
      <w:r>
        <w:rPr>
          <w:lang w:eastAsia="en-GB"/>
        </w:rPr>
        <w:t xml:space="preserve"> and Abs</w:t>
      </w:r>
      <w:r w:rsidRPr="003B6C2B">
        <w:rPr>
          <w:vertAlign w:val="subscript"/>
          <w:lang w:eastAsia="en-GB"/>
        </w:rPr>
        <w:t>max</w:t>
      </w:r>
      <w:r>
        <w:rPr>
          <w:lang w:eastAsia="en-GB"/>
        </w:rPr>
        <w:t xml:space="preserve"> represent the amount of lactate dehydrogenase for cells treated with different concentrations of prodrug, 0.5 % DMSO and lysis buffer control, respectively. </w:t>
      </w:r>
      <w:r w:rsidRPr="00193D40">
        <w:rPr>
          <w:lang w:eastAsia="en-GB"/>
        </w:rPr>
        <w:t xml:space="preserve">All samples were run in triplicate and experiments were repeated three times. </w:t>
      </w:r>
      <w:r>
        <w:rPr>
          <w:lang w:eastAsia="en-GB"/>
        </w:rPr>
        <w:t>The results are expressed as mean values ± standard deviation.</w:t>
      </w:r>
    </w:p>
    <w:p w14:paraId="54FE2059" w14:textId="2523BCE1" w:rsidR="004673FB" w:rsidRDefault="004673FB" w:rsidP="003D132C">
      <w:pPr>
        <w:pStyle w:val="Heading3"/>
        <w:rPr>
          <w:lang w:eastAsia="en-GB"/>
        </w:rPr>
      </w:pPr>
      <w:bookmarkStart w:id="180" w:name="_Toc2451024"/>
      <w:r w:rsidRPr="00960415">
        <w:rPr>
          <w:lang w:eastAsia="en-GB"/>
        </w:rPr>
        <w:t xml:space="preserve">Effect of </w:t>
      </w:r>
      <w:r w:rsidR="001C01B8">
        <w:rPr>
          <w:lang w:eastAsia="en-GB"/>
        </w:rPr>
        <w:t xml:space="preserve">prolonged treatment </w:t>
      </w:r>
      <w:r w:rsidR="008B1D7D" w:rsidRPr="006A3918">
        <w:t xml:space="preserve">with </w:t>
      </w:r>
      <w:r w:rsidR="008B1D7D">
        <w:t xml:space="preserve">high concentrations </w:t>
      </w:r>
      <w:r w:rsidR="001C01B8">
        <w:rPr>
          <w:lang w:eastAsia="en-GB"/>
        </w:rPr>
        <w:t xml:space="preserve">of </w:t>
      </w:r>
      <w:r w:rsidRPr="00960415">
        <w:rPr>
          <w:lang w:eastAsia="en-GB"/>
        </w:rPr>
        <w:t xml:space="preserve">synthesised </w:t>
      </w:r>
      <w:r w:rsidR="008B1D7D">
        <w:rPr>
          <w:lang w:eastAsia="en-GB"/>
        </w:rPr>
        <w:t>prodrugs</w:t>
      </w:r>
      <w:r w:rsidRPr="00960415">
        <w:rPr>
          <w:lang w:eastAsia="en-GB"/>
        </w:rPr>
        <w:t xml:space="preserve"> on </w:t>
      </w:r>
      <w:r w:rsidR="001C01B8">
        <w:rPr>
          <w:lang w:eastAsia="en-GB"/>
        </w:rPr>
        <w:t xml:space="preserve">the </w:t>
      </w:r>
      <w:r w:rsidRPr="00960415">
        <w:rPr>
          <w:lang w:eastAsia="en-GB"/>
        </w:rPr>
        <w:t>metabolic rate of cells</w:t>
      </w:r>
      <w:bookmarkEnd w:id="180"/>
    </w:p>
    <w:p w14:paraId="342BE36E" w14:textId="21C9F893" w:rsidR="004673FB" w:rsidRPr="007F3353" w:rsidRDefault="004673FB" w:rsidP="004673FB">
      <w:pPr>
        <w:rPr>
          <w:lang w:eastAsia="en-GB"/>
        </w:rPr>
      </w:pPr>
      <w:r w:rsidRPr="00193D40">
        <w:rPr>
          <w:lang w:eastAsia="en-GB"/>
        </w:rPr>
        <w:t xml:space="preserve">Primary </w:t>
      </w:r>
      <w:r>
        <w:rPr>
          <w:lang w:eastAsia="en-GB"/>
        </w:rPr>
        <w:t>HDF</w:t>
      </w:r>
      <w:r w:rsidRPr="00193D40">
        <w:rPr>
          <w:lang w:eastAsia="en-GB"/>
        </w:rPr>
        <w:t xml:space="preserve"> were iso</w:t>
      </w:r>
      <w:r>
        <w:rPr>
          <w:lang w:eastAsia="en-GB"/>
        </w:rPr>
        <w:t xml:space="preserve">lated as described in section </w:t>
      </w:r>
      <w:r>
        <w:rPr>
          <w:lang w:eastAsia="en-GB"/>
        </w:rPr>
        <w:fldChar w:fldCharType="begin"/>
      </w:r>
      <w:r>
        <w:rPr>
          <w:lang w:eastAsia="en-GB"/>
        </w:rPr>
        <w:instrText xml:space="preserve"> REF _Ref513980037 \r \h </w:instrText>
      </w:r>
      <w:r>
        <w:rPr>
          <w:lang w:eastAsia="en-GB"/>
        </w:rPr>
      </w:r>
      <w:r>
        <w:rPr>
          <w:lang w:eastAsia="en-GB"/>
        </w:rPr>
        <w:fldChar w:fldCharType="separate"/>
      </w:r>
      <w:r w:rsidR="00E6157A">
        <w:rPr>
          <w:lang w:eastAsia="en-GB"/>
        </w:rPr>
        <w:t>3.3.2</w:t>
      </w:r>
      <w:r>
        <w:rPr>
          <w:lang w:eastAsia="en-GB"/>
        </w:rPr>
        <w:fldChar w:fldCharType="end"/>
      </w:r>
      <w:r>
        <w:rPr>
          <w:lang w:eastAsia="en-GB"/>
        </w:rPr>
        <w:t xml:space="preserve"> and </w:t>
      </w:r>
      <w:r w:rsidRPr="00193D40">
        <w:rPr>
          <w:lang w:eastAsia="en-GB"/>
        </w:rPr>
        <w:t xml:space="preserve">plated at </w:t>
      </w:r>
      <w:r>
        <w:rPr>
          <w:lang w:eastAsia="en-GB"/>
        </w:rPr>
        <w:t>10</w:t>
      </w:r>
      <w:r w:rsidRPr="00A47047">
        <w:rPr>
          <w:vertAlign w:val="superscript"/>
          <w:lang w:eastAsia="en-GB"/>
        </w:rPr>
        <w:t>4</w:t>
      </w:r>
      <w:r w:rsidRPr="00193D40">
        <w:rPr>
          <w:lang w:eastAsia="en-GB"/>
        </w:rPr>
        <w:t xml:space="preserve"> cells</w:t>
      </w:r>
      <w:r>
        <w:rPr>
          <w:lang w:eastAsia="en-GB"/>
        </w:rPr>
        <w:t>/well in a</w:t>
      </w:r>
      <w:r w:rsidRPr="00193D40">
        <w:rPr>
          <w:lang w:eastAsia="en-GB"/>
        </w:rPr>
        <w:t xml:space="preserve"> 96-well culture </w:t>
      </w:r>
      <w:r>
        <w:rPr>
          <w:lang w:eastAsia="en-GB"/>
        </w:rPr>
        <w:t>(Corning Costar)</w:t>
      </w:r>
      <w:r w:rsidRPr="00193D40">
        <w:rPr>
          <w:lang w:eastAsia="en-GB"/>
        </w:rPr>
        <w:t xml:space="preserve"> in </w:t>
      </w:r>
      <w:r>
        <w:rPr>
          <w:lang w:eastAsia="en-GB"/>
        </w:rPr>
        <w:t xml:space="preserve">fibroblast cell culture medium for </w:t>
      </w:r>
      <w:r w:rsidRPr="00193D40">
        <w:rPr>
          <w:lang w:eastAsia="en-GB"/>
        </w:rPr>
        <w:t>24 h at 37</w:t>
      </w:r>
      <w:r w:rsidR="00EA0CCD">
        <w:rPr>
          <w:lang w:eastAsia="en-GB"/>
        </w:rPr>
        <w:t> </w:t>
      </w:r>
      <w:r w:rsidRPr="00193D40">
        <w:rPr>
          <w:lang w:eastAsia="en-GB"/>
        </w:rPr>
        <w:t>°C, 5 % CO</w:t>
      </w:r>
      <w:r w:rsidRPr="00725F03">
        <w:rPr>
          <w:vertAlign w:val="subscript"/>
          <w:lang w:eastAsia="en-GB"/>
        </w:rPr>
        <w:t>2</w:t>
      </w:r>
      <w:r w:rsidRPr="00193D40">
        <w:rPr>
          <w:lang w:eastAsia="en-GB"/>
        </w:rPr>
        <w:t xml:space="preserve">. </w:t>
      </w:r>
      <w:r>
        <w:rPr>
          <w:lang w:eastAsia="en-GB"/>
        </w:rPr>
        <w:t>Plates were prepared in triplicate. Synthesised compounds</w:t>
      </w:r>
      <w:r w:rsidRPr="00193D40">
        <w:rPr>
          <w:lang w:eastAsia="en-GB"/>
        </w:rPr>
        <w:t xml:space="preserve"> were </w:t>
      </w:r>
      <w:r>
        <w:rPr>
          <w:lang w:eastAsia="en-GB"/>
        </w:rPr>
        <w:t xml:space="preserve">dissolved in sterile-filtered DMSO and diluted in fibroblast cell culture media to a concentration of 5 mM (1 % DMSO). Compound </w:t>
      </w:r>
      <w:r w:rsidRPr="005F6663">
        <w:rPr>
          <w:b/>
          <w:lang w:eastAsia="en-GB"/>
        </w:rPr>
        <w:t>3b</w:t>
      </w:r>
      <w:r>
        <w:rPr>
          <w:lang w:eastAsia="en-GB"/>
        </w:rPr>
        <w:t xml:space="preserve"> displayed solubility issues at this concentration and therefore was prepared at 2.5 mM (1 % DMSO). After 24 h</w:t>
      </w:r>
      <w:r w:rsidR="00B272D7">
        <w:rPr>
          <w:lang w:eastAsia="en-GB"/>
        </w:rPr>
        <w:t>,</w:t>
      </w:r>
      <w:r w:rsidRPr="00193D40">
        <w:rPr>
          <w:lang w:eastAsia="en-GB"/>
        </w:rPr>
        <w:t xml:space="preserve"> cell culture media was removed and replaced with 100 µL </w:t>
      </w:r>
      <w:r>
        <w:rPr>
          <w:lang w:eastAsia="en-GB"/>
        </w:rPr>
        <w:t>compound</w:t>
      </w:r>
      <w:r w:rsidRPr="00193D40">
        <w:rPr>
          <w:lang w:eastAsia="en-GB"/>
        </w:rPr>
        <w:t xml:space="preserve"> solution. </w:t>
      </w:r>
      <w:r>
        <w:rPr>
          <w:lang w:eastAsia="en-GB"/>
        </w:rPr>
        <w:t xml:space="preserve">Plates </w:t>
      </w:r>
      <w:r w:rsidRPr="00193D40">
        <w:rPr>
          <w:lang w:eastAsia="en-GB"/>
        </w:rPr>
        <w:t>were incubated at 37</w:t>
      </w:r>
      <w:r>
        <w:rPr>
          <w:lang w:eastAsia="en-GB"/>
        </w:rPr>
        <w:t xml:space="preserve"> </w:t>
      </w:r>
      <w:r w:rsidRPr="00193D40">
        <w:rPr>
          <w:lang w:eastAsia="en-GB"/>
        </w:rPr>
        <w:t>°C, 5 % CO</w:t>
      </w:r>
      <w:r w:rsidRPr="00725F03">
        <w:rPr>
          <w:vertAlign w:val="subscript"/>
          <w:lang w:eastAsia="en-GB"/>
        </w:rPr>
        <w:t>2</w:t>
      </w:r>
      <w:r>
        <w:rPr>
          <w:lang w:eastAsia="en-GB"/>
        </w:rPr>
        <w:t xml:space="preserve"> for 24, 48 and 72 hours.</w:t>
      </w:r>
      <w:r w:rsidRPr="00193D40">
        <w:rPr>
          <w:lang w:eastAsia="en-GB"/>
        </w:rPr>
        <w:t xml:space="preserve"> </w:t>
      </w:r>
      <w:r>
        <w:rPr>
          <w:lang w:eastAsia="en-GB"/>
        </w:rPr>
        <w:t>At the appropriate timepoint,</w:t>
      </w:r>
      <w:r w:rsidRPr="00193D40">
        <w:rPr>
          <w:lang w:eastAsia="en-GB"/>
        </w:rPr>
        <w:t xml:space="preserve"> cell culture media was removed and wells were washed with sterile </w:t>
      </w:r>
      <w:r>
        <w:rPr>
          <w:lang w:eastAsia="en-GB"/>
        </w:rPr>
        <w:t>PBS. The resazurin sodium salt assay was carried out as described in section</w:t>
      </w:r>
      <w:r w:rsidR="00B272D7">
        <w:rPr>
          <w:lang w:eastAsia="en-GB"/>
        </w:rPr>
        <w:t xml:space="preserve"> </w:t>
      </w:r>
      <w:r w:rsidR="009C656E">
        <w:rPr>
          <w:lang w:eastAsia="en-GB"/>
        </w:rPr>
        <w:fldChar w:fldCharType="begin"/>
      </w:r>
      <w:r w:rsidR="009C656E">
        <w:rPr>
          <w:lang w:eastAsia="en-GB"/>
        </w:rPr>
        <w:instrText xml:space="preserve"> REF _Ref530682527 \r \h </w:instrText>
      </w:r>
      <w:r w:rsidR="009C656E">
        <w:rPr>
          <w:lang w:eastAsia="en-GB"/>
        </w:rPr>
      </w:r>
      <w:r w:rsidR="009C656E">
        <w:rPr>
          <w:lang w:eastAsia="en-GB"/>
        </w:rPr>
        <w:fldChar w:fldCharType="separate"/>
      </w:r>
      <w:r w:rsidR="00E6157A">
        <w:rPr>
          <w:lang w:eastAsia="en-GB"/>
        </w:rPr>
        <w:t>3.3.9</w:t>
      </w:r>
      <w:r w:rsidR="009C656E">
        <w:rPr>
          <w:lang w:eastAsia="en-GB"/>
        </w:rPr>
        <w:fldChar w:fldCharType="end"/>
      </w:r>
      <w:r w:rsidR="009C656E">
        <w:rPr>
          <w:lang w:eastAsia="en-GB"/>
        </w:rPr>
        <w:t>.</w:t>
      </w:r>
      <w:r>
        <w:rPr>
          <w:lang w:eastAsia="en-GB"/>
        </w:rPr>
        <w:t xml:space="preserve"> </w:t>
      </w:r>
      <w:r w:rsidRPr="00193D40">
        <w:rPr>
          <w:lang w:eastAsia="en-GB"/>
        </w:rPr>
        <w:t>All samples were run in triplicate and experiments were repeated three times.</w:t>
      </w:r>
      <w:r>
        <w:rPr>
          <w:lang w:eastAsia="en-GB"/>
        </w:rPr>
        <w:t xml:space="preserve"> Cell viability was calculated using equation </w:t>
      </w:r>
      <w:r>
        <w:rPr>
          <w:lang w:eastAsia="en-GB"/>
        </w:rPr>
        <w:fldChar w:fldCharType="begin"/>
      </w:r>
      <w:r>
        <w:rPr>
          <w:lang w:eastAsia="en-GB"/>
        </w:rPr>
        <w:instrText xml:space="preserve"> REF _Ref519076461 \h </w:instrText>
      </w:r>
      <w:r>
        <w:rPr>
          <w:lang w:eastAsia="en-GB"/>
        </w:rPr>
      </w:r>
      <w:r>
        <w:rPr>
          <w:lang w:eastAsia="en-GB"/>
        </w:rPr>
        <w:fldChar w:fldCharType="separate"/>
      </w:r>
      <w:r w:rsidR="00E6157A">
        <w:t>(3.</w:t>
      </w:r>
      <w:r w:rsidR="00E6157A">
        <w:rPr>
          <w:noProof/>
        </w:rPr>
        <w:t>2</w:t>
      </w:r>
      <w:r>
        <w:rPr>
          <w:lang w:eastAsia="en-GB"/>
        </w:rPr>
        <w:fldChar w:fldCharType="end"/>
      </w:r>
      <w:r>
        <w:rPr>
          <w:lang w:eastAsia="en-GB"/>
        </w:rPr>
        <w:t xml:space="preserve">). </w:t>
      </w:r>
      <w:r w:rsidRPr="00C324C6">
        <w:rPr>
          <w:lang w:eastAsia="en-GB"/>
        </w:rPr>
        <w:t>The results are expressed as individual values with error bars for the mean ± standard deviation.</w:t>
      </w:r>
      <w:r w:rsidRPr="007F3353">
        <w:rPr>
          <w:lang w:eastAsia="en-GB"/>
        </w:rPr>
        <w:t xml:space="preserve"> </w:t>
      </w:r>
    </w:p>
    <w:p w14:paraId="12C0B86C" w14:textId="46FF256F" w:rsidR="004673FB" w:rsidRPr="006A3918" w:rsidRDefault="008B1D7D" w:rsidP="003D132C">
      <w:pPr>
        <w:pStyle w:val="Heading3"/>
      </w:pPr>
      <w:bookmarkStart w:id="181" w:name="_Toc2451025"/>
      <w:r w:rsidRPr="00960415">
        <w:rPr>
          <w:lang w:eastAsia="en-GB"/>
        </w:rPr>
        <w:lastRenderedPageBreak/>
        <w:t xml:space="preserve">Effect of </w:t>
      </w:r>
      <w:r>
        <w:rPr>
          <w:lang w:eastAsia="en-GB"/>
        </w:rPr>
        <w:t xml:space="preserve">prolonged treatment </w:t>
      </w:r>
      <w:r w:rsidRPr="006A3918">
        <w:t xml:space="preserve">with </w:t>
      </w:r>
      <w:r>
        <w:t xml:space="preserve">high concentrations </w:t>
      </w:r>
      <w:r>
        <w:rPr>
          <w:lang w:eastAsia="en-GB"/>
        </w:rPr>
        <w:t xml:space="preserve">of </w:t>
      </w:r>
      <w:r w:rsidRPr="00960415">
        <w:rPr>
          <w:lang w:eastAsia="en-GB"/>
        </w:rPr>
        <w:t xml:space="preserve">synthesised </w:t>
      </w:r>
      <w:r>
        <w:rPr>
          <w:lang w:eastAsia="en-GB"/>
        </w:rPr>
        <w:t>prodrugs</w:t>
      </w:r>
      <w:r w:rsidRPr="00960415">
        <w:rPr>
          <w:lang w:eastAsia="en-GB"/>
        </w:rPr>
        <w:t xml:space="preserve"> on</w:t>
      </w:r>
      <w:r>
        <w:t xml:space="preserve"> c</w:t>
      </w:r>
      <w:r w:rsidR="004673FB" w:rsidRPr="006A3918">
        <w:t>ell membrane integrity</w:t>
      </w:r>
      <w:bookmarkEnd w:id="181"/>
      <w:r w:rsidR="004673FB" w:rsidRPr="006A3918">
        <w:t xml:space="preserve"> </w:t>
      </w:r>
    </w:p>
    <w:p w14:paraId="066FC953" w14:textId="7B533E9A" w:rsidR="004673FB" w:rsidRPr="008269F4" w:rsidRDefault="004673FB" w:rsidP="004673FB">
      <w:pPr>
        <w:rPr>
          <w:lang w:eastAsia="en-GB"/>
        </w:rPr>
      </w:pPr>
      <w:r w:rsidRPr="00193D40">
        <w:rPr>
          <w:lang w:eastAsia="en-GB"/>
        </w:rPr>
        <w:t xml:space="preserve">Primary human dermal fibroblasts </w:t>
      </w:r>
      <w:r>
        <w:rPr>
          <w:lang w:eastAsia="en-GB"/>
        </w:rPr>
        <w:t xml:space="preserve">(HDF) </w:t>
      </w:r>
      <w:r w:rsidRPr="00193D40">
        <w:rPr>
          <w:lang w:eastAsia="en-GB"/>
        </w:rPr>
        <w:t>were iso</w:t>
      </w:r>
      <w:r>
        <w:rPr>
          <w:lang w:eastAsia="en-GB"/>
        </w:rPr>
        <w:t xml:space="preserve">lated as described in section </w:t>
      </w:r>
      <w:r>
        <w:rPr>
          <w:lang w:eastAsia="en-GB"/>
        </w:rPr>
        <w:fldChar w:fldCharType="begin"/>
      </w:r>
      <w:r>
        <w:rPr>
          <w:lang w:eastAsia="en-GB"/>
        </w:rPr>
        <w:instrText xml:space="preserve"> REF _Ref513980037 \r \h </w:instrText>
      </w:r>
      <w:r>
        <w:rPr>
          <w:lang w:eastAsia="en-GB"/>
        </w:rPr>
      </w:r>
      <w:r>
        <w:rPr>
          <w:lang w:eastAsia="en-GB"/>
        </w:rPr>
        <w:fldChar w:fldCharType="separate"/>
      </w:r>
      <w:r w:rsidR="00E6157A">
        <w:rPr>
          <w:lang w:eastAsia="en-GB"/>
        </w:rPr>
        <w:t>3.3.2</w:t>
      </w:r>
      <w:r>
        <w:rPr>
          <w:lang w:eastAsia="en-GB"/>
        </w:rPr>
        <w:fldChar w:fldCharType="end"/>
      </w:r>
      <w:r>
        <w:rPr>
          <w:lang w:eastAsia="en-GB"/>
        </w:rPr>
        <w:t xml:space="preserve"> and </w:t>
      </w:r>
      <w:r w:rsidRPr="00193D40">
        <w:rPr>
          <w:lang w:eastAsia="en-GB"/>
        </w:rPr>
        <w:t xml:space="preserve">plated at </w:t>
      </w:r>
      <w:r>
        <w:rPr>
          <w:lang w:eastAsia="en-GB"/>
        </w:rPr>
        <w:t>10</w:t>
      </w:r>
      <w:r w:rsidRPr="00A47047">
        <w:rPr>
          <w:vertAlign w:val="superscript"/>
          <w:lang w:eastAsia="en-GB"/>
        </w:rPr>
        <w:t>4</w:t>
      </w:r>
      <w:r w:rsidRPr="00193D40">
        <w:rPr>
          <w:lang w:eastAsia="en-GB"/>
        </w:rPr>
        <w:t xml:space="preserve"> cells</w:t>
      </w:r>
      <w:r>
        <w:rPr>
          <w:lang w:eastAsia="en-GB"/>
        </w:rPr>
        <w:t>/well in a</w:t>
      </w:r>
      <w:r w:rsidRPr="00193D40">
        <w:rPr>
          <w:lang w:eastAsia="en-GB"/>
        </w:rPr>
        <w:t xml:space="preserve"> 96-well culture </w:t>
      </w:r>
      <w:r>
        <w:rPr>
          <w:lang w:eastAsia="en-GB"/>
        </w:rPr>
        <w:t>(Corning Costar)</w:t>
      </w:r>
      <w:r w:rsidRPr="00193D40">
        <w:rPr>
          <w:lang w:eastAsia="en-GB"/>
        </w:rPr>
        <w:t xml:space="preserve"> in </w:t>
      </w:r>
      <w:r>
        <w:rPr>
          <w:lang w:eastAsia="en-GB"/>
        </w:rPr>
        <w:t xml:space="preserve">fibroblast cell culture medium for </w:t>
      </w:r>
      <w:r w:rsidRPr="00193D40">
        <w:rPr>
          <w:lang w:eastAsia="en-GB"/>
        </w:rPr>
        <w:t>24 h at 37</w:t>
      </w:r>
      <w:r>
        <w:rPr>
          <w:lang w:eastAsia="en-GB"/>
        </w:rPr>
        <w:t xml:space="preserve"> </w:t>
      </w:r>
      <w:r w:rsidRPr="00193D40">
        <w:rPr>
          <w:lang w:eastAsia="en-GB"/>
        </w:rPr>
        <w:t>°C, 5 % CO</w:t>
      </w:r>
      <w:r w:rsidRPr="00725F03">
        <w:rPr>
          <w:vertAlign w:val="subscript"/>
          <w:lang w:eastAsia="en-GB"/>
        </w:rPr>
        <w:t>2</w:t>
      </w:r>
      <w:r w:rsidRPr="00193D40">
        <w:rPr>
          <w:lang w:eastAsia="en-GB"/>
        </w:rPr>
        <w:t xml:space="preserve">. </w:t>
      </w:r>
      <w:r>
        <w:rPr>
          <w:lang w:eastAsia="en-GB"/>
        </w:rPr>
        <w:t>Plates were prepared in triplicate. Synthesised compounds</w:t>
      </w:r>
      <w:r w:rsidRPr="00193D40">
        <w:rPr>
          <w:lang w:eastAsia="en-GB"/>
        </w:rPr>
        <w:t xml:space="preserve"> were </w:t>
      </w:r>
      <w:r>
        <w:rPr>
          <w:lang w:eastAsia="en-GB"/>
        </w:rPr>
        <w:t xml:space="preserve">dissolved in sterile-filtered DMSO and diluted in fibroblast cell culture media to a concentration of 5 mM (1 % DMSO). Compound </w:t>
      </w:r>
      <w:r w:rsidRPr="007B6028">
        <w:rPr>
          <w:b/>
          <w:lang w:eastAsia="en-GB"/>
        </w:rPr>
        <w:t>3b</w:t>
      </w:r>
      <w:r>
        <w:rPr>
          <w:lang w:eastAsia="en-GB"/>
        </w:rPr>
        <w:t xml:space="preserve"> displayed solubility issues at this concentration and therefore was prepared at 2.5 mM (1 % DMSO). After 24 h</w:t>
      </w:r>
      <w:r w:rsidRPr="00193D40">
        <w:rPr>
          <w:lang w:eastAsia="en-GB"/>
        </w:rPr>
        <w:t xml:space="preserve"> cell culture media was removed and replaced with 100 µL </w:t>
      </w:r>
      <w:r>
        <w:rPr>
          <w:lang w:eastAsia="en-GB"/>
        </w:rPr>
        <w:t>compound</w:t>
      </w:r>
      <w:r w:rsidRPr="00193D40">
        <w:rPr>
          <w:lang w:eastAsia="en-GB"/>
        </w:rPr>
        <w:t xml:space="preserve"> solution. </w:t>
      </w:r>
      <w:r>
        <w:rPr>
          <w:lang w:eastAsia="en-GB"/>
        </w:rPr>
        <w:t xml:space="preserve">Plates </w:t>
      </w:r>
      <w:r w:rsidRPr="00193D40">
        <w:rPr>
          <w:lang w:eastAsia="en-GB"/>
        </w:rPr>
        <w:t>were incubated at 37</w:t>
      </w:r>
      <w:r>
        <w:rPr>
          <w:lang w:eastAsia="en-GB"/>
        </w:rPr>
        <w:t xml:space="preserve"> </w:t>
      </w:r>
      <w:r w:rsidRPr="00193D40">
        <w:rPr>
          <w:lang w:eastAsia="en-GB"/>
        </w:rPr>
        <w:t>°C, 5 % CO</w:t>
      </w:r>
      <w:r w:rsidRPr="00725F03">
        <w:rPr>
          <w:vertAlign w:val="subscript"/>
          <w:lang w:eastAsia="en-GB"/>
        </w:rPr>
        <w:t>2</w:t>
      </w:r>
      <w:r>
        <w:rPr>
          <w:lang w:eastAsia="en-GB"/>
        </w:rPr>
        <w:t xml:space="preserve"> for 24, 48 and 72 hours.</w:t>
      </w:r>
      <w:r w:rsidRPr="00193D40">
        <w:rPr>
          <w:lang w:eastAsia="en-GB"/>
        </w:rPr>
        <w:t xml:space="preserve"> </w:t>
      </w:r>
      <w:r>
        <w:rPr>
          <w:lang w:eastAsia="en-GB"/>
        </w:rPr>
        <w:t>At the appropriate timepoint</w:t>
      </w:r>
      <w:r w:rsidR="009C656E">
        <w:rPr>
          <w:lang w:eastAsia="en-GB"/>
        </w:rPr>
        <w:t xml:space="preserve"> t</w:t>
      </w:r>
      <w:r>
        <w:rPr>
          <w:lang w:eastAsia="en-GB"/>
        </w:rPr>
        <w:t xml:space="preserve">he LDH cell membrane integrity assay was carried out as described in section </w:t>
      </w:r>
      <w:r>
        <w:rPr>
          <w:lang w:eastAsia="en-GB"/>
        </w:rPr>
        <w:fldChar w:fldCharType="begin"/>
      </w:r>
      <w:r>
        <w:rPr>
          <w:lang w:eastAsia="en-GB"/>
        </w:rPr>
        <w:instrText xml:space="preserve"> REF _Ref514148199 \r \h </w:instrText>
      </w:r>
      <w:r>
        <w:rPr>
          <w:lang w:eastAsia="en-GB"/>
        </w:rPr>
      </w:r>
      <w:r>
        <w:rPr>
          <w:lang w:eastAsia="en-GB"/>
        </w:rPr>
        <w:fldChar w:fldCharType="separate"/>
      </w:r>
      <w:r w:rsidR="00E6157A">
        <w:rPr>
          <w:lang w:eastAsia="en-GB"/>
        </w:rPr>
        <w:t>3.3.10</w:t>
      </w:r>
      <w:r>
        <w:rPr>
          <w:lang w:eastAsia="en-GB"/>
        </w:rPr>
        <w:fldChar w:fldCharType="end"/>
      </w:r>
      <w:r>
        <w:rPr>
          <w:lang w:eastAsia="en-GB"/>
        </w:rPr>
        <w:t xml:space="preserve">. </w:t>
      </w:r>
      <w:r w:rsidRPr="00193D40">
        <w:rPr>
          <w:lang w:eastAsia="en-GB"/>
        </w:rPr>
        <w:t>Relati</w:t>
      </w:r>
      <w:r>
        <w:rPr>
          <w:lang w:eastAsia="en-GB"/>
        </w:rPr>
        <w:t>ve LDH release was</w:t>
      </w:r>
      <w:r w:rsidRPr="00193D40">
        <w:rPr>
          <w:lang w:eastAsia="en-GB"/>
        </w:rPr>
        <w:t xml:space="preserve"> defined </w:t>
      </w:r>
      <w:r>
        <w:rPr>
          <w:lang w:eastAsia="en-GB"/>
        </w:rPr>
        <w:t xml:space="preserve">by equation </w:t>
      </w:r>
      <w:r>
        <w:rPr>
          <w:highlight w:val="yellow"/>
          <w:lang w:eastAsia="en-GB"/>
        </w:rPr>
        <w:fldChar w:fldCharType="begin"/>
      </w:r>
      <w:r>
        <w:rPr>
          <w:lang w:eastAsia="en-GB"/>
        </w:rPr>
        <w:instrText xml:space="preserve"> REF _Ref519076398 \h </w:instrText>
      </w:r>
      <w:r>
        <w:rPr>
          <w:highlight w:val="yellow"/>
          <w:lang w:eastAsia="en-GB"/>
        </w:rPr>
      </w:r>
      <w:r>
        <w:rPr>
          <w:highlight w:val="yellow"/>
          <w:lang w:eastAsia="en-GB"/>
        </w:rPr>
        <w:fldChar w:fldCharType="separate"/>
      </w:r>
      <w:r w:rsidR="00E6157A">
        <w:t>(3.</w:t>
      </w:r>
      <w:r w:rsidR="00E6157A">
        <w:rPr>
          <w:noProof/>
        </w:rPr>
        <w:t>3</w:t>
      </w:r>
      <w:r>
        <w:rPr>
          <w:highlight w:val="yellow"/>
          <w:lang w:eastAsia="en-GB"/>
        </w:rPr>
        <w:fldChar w:fldCharType="end"/>
      </w:r>
      <w:r>
        <w:rPr>
          <w:lang w:eastAsia="en-GB"/>
        </w:rPr>
        <w:t xml:space="preserve">). </w:t>
      </w:r>
      <w:r w:rsidRPr="00193D40">
        <w:rPr>
          <w:lang w:eastAsia="en-GB"/>
        </w:rPr>
        <w:t xml:space="preserve">All samples were run in triplicate and experiments were repeated three times. </w:t>
      </w:r>
      <w:r w:rsidRPr="00C324C6">
        <w:rPr>
          <w:lang w:eastAsia="en-GB"/>
        </w:rPr>
        <w:t>The results are expressed as individual values with error bars for the mean ± standard deviation.</w:t>
      </w:r>
      <w:r w:rsidRPr="008269F4">
        <w:rPr>
          <w:lang w:eastAsia="en-GB"/>
        </w:rPr>
        <w:t xml:space="preserve"> </w:t>
      </w:r>
    </w:p>
    <w:p w14:paraId="098B3093" w14:textId="77777777" w:rsidR="004673FB" w:rsidRDefault="004673FB" w:rsidP="003D132C">
      <w:pPr>
        <w:pStyle w:val="Heading2"/>
      </w:pPr>
      <w:bookmarkStart w:id="182" w:name="_Toc2451026"/>
      <w:r>
        <w:t>Results and Discussion</w:t>
      </w:r>
      <w:bookmarkEnd w:id="182"/>
    </w:p>
    <w:p w14:paraId="2F5D28B2" w14:textId="527022C7" w:rsidR="004673FB" w:rsidRPr="00AC4941" w:rsidRDefault="004673FB" w:rsidP="004673FB">
      <w:pPr>
        <w:rPr>
          <w:u w:val="single"/>
        </w:rPr>
      </w:pPr>
      <w:r>
        <w:t xml:space="preserve">A commercial peroxidase-coupled fluorometric lysyl oxidase activity assay was obtained to measure enzyme activity </w:t>
      </w:r>
      <w:r w:rsidRPr="00FA55C8">
        <w:t xml:space="preserve">following treatment with the </w:t>
      </w:r>
      <w:r>
        <w:t>β</w:t>
      </w:r>
      <w:r>
        <w:noBreakHyphen/>
      </w:r>
      <w:r w:rsidRPr="00FA55C8">
        <w:t>APN prodrugs. On the manufacturer’s recommendation</w:t>
      </w:r>
      <w:r>
        <w:t>,</w:t>
      </w:r>
      <w:r w:rsidRPr="00FA55C8">
        <w:t xml:space="preserve"> a commercial </w:t>
      </w:r>
      <w:r>
        <w:t xml:space="preserve">enzyme </w:t>
      </w:r>
      <w:r w:rsidRPr="00FA55C8">
        <w:t>standard of recombinant human lysyl oxidase-like 2 (LOXL2) homolog was purchased from R&amp;D systems.</w:t>
      </w:r>
      <w:r>
        <w:t xml:space="preserve"> </w:t>
      </w:r>
      <w:r w:rsidRPr="007A6644">
        <w:rPr>
          <w:color w:val="000000" w:themeColor="text1"/>
        </w:rPr>
        <w:t>LOXL2 is</w:t>
      </w:r>
      <w:r>
        <w:rPr>
          <w:color w:val="000000" w:themeColor="text1"/>
        </w:rPr>
        <w:t xml:space="preserve"> one of five members from</w:t>
      </w:r>
      <w:r w:rsidRPr="007A6644">
        <w:rPr>
          <w:color w:val="000000" w:themeColor="text1"/>
        </w:rPr>
        <w:t xml:space="preserve"> the same family o</w:t>
      </w:r>
      <w:r>
        <w:rPr>
          <w:color w:val="000000" w:themeColor="text1"/>
        </w:rPr>
        <w:t>f amine oxidases, with their</w:t>
      </w:r>
      <w:r w:rsidRPr="007A6644">
        <w:rPr>
          <w:color w:val="000000" w:themeColor="text1"/>
        </w:rPr>
        <w:t xml:space="preserve"> function to </w:t>
      </w:r>
      <w:r>
        <w:rPr>
          <w:color w:val="000000" w:themeColor="text1"/>
        </w:rPr>
        <w:t>deaminate specific lysine groups on collagen and elastin fibre</w:t>
      </w:r>
      <w:r w:rsidRPr="007A6644">
        <w:rPr>
          <w:color w:val="000000" w:themeColor="text1"/>
        </w:rPr>
        <w:t>s</w:t>
      </w:r>
      <w:r>
        <w:rPr>
          <w:color w:val="000000" w:themeColor="text1"/>
        </w:rPr>
        <w:t xml:space="preserve"> to produce highly reactive aldehyde moieties</w:t>
      </w:r>
      <w:r w:rsidRPr="007A6644">
        <w:rPr>
          <w:color w:val="000000" w:themeColor="text1"/>
        </w:rPr>
        <w:t>.</w:t>
      </w:r>
      <w:r>
        <w:rPr>
          <w:color w:val="000000" w:themeColor="text1"/>
        </w:rPr>
        <w:fldChar w:fldCharType="begin" w:fldLock="1"/>
      </w:r>
      <w:r w:rsidR="0085447D">
        <w:rPr>
          <w:color w:val="000000" w:themeColor="text1"/>
        </w:rPr>
        <w:instrText>ADDIN CSL_CITATION {"citationItems":[{"id":"ITEM-1","itemData":{"DOI":"10.1007/s00018-006-6149-9","ISBN":"1420-682X (Print)\\n1420-682X (Linking)","ISSN":"1420682X","PMID":"16909208","abstract":"Lysyl oxidase (LOX) oxidizes the side chain of peptidyl lysine converting specific lysine residues to residues of alpha-aminoadipic-delta-semialdehyde. This posttranslational chemical change permits the covalent crosslinking of the component chains of collagen and those of elastin, thus stabilizing the fibrous deposits of these proteins in the extracellular matrix. Four LOX-like (LOXL) proteins with varying degrees of similarity to LOX have been described, constituting a family of related proteins. LOX is synthesized as a preproprotein which emerges from the cell as proLOX and then is processed to the active enzyme by proteolysis. In addition to elastin and collagen, LOX can oxidize lysine within a variety of cationic proteins, suggesting that its functions extend beyond its role in the stabilization of the extracellular matrix. Indeed, recent findings reveal that LOX and LOXL proteins markedly influence cell behavior including chemotactic responses, proliferation, and shifts between the normal and malignant phenotypes.","author":[{"dropping-particle":"","family":"Lucero","given":"H. A.","non-dropping-particle":"","parse-names":false,"suffix":""},{"dropping-particle":"","family":"Kagan","given":"H. M.","non-dropping-particle":"","parse-names":false,"suffix":""}],"container-title":"Cellular and Molecular Life Sciences","id":"ITEM-1","issue":"19-20","issued":{"date-parts":[["2006"]]},"page":"2304-2316","title":"Lysyl oxidase: An oxidative enzyme and effector of cell function","type":"article-journal","volume":"63"},"uris":["http://www.mendeley.com/documents/?uuid=72705299-6ac3-4e65-b1e1-9e5de1020540"]}],"mendeley":{"formattedCitation":"&lt;sup&gt;81&lt;/sup&gt;","plainTextFormattedCitation":"81","previouslyFormattedCitation":"&lt;sup&gt;81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81</w:t>
      </w:r>
      <w:r>
        <w:rPr>
          <w:color w:val="000000" w:themeColor="text1"/>
        </w:rPr>
        <w:fldChar w:fldCharType="end"/>
      </w:r>
      <w:r w:rsidRPr="007A6644">
        <w:t xml:space="preserve"> </w:t>
      </w:r>
      <w:r>
        <w:t>The 5 members of the lysyl oxidase family are found to have a well conserved catalytic domain within the C-terminus of the protein.</w:t>
      </w:r>
      <w:r>
        <w:fldChar w:fldCharType="begin" w:fldLock="1"/>
      </w:r>
      <w:r w:rsidR="0085447D">
        <w:instrText>ADDIN CSL_CITATION {"citationItems":[{"id":"ITEM-1","itemData":{"DOI":"10.1074/jbc.M109.094136","ISBN":"0021-9258","ISSN":"00219258","PMID":"20439985","abstract":"In this report, we assessed the steady-state enzymatic activity of lysyl oxidase-like 2 (LOXL2) against the substrates 1,5-diaminopentane (DAP), spermine, and fibrillar type I collagen. We find that both DAP and spermine are capable of activating LOXL2 to the same extent and have similar Michaelis constants (K(m) approximately 1 mm) and catalytic rates (k(cat) approximately 0.02 s(-1)). We also show that LOXL2 is capable of being inhibited by a known suicide inhibitor of lysyl oxidase (LOX), beta-aminopropionitrile, which we find is a potent inhibitor of LOXL2 activity. The modality of inhibition of beta-aminopropionitrile was also examined and found to be competitive with respect to the substrates DAP and spermine. In addition, we identified an antibody inhibitor (AB0023) of LOXL2 enzymatic function and have found that the inhibition occurs in a non-competitive manner with respect to both spermine and DAP. The binding epitope of AB0023 was mapped to the scavenger receptor cysteine-rich domain four of human LOXL2. AB0023 binds to a region remote from the catalytic domain making AB0023 an allosteric inhibitor of LOXL2. This affords AB0023 several advantages, because it is specific for LOXL2 and inhibits the enzymatic function of LOXL2 in a non-competitive manner thereby allowing inhibition of LOXL2 regardless of substrate concentration. These results suggest that antibody allosteric modulators of enzymatic function represent a novel drug development strategy and, in the context of LOXL2, suggest that inhibitors such as these might be useful therapeutics in oncology, fibrosis, and inflammation.","author":[{"dropping-particle":"","family":"Rodriguez","given":"Hector M.","non-dropping-particle":"","parse-names":false,"suffix":""},{"dropping-particle":"","family":"Vaysberg","given":"Maria","non-dropping-particle":"","parse-names":false,"suffix":""},{"dropping-particle":"","family":"Mikels","given":"Amanda","non-dropping-particle":"","parse-names":false,"suffix":""},{"dropping-particle":"","family":"McCauley","given":"Scott","non-dropping-particle":"","parse-names":false,"suffix":""},{"dropping-particle":"","family":"Velayo","given":"Arleene C.","non-dropping-particle":"","parse-names":false,"suffix":""},{"dropping-particle":"","family":"Garcia","given":"Carlos","non-dropping-particle":"","parse-names":false,"suffix":""},{"dropping-particle":"","family":"Smith","given":"Victoria","non-dropping-particle":"","parse-names":false,"suffix":""}],"container-title":"Journal of Biological Chemistry","id":"ITEM-1","issue":"27","issued":{"date-parts":[["2010"]]},"page":"20964-20974","title":"Modulation of lysyl oxidase-like 2 enzymatic activity by an allosteric antibody inhibitor","type":"article-journal","volume":"285"},"uris":["http://www.mendeley.com/documents/?uuid=db75fbba-7747-4b6a-81d8-8ecaa75a1a16"]}],"mendeley":{"formattedCitation":"&lt;sup&gt;205&lt;/sup&gt;","plainTextFormattedCitation":"205","previouslyFormattedCitation":"&lt;sup&gt;205&lt;/sup&gt;"},"properties":{"noteIndex":0},"schema":"https://github.com/citation-style-language/schema/raw/master/csl-citation.json"}</w:instrText>
      </w:r>
      <w:r>
        <w:fldChar w:fldCharType="separate"/>
      </w:r>
      <w:r w:rsidR="00B02713" w:rsidRPr="00B02713">
        <w:rPr>
          <w:noProof/>
          <w:vertAlign w:val="superscript"/>
        </w:rPr>
        <w:t>205</w:t>
      </w:r>
      <w:r>
        <w:fldChar w:fldCharType="end"/>
      </w:r>
      <w:r>
        <w:t xml:space="preserve"> </w:t>
      </w:r>
      <w:r w:rsidRPr="007A6644">
        <w:t xml:space="preserve">Since </w:t>
      </w:r>
      <w:r>
        <w:t>β</w:t>
      </w:r>
      <w:r w:rsidRPr="007A6644">
        <w:noBreakHyphen/>
        <w:t>APN is an irreversible active site inhibitor,</w:t>
      </w:r>
      <w:r>
        <w:rPr>
          <w:u w:val="single"/>
        </w:rPr>
        <w:fldChar w:fldCharType="begin" w:fldLock="1"/>
      </w:r>
      <w:r w:rsidR="0085447D">
        <w:rPr>
          <w:u w:val="single"/>
        </w:rPr>
        <w:instrText xml:space="preserve">ADDIN CSL_CITATION {"citationItems":[{"id":"ITEM-1","itemData":{"DOI":"10.1016/S0344-0338(11)80995-7","ISBN":"0344-0338","ISSN":"03440338","PMID":"7899140","abstract":"Lysyl oxidase oxidizes peptidyl lysine in collagen and elastin substrates to residues of α-aminoadipic-δ-semialdehyde. The peptidyl aldehydes can then undergo spontaneous condensations with unreacted </w:instrText>
      </w:r>
      <w:r w:rsidR="0085447D">
        <w:rPr>
          <w:rFonts w:ascii="Cambria Math" w:hAnsi="Cambria Math" w:cs="Cambria Math"/>
          <w:u w:val="single"/>
        </w:rPr>
        <w:instrText>∈</w:instrText>
      </w:r>
      <w:r w:rsidR="0085447D">
        <w:rPr>
          <w:u w:val="single"/>
        </w:rPr>
        <w:instrText>-amino groups and with neighboring aldehyde functions, thus forming the covalent crosslinkages which convert elastin and collagen into insoluble fibers. The unique role of lysyl oxidase in the post-translational modification of these proteins qualifies this enzymatic reaction as a potentially pivotal site of biological and/or chemotherapeutic control of collagen fiber deposition. Recent advances in the study of the catalytic mechanism, in the development of active site inhibitors, and in the biosynthesis and regulation of this unusual catalyst are reviewed as are studies on the response of lysyl oxidase in fibrotic liver. © 1994, Gustav Fischer Verlag · Stuttgart · Jena · New York. All rights reserved.","author":[{"dropping-particle":"","family":"Kagan","given":"H. M.","non-dropping-particle":"","parse-names":false,"suffix":""}],"container-title":"Pathology Research and Practice","id":"ITEM-1","issue":"9-10","issued":{"date-parts":[["1994"]]},"page":"910-919","publisher":"Gustav Fischer Verlag · Stuttgart · Jena · New York","title":"Lysyl Oxidase: Mechanism, Regulation and Relationship to Liver Fibrosis","type":"article-journal","volume":"190"},"uris":["http://www.mendeley.com/documents/?uuid=8e0b6727-9aea-404f-adce-4e5426d8fcad"]}],"mendeley":{"formattedCitation":"&lt;sup&gt;206&lt;/sup&gt;","plainTextFormattedCitation":"206","previouslyFormattedCitation":"&lt;sup&gt;206&lt;/sup&gt;"},"properties":{"noteIndex":0},"schema":"https://github.com/citation-style-language/schema/raw/master/csl-citation.json"}</w:instrText>
      </w:r>
      <w:r>
        <w:rPr>
          <w:u w:val="single"/>
        </w:rPr>
        <w:fldChar w:fldCharType="separate"/>
      </w:r>
      <w:r w:rsidR="00B02713" w:rsidRPr="00B02713">
        <w:rPr>
          <w:noProof/>
          <w:vertAlign w:val="superscript"/>
        </w:rPr>
        <w:t>206</w:t>
      </w:r>
      <w:r>
        <w:rPr>
          <w:u w:val="single"/>
        </w:rPr>
        <w:fldChar w:fldCharType="end"/>
      </w:r>
      <w:r w:rsidRPr="00AC4941">
        <w:t xml:space="preserve"> and studies have shown that </w:t>
      </w:r>
      <w:r>
        <w:t>β</w:t>
      </w:r>
      <w:r w:rsidRPr="007A6644">
        <w:noBreakHyphen/>
        <w:t>APN</w:t>
      </w:r>
      <w:r>
        <w:t xml:space="preserve"> is able to inhibit the catalytic function of LOXL2,</w:t>
      </w:r>
      <w:r>
        <w:fldChar w:fldCharType="begin" w:fldLock="1"/>
      </w:r>
      <w:r w:rsidR="0085447D">
        <w:instrText>ADDIN CSL_CITATION {"citationItems":[{"id":"ITEM-1","itemData":{"DOI":"10.1074/jbc.M109.094136","ISBN":"0021-9258","ISSN":"00219258","PMID":"20439985","abstract":"In this report, we assessed the steady-state enzymatic activity of lysyl oxidase-like 2 (LOXL2) against the substrates 1,5-diaminopentane (DAP), spermine, and fibrillar type I collagen. We find that both DAP and spermine are capable of activating LOXL2 to the same extent and have similar Michaelis constants (K(m) approximately 1 mm) and catalytic rates (k(cat) approximately 0.02 s(-1)). We also show that LOXL2 is capable of being inhibited by a known suicide inhibitor of lysyl oxidase (LOX), beta-aminopropionitrile, which we find is a potent inhibitor of LOXL2 activity. The modality of inhibition of beta-aminopropionitrile was also examined and found to be competitive with respect to the substrates DAP and spermine. In addition, we identified an antibody inhibitor (AB0023) of LOXL2 enzymatic function and have found that the inhibition occurs in a non-competitive manner with respect to both spermine and DAP. The binding epitope of AB0023 was mapped to the scavenger receptor cysteine-rich domain four of human LOXL2. AB0023 binds to a region remote from the catalytic domain making AB0023 an allosteric inhibitor of LOXL2. This affords AB0023 several advantages, because it is specific for LOXL2 and inhibits the enzymatic function of LOXL2 in a non-competitive manner thereby allowing inhibition of LOXL2 regardless of substrate concentration. These results suggest that antibody allosteric modulators of enzymatic function represent a novel drug development strategy and, in the context of LOXL2, suggest that inhibitors such as these might be useful therapeutics in oncology, fibrosis, and inflammation.","author":[{"dropping-particle":"","family":"Rodriguez","given":"Hector M.","non-dropping-particle":"","parse-names":false,"suffix":""},{"dropping-particle":"","family":"Vaysberg","given":"Maria","non-dropping-particle":"","parse-names":false,"suffix":""},{"dropping-particle":"","family":"Mikels","given":"Amanda","non-dropping-particle":"","parse-names":false,"suffix":""},{"dropping-particle":"","family":"McCauley","given":"Scott","non-dropping-particle":"","parse-names":false,"suffix":""},{"dropping-particle":"","family":"Velayo","given":"Arleene C.","non-dropping-particle":"","parse-names":false,"suffix":""},{"dropping-particle":"","family":"Garcia","given":"Carlos","non-dropping-particle":"","parse-names":false,"suffix":""},{"dropping-particle":"","family":"Smith","given":"Victoria","non-dropping-particle":"","parse-names":false,"suffix":""}],"container-title":"Journal of Biological Chemistry","id":"ITEM-1","issue":"27","issued":{"date-parts":[["2010"]]},"page":"20964-20974","title":"Modulation of lysyl oxidase-like 2 enzymatic activity by an allosteric antibody inhibitor","type":"article-journal","volume":"285"},"uris":["http://www.mendeley.com/documents/?uuid=db75fbba-7747-4b6a-81d8-8ecaa75a1a16"]}],"mendeley":{"formattedCitation":"&lt;sup&gt;205&lt;/sup&gt;","plainTextFormattedCitation":"205","previouslyFormattedCitation":"&lt;sup&gt;205&lt;/sup&gt;"},"properties":{"noteIndex":0},"schema":"https://github.com/citation-style-language/schema/raw/master/csl-citation.json"}</w:instrText>
      </w:r>
      <w:r>
        <w:fldChar w:fldCharType="separate"/>
      </w:r>
      <w:r w:rsidR="00B02713" w:rsidRPr="00B02713">
        <w:rPr>
          <w:noProof/>
          <w:vertAlign w:val="superscript"/>
        </w:rPr>
        <w:t>205</w:t>
      </w:r>
      <w:r>
        <w:fldChar w:fldCharType="end"/>
      </w:r>
      <w:r>
        <w:t xml:space="preserve"> it was decided </w:t>
      </w:r>
      <w:r w:rsidRPr="00AC4941">
        <w:t>that LOXL2 would be a suitable standard to investigate inhibition of enzyme activity by the prodrugs.</w:t>
      </w:r>
      <w:r w:rsidRPr="0080233A">
        <w:rPr>
          <w:u w:val="single"/>
        </w:rPr>
        <w:t xml:space="preserve">   </w:t>
      </w:r>
    </w:p>
    <w:p w14:paraId="23EF043D" w14:textId="77777777" w:rsidR="004673FB" w:rsidRDefault="004673FB" w:rsidP="003D132C">
      <w:pPr>
        <w:pStyle w:val="Heading3"/>
      </w:pPr>
      <w:bookmarkStart w:id="183" w:name="_Toc2451027"/>
      <w:r>
        <w:t>Effect of incubation time on response in lysyl oxidase activity assay</w:t>
      </w:r>
      <w:bookmarkEnd w:id="183"/>
    </w:p>
    <w:p w14:paraId="23826E41" w14:textId="0DC00099" w:rsidR="004673FB" w:rsidRDefault="004673FB" w:rsidP="004673FB">
      <w:r>
        <w:t xml:space="preserve">To determine an appropriate timescale for the assay incubation period, an initial experiment compared the fluorescence response for a standard curve of LOXL2 </w:t>
      </w:r>
      <w:r w:rsidR="002C54FB">
        <w:t xml:space="preserve">activity </w:t>
      </w:r>
      <w:r>
        <w:t>when incubated with assay reagent for 20 and 30 minutes (</w:t>
      </w:r>
      <w:r>
        <w:fldChar w:fldCharType="begin"/>
      </w:r>
      <w:r>
        <w:instrText xml:space="preserve"> REF _Ref513535854 \h </w:instrText>
      </w:r>
      <w:r>
        <w:fldChar w:fldCharType="separate"/>
      </w:r>
      <w:r w:rsidR="00E6157A" w:rsidRPr="009D71E0">
        <w:t xml:space="preserve">Figure </w:t>
      </w:r>
      <w:r w:rsidR="00E6157A">
        <w:rPr>
          <w:noProof/>
        </w:rPr>
        <w:t>3</w:t>
      </w:r>
      <w:r w:rsidR="00E6157A">
        <w:t>.</w:t>
      </w:r>
      <w:r w:rsidR="00E6157A">
        <w:rPr>
          <w:noProof/>
        </w:rPr>
        <w:t>2</w:t>
      </w:r>
      <w:r>
        <w:fldChar w:fldCharType="end"/>
      </w:r>
      <w:r>
        <w:t xml:space="preserve">). It was </w:t>
      </w:r>
      <w:r>
        <w:lastRenderedPageBreak/>
        <w:t xml:space="preserve">found that after 20 minutes of incubation a sufficient fluorescence response was achieved without reaching the detector’s limits. Comparing the response for the enzyme incubated for 20 and 30 minutes with the assay reagent, the fluorescence was found to be similar for the two time points, leading to the conclusion that no benefit was </w:t>
      </w:r>
      <w:r w:rsidRPr="00F905B3">
        <w:t xml:space="preserve">achieved by </w:t>
      </w:r>
      <w:r>
        <w:t>incubating the enzyme with assay reagent for longer than 20 minutes. As a result, a 20</w:t>
      </w:r>
      <w:r>
        <w:noBreakHyphen/>
        <w:t xml:space="preserve">minute incubation period was used in all future experiments.  </w:t>
      </w:r>
    </w:p>
    <w:p w14:paraId="5DCC8223" w14:textId="77777777" w:rsidR="004673FB" w:rsidRDefault="004673FB" w:rsidP="004673FB">
      <w:pPr>
        <w:keepNext/>
        <w:jc w:val="center"/>
      </w:pPr>
      <w:r w:rsidRPr="0011659C">
        <w:rPr>
          <w:noProof/>
          <w:lang w:eastAsia="en-GB"/>
        </w:rPr>
        <w:drawing>
          <wp:inline distT="0" distB="0" distL="0" distR="0" wp14:anchorId="3374A0B1" wp14:editId="20574A5B">
            <wp:extent cx="3498112" cy="258655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98112" cy="2586552"/>
                    </a:xfrm>
                    <a:prstGeom prst="rect">
                      <a:avLst/>
                    </a:prstGeom>
                  </pic:spPr>
                </pic:pic>
              </a:graphicData>
            </a:graphic>
          </wp:inline>
        </w:drawing>
      </w:r>
    </w:p>
    <w:p w14:paraId="09A96058" w14:textId="54F93B48" w:rsidR="004673FB" w:rsidRPr="00EA0CCD" w:rsidRDefault="004673FB" w:rsidP="009D71E0">
      <w:pPr>
        <w:pStyle w:val="Caption"/>
        <w:jc w:val="both"/>
        <w:rPr>
          <w:b w:val="0"/>
        </w:rPr>
      </w:pPr>
      <w:bookmarkStart w:id="184" w:name="_Ref513535854"/>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2</w:t>
      </w:r>
      <w:r w:rsidR="00BE21E4">
        <w:rPr>
          <w:noProof/>
        </w:rPr>
        <w:fldChar w:fldCharType="end"/>
      </w:r>
      <w:bookmarkEnd w:id="184"/>
      <w:r w:rsidRPr="00EA0CCD">
        <w:rPr>
          <w:b w:val="0"/>
        </w:rPr>
        <w:t>. Fluorescence due to lysyl oxidase-like 2 (LOXL2) activity in a peroxidase-coupled fluorometric assay after incubation with assay reagent for 20 and 30 minutes at 37 </w:t>
      </w:r>
      <w:r w:rsidR="002B3486">
        <w:rPr>
          <w:b w:val="0"/>
        </w:rPr>
        <w:sym w:font="Symbol" w:char="F0B0"/>
      </w:r>
      <w:r w:rsidRPr="00EA0CCD">
        <w:rPr>
          <w:b w:val="0"/>
        </w:rPr>
        <w:t xml:space="preserve">C. </w:t>
      </w:r>
      <w:r w:rsidRPr="00EA0CCD">
        <w:rPr>
          <w:b w:val="0"/>
          <w:lang w:eastAsia="en-GB"/>
        </w:rPr>
        <w:t>The results are expressed as mean values ± standard deviation.</w:t>
      </w:r>
    </w:p>
    <w:p w14:paraId="41E1CB76" w14:textId="3F42E82F" w:rsidR="004673FB" w:rsidRPr="00C83D5B" w:rsidRDefault="004673FB" w:rsidP="003D132C">
      <w:pPr>
        <w:pStyle w:val="Heading3"/>
      </w:pPr>
      <w:bookmarkStart w:id="185" w:name="_Toc2451028"/>
      <w:r>
        <w:t xml:space="preserve">Concentration of </w:t>
      </w:r>
      <w:r w:rsidR="009C656E">
        <w:t>lysyl oxidase-like 2</w:t>
      </w:r>
      <w:r>
        <w:t xml:space="preserve"> required for inhibition assay</w:t>
      </w:r>
      <w:bookmarkEnd w:id="185"/>
    </w:p>
    <w:p w14:paraId="60DE6DAE" w14:textId="3F54BEBA" w:rsidR="004673FB" w:rsidRPr="00255477" w:rsidRDefault="004673FB" w:rsidP="004673FB">
      <w:pPr>
        <w:rPr>
          <w:color w:val="000000" w:themeColor="text1"/>
        </w:rPr>
      </w:pPr>
      <w:r w:rsidRPr="00BC1040">
        <w:rPr>
          <w:color w:val="000000" w:themeColor="text1"/>
        </w:rPr>
        <w:t xml:space="preserve">To </w:t>
      </w:r>
      <w:r>
        <w:rPr>
          <w:color w:val="000000" w:themeColor="text1"/>
        </w:rPr>
        <w:t>examine</w:t>
      </w:r>
      <w:r w:rsidRPr="00BC1040">
        <w:rPr>
          <w:color w:val="000000" w:themeColor="text1"/>
        </w:rPr>
        <w:t xml:space="preserve"> the</w:t>
      </w:r>
      <w:r>
        <w:rPr>
          <w:color w:val="000000" w:themeColor="text1"/>
        </w:rPr>
        <w:t xml:space="preserve">ir ability to inhibit LOXL2, </w:t>
      </w:r>
      <w:r w:rsidRPr="00BC1040">
        <w:rPr>
          <w:color w:val="000000" w:themeColor="text1"/>
        </w:rPr>
        <w:t>the synthesised prodrugs</w:t>
      </w:r>
      <w:r>
        <w:rPr>
          <w:color w:val="000000" w:themeColor="text1"/>
        </w:rPr>
        <w:t xml:space="preserve"> </w:t>
      </w:r>
      <w:r w:rsidRPr="00BC1040">
        <w:rPr>
          <w:color w:val="000000" w:themeColor="text1"/>
        </w:rPr>
        <w:t xml:space="preserve">needed to be </w:t>
      </w:r>
      <w:r>
        <w:rPr>
          <w:color w:val="000000" w:themeColor="text1"/>
        </w:rPr>
        <w:t xml:space="preserve">tested </w:t>
      </w:r>
      <w:r w:rsidRPr="00BC1040">
        <w:rPr>
          <w:color w:val="000000" w:themeColor="text1"/>
        </w:rPr>
        <w:t xml:space="preserve">with a known concentration of enzyme. Due to the high cost associated with the LOLX2 </w:t>
      </w:r>
      <w:r>
        <w:rPr>
          <w:color w:val="000000" w:themeColor="text1"/>
        </w:rPr>
        <w:t>standard</w:t>
      </w:r>
      <w:r w:rsidRPr="00BC1040">
        <w:rPr>
          <w:color w:val="000000" w:themeColor="text1"/>
        </w:rPr>
        <w:t>, it was desirable to find the lowest concentration of enzyme that could provide the largest assay window.</w:t>
      </w:r>
      <w:r>
        <w:rPr>
          <w:color w:val="000000" w:themeColor="text1"/>
        </w:rPr>
        <w:t xml:space="preserve"> To accomplish this, samples of LOXL2 from 0.02</w:t>
      </w:r>
      <w:r w:rsidR="002C54FB">
        <w:rPr>
          <w:color w:val="000000" w:themeColor="text1"/>
        </w:rPr>
        <w:t xml:space="preserve"> to 2.0 </w:t>
      </w:r>
      <w:r>
        <w:rPr>
          <w:color w:val="000000" w:themeColor="text1"/>
        </w:rPr>
        <w:t>µg/mL were incubated with increasing concentrations of β-APN. LOXL2 activity for each sample was detected using the LOX fluorescent activity assay (</w:t>
      </w:r>
      <w:r>
        <w:rPr>
          <w:color w:val="000000" w:themeColor="text1"/>
        </w:rPr>
        <w:fldChar w:fldCharType="begin"/>
      </w:r>
      <w:r>
        <w:rPr>
          <w:color w:val="000000" w:themeColor="text1"/>
        </w:rPr>
        <w:instrText xml:space="preserve"> REF _Ref513539347 \h </w:instrText>
      </w:r>
      <w:r>
        <w:rPr>
          <w:color w:val="000000" w:themeColor="text1"/>
        </w:rPr>
      </w:r>
      <w:r>
        <w:rPr>
          <w:color w:val="000000" w:themeColor="text1"/>
        </w:rPr>
        <w:fldChar w:fldCharType="separate"/>
      </w:r>
      <w:r w:rsidR="00E6157A" w:rsidRPr="009D71E0">
        <w:t xml:space="preserve">Figure </w:t>
      </w:r>
      <w:r w:rsidR="00E6157A">
        <w:rPr>
          <w:noProof/>
        </w:rPr>
        <w:t>3</w:t>
      </w:r>
      <w:r w:rsidR="00E6157A">
        <w:t>.</w:t>
      </w:r>
      <w:r w:rsidR="00E6157A">
        <w:rPr>
          <w:noProof/>
        </w:rPr>
        <w:t>3</w:t>
      </w:r>
      <w:r>
        <w:rPr>
          <w:color w:val="000000" w:themeColor="text1"/>
        </w:rPr>
        <w:fldChar w:fldCharType="end"/>
      </w:r>
      <w:r>
        <w:rPr>
          <w:color w:val="000000" w:themeColor="text1"/>
        </w:rPr>
        <w:t>).</w:t>
      </w:r>
      <w:r w:rsidR="0070215B">
        <w:rPr>
          <w:color w:val="000000" w:themeColor="text1"/>
        </w:rPr>
        <w:t xml:space="preserve"> </w:t>
      </w:r>
      <w:r w:rsidRPr="00255477">
        <w:rPr>
          <w:color w:val="000000" w:themeColor="text1"/>
        </w:rPr>
        <w:t xml:space="preserve">For samples </w:t>
      </w:r>
      <w:r>
        <w:rPr>
          <w:color w:val="000000" w:themeColor="text1"/>
        </w:rPr>
        <w:t>containing</w:t>
      </w:r>
      <w:r w:rsidRPr="00255477">
        <w:rPr>
          <w:color w:val="000000" w:themeColor="text1"/>
        </w:rPr>
        <w:t xml:space="preserve"> up to 0.32 µg/mL LOXL2, the difference in fluorescence </w:t>
      </w:r>
      <w:r w:rsidRPr="00FA55C8">
        <w:rPr>
          <w:color w:val="000000" w:themeColor="text1"/>
        </w:rPr>
        <w:t>between the maximum and minimum concentration of inhibitor was very small. This was deemed inadequate to detect subtle changes in enzyme activity between different concentrations of inhibitor.</w:t>
      </w:r>
      <w:r w:rsidRPr="00255477">
        <w:rPr>
          <w:color w:val="000000" w:themeColor="text1"/>
        </w:rPr>
        <w:t xml:space="preserve"> Increasing the concentration of LOXL2 to </w:t>
      </w:r>
      <w:r>
        <w:rPr>
          <w:color w:val="000000" w:themeColor="text1"/>
        </w:rPr>
        <w:t xml:space="preserve">0.8 µg/mL </w:t>
      </w:r>
      <w:r w:rsidRPr="00255477">
        <w:rPr>
          <w:color w:val="000000" w:themeColor="text1"/>
        </w:rPr>
        <w:t>substantially</w:t>
      </w:r>
      <w:r w:rsidR="00BF470C">
        <w:rPr>
          <w:color w:val="000000" w:themeColor="text1"/>
        </w:rPr>
        <w:t xml:space="preserve"> </w:t>
      </w:r>
      <w:r w:rsidRPr="00255477">
        <w:rPr>
          <w:color w:val="000000" w:themeColor="text1"/>
        </w:rPr>
        <w:t>increased the assay window</w:t>
      </w:r>
      <w:r>
        <w:rPr>
          <w:color w:val="000000" w:themeColor="text1"/>
        </w:rPr>
        <w:t xml:space="preserve">, whilst a concentration of 2.0 µg/mL LOXL2 gave the largest assay window. </w:t>
      </w:r>
      <w:r w:rsidRPr="009C16E3">
        <w:rPr>
          <w:color w:val="000000" w:themeColor="text1"/>
        </w:rPr>
        <w:t>It was concluded that 2.0 µg/mL LOX</w:t>
      </w:r>
      <w:r>
        <w:rPr>
          <w:color w:val="000000" w:themeColor="text1"/>
        </w:rPr>
        <w:t>L2</w:t>
      </w:r>
      <w:r w:rsidRPr="009C16E3">
        <w:rPr>
          <w:color w:val="000000" w:themeColor="text1"/>
        </w:rPr>
        <w:t xml:space="preserve"> should be used for</w:t>
      </w:r>
      <w:r>
        <w:rPr>
          <w:color w:val="000000" w:themeColor="text1"/>
        </w:rPr>
        <w:t xml:space="preserve"> future</w:t>
      </w:r>
      <w:r w:rsidRPr="009C16E3">
        <w:rPr>
          <w:color w:val="000000" w:themeColor="text1"/>
        </w:rPr>
        <w:t xml:space="preserve"> inhibition experiments.</w:t>
      </w:r>
    </w:p>
    <w:p w14:paraId="5022A286" w14:textId="77777777" w:rsidR="004673FB" w:rsidRDefault="004673FB" w:rsidP="004673FB">
      <w:pPr>
        <w:keepNext/>
        <w:jc w:val="center"/>
      </w:pPr>
      <w:r w:rsidRPr="009736C6">
        <w:rPr>
          <w:noProof/>
          <w:lang w:eastAsia="en-GB"/>
        </w:rPr>
        <w:lastRenderedPageBreak/>
        <w:drawing>
          <wp:inline distT="0" distB="0" distL="0" distR="0" wp14:anchorId="2EB9B4A0" wp14:editId="25533066">
            <wp:extent cx="4061638" cy="2175878"/>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72592" cy="2181746"/>
                    </a:xfrm>
                    <a:prstGeom prst="rect">
                      <a:avLst/>
                    </a:prstGeom>
                  </pic:spPr>
                </pic:pic>
              </a:graphicData>
            </a:graphic>
          </wp:inline>
        </w:drawing>
      </w:r>
    </w:p>
    <w:p w14:paraId="5BC1C140" w14:textId="25B3F65B" w:rsidR="004673FB" w:rsidRPr="00EF1867" w:rsidRDefault="004673FB" w:rsidP="004673FB">
      <w:pPr>
        <w:pStyle w:val="Caption"/>
        <w:rPr>
          <w:b w:val="0"/>
        </w:rPr>
      </w:pPr>
      <w:bookmarkStart w:id="186" w:name="_Ref513539347"/>
      <w:r w:rsidRPr="009D71E0">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3</w:t>
      </w:r>
      <w:r w:rsidR="00BE21E4">
        <w:rPr>
          <w:noProof/>
        </w:rPr>
        <w:fldChar w:fldCharType="end"/>
      </w:r>
      <w:bookmarkEnd w:id="186"/>
      <w:r w:rsidRPr="00EF1867">
        <w:rPr>
          <w:b w:val="0"/>
        </w:rPr>
        <w:t xml:space="preserve">. Fluorescence response due to lysyl oxidase-like 2 (LOXL2) activity in a peroxidase-coupled fluorometric assay after incubation with </w:t>
      </w:r>
      <w:r w:rsidR="002B3486">
        <w:rPr>
          <w:b w:val="0"/>
        </w:rPr>
        <w:t>0.05, 0.5, 5 and 50 </w:t>
      </w:r>
      <w:r w:rsidRPr="00EF1867">
        <w:rPr>
          <w:b w:val="0"/>
        </w:rPr>
        <w:t>µM β-APN. Samples were incubated with a LOXL2 standard for 1 hour, followed by incubation was assay reagents for a further 20 minutes at 37 </w:t>
      </w:r>
      <w:r w:rsidR="002B3486">
        <w:rPr>
          <w:b w:val="0"/>
        </w:rPr>
        <w:sym w:font="Symbol" w:char="F0B0"/>
      </w:r>
      <w:r w:rsidRPr="00EF1867">
        <w:rPr>
          <w:b w:val="0"/>
        </w:rPr>
        <w:t>C.</w:t>
      </w:r>
    </w:p>
    <w:p w14:paraId="331F9489" w14:textId="277C0C2C" w:rsidR="004673FB" w:rsidRPr="00C83D5B" w:rsidRDefault="004673FB" w:rsidP="004673FB">
      <w:pPr>
        <w:pStyle w:val="Heading3"/>
      </w:pPr>
      <w:bookmarkStart w:id="187" w:name="_Toc2451029"/>
      <w:r>
        <w:t>Effect of synthesised prodrugs on</w:t>
      </w:r>
      <w:r w:rsidRPr="00C83D5B">
        <w:t xml:space="preserve"> </w:t>
      </w:r>
      <w:r w:rsidR="009C656E">
        <w:t>lysyl oxidase-like 2</w:t>
      </w:r>
      <w:r>
        <w:t xml:space="preserve"> activity</w:t>
      </w:r>
      <w:bookmarkEnd w:id="187"/>
    </w:p>
    <w:p w14:paraId="5D920EE7" w14:textId="19853B9F" w:rsidR="004673FB" w:rsidRDefault="004673FB" w:rsidP="004673FB">
      <w:pPr>
        <w:rPr>
          <w:color w:val="000000" w:themeColor="text1"/>
        </w:rPr>
      </w:pPr>
      <w:r>
        <w:rPr>
          <w:color w:val="000000" w:themeColor="text1"/>
        </w:rPr>
        <w:t>Having established both the optimum concentration of LOLX2 to</w:t>
      </w:r>
      <w:r w:rsidRPr="00CD6006">
        <w:rPr>
          <w:color w:val="000000" w:themeColor="text1"/>
        </w:rPr>
        <w:t xml:space="preserve"> be used in the activity assay, </w:t>
      </w:r>
      <w:r>
        <w:rPr>
          <w:color w:val="000000" w:themeColor="text1"/>
        </w:rPr>
        <w:t>and a suitable incubation time for the assay reagent, a screening experiment was performed to determine whether the prodrugs were able to sufficiently dissociate in aqueous media to inhibit LOLX2. As discussed previously, the IC</w:t>
      </w:r>
      <w:r w:rsidRPr="007D20F1">
        <w:rPr>
          <w:color w:val="000000" w:themeColor="text1"/>
          <w:vertAlign w:val="subscript"/>
        </w:rPr>
        <w:t>50</w:t>
      </w:r>
      <w:r>
        <w:rPr>
          <w:color w:val="000000" w:themeColor="text1"/>
        </w:rPr>
        <w:t xml:space="preserve"> of a compound is the concentration required to inhibit the activity of an enzyme to 50 %.</w:t>
      </w:r>
      <w:r>
        <w:rPr>
          <w:color w:val="000000" w:themeColor="text1"/>
        </w:rPr>
        <w:fldChar w:fldCharType="begin" w:fldLock="1"/>
      </w:r>
      <w:r w:rsidR="0085447D">
        <w:rPr>
          <w:color w:val="000000" w:themeColor="text1"/>
        </w:rPr>
        <w:instrText>ADDIN CSL_CITATION {"citationItems":[{"id":"ITEM-1","itemData":{"DOI":"10.1002/pst.426","ISBN":"1539-1612","ISSN":"15391604","PMID":"22328315","abstract":"This article provides minimum requirements for having confidence in the accuracy of EC50/IC50 estimates. Two definitions of EC50/IC50s are considered: relative and absolute. The relative EC50/IC50 is the parameter c in the 4-parameter logistic model and is the concentration corresponding to a response midway between the estimates of the lower and upper plateaus. The absolute EC50/IC50 is the response corresponding to the 50% control (the mean of the 0% and 100% assay controls). The guidelines first describe how to decide whether to use the relative EC50/IC50 or the absolute EC50/IC50. Assays for which there is no stable 100% control must use the relative EC50/IC50. Assays having a stable 100% control but for which there may be more than 5% error in the estimate of the 50% control mean should use the relative EC50/IC50. Assays that can be demonstrated to produce an accurate and stable 100% control and less than 5% error in the estimate of the 50% control mean may gain efficiency as well as accuracy by using the absolute EC50/IC50. Next, the guidelines provide rules for deciding when the EC50/IC50 estimates are reportable. The relative EC50/IC50 should only be used if there are at least two assay concentrations beyond the lower and upper bend points. The absolute EC50/IC50 should only be used if there are at least two assay concentrations whose predicted response is less than 50% and two whose predicted response is greater than 50%. A wide range of typical assay conditions are considered in the development of the guidelines.","author":[{"dropping-particle":"","family":"Sebaugh","given":"J. L.","non-dropping-particle":"","parse-names":false,"suffix":""}],"container-title":"Pharmaceutical Statistics","id":"ITEM-1","issue":"2","issued":{"date-parts":[["2011"]]},"page":"128-134","title":"Guidelines for accurate EC50/IC50 estimation","type":"article-journal","volume":"10"},"uris":["http://www.mendeley.com/documents/?uuid=8dce79fc-5603-4fa9-b079-b0730edd842a"]}],"mendeley":{"formattedCitation":"&lt;sup&gt;191&lt;/sup&gt;","plainTextFormattedCitation":"191","previouslyFormattedCitation":"&lt;sup&gt;191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191</w:t>
      </w:r>
      <w:r>
        <w:rPr>
          <w:color w:val="000000" w:themeColor="text1"/>
        </w:rPr>
        <w:fldChar w:fldCharType="end"/>
      </w:r>
      <w:r>
        <w:rPr>
          <w:color w:val="000000" w:themeColor="text1"/>
        </w:rPr>
        <w:t xml:space="preserve"> From the literature, the IC</w:t>
      </w:r>
      <w:r w:rsidRPr="00775CF5">
        <w:rPr>
          <w:color w:val="000000" w:themeColor="text1"/>
          <w:vertAlign w:val="subscript"/>
        </w:rPr>
        <w:t>50</w:t>
      </w:r>
      <w:r>
        <w:rPr>
          <w:color w:val="000000" w:themeColor="text1"/>
        </w:rPr>
        <w:t xml:space="preserve"> of β</w:t>
      </w:r>
      <w:r>
        <w:rPr>
          <w:color w:val="000000" w:themeColor="text1"/>
        </w:rPr>
        <w:noBreakHyphen/>
        <w:t xml:space="preserve">APN is reported to </w:t>
      </w:r>
      <w:r w:rsidRPr="00AB5559">
        <w:rPr>
          <w:color w:val="000000" w:themeColor="text1"/>
        </w:rPr>
        <w:t xml:space="preserve">be </w:t>
      </w:r>
      <w:r>
        <w:rPr>
          <w:color w:val="000000" w:themeColor="text1"/>
        </w:rPr>
        <w:t>between 5 µM</w:t>
      </w:r>
      <w:r>
        <w:rPr>
          <w:color w:val="000000" w:themeColor="text1"/>
        </w:rPr>
        <w:fldChar w:fldCharType="begin" w:fldLock="1"/>
      </w:r>
      <w:r w:rsidR="0085447D">
        <w:rPr>
          <w:color w:val="000000" w:themeColor="text1"/>
        </w:rPr>
        <w:instrText>ADDIN CSL_CITATION {"citationItems":[{"id":"ITEM-1","itemData":{"DOI":"10.1074/jbc.M109.094136","ISBN":"0021-9258","ISSN":"00219258","PMID":"20439985","abstract":"In this report, we assessed the steady-state enzymatic activity of lysyl oxidase-like 2 (LOXL2) against the substrates 1,5-diaminopentane (DAP), spermine, and fibrillar type I collagen. We find that both DAP and spermine are capable of activating LOXL2 to the same extent and have similar Michaelis constants (K(m) approximately 1 mm) and catalytic rates (k(cat) approximately 0.02 s(-1)). We also show that LOXL2 is capable of being inhibited by a known suicide inhibitor of lysyl oxidase (LOX), beta-aminopropionitrile, which we find is a potent inhibitor of LOXL2 activity. The modality of inhibition of beta-aminopropionitrile was also examined and found to be competitive with respect to the substrates DAP and spermine. In addition, we identified an antibody inhibitor (AB0023) of LOXL2 enzymatic function and have found that the inhibition occurs in a non-competitive manner with respect to both spermine and DAP. The binding epitope of AB0023 was mapped to the scavenger receptor cysteine-rich domain four of human LOXL2. AB0023 binds to a region remote from the catalytic domain making AB0023 an allosteric inhibitor of LOXL2. This affords AB0023 several advantages, because it is specific for LOXL2 and inhibits the enzymatic function of LOXL2 in a non-competitive manner thereby allowing inhibition of LOXL2 regardless of substrate concentration. These results suggest that antibody allosteric modulators of enzymatic function represent a novel drug development strategy and, in the context of LOXL2, suggest that inhibitors such as these might be useful therapeutics in oncology, fibrosis, and inflammation.","author":[{"dropping-particle":"","family":"Rodriguez","given":"Hector M.","non-dropping-particle":"","parse-names":false,"suffix":""},{"dropping-particle":"","family":"Vaysberg","given":"Maria","non-dropping-particle":"","parse-names":false,"suffix":""},{"dropping-particle":"","family":"Mikels","given":"Amanda","non-dropping-particle":"","parse-names":false,"suffix":""},{"dropping-particle":"","family":"McCauley","given":"Scott","non-dropping-particle":"","parse-names":false,"suffix":""},{"dropping-particle":"","family":"Velayo","given":"Arleene C.","non-dropping-particle":"","parse-names":false,"suffix":""},{"dropping-particle":"","family":"Garcia","given":"Carlos","non-dropping-particle":"","parse-names":false,"suffix":""},{"dropping-particle":"","family":"Smith","given":"Victoria","non-dropping-particle":"","parse-names":false,"suffix":""}],"container-title":"Journal of Biological Chemistry","id":"ITEM-1","issue":"27","issued":{"date-parts":[["2010"]]},"page":"20964-20974","title":"Modulation of lysyl oxidase-like 2 enzymatic activity by an allosteric antibody inhibitor","type":"article-journal","volume":"285"},"uris":["http://www.mendeley.com/documents/?uuid=db75fbba-7747-4b6a-81d8-8ecaa75a1a16"]}],"mendeley":{"formattedCitation":"&lt;sup&gt;205&lt;/sup&gt;","plainTextFormattedCitation":"205","previouslyFormattedCitation":"&lt;sup&gt;205&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205</w:t>
      </w:r>
      <w:r>
        <w:rPr>
          <w:color w:val="000000" w:themeColor="text1"/>
        </w:rPr>
        <w:fldChar w:fldCharType="end"/>
      </w:r>
      <w:r>
        <w:rPr>
          <w:color w:val="000000" w:themeColor="text1"/>
        </w:rPr>
        <w:t xml:space="preserve"> and </w:t>
      </w:r>
      <w:r w:rsidRPr="00AB5559">
        <w:rPr>
          <w:color w:val="000000" w:themeColor="text1"/>
        </w:rPr>
        <w:t>10 µM.</w:t>
      </w:r>
      <w:r w:rsidRPr="00AB5559">
        <w:rPr>
          <w:color w:val="000000" w:themeColor="text1"/>
        </w:rPr>
        <w:fldChar w:fldCharType="begin" w:fldLock="1"/>
      </w:r>
      <w:r w:rsidR="0085447D">
        <w:rPr>
          <w:color w:val="000000" w:themeColor="text1"/>
        </w:rPr>
        <w:instrText>ADDIN CSL_CITATION {"citationItems":[{"id":"ITEM-1","itemData":{"DOI":"10.1002/cmdc.200900247","ISBN":"1545968309332","ISSN":"1545-9683","PMID":"19318465","author":[{"dropping-particle":"","family":"Granchi","given":"Carlotta","non-dropping-particle":"","parse-names":false,"suffix":""},{"dropping-particle":"","family":"Funaioli","given":"Tiziana","non-dropping-particle":"","parse-names":false,"suffix":""},{"dropping-particle":"","family":"Erler","given":"Janine. T","non-dropping-particle":"","parse-names":false,"suffix":""},{"dropping-particle":"","family":"Giaccia","given":"Amato J.","non-dropping-particle":"","parse-names":false,"suffix":""},{"dropping-particle":"","family":"Macchia","given":"Marco","non-dropping-particle":"","parse-names":false,"suffix":""},{"dropping-particle":"","family":"Minutolo","given":"Filippo","non-dropping-particle":"","parse-names":false,"suffix":""}],"container-title":"ChemMedChem","id":"ITEM-1","issue":"10","issued":{"date-parts":[["2009"]]},"page":"6197-6214","title":"Bioreductively Activated Lysyl Oxidase Inhibitors against Hypoxic Tumours","type":"article-journal","volume":"4"},"uris":["http://www.mendeley.com/documents/?uuid=fb38652e-3bf7-4d34-9764-d5869547097b"]}],"mendeley":{"formattedCitation":"&lt;sup&gt;144&lt;/sup&gt;","plainTextFormattedCitation":"144","previouslyFormattedCitation":"&lt;sup&gt;144&lt;/sup&gt;"},"properties":{"noteIndex":0},"schema":"https://github.com/citation-style-language/schema/raw/master/csl-citation.json"}</w:instrText>
      </w:r>
      <w:r w:rsidRPr="00AB5559">
        <w:rPr>
          <w:color w:val="000000" w:themeColor="text1"/>
        </w:rPr>
        <w:fldChar w:fldCharType="separate"/>
      </w:r>
      <w:r w:rsidR="00B02713" w:rsidRPr="00B02713">
        <w:rPr>
          <w:noProof/>
          <w:color w:val="000000" w:themeColor="text1"/>
          <w:vertAlign w:val="superscript"/>
        </w:rPr>
        <w:t>144</w:t>
      </w:r>
      <w:r w:rsidRPr="00AB5559">
        <w:rPr>
          <w:color w:val="000000" w:themeColor="text1"/>
        </w:rPr>
        <w:fldChar w:fldCharType="end"/>
      </w:r>
      <w:r>
        <w:rPr>
          <w:color w:val="000000" w:themeColor="text1"/>
        </w:rPr>
        <w:t xml:space="preserve"> </w:t>
      </w:r>
      <w:r w:rsidRPr="00634E50">
        <w:rPr>
          <w:color w:val="000000" w:themeColor="text1"/>
        </w:rPr>
        <w:t xml:space="preserve">Taking this into account, </w:t>
      </w:r>
      <w:r>
        <w:rPr>
          <w:color w:val="000000" w:themeColor="text1"/>
        </w:rPr>
        <w:t>a concentration range of 0.0</w:t>
      </w:r>
      <w:r w:rsidR="002B3486">
        <w:rPr>
          <w:color w:val="000000" w:themeColor="text1"/>
        </w:rPr>
        <w:t xml:space="preserve">1 </w:t>
      </w:r>
      <w:r w:rsidR="00F81933">
        <w:rPr>
          <w:color w:val="000000" w:themeColor="text1"/>
        </w:rPr>
        <w:t>to 100 </w:t>
      </w:r>
      <w:r>
        <w:rPr>
          <w:color w:val="000000" w:themeColor="text1"/>
        </w:rPr>
        <w:t>µM was</w:t>
      </w:r>
      <w:r w:rsidRPr="00634E50">
        <w:rPr>
          <w:color w:val="000000" w:themeColor="text1"/>
        </w:rPr>
        <w:t xml:space="preserve"> tested</w:t>
      </w:r>
      <w:r>
        <w:rPr>
          <w:color w:val="000000" w:themeColor="text1"/>
        </w:rPr>
        <w:t xml:space="preserve"> for each prodrug, assuming that the inhibition of LOXL2 would likely occur within this range. </w:t>
      </w:r>
    </w:p>
    <w:p w14:paraId="4752AA88" w14:textId="4516241B" w:rsidR="004673FB" w:rsidRDefault="004673FB" w:rsidP="004673FB">
      <w:pPr>
        <w:rPr>
          <w:color w:val="000000" w:themeColor="text1"/>
        </w:rPr>
      </w:pPr>
      <w:r>
        <w:rPr>
          <w:color w:val="000000" w:themeColor="text1"/>
        </w:rPr>
        <w:t xml:space="preserve">The data in </w:t>
      </w:r>
      <w:r>
        <w:rPr>
          <w:color w:val="000000" w:themeColor="text1"/>
        </w:rPr>
        <w:fldChar w:fldCharType="begin"/>
      </w:r>
      <w:r>
        <w:rPr>
          <w:color w:val="000000" w:themeColor="text1"/>
        </w:rPr>
        <w:instrText xml:space="preserve"> REF _Ref513625328 \h </w:instrText>
      </w:r>
      <w:r>
        <w:rPr>
          <w:color w:val="000000" w:themeColor="text1"/>
        </w:rPr>
      </w:r>
      <w:r>
        <w:rPr>
          <w:color w:val="000000" w:themeColor="text1"/>
        </w:rPr>
        <w:fldChar w:fldCharType="separate"/>
      </w:r>
      <w:r w:rsidR="00E6157A" w:rsidRPr="0006425C">
        <w:t xml:space="preserve">Figure </w:t>
      </w:r>
      <w:r w:rsidR="00E6157A">
        <w:rPr>
          <w:noProof/>
        </w:rPr>
        <w:t>3</w:t>
      </w:r>
      <w:r w:rsidR="00E6157A">
        <w:t>.</w:t>
      </w:r>
      <w:r w:rsidR="00E6157A">
        <w:rPr>
          <w:noProof/>
        </w:rPr>
        <w:t>4</w:t>
      </w:r>
      <w:r>
        <w:rPr>
          <w:color w:val="000000" w:themeColor="text1"/>
        </w:rPr>
        <w:fldChar w:fldCharType="end"/>
      </w:r>
      <w:r>
        <w:rPr>
          <w:color w:val="000000" w:themeColor="text1"/>
        </w:rPr>
        <w:t xml:space="preserve"> shows the inhibition profiles of β</w:t>
      </w:r>
      <w:r>
        <w:rPr>
          <w:color w:val="000000" w:themeColor="text1"/>
        </w:rPr>
        <w:noBreakHyphen/>
        <w:t xml:space="preserve">APN and the five prodrugs. All </w:t>
      </w:r>
      <w:r w:rsidR="009C656E">
        <w:rPr>
          <w:color w:val="000000" w:themeColor="text1"/>
        </w:rPr>
        <w:t>five</w:t>
      </w:r>
      <w:r>
        <w:rPr>
          <w:color w:val="000000" w:themeColor="text1"/>
        </w:rPr>
        <w:t xml:space="preserve"> prodrugs displayed a general decrease in activity of LOXL2 with increasing concentration. β</w:t>
      </w:r>
      <w:r>
        <w:rPr>
          <w:color w:val="000000" w:themeColor="text1"/>
        </w:rPr>
        <w:noBreakHyphen/>
        <w:t>APN is thought to inhibit the LOX family of enzymes by reacting with the active site via its primary amine group.</w:t>
      </w:r>
      <w:r>
        <w:rPr>
          <w:color w:val="000000" w:themeColor="text1"/>
        </w:rPr>
        <w:fldChar w:fldCharType="begin" w:fldLock="1"/>
      </w:r>
      <w:r w:rsidR="0085447D">
        <w:rPr>
          <w:color w:val="000000" w:themeColor="text1"/>
        </w:rPr>
        <w:instrText>ADDIN CSL_CITATION {"citationItems":[{"id":"ITEM-1","itemData":{"ISSN":"00219258","PMID":"38246","author":[{"dropping-particle":"","family":"Trackman","given":"P. C.","non-dropping-particle":"","parse-names":false,"suffix":""},{"dropping-particle":"","family":"Kagan","given":"H. M.","non-dropping-particle":"","parse-names":false,"suffix":""}],"container-title":"Journal of Biological Chemistry","id":"ITEM-1","issue":"16","issued":{"date-parts":[["1979"]]},"page":"7831-7836","title":"Nonpeptidyl amine inhibitors are substrates of lysyl oxidase.","type":"article-journal","volume":"254"},"uris":["http://www.mendeley.com/documents/?uuid=56f299a9-ad8b-4f15-8efc-a1dec56ee3e6"]}],"mendeley":{"formattedCitation":"&lt;sup&gt;94&lt;/sup&gt;","plainTextFormattedCitation":"94","previouslyFormattedCitation":"&lt;sup&gt;94&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94</w:t>
      </w:r>
      <w:r>
        <w:rPr>
          <w:color w:val="000000" w:themeColor="text1"/>
        </w:rPr>
        <w:fldChar w:fldCharType="end"/>
      </w:r>
      <w:r>
        <w:rPr>
          <w:color w:val="000000" w:themeColor="text1"/>
        </w:rPr>
        <w:t xml:space="preserve"> Since this primary amine is masked when β</w:t>
      </w:r>
      <w:r>
        <w:rPr>
          <w:color w:val="000000" w:themeColor="text1"/>
        </w:rPr>
        <w:noBreakHyphen/>
        <w:t>APN is in its prodrug form, any inhibition suggests that the prodrugs have successfully dissociated into β</w:t>
      </w:r>
      <w:r>
        <w:rPr>
          <w:color w:val="000000" w:themeColor="text1"/>
        </w:rPr>
        <w:noBreakHyphen/>
        <w:t>APN.</w:t>
      </w:r>
    </w:p>
    <w:p w14:paraId="4964EB7D" w14:textId="5F0EBEF5" w:rsidR="004673FB" w:rsidRDefault="00E93FCC" w:rsidP="004673FB">
      <w:pPr>
        <w:keepNext/>
        <w:jc w:val="center"/>
      </w:pPr>
      <w:r w:rsidRPr="00E93FCC">
        <w:rPr>
          <w:noProof/>
        </w:rPr>
        <w:lastRenderedPageBreak/>
        <w:drawing>
          <wp:inline distT="0" distB="0" distL="0" distR="0" wp14:anchorId="53C0B3B0" wp14:editId="22BA5C5A">
            <wp:extent cx="4191000" cy="3289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91000" cy="3289300"/>
                    </a:xfrm>
                    <a:prstGeom prst="rect">
                      <a:avLst/>
                    </a:prstGeom>
                  </pic:spPr>
                </pic:pic>
              </a:graphicData>
            </a:graphic>
          </wp:inline>
        </w:drawing>
      </w:r>
    </w:p>
    <w:p w14:paraId="3FAAEA36" w14:textId="1EB7A2B0" w:rsidR="004673FB" w:rsidRDefault="004673FB" w:rsidP="00E93FCC">
      <w:pPr>
        <w:pStyle w:val="Caption"/>
        <w:jc w:val="both"/>
      </w:pPr>
      <w:bookmarkStart w:id="188" w:name="_Ref513625328"/>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4</w:t>
      </w:r>
      <w:r w:rsidR="00BE21E4">
        <w:rPr>
          <w:noProof/>
        </w:rPr>
        <w:fldChar w:fldCharType="end"/>
      </w:r>
      <w:bookmarkEnd w:id="188"/>
      <w:r w:rsidRPr="0006425C">
        <w:t>.</w:t>
      </w:r>
      <w:r>
        <w:t xml:space="preserve"> </w:t>
      </w:r>
      <w:r w:rsidRPr="00E93FCC">
        <w:rPr>
          <w:b w:val="0"/>
        </w:rPr>
        <w:t>Inhibition of lysyl oxidase-like 2 (LOXL2) activity by β-APN and synthesised prodrugs from 0.01 to 100 µM in a peroxidase-coupled fluorometric assay. Compounds were incubated with a LOXL2 standard for 1 hour, followed by incubation was assay reagents for a further 20 minutes at 37 </w:t>
      </w:r>
      <w:r w:rsidR="002B3486">
        <w:rPr>
          <w:b w:val="0"/>
        </w:rPr>
        <w:sym w:font="Symbol" w:char="F0B0"/>
      </w:r>
      <w:r w:rsidRPr="00E93FCC">
        <w:rPr>
          <w:b w:val="0"/>
        </w:rPr>
        <w:t>C. Data normalised using LOXL2 with 0.5 % DMSO as 100 % activity and a separate triplicate of LOXL2 with 100 µM β-APN as 0 % activity.</w:t>
      </w:r>
      <w:r>
        <w:t xml:space="preserve"> </w:t>
      </w:r>
    </w:p>
    <w:p w14:paraId="1AE7DE41" w14:textId="77777777" w:rsidR="004673FB" w:rsidRPr="00512549" w:rsidRDefault="004673FB" w:rsidP="004673FB">
      <w:pPr>
        <w:rPr>
          <w:color w:val="000000" w:themeColor="text1"/>
        </w:rPr>
      </w:pPr>
      <w:r w:rsidRPr="008F5C24">
        <w:rPr>
          <w:color w:val="000000" w:themeColor="text1"/>
        </w:rPr>
        <w:t xml:space="preserve">Whilst the general trend is clear, the inhibition curves do not all have smooth profiles and a few data points were found to be below the lowest concentration of the standard curve.  Since an accurate value for relative enzyme activity cannot be calculated if the value is below the standard curve, these values have been omitted from the analysis. </w:t>
      </w:r>
      <w:r>
        <w:t>As a result, it would be ambiguous to try and derive IC</w:t>
      </w:r>
      <w:r w:rsidRPr="00572643">
        <w:rPr>
          <w:vertAlign w:val="subscript"/>
        </w:rPr>
        <w:t>50</w:t>
      </w:r>
      <w:r>
        <w:t xml:space="preserve"> values for each prodrug from this data. A likely reason for the ambiguous curves is that each sample was run as a single </w:t>
      </w:r>
      <w:r w:rsidRPr="00572643">
        <w:t>replicate, due to the high cost and lo</w:t>
      </w:r>
      <w:r>
        <w:t xml:space="preserve">w quantities of LOXL2 available and to allow all five prodrugs to be tested. </w:t>
      </w:r>
      <w:r w:rsidRPr="00915442">
        <w:t>In order to perform more replicates per sample</w:t>
      </w:r>
      <w:r>
        <w:t>,</w:t>
      </w:r>
      <w:r w:rsidRPr="00915442">
        <w:t xml:space="preserve"> and potentially obtain more robust data, it was decided that future investigations into LOXL2 inhibition should focus on a single prodrug. </w:t>
      </w:r>
    </w:p>
    <w:p w14:paraId="4C4625C6" w14:textId="77777777" w:rsidR="004673FB" w:rsidRDefault="004673FB" w:rsidP="004673FB">
      <w:pPr>
        <w:pStyle w:val="Heading3"/>
      </w:pPr>
      <w:bookmarkStart w:id="189" w:name="_Toc2451030"/>
      <w:r>
        <w:t xml:space="preserve">Ability of compound </w:t>
      </w:r>
      <w:r w:rsidRPr="00B639EB">
        <w:rPr>
          <w:b/>
        </w:rPr>
        <w:t>1b</w:t>
      </w:r>
      <w:r>
        <w:t xml:space="preserve"> to inhibit lysyl oxidase-like 2 activity</w:t>
      </w:r>
      <w:bookmarkEnd w:id="189"/>
    </w:p>
    <w:p w14:paraId="3A2405AE" w14:textId="0973DFB1" w:rsidR="004673FB" w:rsidRDefault="004673FB" w:rsidP="004673FB">
      <w:r w:rsidRPr="00C324C6">
        <w:rPr>
          <w:color w:val="000000" w:themeColor="text1"/>
        </w:rPr>
        <w:t xml:space="preserve">After evaluating the </w:t>
      </w:r>
      <w:r>
        <w:rPr>
          <w:color w:val="000000" w:themeColor="text1"/>
        </w:rPr>
        <w:t xml:space="preserve">general </w:t>
      </w:r>
      <w:r w:rsidRPr="00C324C6">
        <w:rPr>
          <w:color w:val="000000" w:themeColor="text1"/>
        </w:rPr>
        <w:t xml:space="preserve">ability of each of the synthesised </w:t>
      </w:r>
      <w:r>
        <w:rPr>
          <w:color w:val="000000" w:themeColor="text1"/>
        </w:rPr>
        <w:t xml:space="preserve">prodrugs </w:t>
      </w:r>
      <w:r w:rsidRPr="00C324C6">
        <w:rPr>
          <w:color w:val="000000" w:themeColor="text1"/>
        </w:rPr>
        <w:t>to inhibit LOX</w:t>
      </w:r>
      <w:r>
        <w:rPr>
          <w:color w:val="000000" w:themeColor="text1"/>
        </w:rPr>
        <w:t>L2 activity</w:t>
      </w:r>
      <w:r w:rsidRPr="00C324C6">
        <w:rPr>
          <w:color w:val="000000" w:themeColor="text1"/>
        </w:rPr>
        <w:t>, a single compound wa</w:t>
      </w:r>
      <w:r>
        <w:rPr>
          <w:color w:val="000000" w:themeColor="text1"/>
        </w:rPr>
        <w:t>s selected to perform</w:t>
      </w:r>
      <w:r w:rsidRPr="00C324C6">
        <w:rPr>
          <w:color w:val="000000" w:themeColor="text1"/>
        </w:rPr>
        <w:t xml:space="preserve"> further inhibition screens.</w:t>
      </w:r>
      <w:r>
        <w:rPr>
          <w:color w:val="000000" w:themeColor="text1"/>
        </w:rPr>
        <w:t xml:space="preserve"> Compound </w:t>
      </w:r>
      <w:r w:rsidRPr="008F5C24">
        <w:rPr>
          <w:b/>
          <w:color w:val="000000" w:themeColor="text1"/>
        </w:rPr>
        <w:t>1b</w:t>
      </w:r>
      <w:r>
        <w:rPr>
          <w:color w:val="000000" w:themeColor="text1"/>
        </w:rPr>
        <w:t xml:space="preserve"> (</w:t>
      </w:r>
      <w:r w:rsidRPr="00B5220F">
        <w:t>2-(2-cyanoethyliminomethyl)phenol</w:t>
      </w:r>
      <w:r>
        <w:t>) was chosen for this purpose due to its simple structure and ease of synthesis and isolation. LOXL2 was treated with increasing concentrations of β</w:t>
      </w:r>
      <w:r>
        <w:noBreakHyphen/>
        <w:t xml:space="preserve">APN, </w:t>
      </w:r>
      <w:r w:rsidRPr="008F5C24">
        <w:rPr>
          <w:b/>
        </w:rPr>
        <w:t>1</w:t>
      </w:r>
      <w:r>
        <w:rPr>
          <w:b/>
        </w:rPr>
        <w:t xml:space="preserve">a </w:t>
      </w:r>
      <w:r>
        <w:t xml:space="preserve">and </w:t>
      </w:r>
      <w:r w:rsidRPr="008F5C24">
        <w:rPr>
          <w:b/>
        </w:rPr>
        <w:t>1</w:t>
      </w:r>
      <w:r>
        <w:rPr>
          <w:b/>
        </w:rPr>
        <w:t>b</w:t>
      </w:r>
      <w:r>
        <w:t>, to determine the effect of e</w:t>
      </w:r>
      <w:r w:rsidR="00F81933">
        <w:t>ach compound on enzyme activity</w:t>
      </w:r>
      <w:r>
        <w:t xml:space="preserve"> </w:t>
      </w:r>
      <w:r w:rsidR="00F81933">
        <w:t>(</w:t>
      </w:r>
      <w:r>
        <w:fldChar w:fldCharType="begin"/>
      </w:r>
      <w:r>
        <w:instrText xml:space="preserve"> REF _Ref514145752 \h </w:instrText>
      </w:r>
      <w:r>
        <w:fldChar w:fldCharType="separate"/>
      </w:r>
      <w:r w:rsidR="00E6157A" w:rsidRPr="0006425C">
        <w:t xml:space="preserve">Figure </w:t>
      </w:r>
      <w:r w:rsidR="00E6157A">
        <w:rPr>
          <w:noProof/>
        </w:rPr>
        <w:t>3</w:t>
      </w:r>
      <w:r w:rsidR="00E6157A">
        <w:t>.</w:t>
      </w:r>
      <w:r w:rsidR="00E6157A">
        <w:rPr>
          <w:noProof/>
        </w:rPr>
        <w:t>5</w:t>
      </w:r>
      <w:r>
        <w:fldChar w:fldCharType="end"/>
      </w:r>
      <w:r w:rsidR="00F81933">
        <w:t>)</w:t>
      </w:r>
      <w:r>
        <w:t xml:space="preserve">. The reason for including compound </w:t>
      </w:r>
      <w:r w:rsidRPr="00D408AC">
        <w:rPr>
          <w:b/>
        </w:rPr>
        <w:t>1a</w:t>
      </w:r>
      <w:r>
        <w:t xml:space="preserve"> </w:t>
      </w:r>
      <w:r>
        <w:lastRenderedPageBreak/>
        <w:t>(salicylaldehyde) in the experiment was to determine whether the aldehyde alone had an effect on enzyme activity.</w:t>
      </w:r>
    </w:p>
    <w:p w14:paraId="12FABB81" w14:textId="2CA411ED" w:rsidR="004673FB" w:rsidRDefault="006804D3" w:rsidP="004673FB">
      <w:pPr>
        <w:keepNext/>
        <w:jc w:val="center"/>
      </w:pPr>
      <w:r w:rsidRPr="006804D3">
        <w:rPr>
          <w:noProof/>
        </w:rPr>
        <w:drawing>
          <wp:inline distT="0" distB="0" distL="0" distR="0" wp14:anchorId="2D50792E" wp14:editId="077C6D5F">
            <wp:extent cx="3812000" cy="3430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12000" cy="3430800"/>
                    </a:xfrm>
                    <a:prstGeom prst="rect">
                      <a:avLst/>
                    </a:prstGeom>
                  </pic:spPr>
                </pic:pic>
              </a:graphicData>
            </a:graphic>
          </wp:inline>
        </w:drawing>
      </w:r>
    </w:p>
    <w:p w14:paraId="37F80ECB" w14:textId="52569A2F" w:rsidR="004673FB" w:rsidRPr="0006425C" w:rsidRDefault="004673FB" w:rsidP="00E93FCC">
      <w:pPr>
        <w:pStyle w:val="Caption"/>
        <w:jc w:val="both"/>
      </w:pPr>
      <w:bookmarkStart w:id="190" w:name="_Ref514145752"/>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5</w:t>
      </w:r>
      <w:r w:rsidR="00BE21E4">
        <w:rPr>
          <w:noProof/>
        </w:rPr>
        <w:fldChar w:fldCharType="end"/>
      </w:r>
      <w:bookmarkEnd w:id="190"/>
      <w:r w:rsidRPr="0006425C">
        <w:t xml:space="preserve">. </w:t>
      </w:r>
      <w:r w:rsidRPr="00E93FCC">
        <w:rPr>
          <w:b w:val="0"/>
        </w:rPr>
        <w:t>Inhibition of lysyl oxidase-like 2 (LOXL2) activity after treatment with β</w:t>
      </w:r>
      <w:r w:rsidRPr="00E93FCC">
        <w:rPr>
          <w:b w:val="0"/>
        </w:rPr>
        <w:noBreakHyphen/>
        <w:t xml:space="preserve">APN, and compound </w:t>
      </w:r>
      <w:r w:rsidRPr="002B3486">
        <w:t>1a</w:t>
      </w:r>
      <w:r w:rsidRPr="00E93FCC">
        <w:rPr>
          <w:b w:val="0"/>
        </w:rPr>
        <w:t xml:space="preserve"> (salicylaldehyde) and compound </w:t>
      </w:r>
      <w:r w:rsidRPr="002B3486">
        <w:t>1b</w:t>
      </w:r>
      <w:r w:rsidRPr="00E93FCC">
        <w:rPr>
          <w:b w:val="0"/>
        </w:rPr>
        <w:t xml:space="preserve"> (2-(2-cyanoethyliminomethyl)phenol) from 0.032 to 100 µM in a peroxidase-coupled fluorometric assay. Compounds were incubated with a LOXL2 standard for 1 hour, followed by incubation was assay reagents for a further 20 minutes at 37 </w:t>
      </w:r>
      <w:r w:rsidR="002B3486">
        <w:rPr>
          <w:b w:val="0"/>
        </w:rPr>
        <w:sym w:font="Symbol" w:char="F0B0"/>
      </w:r>
      <w:r w:rsidRPr="00E93FCC">
        <w:rPr>
          <w:b w:val="0"/>
        </w:rPr>
        <w:t>C. Data normalised using LOXL2 with 0.5 % DMSO as 100 % activity and a separate triplicate of LOXL2 with 100 µM β-APN as 0 % activity.</w:t>
      </w:r>
    </w:p>
    <w:p w14:paraId="425C4DCC" w14:textId="2E2FFDEF" w:rsidR="004673FB" w:rsidRPr="00DB1BCE" w:rsidRDefault="004673FB" w:rsidP="004673FB">
      <w:pPr>
        <w:rPr>
          <w:color w:val="000000" w:themeColor="text1"/>
        </w:rPr>
      </w:pPr>
      <w:r w:rsidRPr="005F2247">
        <w:rPr>
          <w:color w:val="000000" w:themeColor="text1"/>
        </w:rPr>
        <w:t xml:space="preserve">From </w:t>
      </w:r>
      <w:r w:rsidRPr="005F2247">
        <w:rPr>
          <w:color w:val="000000" w:themeColor="text1"/>
        </w:rPr>
        <w:fldChar w:fldCharType="begin"/>
      </w:r>
      <w:r w:rsidRPr="005F2247">
        <w:rPr>
          <w:color w:val="000000" w:themeColor="text1"/>
        </w:rPr>
        <w:instrText xml:space="preserve"> REF _Ref514145752 \h </w:instrText>
      </w:r>
      <w:r w:rsidRPr="005F2247">
        <w:rPr>
          <w:color w:val="000000" w:themeColor="text1"/>
        </w:rPr>
      </w:r>
      <w:r w:rsidRPr="005F2247">
        <w:rPr>
          <w:color w:val="000000" w:themeColor="text1"/>
        </w:rPr>
        <w:fldChar w:fldCharType="separate"/>
      </w:r>
      <w:r w:rsidR="00E6157A" w:rsidRPr="0006425C">
        <w:t xml:space="preserve">Figure </w:t>
      </w:r>
      <w:r w:rsidR="00E6157A">
        <w:rPr>
          <w:noProof/>
        </w:rPr>
        <w:t>3</w:t>
      </w:r>
      <w:r w:rsidR="00E6157A">
        <w:t>.</w:t>
      </w:r>
      <w:r w:rsidR="00E6157A">
        <w:rPr>
          <w:noProof/>
        </w:rPr>
        <w:t>5</w:t>
      </w:r>
      <w:r w:rsidRPr="005F2247">
        <w:rPr>
          <w:color w:val="000000" w:themeColor="text1"/>
        </w:rPr>
        <w:fldChar w:fldCharType="end"/>
      </w:r>
      <w:r w:rsidRPr="005F2247">
        <w:rPr>
          <w:color w:val="000000" w:themeColor="text1"/>
        </w:rPr>
        <w:t xml:space="preserve"> it is clear that </w:t>
      </w:r>
      <w:r w:rsidRPr="005F2247">
        <w:rPr>
          <w:color w:val="000000" w:themeColor="text1"/>
        </w:rPr>
        <w:sym w:font="Symbol" w:char="F062"/>
      </w:r>
      <w:r w:rsidRPr="005F2247">
        <w:rPr>
          <w:color w:val="000000" w:themeColor="text1"/>
        </w:rPr>
        <w:noBreakHyphen/>
        <w:t xml:space="preserve">APN and compound </w:t>
      </w:r>
      <w:r w:rsidRPr="005F2247">
        <w:rPr>
          <w:b/>
          <w:color w:val="000000" w:themeColor="text1"/>
        </w:rPr>
        <w:t xml:space="preserve">1b </w:t>
      </w:r>
      <w:r w:rsidRPr="005F2247">
        <w:rPr>
          <w:color w:val="000000" w:themeColor="text1"/>
        </w:rPr>
        <w:t xml:space="preserve">both decrease LOXL2 activity with increasing concentration. However, compound </w:t>
      </w:r>
      <w:r w:rsidRPr="005F2247">
        <w:rPr>
          <w:b/>
          <w:color w:val="000000" w:themeColor="text1"/>
        </w:rPr>
        <w:t>1a</w:t>
      </w:r>
      <w:r w:rsidRPr="005F2247">
        <w:rPr>
          <w:color w:val="000000" w:themeColor="text1"/>
        </w:rPr>
        <w:t xml:space="preserve"> had a negligible effect on LOXL2 activity over the range of concentrations tested. </w:t>
      </w:r>
      <w:r w:rsidR="00613D22" w:rsidRPr="00613D22">
        <w:rPr>
          <w:color w:val="000000" w:themeColor="text1"/>
        </w:rPr>
        <w:t>T</w:t>
      </w:r>
      <w:r w:rsidR="00DB1BCE">
        <w:rPr>
          <w:color w:val="000000" w:themeColor="text1"/>
        </w:rPr>
        <w:t>o determine relative IC</w:t>
      </w:r>
      <w:r w:rsidR="00DB1BCE" w:rsidRPr="00DB1BCE">
        <w:rPr>
          <w:color w:val="000000" w:themeColor="text1"/>
          <w:vertAlign w:val="subscript"/>
        </w:rPr>
        <w:t>50</w:t>
      </w:r>
      <w:r w:rsidR="00DB1BCE">
        <w:rPr>
          <w:color w:val="000000" w:themeColor="text1"/>
        </w:rPr>
        <w:t xml:space="preserve"> values, t</w:t>
      </w:r>
      <w:r w:rsidR="00613D22" w:rsidRPr="00613D22">
        <w:rPr>
          <w:color w:val="000000" w:themeColor="text1"/>
        </w:rPr>
        <w:t>he data was analysed using a non-linear, variable slope (4 parameter) line of best fit. This model was selected since the data is sigmoidal, not linear, therefore a linear analysis would be inappropriate. The non-linear approach, as utilised here, is frequently used to calculate IC</w:t>
      </w:r>
      <w:r w:rsidR="00613D22" w:rsidRPr="00613D22">
        <w:rPr>
          <w:color w:val="000000" w:themeColor="text1"/>
          <w:vertAlign w:val="subscript"/>
        </w:rPr>
        <w:t>50</w:t>
      </w:r>
      <w:r w:rsidR="00613D22" w:rsidRPr="00613D22">
        <w:rPr>
          <w:color w:val="000000" w:themeColor="text1"/>
        </w:rPr>
        <w:t xml:space="preserve"> values and dose-response relationships from bioassay data.</w:t>
      </w:r>
      <w:r w:rsidR="00DB1BCE">
        <w:rPr>
          <w:color w:val="000000" w:themeColor="text1"/>
        </w:rPr>
        <w:fldChar w:fldCharType="begin" w:fldLock="1"/>
      </w:r>
      <w:r w:rsidR="00DB1BCE">
        <w:rPr>
          <w:color w:val="000000" w:themeColor="text1"/>
        </w:rPr>
        <w:instrText>ADDIN CSL_CITATION {"citationItems":[{"id":"ITEM-1","itemData":{"DOI":"10.1208/s12248-013-9554-7","author":[{"dropping-particle":"","family":"Volpe","given":"Donna A","non-dropping-particle":"","parse-names":false,"suffix":""},{"dropping-particle":"","family":"Hamed","given":"Salaheldin S","non-dropping-particle":"","parse-names":false,"suffix":""},{"dropping-particle":"","family":"Zhang","given":"Lei K","non-dropping-particle":"","parse-names":false,"suffix":""}],"container-title":"AAPS J","id":"ITEM-1","issue":"1","issued":{"date-parts":[["2014"]]},"page":"12-14","title":"Use of Different Parameters and Equations for Calculation of IC 50 Values in Efflux Assays : Potential Sources of Variability in IC50 Determination","type":"article-journal","volume":"16"},"uris":["http://www.mendeley.com/documents/?uuid=4e24774c-f8eb-4ab3-adb8-2b9905b8d177"]},{"id":"ITEM-2","itemData":{"DOI":"10.1002/pst.426","ISBN":"1539-1612","ISSN":"15391604","PMID":"22328315","abstract":"This article provides minimum requirements for having confidence in the accuracy of EC50/IC50 estimates. Two definitions of EC50/IC50s are considered: relative and absolute. The relative EC50/IC50 is the parameter c in the 4-parameter logistic model and is the concentration corresponding to a response midway between the estimates of the lower and upper plateaus. The absolute EC50/IC50 is the response corresponding to the 50% control (the mean of the 0% and 100% assay controls). The guidelines first describe how to decide whether to use the relative EC50/IC50 or the absolute EC50/IC50. Assays for which there is no stable 100% control must use the relative EC50/IC50. Assays having a stable 100% control but for which there may be more than 5% error in the estimate of the 50% control mean should use the relative EC50/IC50. Assays that can be demonstrated to produce an accurate and stable 100% control and less than 5% error in the estimate of the 50% control mean may gain efficiency as well as accuracy by using the absolute EC50/IC50. Next, the guidelines provide rules for deciding when the EC50/IC50 estimates are reportable. The relative EC50/IC50 should only be used if there are at least two assay concentrations beyond the lower and upper bend points. The absolute EC50/IC50 should only be used if there are at least two assay concentrations whose predicted response is less than 50% and two whose predicted response is greater than 50%. A wide range of typical assay conditions are considered in the development of the guidelines.","author":[{"dropping-particle":"","family":"Sebaugh","given":"J. L.","non-dropping-particle":"","parse-names":false,"suffix":""}],"container-title":"Pharmaceutical Statistics","id":"ITEM-2","issue":"2","issued":{"date-parts":[["2011"]]},"page":"128-134","title":"Guidelines for accurate EC50/IC50 estimation","type":"article-journal","volume":"10"},"uris":["http://www.mendeley.com/documents/?uuid=8dce79fc-5603-4fa9-b079-b0730edd842a"]}],"mendeley":{"formattedCitation":"&lt;sup&gt;191,207&lt;/sup&gt;","plainTextFormattedCitation":"191,207"},"properties":{"noteIndex":0},"schema":"https://github.com/citation-style-language/schema/raw/master/csl-citation.json"}</w:instrText>
      </w:r>
      <w:r w:rsidR="00DB1BCE">
        <w:rPr>
          <w:color w:val="000000" w:themeColor="text1"/>
        </w:rPr>
        <w:fldChar w:fldCharType="separate"/>
      </w:r>
      <w:r w:rsidR="00DB1BCE" w:rsidRPr="00DB1BCE">
        <w:rPr>
          <w:noProof/>
          <w:color w:val="000000" w:themeColor="text1"/>
          <w:vertAlign w:val="superscript"/>
        </w:rPr>
        <w:t>191,207</w:t>
      </w:r>
      <w:r w:rsidR="00DB1BCE">
        <w:rPr>
          <w:color w:val="000000" w:themeColor="text1"/>
        </w:rPr>
        <w:fldChar w:fldCharType="end"/>
      </w:r>
      <w:r w:rsidR="00DB1BCE">
        <w:rPr>
          <w:color w:val="000000" w:themeColor="text1"/>
        </w:rPr>
        <w:t xml:space="preserve"> R</w:t>
      </w:r>
      <w:r>
        <w:rPr>
          <w:color w:val="000000" w:themeColor="text1"/>
        </w:rPr>
        <w:t>elative</w:t>
      </w:r>
      <w:r w:rsidRPr="005F2247">
        <w:rPr>
          <w:color w:val="000000" w:themeColor="text1"/>
        </w:rPr>
        <w:t xml:space="preserve"> IC</w:t>
      </w:r>
      <w:r w:rsidRPr="005F2247">
        <w:rPr>
          <w:color w:val="000000" w:themeColor="text1"/>
          <w:vertAlign w:val="subscript"/>
        </w:rPr>
        <w:t>50</w:t>
      </w:r>
      <w:r w:rsidRPr="005F2247">
        <w:rPr>
          <w:color w:val="000000" w:themeColor="text1"/>
        </w:rPr>
        <w:t xml:space="preserve"> values for </w:t>
      </w:r>
      <w:r>
        <w:rPr>
          <w:color w:val="000000" w:themeColor="text1"/>
        </w:rPr>
        <w:t>both</w:t>
      </w:r>
      <w:r w:rsidRPr="005F2247">
        <w:rPr>
          <w:color w:val="000000" w:themeColor="text1"/>
        </w:rPr>
        <w:t xml:space="preserve"> </w:t>
      </w:r>
      <w:r w:rsidRPr="005F2247">
        <w:rPr>
          <w:color w:val="000000" w:themeColor="text1"/>
        </w:rPr>
        <w:sym w:font="Symbol" w:char="F062"/>
      </w:r>
      <w:r w:rsidRPr="005F2247">
        <w:rPr>
          <w:color w:val="000000" w:themeColor="text1"/>
        </w:rPr>
        <w:noBreakHyphen/>
        <w:t>APN</w:t>
      </w:r>
      <w:r>
        <w:rPr>
          <w:color w:val="000000" w:themeColor="text1"/>
        </w:rPr>
        <w:t xml:space="preserve"> and</w:t>
      </w:r>
      <w:r w:rsidR="00462FA3">
        <w:rPr>
          <w:color w:val="000000" w:themeColor="text1"/>
        </w:rPr>
        <w:t xml:space="preserve"> compound</w:t>
      </w:r>
      <w:r>
        <w:rPr>
          <w:color w:val="000000" w:themeColor="text1"/>
        </w:rPr>
        <w:t xml:space="preserve"> </w:t>
      </w:r>
      <w:r w:rsidRPr="005F2247">
        <w:rPr>
          <w:b/>
          <w:color w:val="000000" w:themeColor="text1"/>
        </w:rPr>
        <w:t>1b</w:t>
      </w:r>
      <w:r w:rsidR="00DB1BCE">
        <w:rPr>
          <w:color w:val="000000" w:themeColor="text1"/>
        </w:rPr>
        <w:t xml:space="preserve"> are</w:t>
      </w:r>
      <w:r>
        <w:rPr>
          <w:color w:val="000000" w:themeColor="text1"/>
        </w:rPr>
        <w:t xml:space="preserve"> summarised in </w:t>
      </w:r>
      <w:r>
        <w:rPr>
          <w:color w:val="000000" w:themeColor="text1"/>
        </w:rPr>
        <w:fldChar w:fldCharType="begin"/>
      </w:r>
      <w:r>
        <w:rPr>
          <w:color w:val="000000" w:themeColor="text1"/>
        </w:rPr>
        <w:instrText xml:space="preserve"> REF _Ref520223253 \h </w:instrText>
      </w:r>
      <w:r>
        <w:rPr>
          <w:color w:val="000000" w:themeColor="text1"/>
        </w:rPr>
      </w:r>
      <w:r>
        <w:rPr>
          <w:color w:val="000000" w:themeColor="text1"/>
        </w:rPr>
        <w:fldChar w:fldCharType="separate"/>
      </w:r>
      <w:r w:rsidR="00E6157A" w:rsidRPr="0006425C">
        <w:t xml:space="preserve">Table </w:t>
      </w:r>
      <w:r w:rsidR="00E6157A">
        <w:rPr>
          <w:noProof/>
        </w:rPr>
        <w:t>3</w:t>
      </w:r>
      <w:r w:rsidR="00E6157A">
        <w:t>.</w:t>
      </w:r>
      <w:r w:rsidR="00E6157A">
        <w:rPr>
          <w:noProof/>
        </w:rPr>
        <w:t>1</w:t>
      </w:r>
      <w:r>
        <w:rPr>
          <w:color w:val="000000" w:themeColor="text1"/>
        </w:rPr>
        <w:fldChar w:fldCharType="end"/>
      </w:r>
      <w:r>
        <w:rPr>
          <w:color w:val="000000" w:themeColor="text1"/>
        </w:rPr>
        <w:t>.</w:t>
      </w:r>
      <w:r w:rsidRPr="00EE5B85">
        <w:rPr>
          <w:color w:val="000000" w:themeColor="text1"/>
        </w:rPr>
        <w:t xml:space="preserve"> </w:t>
      </w:r>
      <w:r>
        <w:rPr>
          <w:color w:val="000000" w:themeColor="text1"/>
        </w:rPr>
        <w:t>An IC</w:t>
      </w:r>
      <w:r w:rsidRPr="003D19E2">
        <w:rPr>
          <w:color w:val="000000" w:themeColor="text1"/>
          <w:vertAlign w:val="subscript"/>
        </w:rPr>
        <w:t>50</w:t>
      </w:r>
      <w:r w:rsidRPr="003D19E2">
        <w:rPr>
          <w:color w:val="000000" w:themeColor="text1"/>
        </w:rPr>
        <w:t xml:space="preserve"> value </w:t>
      </w:r>
      <w:r>
        <w:rPr>
          <w:color w:val="000000" w:themeColor="text1"/>
        </w:rPr>
        <w:t xml:space="preserve">for compound </w:t>
      </w:r>
      <w:r w:rsidRPr="003D19E2">
        <w:rPr>
          <w:b/>
          <w:color w:val="000000" w:themeColor="text1"/>
        </w:rPr>
        <w:t>1a</w:t>
      </w:r>
      <w:r>
        <w:rPr>
          <w:color w:val="000000" w:themeColor="text1"/>
        </w:rPr>
        <w:t xml:space="preserve"> was not able to be reported using this analysis. This is likely because the data does not show a dose-response relationship. The relative IC</w:t>
      </w:r>
      <w:r w:rsidRPr="00EE5B85">
        <w:rPr>
          <w:color w:val="000000" w:themeColor="text1"/>
          <w:vertAlign w:val="subscript"/>
        </w:rPr>
        <w:t>50</w:t>
      </w:r>
      <w:r>
        <w:rPr>
          <w:color w:val="000000" w:themeColor="text1"/>
        </w:rPr>
        <w:t xml:space="preserve"> values for </w:t>
      </w:r>
      <w:r>
        <w:rPr>
          <w:color w:val="000000" w:themeColor="text1"/>
        </w:rPr>
        <w:sym w:font="Symbol" w:char="F062"/>
      </w:r>
      <w:r>
        <w:rPr>
          <w:color w:val="000000" w:themeColor="text1"/>
        </w:rPr>
        <w:noBreakHyphen/>
        <w:t xml:space="preserve">APN and </w:t>
      </w:r>
      <w:r w:rsidRPr="003D19E2">
        <w:rPr>
          <w:b/>
          <w:color w:val="000000" w:themeColor="text1"/>
        </w:rPr>
        <w:t>1b</w:t>
      </w:r>
      <w:r>
        <w:rPr>
          <w:color w:val="000000" w:themeColor="text1"/>
        </w:rPr>
        <w:t xml:space="preserve"> are very similar and </w:t>
      </w:r>
      <w:r w:rsidR="00440895">
        <w:rPr>
          <w:color w:val="000000" w:themeColor="text1"/>
        </w:rPr>
        <w:t>are s</w:t>
      </w:r>
      <w:bookmarkStart w:id="191" w:name="_GoBack"/>
      <w:bookmarkEnd w:id="191"/>
      <w:r w:rsidR="00440895">
        <w:rPr>
          <w:color w:val="000000" w:themeColor="text1"/>
        </w:rPr>
        <w:t>lightly lower than</w:t>
      </w:r>
      <w:r>
        <w:rPr>
          <w:color w:val="000000" w:themeColor="text1"/>
        </w:rPr>
        <w:t xml:space="preserve"> those reported for </w:t>
      </w:r>
      <w:r>
        <w:rPr>
          <w:color w:val="000000" w:themeColor="text1"/>
        </w:rPr>
        <w:sym w:font="Symbol" w:char="F062"/>
      </w:r>
      <w:r>
        <w:rPr>
          <w:color w:val="000000" w:themeColor="text1"/>
        </w:rPr>
        <w:noBreakHyphen/>
        <w:t>APN in the literature.</w:t>
      </w:r>
      <w:r>
        <w:rPr>
          <w:color w:val="000000" w:themeColor="text1"/>
        </w:rPr>
        <w:fldChar w:fldCharType="begin" w:fldLock="1"/>
      </w:r>
      <w:r w:rsidR="0085447D">
        <w:rPr>
          <w:color w:val="000000" w:themeColor="text1"/>
        </w:rPr>
        <w:instrText>ADDIN CSL_CITATION {"citationItems":[{"id":"ITEM-1","itemData":{"DOI":"10.1074/jbc.M109.094136","ISBN":"0021-9258","ISSN":"00219258","PMID":"20439985","abstract":"In this report, we assessed the steady-state enzymatic activity of lysyl oxidase-like 2 (LOXL2) against the substrates 1,5-diaminopentane (DAP), spermine, and fibrillar type I collagen. We find that both DAP and spermine are capable of activating LOXL2 to the same extent and have similar Michaelis constants (K(m) approximately 1 mm) and catalytic rates (k(cat) approximately 0.02 s(-1)). We also show that LOXL2 is capable of being inhibited by a known suicide inhibitor of lysyl oxidase (LOX), beta-aminopropionitrile, which we find is a potent inhibitor of LOXL2 activity. The modality of inhibition of beta-aminopropionitrile was also examined and found to be competitive with respect to the substrates DAP and spermine. In addition, we identified an antibody inhibitor (AB0023) of LOXL2 enzymatic function and have found that the inhibition occurs in a non-competitive manner with respect to both spermine and DAP. The binding epitope of AB0023 was mapped to the scavenger receptor cysteine-rich domain four of human LOXL2. AB0023 binds to a region remote from the catalytic domain making AB0023 an allosteric inhibitor of LOXL2. This affords AB0023 several advantages, because it is specific for LOXL2 and inhibits the enzymatic function of LOXL2 in a non-competitive manner thereby allowing inhibition of LOXL2 regardless of substrate concentration. These results suggest that antibody allosteric modulators of enzymatic function represent a novel drug development strategy and, in the context of LOXL2, suggest that inhibitors such as these might be useful therapeutics in oncology, fibrosis, and inflammation.","author":[{"dropping-particle":"","family":"Rodriguez","given":"Hector M.","non-dropping-particle":"","parse-names":false,"suffix":""},{"dropping-particle":"","family":"Vaysberg","given":"Maria","non-dropping-particle":"","parse-names":false,"suffix":""},{"dropping-particle":"","family":"Mikels","given":"Amanda","non-dropping-particle":"","parse-names":false,"suffix":""},{"dropping-particle":"","family":"McCauley","given":"Scott","non-dropping-particle":"","parse-names":false,"suffix":""},{"dropping-particle":"","family":"Velayo","given":"Arleene C.","non-dropping-particle":"","parse-names":false,"suffix":""},{"dropping-particle":"","family":"Garcia","given":"Carlos","non-dropping-particle":"","parse-names":false,"suffix":""},{"dropping-particle":"","family":"Smith","given":"Victoria","non-dropping-particle":"","parse-names":false,"suffix":""}],"container-title":"Journal of Biological Chemistry","id":"ITEM-1","issue":"27","issued":{"date-parts":[["2010"]]},"page":"20964-20974","title":"Modulation of lysyl oxidase-like 2 enzymatic activity by an allosteric antibody inhibitor","type":"article-journal","volume":"285"},"uris":["http://www.mendeley.com/documents/?uuid=db75fbba-7747-4b6a-81d8-8ecaa75a1a16"]}],"mendeley":{"formattedCitation":"&lt;sup&gt;205&lt;/sup&gt;","plainTextFormattedCitation":"205","previouslyFormattedCitation":"&lt;sup&gt;205&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205</w:t>
      </w:r>
      <w:r>
        <w:rPr>
          <w:color w:val="000000" w:themeColor="text1"/>
        </w:rPr>
        <w:fldChar w:fldCharType="end"/>
      </w:r>
      <w:r>
        <w:rPr>
          <w:color w:val="000000" w:themeColor="text1"/>
        </w:rPr>
        <w:t xml:space="preserve"> </w:t>
      </w:r>
      <w:r w:rsidRPr="00EE5B85">
        <w:rPr>
          <w:color w:val="000000" w:themeColor="text1"/>
        </w:rPr>
        <w:t xml:space="preserve">The aim of this piece of work was to investigate whether the prodrugs were able to dissociate </w:t>
      </w:r>
      <w:r w:rsidRPr="00EE5B85">
        <w:rPr>
          <w:i/>
          <w:color w:val="000000" w:themeColor="text1"/>
        </w:rPr>
        <w:t>in vitro</w:t>
      </w:r>
      <w:r w:rsidRPr="00EE5B85">
        <w:rPr>
          <w:color w:val="000000" w:themeColor="text1"/>
        </w:rPr>
        <w:t xml:space="preserve"> to a sufficient degree to inhibit the target enzyme</w:t>
      </w:r>
      <w:r>
        <w:rPr>
          <w:color w:val="000000" w:themeColor="text1"/>
        </w:rPr>
        <w:t xml:space="preserve">. </w:t>
      </w:r>
      <w:r w:rsidRPr="00EE5B85">
        <w:rPr>
          <w:color w:val="000000" w:themeColor="text1"/>
        </w:rPr>
        <w:t xml:space="preserve">The data presented in </w:t>
      </w:r>
      <w:r w:rsidRPr="00EE5B85">
        <w:rPr>
          <w:color w:val="000000" w:themeColor="text1"/>
        </w:rPr>
        <w:fldChar w:fldCharType="begin"/>
      </w:r>
      <w:r w:rsidRPr="00EE5B85">
        <w:rPr>
          <w:color w:val="000000" w:themeColor="text1"/>
        </w:rPr>
        <w:instrText xml:space="preserve"> REF _Ref514145752 \h </w:instrText>
      </w:r>
      <w:r w:rsidRPr="00EE5B85">
        <w:rPr>
          <w:color w:val="000000" w:themeColor="text1"/>
        </w:rPr>
      </w:r>
      <w:r w:rsidRPr="00EE5B85">
        <w:rPr>
          <w:color w:val="000000" w:themeColor="text1"/>
        </w:rPr>
        <w:fldChar w:fldCharType="separate"/>
      </w:r>
      <w:r w:rsidR="00E6157A" w:rsidRPr="0006425C">
        <w:t xml:space="preserve">Figure </w:t>
      </w:r>
      <w:r w:rsidR="00E6157A">
        <w:rPr>
          <w:noProof/>
        </w:rPr>
        <w:t>3</w:t>
      </w:r>
      <w:r w:rsidR="00E6157A">
        <w:t>.</w:t>
      </w:r>
      <w:r w:rsidR="00E6157A">
        <w:rPr>
          <w:noProof/>
        </w:rPr>
        <w:t>5</w:t>
      </w:r>
      <w:r w:rsidRPr="00EE5B85">
        <w:rPr>
          <w:color w:val="000000" w:themeColor="text1"/>
        </w:rPr>
        <w:fldChar w:fldCharType="end"/>
      </w:r>
      <w:r w:rsidRPr="00EE5B85">
        <w:rPr>
          <w:color w:val="000000" w:themeColor="text1"/>
        </w:rPr>
        <w:t xml:space="preserve">, and summarised in </w:t>
      </w:r>
      <w:r w:rsidRPr="00EE5B85">
        <w:rPr>
          <w:color w:val="000000" w:themeColor="text1"/>
        </w:rPr>
        <w:lastRenderedPageBreak/>
        <w:fldChar w:fldCharType="begin"/>
      </w:r>
      <w:r w:rsidRPr="00EE5B85">
        <w:rPr>
          <w:color w:val="000000" w:themeColor="text1"/>
        </w:rPr>
        <w:instrText xml:space="preserve"> REF _Ref520223253 \h </w:instrText>
      </w:r>
      <w:r w:rsidRPr="00EE5B85">
        <w:rPr>
          <w:color w:val="000000" w:themeColor="text1"/>
        </w:rPr>
      </w:r>
      <w:r w:rsidRPr="00EE5B85">
        <w:rPr>
          <w:color w:val="000000" w:themeColor="text1"/>
        </w:rPr>
        <w:fldChar w:fldCharType="separate"/>
      </w:r>
      <w:r w:rsidR="00E6157A" w:rsidRPr="0006425C">
        <w:t xml:space="preserve">Table </w:t>
      </w:r>
      <w:r w:rsidR="00E6157A">
        <w:rPr>
          <w:noProof/>
        </w:rPr>
        <w:t>3</w:t>
      </w:r>
      <w:r w:rsidR="00E6157A">
        <w:t>.</w:t>
      </w:r>
      <w:r w:rsidR="00E6157A">
        <w:rPr>
          <w:noProof/>
        </w:rPr>
        <w:t>1</w:t>
      </w:r>
      <w:r w:rsidRPr="00EE5B85">
        <w:rPr>
          <w:color w:val="000000" w:themeColor="text1"/>
        </w:rPr>
        <w:fldChar w:fldCharType="end"/>
      </w:r>
      <w:r w:rsidRPr="00EE5B85">
        <w:rPr>
          <w:color w:val="000000" w:themeColor="text1"/>
        </w:rPr>
        <w:t>, suggests this is the case. Furthermore</w:t>
      </w:r>
      <w:r>
        <w:rPr>
          <w:color w:val="000000" w:themeColor="text1"/>
        </w:rPr>
        <w:t>,</w:t>
      </w:r>
      <w:r w:rsidRPr="00EE5B85">
        <w:rPr>
          <w:color w:val="000000" w:themeColor="text1"/>
        </w:rPr>
        <w:t xml:space="preserve"> the aldehyde </w:t>
      </w:r>
      <w:r w:rsidRPr="00EE5B85">
        <w:rPr>
          <w:b/>
          <w:color w:val="000000" w:themeColor="text1"/>
        </w:rPr>
        <w:t>1a</w:t>
      </w:r>
      <w:r w:rsidRPr="00EE5B85">
        <w:rPr>
          <w:color w:val="000000" w:themeColor="text1"/>
        </w:rPr>
        <w:t xml:space="preserve"> shows very little inhibition of enzyme activity at these concentrations</w:t>
      </w:r>
      <w:r>
        <w:rPr>
          <w:color w:val="000000" w:themeColor="text1"/>
        </w:rPr>
        <w:t>. This</w:t>
      </w:r>
      <w:r w:rsidRPr="00EE5B85">
        <w:rPr>
          <w:color w:val="000000" w:themeColor="text1"/>
        </w:rPr>
        <w:t xml:space="preserve"> </w:t>
      </w:r>
      <w:r>
        <w:rPr>
          <w:color w:val="000000" w:themeColor="text1"/>
        </w:rPr>
        <w:t>indicates</w:t>
      </w:r>
      <w:r w:rsidRPr="000D6BB5">
        <w:rPr>
          <w:color w:val="000000" w:themeColor="text1"/>
        </w:rPr>
        <w:t xml:space="preserve"> that it is the dissociation of the prodrug to release </w:t>
      </w:r>
      <w:r>
        <w:rPr>
          <w:color w:val="000000" w:themeColor="text1"/>
        </w:rPr>
        <w:sym w:font="Symbol" w:char="F062"/>
      </w:r>
      <w:r w:rsidRPr="000D6BB5">
        <w:rPr>
          <w:color w:val="000000" w:themeColor="text1"/>
        </w:rPr>
        <w:t xml:space="preserve">‑APN, and not the </w:t>
      </w:r>
      <w:r>
        <w:rPr>
          <w:color w:val="000000" w:themeColor="text1"/>
        </w:rPr>
        <w:t xml:space="preserve">presence of the </w:t>
      </w:r>
      <w:r w:rsidRPr="000D6BB5">
        <w:rPr>
          <w:color w:val="000000" w:themeColor="text1"/>
        </w:rPr>
        <w:t xml:space="preserve">aldehyde substituent, that is </w:t>
      </w:r>
      <w:r>
        <w:rPr>
          <w:color w:val="000000" w:themeColor="text1"/>
        </w:rPr>
        <w:t>causing a reduction in</w:t>
      </w:r>
      <w:r w:rsidRPr="000D6BB5">
        <w:rPr>
          <w:color w:val="000000" w:themeColor="text1"/>
        </w:rPr>
        <w:t xml:space="preserve"> enzyme activity.</w:t>
      </w:r>
    </w:p>
    <w:p w14:paraId="6A2172F5" w14:textId="6660DCD4" w:rsidR="004673FB" w:rsidRDefault="004673FB" w:rsidP="00E93FCC">
      <w:pPr>
        <w:pStyle w:val="Caption"/>
        <w:keepNext/>
        <w:jc w:val="center"/>
      </w:pPr>
      <w:bookmarkStart w:id="192" w:name="_Ref520223253"/>
      <w:r w:rsidRPr="0006425C">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1</w:t>
      </w:r>
      <w:r w:rsidR="00BE21E4">
        <w:rPr>
          <w:noProof/>
        </w:rPr>
        <w:fldChar w:fldCharType="end"/>
      </w:r>
      <w:bookmarkEnd w:id="192"/>
      <w:r>
        <w:t xml:space="preserve">. </w:t>
      </w:r>
      <w:r w:rsidRPr="00E93FCC">
        <w:rPr>
          <w:b w:val="0"/>
        </w:rPr>
        <w:t>Relative IC</w:t>
      </w:r>
      <w:r w:rsidRPr="00E93FCC">
        <w:rPr>
          <w:b w:val="0"/>
          <w:vertAlign w:val="subscript"/>
        </w:rPr>
        <w:t>50</w:t>
      </w:r>
      <w:r w:rsidRPr="00E93FCC">
        <w:rPr>
          <w:b w:val="0"/>
        </w:rPr>
        <w:t xml:space="preserve"> values for </w:t>
      </w:r>
      <w:r w:rsidRPr="00E93FCC">
        <w:rPr>
          <w:b w:val="0"/>
        </w:rPr>
        <w:sym w:font="Symbol" w:char="F062"/>
      </w:r>
      <w:r w:rsidRPr="00E93FCC">
        <w:rPr>
          <w:b w:val="0"/>
        </w:rPr>
        <w:t xml:space="preserve">-APN, compound </w:t>
      </w:r>
      <w:r w:rsidRPr="00080D1B">
        <w:t>1a</w:t>
      </w:r>
      <w:r w:rsidRPr="00E93FCC">
        <w:rPr>
          <w:b w:val="0"/>
        </w:rPr>
        <w:t xml:space="preserve"> and compound </w:t>
      </w:r>
      <w:r w:rsidRPr="00080D1B">
        <w:t>1b</w:t>
      </w:r>
      <w:r w:rsidRPr="00E93FCC">
        <w:rPr>
          <w:b w:val="0"/>
        </w:rPr>
        <w:t xml:space="preserve"> in a fluorescent assay of lysyl oxidase-like 2 (LOXL2) activity.</w:t>
      </w:r>
    </w:p>
    <w:tbl>
      <w:tblPr>
        <w:tblStyle w:val="TableGrid"/>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701"/>
        <w:gridCol w:w="1701"/>
        <w:gridCol w:w="1701"/>
      </w:tblGrid>
      <w:tr w:rsidR="004673FB" w14:paraId="57489D58" w14:textId="77777777" w:rsidTr="00E95045">
        <w:trPr>
          <w:trHeight w:val="633"/>
          <w:jc w:val="center"/>
        </w:trPr>
        <w:tc>
          <w:tcPr>
            <w:tcW w:w="1701" w:type="dxa"/>
            <w:tcBorders>
              <w:top w:val="single" w:sz="4" w:space="0" w:color="auto"/>
              <w:bottom w:val="single" w:sz="4" w:space="0" w:color="auto"/>
            </w:tcBorders>
          </w:tcPr>
          <w:p w14:paraId="204417C4" w14:textId="77777777" w:rsidR="004673FB" w:rsidRPr="00EE5B85" w:rsidRDefault="004673FB" w:rsidP="00E95045">
            <w:pPr>
              <w:spacing w:line="240" w:lineRule="auto"/>
              <w:jc w:val="center"/>
              <w:rPr>
                <w:b/>
                <w:color w:val="000000" w:themeColor="text1"/>
                <w:sz w:val="22"/>
              </w:rPr>
            </w:pPr>
            <w:r w:rsidRPr="00EE5B85">
              <w:rPr>
                <w:b/>
                <w:color w:val="000000" w:themeColor="text1"/>
                <w:sz w:val="22"/>
              </w:rPr>
              <w:t>Compound</w:t>
            </w:r>
          </w:p>
        </w:tc>
        <w:tc>
          <w:tcPr>
            <w:tcW w:w="1701" w:type="dxa"/>
            <w:tcBorders>
              <w:top w:val="single" w:sz="4" w:space="0" w:color="auto"/>
              <w:bottom w:val="single" w:sz="4" w:space="0" w:color="auto"/>
            </w:tcBorders>
            <w:vAlign w:val="center"/>
          </w:tcPr>
          <w:p w14:paraId="6F509038" w14:textId="77777777" w:rsidR="004673FB" w:rsidRPr="00EE5B85" w:rsidRDefault="004673FB" w:rsidP="00E95045">
            <w:pPr>
              <w:spacing w:line="240" w:lineRule="auto"/>
              <w:jc w:val="center"/>
              <w:rPr>
                <w:b/>
                <w:color w:val="000000" w:themeColor="text1"/>
                <w:sz w:val="22"/>
              </w:rPr>
            </w:pPr>
            <w:r w:rsidRPr="00EE5B85">
              <w:rPr>
                <w:b/>
                <w:color w:val="000000" w:themeColor="text1"/>
                <w:sz w:val="22"/>
              </w:rPr>
              <w:sym w:font="Symbol" w:char="F062"/>
            </w:r>
            <w:r w:rsidRPr="00EE5B85">
              <w:rPr>
                <w:b/>
                <w:color w:val="000000" w:themeColor="text1"/>
                <w:sz w:val="22"/>
              </w:rPr>
              <w:noBreakHyphen/>
              <w:t>APN</w:t>
            </w:r>
          </w:p>
        </w:tc>
        <w:tc>
          <w:tcPr>
            <w:tcW w:w="1701" w:type="dxa"/>
            <w:tcBorders>
              <w:top w:val="single" w:sz="4" w:space="0" w:color="auto"/>
              <w:bottom w:val="single" w:sz="4" w:space="0" w:color="auto"/>
            </w:tcBorders>
            <w:vAlign w:val="center"/>
          </w:tcPr>
          <w:p w14:paraId="00B9A245" w14:textId="77777777" w:rsidR="004673FB" w:rsidRPr="00EE5B85" w:rsidRDefault="004673FB" w:rsidP="00E95045">
            <w:pPr>
              <w:spacing w:line="240" w:lineRule="auto"/>
              <w:jc w:val="center"/>
              <w:rPr>
                <w:b/>
                <w:color w:val="000000" w:themeColor="text1"/>
                <w:sz w:val="22"/>
              </w:rPr>
            </w:pPr>
            <w:r w:rsidRPr="00EE5B85">
              <w:rPr>
                <w:b/>
                <w:color w:val="000000" w:themeColor="text1"/>
                <w:sz w:val="22"/>
              </w:rPr>
              <w:t>1a</w:t>
            </w:r>
          </w:p>
        </w:tc>
        <w:tc>
          <w:tcPr>
            <w:tcW w:w="1701" w:type="dxa"/>
            <w:tcBorders>
              <w:top w:val="single" w:sz="4" w:space="0" w:color="auto"/>
              <w:bottom w:val="single" w:sz="4" w:space="0" w:color="auto"/>
            </w:tcBorders>
            <w:vAlign w:val="center"/>
          </w:tcPr>
          <w:p w14:paraId="6C92D029" w14:textId="77777777" w:rsidR="004673FB" w:rsidRPr="00EE5B85" w:rsidRDefault="004673FB" w:rsidP="00E95045">
            <w:pPr>
              <w:spacing w:line="240" w:lineRule="auto"/>
              <w:jc w:val="center"/>
              <w:rPr>
                <w:b/>
                <w:color w:val="000000" w:themeColor="text1"/>
                <w:sz w:val="22"/>
              </w:rPr>
            </w:pPr>
            <w:r w:rsidRPr="00EE5B85">
              <w:rPr>
                <w:b/>
                <w:color w:val="000000" w:themeColor="text1"/>
                <w:sz w:val="22"/>
              </w:rPr>
              <w:t>1b</w:t>
            </w:r>
          </w:p>
        </w:tc>
      </w:tr>
      <w:tr w:rsidR="004673FB" w14:paraId="185F167E" w14:textId="77777777" w:rsidTr="00E95045">
        <w:trPr>
          <w:trHeight w:val="374"/>
          <w:jc w:val="center"/>
        </w:trPr>
        <w:tc>
          <w:tcPr>
            <w:tcW w:w="1701" w:type="dxa"/>
            <w:tcBorders>
              <w:top w:val="single" w:sz="4" w:space="0" w:color="auto"/>
            </w:tcBorders>
            <w:vAlign w:val="center"/>
          </w:tcPr>
          <w:p w14:paraId="17C9264B" w14:textId="77777777" w:rsidR="004673FB" w:rsidRPr="004D2BA8" w:rsidRDefault="004673FB" w:rsidP="00E95045">
            <w:pPr>
              <w:spacing w:line="240" w:lineRule="auto"/>
              <w:jc w:val="center"/>
              <w:rPr>
                <w:b/>
                <w:color w:val="000000" w:themeColor="text1"/>
                <w:sz w:val="22"/>
              </w:rPr>
            </w:pPr>
            <w:r w:rsidRPr="004D2BA8">
              <w:rPr>
                <w:b/>
                <w:color w:val="000000" w:themeColor="text1"/>
                <w:sz w:val="22"/>
              </w:rPr>
              <w:t>IC</w:t>
            </w:r>
            <w:r w:rsidRPr="004D2BA8">
              <w:rPr>
                <w:b/>
                <w:color w:val="000000" w:themeColor="text1"/>
                <w:sz w:val="22"/>
                <w:vertAlign w:val="subscript"/>
              </w:rPr>
              <w:t>50</w:t>
            </w:r>
            <w:r w:rsidRPr="004D2BA8">
              <w:rPr>
                <w:b/>
                <w:color w:val="000000" w:themeColor="text1"/>
                <w:sz w:val="22"/>
              </w:rPr>
              <w:t xml:space="preserve"> (µM)</w:t>
            </w:r>
          </w:p>
        </w:tc>
        <w:tc>
          <w:tcPr>
            <w:tcW w:w="1701" w:type="dxa"/>
            <w:tcBorders>
              <w:top w:val="single" w:sz="4" w:space="0" w:color="auto"/>
            </w:tcBorders>
            <w:vAlign w:val="center"/>
          </w:tcPr>
          <w:p w14:paraId="1ACEBF40" w14:textId="78E5AEDA" w:rsidR="004673FB" w:rsidRDefault="00A6642B" w:rsidP="00F5205F">
            <w:pPr>
              <w:spacing w:line="240" w:lineRule="auto"/>
              <w:jc w:val="center"/>
              <w:rPr>
                <w:color w:val="000000" w:themeColor="text1"/>
                <w:sz w:val="22"/>
              </w:rPr>
            </w:pPr>
            <w:r>
              <w:rPr>
                <w:color w:val="000000" w:themeColor="text1"/>
                <w:sz w:val="22"/>
              </w:rPr>
              <w:t>0.67</w:t>
            </w:r>
          </w:p>
          <w:p w14:paraId="088BAFFA" w14:textId="1910263B" w:rsidR="004673FB" w:rsidRPr="00EE5B85" w:rsidRDefault="004673FB" w:rsidP="00E95045">
            <w:pPr>
              <w:spacing w:line="240" w:lineRule="auto"/>
              <w:jc w:val="center"/>
              <w:rPr>
                <w:color w:val="000000" w:themeColor="text1"/>
                <w:sz w:val="22"/>
              </w:rPr>
            </w:pPr>
            <w:r w:rsidRPr="00F5205F">
              <w:rPr>
                <w:color w:val="000000" w:themeColor="text1"/>
                <w:sz w:val="18"/>
              </w:rPr>
              <w:t xml:space="preserve">(CI </w:t>
            </w:r>
            <w:r w:rsidR="00A6642B" w:rsidRPr="00F5205F">
              <w:rPr>
                <w:color w:val="000000" w:themeColor="text1"/>
                <w:sz w:val="18"/>
              </w:rPr>
              <w:t>0.44</w:t>
            </w:r>
            <w:r w:rsidRPr="00F5205F">
              <w:rPr>
                <w:color w:val="000000" w:themeColor="text1"/>
                <w:sz w:val="18"/>
              </w:rPr>
              <w:t xml:space="preserve"> </w:t>
            </w:r>
            <w:r w:rsidR="00A6642B" w:rsidRPr="00F5205F">
              <w:rPr>
                <w:color w:val="000000" w:themeColor="text1"/>
                <w:sz w:val="18"/>
              </w:rPr>
              <w:t>–</w:t>
            </w:r>
            <w:r w:rsidRPr="00F5205F">
              <w:rPr>
                <w:color w:val="000000" w:themeColor="text1"/>
                <w:sz w:val="18"/>
              </w:rPr>
              <w:t xml:space="preserve"> </w:t>
            </w:r>
            <w:r w:rsidR="00A6642B" w:rsidRPr="00F5205F">
              <w:rPr>
                <w:color w:val="000000" w:themeColor="text1"/>
                <w:sz w:val="18"/>
              </w:rPr>
              <w:t>0.88</w:t>
            </w:r>
            <w:r w:rsidRPr="00F5205F">
              <w:rPr>
                <w:color w:val="000000" w:themeColor="text1"/>
                <w:sz w:val="18"/>
              </w:rPr>
              <w:t>)</w:t>
            </w:r>
          </w:p>
        </w:tc>
        <w:tc>
          <w:tcPr>
            <w:tcW w:w="1701" w:type="dxa"/>
            <w:tcBorders>
              <w:top w:val="single" w:sz="4" w:space="0" w:color="auto"/>
            </w:tcBorders>
            <w:vAlign w:val="center"/>
          </w:tcPr>
          <w:p w14:paraId="71EAC65C" w14:textId="77777777" w:rsidR="004673FB" w:rsidRPr="00EE5B85" w:rsidRDefault="004673FB" w:rsidP="00E95045">
            <w:pPr>
              <w:spacing w:line="240" w:lineRule="auto"/>
              <w:jc w:val="center"/>
              <w:rPr>
                <w:color w:val="000000" w:themeColor="text1"/>
                <w:sz w:val="22"/>
              </w:rPr>
            </w:pPr>
            <w:r w:rsidRPr="00EE5B85">
              <w:rPr>
                <w:color w:val="000000" w:themeColor="text1"/>
                <w:sz w:val="22"/>
              </w:rPr>
              <w:t>N/A</w:t>
            </w:r>
          </w:p>
        </w:tc>
        <w:tc>
          <w:tcPr>
            <w:tcW w:w="1701" w:type="dxa"/>
            <w:tcBorders>
              <w:top w:val="single" w:sz="4" w:space="0" w:color="auto"/>
            </w:tcBorders>
            <w:vAlign w:val="center"/>
          </w:tcPr>
          <w:p w14:paraId="56C8AEA2" w14:textId="13F18DE8" w:rsidR="004673FB" w:rsidRDefault="00A6642B" w:rsidP="00F5205F">
            <w:pPr>
              <w:spacing w:line="240" w:lineRule="auto"/>
              <w:jc w:val="center"/>
              <w:rPr>
                <w:color w:val="000000" w:themeColor="text1"/>
                <w:sz w:val="22"/>
              </w:rPr>
            </w:pPr>
            <w:r>
              <w:rPr>
                <w:color w:val="000000" w:themeColor="text1"/>
                <w:sz w:val="22"/>
              </w:rPr>
              <w:t>0.74</w:t>
            </w:r>
          </w:p>
          <w:p w14:paraId="6BE05663" w14:textId="5B260A4E" w:rsidR="004673FB" w:rsidRPr="00EE5B85" w:rsidRDefault="004673FB" w:rsidP="00E95045">
            <w:pPr>
              <w:spacing w:line="240" w:lineRule="auto"/>
              <w:jc w:val="center"/>
              <w:rPr>
                <w:color w:val="000000" w:themeColor="text1"/>
                <w:sz w:val="22"/>
              </w:rPr>
            </w:pPr>
            <w:r w:rsidRPr="00F5205F">
              <w:rPr>
                <w:color w:val="000000" w:themeColor="text1"/>
                <w:sz w:val="18"/>
              </w:rPr>
              <w:t xml:space="preserve">(CI </w:t>
            </w:r>
            <w:r w:rsidR="00A6642B" w:rsidRPr="00F5205F">
              <w:rPr>
                <w:color w:val="000000" w:themeColor="text1"/>
                <w:sz w:val="18"/>
              </w:rPr>
              <w:t>0.49</w:t>
            </w:r>
            <w:r w:rsidRPr="00F5205F">
              <w:rPr>
                <w:color w:val="000000" w:themeColor="text1"/>
                <w:sz w:val="18"/>
              </w:rPr>
              <w:t xml:space="preserve"> </w:t>
            </w:r>
            <w:r w:rsidR="00A6642B" w:rsidRPr="00F5205F">
              <w:rPr>
                <w:color w:val="000000" w:themeColor="text1"/>
                <w:sz w:val="18"/>
              </w:rPr>
              <w:t>–</w:t>
            </w:r>
            <w:r w:rsidRPr="00F5205F">
              <w:rPr>
                <w:color w:val="000000" w:themeColor="text1"/>
                <w:sz w:val="18"/>
              </w:rPr>
              <w:t xml:space="preserve"> </w:t>
            </w:r>
            <w:r w:rsidR="00A6642B" w:rsidRPr="00F5205F">
              <w:rPr>
                <w:color w:val="000000" w:themeColor="text1"/>
                <w:sz w:val="18"/>
              </w:rPr>
              <w:t>1.06</w:t>
            </w:r>
            <w:r w:rsidRPr="00F5205F">
              <w:rPr>
                <w:color w:val="000000" w:themeColor="text1"/>
                <w:sz w:val="18"/>
              </w:rPr>
              <w:t>)</w:t>
            </w:r>
          </w:p>
        </w:tc>
      </w:tr>
    </w:tbl>
    <w:p w14:paraId="12EEA370" w14:textId="77777777" w:rsidR="004673FB" w:rsidRDefault="004673FB" w:rsidP="004673FB">
      <w:pPr>
        <w:rPr>
          <w:color w:val="FF0000"/>
        </w:rPr>
      </w:pPr>
    </w:p>
    <w:p w14:paraId="6800B3FC" w14:textId="77777777" w:rsidR="004673FB" w:rsidRPr="001B5C46" w:rsidRDefault="004673FB" w:rsidP="003D132C">
      <w:pPr>
        <w:pStyle w:val="Heading3"/>
      </w:pPr>
      <w:bookmarkStart w:id="193" w:name="_Toc2451031"/>
      <w:r w:rsidRPr="002050CD">
        <w:t>Cytotoxicity</w:t>
      </w:r>
      <w:bookmarkEnd w:id="193"/>
    </w:p>
    <w:p w14:paraId="7E05C281" w14:textId="77777777" w:rsidR="004673FB" w:rsidRDefault="004673FB" w:rsidP="004673FB">
      <w:pPr>
        <w:spacing w:after="0"/>
      </w:pPr>
      <w:r>
        <w:t xml:space="preserve">After establishing the ability of the synthesised compounds to inhibit a member of the LOX family of enzymes, it was considered essential to determine whether the compounds </w:t>
      </w:r>
      <w:r w:rsidRPr="004B3F96">
        <w:t>caused any cytotoxicity. Primary</w:t>
      </w:r>
      <w:r>
        <w:t xml:space="preserve"> human dermal fibroblasts (HDF) were selected for cytotoxicity testing due to being physiologically representative of the target organ for this treatment. Cytotoxicity was assessed by monitoring changes to cell viability and function using appropriate endpoints, namely cell metabolic activity and cell membrane integrity. These assays aimed to gain information on the effects of the synthesised compounds on HDF for short incubation periods. </w:t>
      </w:r>
    </w:p>
    <w:p w14:paraId="3E03C7A6" w14:textId="77777777" w:rsidR="004673FB" w:rsidRDefault="004673FB" w:rsidP="004673FB">
      <w:pPr>
        <w:spacing w:after="0"/>
      </w:pPr>
    </w:p>
    <w:p w14:paraId="320EFDA7" w14:textId="5C13CBDA" w:rsidR="004673FB" w:rsidRPr="00927154" w:rsidRDefault="004673FB" w:rsidP="00EF1867">
      <w:pPr>
        <w:pStyle w:val="Heading3"/>
        <w:ind w:left="709" w:hanging="709"/>
      </w:pPr>
      <w:bookmarkStart w:id="194" w:name="_Toc2451032"/>
      <w:r>
        <w:t>Cell density screen using the 3</w:t>
      </w:r>
      <w:r>
        <w:noBreakHyphen/>
      </w:r>
      <w:r w:rsidRPr="003F72A6">
        <w:t>(4,5-dimethylthiazol-2-yl)-2,5-diphenyltetrazolium bromide</w:t>
      </w:r>
      <w:r>
        <w:t xml:space="preserve"> (MTT) </w:t>
      </w:r>
      <w:r w:rsidR="009C656E">
        <w:t>a</w:t>
      </w:r>
      <w:r>
        <w:t xml:space="preserve">ssay of </w:t>
      </w:r>
      <w:r w:rsidR="009C656E">
        <w:t>c</w:t>
      </w:r>
      <w:r>
        <w:t xml:space="preserve">ell </w:t>
      </w:r>
      <w:r w:rsidR="009C656E">
        <w:t>m</w:t>
      </w:r>
      <w:r>
        <w:t xml:space="preserve">etabolic </w:t>
      </w:r>
      <w:r w:rsidR="009C656E">
        <w:t>a</w:t>
      </w:r>
      <w:r>
        <w:t>ctivity</w:t>
      </w:r>
      <w:bookmarkEnd w:id="194"/>
    </w:p>
    <w:p w14:paraId="0425BB0D" w14:textId="7DE5B854" w:rsidR="004673FB" w:rsidRPr="00C961D0" w:rsidRDefault="004673FB" w:rsidP="004673FB">
      <w:r w:rsidRPr="0021388E">
        <w:t>A variety</w:t>
      </w:r>
      <w:r>
        <w:t xml:space="preserve"> of metabolic activity assays are available to </w:t>
      </w:r>
      <w:r w:rsidRPr="004B3F96">
        <w:t>determine</w:t>
      </w:r>
      <w:r>
        <w:t xml:space="preserve"> how a</w:t>
      </w:r>
      <w:r w:rsidRPr="004B3F96">
        <w:t xml:space="preserve"> compound may alter cellular metabolic activity compared to an untreated control.</w:t>
      </w:r>
      <w:r>
        <w:fldChar w:fldCharType="begin" w:fldLock="1"/>
      </w:r>
      <w:r w:rsidR="00DB1BCE">
        <w:instrText>ADDIN CSL_CITATION {"citationItems":[{"id":"ITEM-1","itemData":{"DOI":"10.1046/j.1432-1327.2000.01606.x","ISBN":"1432-1033","ISSN":"00142956","PMID":"10951200","abstract":"We show here the identity of Alamar Blue as resazurin. The 'resazurin reduction test' has been used for about 50 years to monitor bacterial and yeast contamination of milk, and also for assessing semen quality. Resazurin (blue and nonfluorescent) is reduced to resorufin (pink and highly fluorescent) which is further reduced to hydroresorufin (uncoloured and nonfluorescent). It is still not known how this reduction occurs, intracellularly via enzyme activity or in the medium as a chemical reaction, although the reduced fluorescent form of Alamar Blue was found in the cytoplasm and of living cells nucleus of dead cells. Recently, the dye has gained popularity as a very simple and versatile way of measuring cell proliferation and cytotoxicity. This dye presents numerous advantages over other cytotoxicity or proliferation tests but we observed several drawbacks to the routine use of Alamar Blue. Tests with several toxicants in different cell lines and rat primary hepatocytes have shown accumulation of the fluorescent product of Alamar Blue in the medium which could lead to an overestimation of cell population. Also, the extensive reduction of Alamar Blue by metabolically active cells led to a final nonfluorescent product, and hence an underestimation of cellular activity.","author":[{"dropping-particle":"","family":"O'Brien","given":"John","non-dropping-particle":"","parse-names":false,"suffix":""},{"dropping-particle":"","family":"Wilson","given":"Ian","non-dropping-particle":"","parse-names":false,"suffix":""},{"dropping-particle":"","family":"Orton","given":"Terry","non-dropping-particle":"","parse-names":false,"suffix":""},{"dropping-particle":"","family":"Pognan","given":"Fran??ois","non-dropping-particle":"","parse-names":false,"suffix":""}],"container-title":"European Journal of Biochemistry","id":"ITEM-1","issue":"17","issued":{"date-parts":[["2000"]]},"page":"5421-5426","title":"Investigation of the Alamar Blue (resazurin) fluorescent dye for the assessment of mammalian cell cytotoxicity","type":"article-journal","volume":"267"},"uris":["http://www.mendeley.com/documents/?uuid=040f09f2-4f9a-48db-811b-a52f8389b63b"]}],"mendeley":{"formattedCitation":"&lt;sup&gt;208&lt;/sup&gt;","plainTextFormattedCitation":"208","previouslyFormattedCitation":"&lt;sup&gt;207&lt;/sup&gt;"},"properties":{"noteIndex":0},"schema":"https://github.com/citation-style-language/schema/raw/master/csl-citation.json"}</w:instrText>
      </w:r>
      <w:r>
        <w:fldChar w:fldCharType="separate"/>
      </w:r>
      <w:r w:rsidR="00DB1BCE" w:rsidRPr="00DB1BCE">
        <w:rPr>
          <w:noProof/>
          <w:vertAlign w:val="superscript"/>
        </w:rPr>
        <w:t>208</w:t>
      </w:r>
      <w:r>
        <w:fldChar w:fldCharType="end"/>
      </w:r>
      <w:r w:rsidRPr="00D32442">
        <w:rPr>
          <w:vertAlign w:val="superscript"/>
        </w:rPr>
        <w:t>,</w:t>
      </w:r>
      <w:r>
        <w:fldChar w:fldCharType="begin" w:fldLock="1"/>
      </w:r>
      <w:r w:rsidR="00DB1BCE">
        <w:instrText>ADDIN CSL_CITATION {"citationItems":[{"id":"ITEM-1","itemData":{"DOI":"10.1590/S1516-89132014005000007","ISBN":"1516-8913","ISSN":"16784324","abstract":"The aim of this study was to establish the more accurate protocol for fibroblast cell viability using MTT assay. NIH/3T3 fibroblasts were seeded at the following cell densities: 3.125x10 3 ; 1.156x10 4 ; 3.125x10 4 ; 1.156x10 5 and 3.125x10 5 cells/cm 2 . Following 24h of seeding, MTT was added to the wells. After 4h of the MTT addition, different solvents were added to solubilize the formazan crystals: 1) HCl/SDS group-20% SDS and 0.01 M HCl; 2) EtOH/ HAc group-50% ethanol and 1% acetic acid; 3) DMSO group-99.5% dimethyl sulfoxide; and 4) PropOH group-99.5% isopropanol. The absorbance values were measured using a spectrophotometer at 570 nm. The data were analyzed by 2-way ANOVA (p&lt;0.05) and showed that the absorbance average varied according to the number of cells and solvents: HCl/SDS (0 to 0.13), EtOH/HAc (0 to 0.22), DMSO (0.76 to 1.31) and PropOH (0.66 to 1.04). The DMSO and PropOH groups presented the most appropriate protocols for NIH/3T3 fibroblasts cell viability, especially at the density of 1.156x10 4 cells/cm 2 .","author":[{"dropping-particle":"","family":"Gasque","given":"Kellen Cristina Da Silva","non-dropping-particle":"","parse-names":false,"suffix":""},{"dropping-particle":"","family":"Al-Ahj","given":"Luana Polioni","non-dropping-particle":"","parse-names":false,"suffix":""},{"dropping-particle":"","family":"Oliveira","given":"Rodrigo Cardoso","non-dropping-particle":"","parse-names":false,"suffix":""},{"dropping-particle":"","family":"Magalhães","given":"Ana Carolina","non-dropping-particle":"","parse-names":false,"suffix":""}],"container-title":"Brazilian Archives of Biology and Technology","id":"ITEM-1","issue":"3","issued":{"date-parts":[["2014"]]},"page":"381-385","title":"Cell density and solvent are critical parameters affecting formazan evaluation in MTT assay","type":"article-journal","volume":"57"},"uris":["http://www.mendeley.com/documents/?uuid=3ffe1f17-10a7-4ab5-8208-a592871b46c4"]}],"mendeley":{"formattedCitation":"&lt;sup&gt;209&lt;/sup&gt;","plainTextFormattedCitation":"209","previouslyFormattedCitation":"&lt;sup&gt;208&lt;/sup&gt;"},"properties":{"noteIndex":0},"schema":"https://github.com/citation-style-language/schema/raw/master/csl-citation.json"}</w:instrText>
      </w:r>
      <w:r>
        <w:fldChar w:fldCharType="separate"/>
      </w:r>
      <w:r w:rsidR="00DB1BCE" w:rsidRPr="00DB1BCE">
        <w:rPr>
          <w:noProof/>
          <w:vertAlign w:val="superscript"/>
        </w:rPr>
        <w:t>209</w:t>
      </w:r>
      <w:r>
        <w:fldChar w:fldCharType="end"/>
      </w:r>
      <w:r>
        <w:t xml:space="preserve"> One such assay is the MTT assay, which utilises the ability of cells to reduce a yellow tetrazolium salt to insoluble purple crystals of formazan, which are then dissolved in an appropriate solvent to provide a purple solution. The degree of this colour change is used to assess changes in cell metabolic </w:t>
      </w:r>
      <w:r w:rsidRPr="00DA401A">
        <w:rPr>
          <w:color w:val="000000" w:themeColor="text1"/>
        </w:rPr>
        <w:t xml:space="preserve">activity. </w:t>
      </w:r>
      <w:r>
        <w:t>The MTT assay was initially selected to monitor cytotoxicity in HDF when dosed with synthesised prodrugs due to its widespread use for cytotoxicity screening.</w:t>
      </w:r>
      <w:r>
        <w:fldChar w:fldCharType="begin" w:fldLock="1"/>
      </w:r>
      <w:r w:rsidR="00DB1BCE">
        <w:instrText>ADDIN CSL_CITATION {"citationItems":[{"id":"ITEM-1","itemData":{"DOI":"10.1016/j.acthis.2012.01.006","ISBN":"0065-1281","ISSN":"00651281","PMID":"22341561","abstract":"Although MTT is widely used to assess cytotoxicity and cell viability, the precise localization of its reduced formazan product is still unclear. In the present study the localization of MTT formazan was studied by direct microscopic observation of living HeLa cells and by colocalization analysis with organelle-selective fluorescent probes. MTT formazan granules did not colocalize with mitochondria as revealed by rhodamine 123 labeling or autofluorescence. Likewise, no colocalization was observed between MTT formazan granules and lysosomes labeled by neutral red. Taking into account the lipophilic character and lipid solubility of MTT formazan, an evaluation of the MTT reaction was performed after treatment of cells with sunflower oil emulsions to induce a massive occurrence of lipid droplets. Under this condition, lipid droplets revealed a large amount of MTT formazan deposits. Kinetic studies on the viability of MTT-treated cells showed no harmful effects at short times. Quantitative structure-activity relations (QSAR) models were used to predict and explain the localization of both the MTT tetrazolium salt and its formazan product. These predictions were in agreement with experimental observations on the accumulation of MTT formazan product in lipid droplets. © 2012 Elsevier GmbH.","author":[{"dropping-particle":"","family":"Stockert","given":"Juan C.","non-dropping-particle":"","parse-names":false,"suffix":""},{"dropping-particle":"","family":"Blázquez-Castro","given":"Alfonso","non-dropping-particle":"","parse-names":false,"suffix":""},{"dropping-particle":"","family":"Cañete","given":"Magdalena","non-dropping-particle":"","parse-names":false,"suffix":""},{"dropping-particle":"","family":"Horobin","given":"Richard W.","non-dropping-particle":"","parse-names":false,"suffix":""},{"dropping-particle":"","family":"Villanueva","given":"Ángeles","non-dropping-particle":"","parse-names":false,"suffix":""}],"container-title":"Acta Histochemica","id":"ITEM-1","issue":"8","issued":{"date-parts":[["2012"]]},"page":"785-796","title":"MTT assay for cell viability: Intracellular localization of the formazan product is in lipid droplets","type":"article-journal","volume":"114"},"uris":["http://www.mendeley.com/documents/?uuid=9315afef-66dc-4951-9feb-d346bbfbbd4e"]}],"mendeley":{"formattedCitation":"&lt;sup&gt;210&lt;/sup&gt;","plainTextFormattedCitation":"210","previouslyFormattedCitation":"&lt;sup&gt;209&lt;/sup&gt;"},"properties":{"noteIndex":0},"schema":"https://github.com/citation-style-language/schema/raw/master/csl-citation.json"}</w:instrText>
      </w:r>
      <w:r>
        <w:fldChar w:fldCharType="separate"/>
      </w:r>
      <w:r w:rsidR="00DB1BCE" w:rsidRPr="00DB1BCE">
        <w:rPr>
          <w:noProof/>
          <w:vertAlign w:val="superscript"/>
        </w:rPr>
        <w:t>210</w:t>
      </w:r>
      <w:r>
        <w:fldChar w:fldCharType="end"/>
      </w:r>
    </w:p>
    <w:p w14:paraId="36858ADC" w14:textId="4F97CD19" w:rsidR="004673FB" w:rsidRPr="000624AA" w:rsidRDefault="004673FB" w:rsidP="004673FB">
      <w:r>
        <w:t xml:space="preserve">A cell density screen using HDF was performed in order to determine the optimum cell density to use in subsequent experiments. The absorbance data for this cell density screen is shown in </w:t>
      </w:r>
      <w:r>
        <w:fldChar w:fldCharType="begin"/>
      </w:r>
      <w:r>
        <w:instrText xml:space="preserve"> REF _Ref512693565 \h </w:instrText>
      </w:r>
      <w:r>
        <w:fldChar w:fldCharType="separate"/>
      </w:r>
      <w:r w:rsidR="00E6157A" w:rsidRPr="0006425C">
        <w:t xml:space="preserve">Figure </w:t>
      </w:r>
      <w:r w:rsidR="00E6157A">
        <w:rPr>
          <w:noProof/>
        </w:rPr>
        <w:t>3</w:t>
      </w:r>
      <w:r w:rsidR="00E6157A">
        <w:t>.</w:t>
      </w:r>
      <w:r w:rsidR="00E6157A">
        <w:rPr>
          <w:noProof/>
        </w:rPr>
        <w:t>6</w:t>
      </w:r>
      <w:r>
        <w:fldChar w:fldCharType="end"/>
      </w:r>
      <w:r>
        <w:t>.</w:t>
      </w:r>
    </w:p>
    <w:p w14:paraId="3C2CE90C" w14:textId="77777777" w:rsidR="004673FB" w:rsidRDefault="004673FB" w:rsidP="004673FB">
      <w:pPr>
        <w:keepNext/>
        <w:spacing w:after="0"/>
        <w:jc w:val="center"/>
      </w:pPr>
      <w:r w:rsidRPr="00842901">
        <w:rPr>
          <w:noProof/>
          <w:lang w:eastAsia="en-GB"/>
        </w:rPr>
        <w:lastRenderedPageBreak/>
        <w:drawing>
          <wp:inline distT="0" distB="0" distL="0" distR="0" wp14:anchorId="3909C346" wp14:editId="46951F82">
            <wp:extent cx="3746500" cy="222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46500" cy="2222500"/>
                    </a:xfrm>
                    <a:prstGeom prst="rect">
                      <a:avLst/>
                    </a:prstGeom>
                  </pic:spPr>
                </pic:pic>
              </a:graphicData>
            </a:graphic>
          </wp:inline>
        </w:drawing>
      </w:r>
    </w:p>
    <w:p w14:paraId="21F54402" w14:textId="1040C173" w:rsidR="004673FB" w:rsidRDefault="004673FB" w:rsidP="00E93FCC">
      <w:pPr>
        <w:pStyle w:val="Caption"/>
        <w:jc w:val="both"/>
      </w:pPr>
      <w:bookmarkStart w:id="195" w:name="_Ref512693565"/>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6</w:t>
      </w:r>
      <w:r w:rsidR="00BE21E4">
        <w:rPr>
          <w:noProof/>
        </w:rPr>
        <w:fldChar w:fldCharType="end"/>
      </w:r>
      <w:bookmarkEnd w:id="195"/>
      <w:r w:rsidRPr="0006425C">
        <w:t>.</w:t>
      </w:r>
      <w:r>
        <w:t xml:space="preserve"> </w:t>
      </w:r>
      <w:r w:rsidRPr="00E93FCC">
        <w:rPr>
          <w:b w:val="0"/>
        </w:rPr>
        <w:t xml:space="preserve">Cell density screen of human dermal fibroblasts (HDF) assessed by MTT metabolic activity assay. Cells were incubated for 48 hours at 37 </w:t>
      </w:r>
      <w:r w:rsidRPr="00E93FCC">
        <w:rPr>
          <w:b w:val="0"/>
        </w:rPr>
        <w:sym w:font="Symbol" w:char="F0B0"/>
      </w:r>
      <w:r w:rsidRPr="00E93FCC">
        <w:rPr>
          <w:b w:val="0"/>
        </w:rPr>
        <w:t>C, 5 % CO</w:t>
      </w:r>
      <w:r w:rsidRPr="00E93FCC">
        <w:rPr>
          <w:b w:val="0"/>
          <w:vertAlign w:val="subscript"/>
        </w:rPr>
        <w:t>2</w:t>
      </w:r>
      <w:r w:rsidRPr="00E93FCC">
        <w:rPr>
          <w:b w:val="0"/>
        </w:rPr>
        <w:t>. Samples were prepared in triplicate and the results are expressed as mean values ± standard deviation.</w:t>
      </w:r>
    </w:p>
    <w:p w14:paraId="593EC19D" w14:textId="047D2067" w:rsidR="004673FB" w:rsidRPr="000458BF" w:rsidRDefault="004673FB" w:rsidP="004673FB">
      <w:pPr>
        <w:spacing w:after="0"/>
        <w:rPr>
          <w:color w:val="FF0000"/>
        </w:rPr>
      </w:pPr>
      <w:r>
        <w:t>The absorbance values for the highest concentration of cells have a much larger spread compared to wells containing lower cell numbers. Although this could be attributed to cells becoming senescent due to contact inhibition at this high concentratio</w:t>
      </w:r>
      <w:r w:rsidRPr="00C324C6">
        <w:t>n,</w:t>
      </w:r>
      <w:r>
        <w:fldChar w:fldCharType="begin" w:fldLock="1"/>
      </w:r>
      <w:r w:rsidR="00DB1BCE">
        <w:instrText>ADDIN CSL_CITATION {"citationItems":[{"id":"ITEM-1","itemData":{"DOI":"10.1073/pnas.1405723111","ISBN":"0027-8424","ISSN":"0027-8424","PMID":"24889617","abstract":"During cell cycle arrest caused by contact inhibition (CI), cells do not undergo senescence, thus resuming proliferation after replating. The mechanism of senescence avoidance during CI is unknown. Recently, it was demonstrated that the senescence program, namely conversion from cell cycle arrest to senescence (i.e., geroconversion), requires mammalian target of rapamycin (mTOR). Geroconversion can be suppressed by serum starvation, rapamycin, and hypoxia, which all inhibit mTOR. Here we demonstrate that CI, as evidenced by p27 induction in normal cells, was associated with inhibition of the mTOR pathway. Furthermore, CI antagonized senescence caused by CDK inhibitors. Stimulation of mTOR in contact-inhibited cells favored senescence. In cancer cells lacking p27 induction and CI, mTOR was still inhibited in confluent culture as a result of conditioning of the medium. This inhibition of mTOR suppressed p21-induced senescence. Also, trapping of malignant cells among contact-inhibited normal cells antagonized p21-induced senescence. Thus, we identified two nonmutually exclusive mechanisms of mTOR inhibition in high cell density: (i) CI associated with p27 induction in normal cells and (ii) conditioning of the medium, especially in cancer cells. Both mechanisms can coincide in various proportions in various cells. Our work explains why CI is reversible and, most importantly, why cells avoid senescence in vivo, given that cells are contact-inhibited in the organism.","author":[{"dropping-particle":"V.","family":"Leontieva","given":"O.","non-dropping-particle":"","parse-names":false,"suffix":""},{"dropping-particle":"","family":"Demidenko","given":"Z. N.","non-dropping-particle":"","parse-names":false,"suffix":""},{"dropping-particle":"V.","family":"Blagosklonny","given":"M.","non-dropping-particle":"","parse-names":false,"suffix":""}],"container-title":"Proceedings of the National Academy of Sciences","id":"ITEM-1","issue":"24","issued":{"date-parts":[["2014"]]},"page":"8832-8837","title":"Contact inhibition and high cell density deactivate the mammalian target of rapamycin pathway, thus suppressing the senescence program","type":"article-journal","volume":"111"},"uris":["http://www.mendeley.com/documents/?uuid=5184a7bd-030a-415b-8f23-695b5f7afdec"]}],"mendeley":{"formattedCitation":"&lt;sup&gt;211&lt;/sup&gt;","plainTextFormattedCitation":"211","previouslyFormattedCitation":"&lt;sup&gt;210&lt;/sup&gt;"},"properties":{"noteIndex":0},"schema":"https://github.com/citation-style-language/schema/raw/master/csl-citation.json"}</w:instrText>
      </w:r>
      <w:r>
        <w:fldChar w:fldCharType="separate"/>
      </w:r>
      <w:r w:rsidR="00DB1BCE" w:rsidRPr="00DB1BCE">
        <w:rPr>
          <w:noProof/>
          <w:vertAlign w:val="superscript"/>
        </w:rPr>
        <w:t>211</w:t>
      </w:r>
      <w:r>
        <w:fldChar w:fldCharType="end"/>
      </w:r>
      <w:r>
        <w:t xml:space="preserve"> it is more likely due to cells becoming overcrowded and losing their adherence to the well plate. This is supported by the experimental observation that during the PBS washing step after MTT treatment, purple debris was found in the waste buffer. It was also noted that the absorbance values for the MTT cell density screen were quite low and that large differences in absorbance values were not detected between the different cell densities. Low absorbance values could be a result of poor elution of the formazan crystals or being too diluted by the volume of elution solvent added. Taken together, it was decided that an alternative cellular metabolic activity assay should be considered for this work. </w:t>
      </w:r>
    </w:p>
    <w:p w14:paraId="57968969" w14:textId="77777777" w:rsidR="004673FB" w:rsidRDefault="004673FB" w:rsidP="004673FB">
      <w:pPr>
        <w:spacing w:after="0"/>
      </w:pPr>
    </w:p>
    <w:p w14:paraId="45227821" w14:textId="11370B90" w:rsidR="004673FB" w:rsidRPr="00193D40" w:rsidRDefault="004673FB" w:rsidP="004673FB">
      <w:pPr>
        <w:pStyle w:val="Heading3"/>
        <w:rPr>
          <w:rFonts w:eastAsia="Times New Roman" w:cs="Times New Roman"/>
          <w:lang w:eastAsia="en-GB"/>
        </w:rPr>
      </w:pPr>
      <w:bookmarkStart w:id="196" w:name="_Toc2451033"/>
      <w:r>
        <w:rPr>
          <w:rFonts w:eastAsia="Times New Roman"/>
          <w:lang w:eastAsia="en-GB"/>
        </w:rPr>
        <w:t xml:space="preserve">Cell density screen using the </w:t>
      </w:r>
      <w:r w:rsidRPr="00193D40">
        <w:rPr>
          <w:rFonts w:eastAsia="Times New Roman"/>
          <w:lang w:eastAsia="en-GB"/>
        </w:rPr>
        <w:t xml:space="preserve">Resazurin Sodium Salt </w:t>
      </w:r>
      <w:r w:rsidR="009C656E">
        <w:rPr>
          <w:rFonts w:eastAsia="Times New Roman"/>
          <w:lang w:eastAsia="en-GB"/>
        </w:rPr>
        <w:t>a</w:t>
      </w:r>
      <w:r w:rsidRPr="00193D40">
        <w:rPr>
          <w:rFonts w:eastAsia="Times New Roman"/>
          <w:lang w:eastAsia="en-GB"/>
        </w:rPr>
        <w:t>ssay</w:t>
      </w:r>
      <w:r>
        <w:rPr>
          <w:rFonts w:eastAsia="Times New Roman"/>
          <w:lang w:eastAsia="en-GB"/>
        </w:rPr>
        <w:t xml:space="preserve"> of </w:t>
      </w:r>
      <w:r w:rsidR="009C656E">
        <w:rPr>
          <w:rFonts w:eastAsia="Times New Roman"/>
          <w:lang w:eastAsia="en-GB"/>
        </w:rPr>
        <w:t>c</w:t>
      </w:r>
      <w:r>
        <w:rPr>
          <w:rFonts w:eastAsia="Times New Roman"/>
          <w:lang w:eastAsia="en-GB"/>
        </w:rPr>
        <w:t xml:space="preserve">ell </w:t>
      </w:r>
      <w:r w:rsidR="009C656E">
        <w:rPr>
          <w:rFonts w:eastAsia="Times New Roman"/>
          <w:lang w:eastAsia="en-GB"/>
        </w:rPr>
        <w:t>m</w:t>
      </w:r>
      <w:r>
        <w:rPr>
          <w:rFonts w:eastAsia="Times New Roman"/>
          <w:lang w:eastAsia="en-GB"/>
        </w:rPr>
        <w:t>etabolic</w:t>
      </w:r>
      <w:r w:rsidR="009C656E">
        <w:rPr>
          <w:rFonts w:eastAsia="Times New Roman"/>
          <w:lang w:eastAsia="en-GB"/>
        </w:rPr>
        <w:t xml:space="preserve"> a</w:t>
      </w:r>
      <w:r>
        <w:rPr>
          <w:rFonts w:eastAsia="Times New Roman"/>
          <w:lang w:eastAsia="en-GB"/>
        </w:rPr>
        <w:t>ctivity</w:t>
      </w:r>
      <w:bookmarkEnd w:id="196"/>
    </w:p>
    <w:p w14:paraId="566774E9" w14:textId="7C3719FF" w:rsidR="004673FB" w:rsidRDefault="004673FB" w:rsidP="004673FB">
      <w:r>
        <w:t>The resazurin sodium salt assay is comparable to the MTT assay in that it measures the reducing potential of the cell. In the resazurin assay, metabolically active cells convert a weakly fluorescent dye resazurin to resorufin, a strongly fluorescent molecule. By producing a fluorescent endpoint, the resazurin sodium salt assay allows increased sensitivity compared to the MTT assay (which measures absorbance as an endpoint).</w:t>
      </w:r>
      <w:r>
        <w:fldChar w:fldCharType="begin" w:fldLock="1"/>
      </w:r>
      <w:r w:rsidR="00DB1BCE">
        <w:instrText>ADDIN CSL_CITATION {"citationItems":[{"id":"ITEM-1","itemData":{"DOI":"10.1016/j.acthis.2012.01.006","ISBN":"0065-1281","ISSN":"00651281","PMID":"22341561","abstract":"Although MTT is widely used to assess cytotoxicity and cell viability, the precise localization of its reduced formazan product is still unclear. In the present study the localization of MTT formazan was studied by direct microscopic observation of living HeLa cells and by colocalization analysis with organelle-selective fluorescent probes. MTT formazan granules did not colocalize with mitochondria as revealed by rhodamine 123 labeling or autofluorescence. Likewise, no colocalization was observed between MTT formazan granules and lysosomes labeled by neutral red. Taking into account the lipophilic character and lipid solubility of MTT formazan, an evaluation of the MTT reaction was performed after treatment of cells with sunflower oil emulsions to induce a massive occurrence of lipid droplets. Under this condition, lipid droplets revealed a large amount of MTT formazan deposits. Kinetic studies on the viability of MTT-treated cells showed no harmful effects at short times. Quantitative structure-activity relations (QSAR) models were used to predict and explain the localization of both the MTT tetrazolium salt and its formazan product. These predictions were in agreement with experimental observations on the accumulation of MTT formazan product in lipid droplets. © 2012 Elsevier GmbH.","author":[{"dropping-particle":"","family":"Stockert","given":"Juan C.","non-dropping-particle":"","parse-names":false,"suffix":""},{"dropping-particle":"","family":"Blázquez-Castro","given":"Alfonso","non-dropping-particle":"","parse-names":false,"suffix":""},{"dropping-particle":"","family":"Cañete","given":"Magdalena","non-dropping-particle":"","parse-names":false,"suffix":""},{"dropping-particle":"","family":"Horobin","given":"Richard W.","non-dropping-particle":"","parse-names":false,"suffix":""},{"dropping-particle":"","family":"Villanueva","given":"Ángeles","non-dropping-particle":"","parse-names":false,"suffix":""}],"container-title":"Acta Histochemica","id":"ITEM-1","issue":"8","issued":{"date-parts":[["2012"]]},"page":"785-796","title":"MTT assay for cell viability: Intracellular localization of the formazan product is in lipid droplets","type":"article-journal","volume":"114"},"uris":["http://www.mendeley.com/documents/?uuid=9315afef-66dc-4951-9feb-d346bbfbbd4e"]}],"mendeley":{"formattedCitation":"&lt;sup&gt;210&lt;/sup&gt;","plainTextFormattedCitation":"210","previouslyFormattedCitation":"&lt;sup&gt;209&lt;/sup&gt;"},"properties":{"noteIndex":0},"schema":"https://github.com/citation-style-language/schema/raw/master/csl-citation.json"}</w:instrText>
      </w:r>
      <w:r>
        <w:fldChar w:fldCharType="separate"/>
      </w:r>
      <w:r w:rsidR="00DB1BCE" w:rsidRPr="00DB1BCE">
        <w:rPr>
          <w:noProof/>
          <w:vertAlign w:val="superscript"/>
        </w:rPr>
        <w:t>210</w:t>
      </w:r>
      <w:r>
        <w:fldChar w:fldCharType="end"/>
      </w:r>
      <w:r>
        <w:t xml:space="preserve"> For this reason, the resazurin sodium salt assay was selected for further cytotoxicity investigations. As with the MTT assay, an initial cell density screen was </w:t>
      </w:r>
      <w:r>
        <w:lastRenderedPageBreak/>
        <w:t xml:space="preserve">performed to determine the optimum cell number to be used in future experiments. The data from the resazurin cell density screen is shown in </w:t>
      </w:r>
      <w:r>
        <w:fldChar w:fldCharType="begin"/>
      </w:r>
      <w:r>
        <w:instrText xml:space="preserve"> REF _Ref512697016 \h </w:instrText>
      </w:r>
      <w:r>
        <w:fldChar w:fldCharType="separate"/>
      </w:r>
      <w:r w:rsidR="00E6157A" w:rsidRPr="0006425C">
        <w:t xml:space="preserve">Figure </w:t>
      </w:r>
      <w:r w:rsidR="00E6157A">
        <w:rPr>
          <w:noProof/>
        </w:rPr>
        <w:t>3</w:t>
      </w:r>
      <w:r w:rsidR="00E6157A">
        <w:t>.</w:t>
      </w:r>
      <w:r w:rsidR="00E6157A">
        <w:rPr>
          <w:noProof/>
        </w:rPr>
        <w:t>7</w:t>
      </w:r>
      <w:r>
        <w:fldChar w:fldCharType="end"/>
      </w:r>
      <w:r>
        <w:t>.</w:t>
      </w:r>
    </w:p>
    <w:p w14:paraId="59FCF033" w14:textId="77777777" w:rsidR="004673FB" w:rsidRDefault="004673FB" w:rsidP="004673FB">
      <w:pPr>
        <w:keepNext/>
        <w:jc w:val="center"/>
      </w:pPr>
      <w:r w:rsidRPr="00842901">
        <w:rPr>
          <w:noProof/>
          <w:lang w:eastAsia="en-GB"/>
        </w:rPr>
        <w:drawing>
          <wp:inline distT="0" distB="0" distL="0" distR="0" wp14:anchorId="61E69837" wp14:editId="666A5596">
            <wp:extent cx="3747600" cy="2485908"/>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47600" cy="2485908"/>
                    </a:xfrm>
                    <a:prstGeom prst="rect">
                      <a:avLst/>
                    </a:prstGeom>
                  </pic:spPr>
                </pic:pic>
              </a:graphicData>
            </a:graphic>
          </wp:inline>
        </w:drawing>
      </w:r>
    </w:p>
    <w:p w14:paraId="5797C166" w14:textId="2C46AE38" w:rsidR="004673FB" w:rsidRDefault="004673FB" w:rsidP="00E93FCC">
      <w:pPr>
        <w:pStyle w:val="Caption"/>
        <w:jc w:val="both"/>
      </w:pPr>
      <w:bookmarkStart w:id="197" w:name="_Ref512697016"/>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7</w:t>
      </w:r>
      <w:r w:rsidR="00BE21E4">
        <w:rPr>
          <w:noProof/>
        </w:rPr>
        <w:fldChar w:fldCharType="end"/>
      </w:r>
      <w:bookmarkEnd w:id="197"/>
      <w:r>
        <w:t xml:space="preserve">. </w:t>
      </w:r>
      <w:r w:rsidRPr="00E93FCC">
        <w:rPr>
          <w:b w:val="0"/>
        </w:rPr>
        <w:t>Cell density screen of human dermal fibroblasts (HDF) assessed by resazurin sodium salt metabolic activity assay. Cells were incubated for 48 hours at 37</w:t>
      </w:r>
      <w:r w:rsidR="00E93FCC">
        <w:rPr>
          <w:b w:val="0"/>
        </w:rPr>
        <w:t> </w:t>
      </w:r>
      <w:r w:rsidRPr="00E93FCC">
        <w:rPr>
          <w:b w:val="0"/>
        </w:rPr>
        <w:sym w:font="Symbol" w:char="F0B0"/>
      </w:r>
      <w:r w:rsidRPr="00E93FCC">
        <w:rPr>
          <w:b w:val="0"/>
        </w:rPr>
        <w:t>C, 5 % CO</w:t>
      </w:r>
      <w:r w:rsidRPr="00E93FCC">
        <w:rPr>
          <w:b w:val="0"/>
          <w:vertAlign w:val="subscript"/>
        </w:rPr>
        <w:t>2</w:t>
      </w:r>
      <w:r w:rsidRPr="00E93FCC">
        <w:rPr>
          <w:b w:val="0"/>
        </w:rPr>
        <w:t>. Samples were prepared in triplicate and the results are expressed as mean values ± standard deviation.</w:t>
      </w:r>
    </w:p>
    <w:p w14:paraId="73E33CF8" w14:textId="1C9073E0" w:rsidR="004673FB" w:rsidRPr="006C128E" w:rsidRDefault="004673FB" w:rsidP="004673FB">
      <w:pPr>
        <w:rPr>
          <w:color w:val="000000" w:themeColor="text1"/>
        </w:rPr>
      </w:pPr>
      <w:r>
        <w:t xml:space="preserve">Similar to the MTT assay data, it was found that at the highest concentration of cells, the mean response was much lower than expected and the data had a greater spread than for all other cell densities. In addition, </w:t>
      </w:r>
      <w:r>
        <w:rPr>
          <w:color w:val="000000" w:themeColor="text1"/>
        </w:rPr>
        <w:t>there is a loss of linearity between fluorescence response and cell density above 5 </w:t>
      </w:r>
      <w:r>
        <w:rPr>
          <w:color w:val="000000" w:themeColor="text1"/>
        </w:rPr>
        <w:sym w:font="Symbol" w:char="F0B4"/>
      </w:r>
      <w:r>
        <w:rPr>
          <w:color w:val="000000" w:themeColor="text1"/>
        </w:rPr>
        <w:t> 10</w:t>
      </w:r>
      <w:r>
        <w:rPr>
          <w:color w:val="000000" w:themeColor="text1"/>
          <w:vertAlign w:val="superscript"/>
        </w:rPr>
        <w:t>3</w:t>
      </w:r>
      <w:r>
        <w:rPr>
          <w:color w:val="000000" w:themeColor="text1"/>
        </w:rPr>
        <w:t xml:space="preserve"> cells/well, which is particularly noticeable for </w:t>
      </w:r>
      <w:r>
        <w:t>2 </w:t>
      </w:r>
      <w:r>
        <w:sym w:font="Symbol" w:char="F0B4"/>
      </w:r>
      <w:r>
        <w:t> 10</w:t>
      </w:r>
      <w:r>
        <w:rPr>
          <w:vertAlign w:val="superscript"/>
        </w:rPr>
        <w:t>4</w:t>
      </w:r>
      <w:r>
        <w:t xml:space="preserve"> cells/well</w:t>
      </w:r>
      <w:r>
        <w:rPr>
          <w:color w:val="000000" w:themeColor="text1"/>
        </w:rPr>
        <w:t xml:space="preserve">. </w:t>
      </w:r>
      <w:r>
        <w:t>This further suggests that HDF cultured at densities including and above 2 </w:t>
      </w:r>
      <w:r>
        <w:sym w:font="Symbol" w:char="F0B4"/>
      </w:r>
      <w:r>
        <w:t> 10</w:t>
      </w:r>
      <w:r>
        <w:rPr>
          <w:vertAlign w:val="superscript"/>
        </w:rPr>
        <w:t>4</w:t>
      </w:r>
      <w:r>
        <w:t xml:space="preserve"> cells/well </w:t>
      </w:r>
      <w:r w:rsidRPr="006C128E">
        <w:rPr>
          <w:color w:val="000000" w:themeColor="text1"/>
        </w:rPr>
        <w:t xml:space="preserve">in a 96-well plate become overcrowded and detach from the culture plate. From the data in </w:t>
      </w:r>
      <w:r w:rsidRPr="006C128E">
        <w:rPr>
          <w:color w:val="000000" w:themeColor="text1"/>
        </w:rPr>
        <w:fldChar w:fldCharType="begin"/>
      </w:r>
      <w:r w:rsidRPr="006C128E">
        <w:rPr>
          <w:color w:val="000000" w:themeColor="text1"/>
        </w:rPr>
        <w:instrText xml:space="preserve"> REF _Ref512697016 \h </w:instrText>
      </w:r>
      <w:r w:rsidRPr="006C128E">
        <w:rPr>
          <w:color w:val="000000" w:themeColor="text1"/>
        </w:rPr>
      </w:r>
      <w:r w:rsidRPr="006C128E">
        <w:rPr>
          <w:color w:val="000000" w:themeColor="text1"/>
        </w:rPr>
        <w:fldChar w:fldCharType="separate"/>
      </w:r>
      <w:r w:rsidR="00E6157A" w:rsidRPr="0006425C">
        <w:t xml:space="preserve">Figure </w:t>
      </w:r>
      <w:r w:rsidR="00E6157A">
        <w:rPr>
          <w:noProof/>
        </w:rPr>
        <w:t>3</w:t>
      </w:r>
      <w:r w:rsidR="00E6157A">
        <w:t>.</w:t>
      </w:r>
      <w:r w:rsidR="00E6157A">
        <w:rPr>
          <w:noProof/>
        </w:rPr>
        <w:t>7</w:t>
      </w:r>
      <w:r w:rsidRPr="006C128E">
        <w:rPr>
          <w:color w:val="000000" w:themeColor="text1"/>
        </w:rPr>
        <w:fldChar w:fldCharType="end"/>
      </w:r>
      <w:r w:rsidRPr="006C128E">
        <w:rPr>
          <w:color w:val="000000" w:themeColor="text1"/>
        </w:rPr>
        <w:t xml:space="preserve">, a satisfactory response was obtained with cell densities of 5 </w:t>
      </w:r>
      <w:r w:rsidRPr="006C128E">
        <w:rPr>
          <w:color w:val="000000" w:themeColor="text1"/>
        </w:rPr>
        <w:sym w:font="Symbol" w:char="F0B4"/>
      </w:r>
      <w:r w:rsidRPr="006C128E">
        <w:rPr>
          <w:color w:val="000000" w:themeColor="text1"/>
        </w:rPr>
        <w:t> 10</w:t>
      </w:r>
      <w:r w:rsidRPr="006C128E">
        <w:rPr>
          <w:color w:val="000000" w:themeColor="text1"/>
          <w:vertAlign w:val="superscript"/>
        </w:rPr>
        <w:t>3</w:t>
      </w:r>
      <w:r w:rsidRPr="006C128E">
        <w:rPr>
          <w:color w:val="000000" w:themeColor="text1"/>
        </w:rPr>
        <w:t xml:space="preserve"> and 10</w:t>
      </w:r>
      <w:r w:rsidRPr="006C128E">
        <w:rPr>
          <w:color w:val="000000" w:themeColor="text1"/>
          <w:vertAlign w:val="superscript"/>
        </w:rPr>
        <w:t>4</w:t>
      </w:r>
      <w:r w:rsidRPr="006C128E">
        <w:rPr>
          <w:color w:val="000000" w:themeColor="text1"/>
        </w:rPr>
        <w:t xml:space="preserve"> cells/</w:t>
      </w:r>
      <w:r w:rsidR="00080D1B">
        <w:rPr>
          <w:color w:val="000000" w:themeColor="text1"/>
        </w:rPr>
        <w:t>well. Whilst the response for 5 </w:t>
      </w:r>
      <w:r w:rsidRPr="006C128E">
        <w:rPr>
          <w:color w:val="000000" w:themeColor="text1"/>
        </w:rPr>
        <w:sym w:font="Symbol" w:char="F0B4"/>
      </w:r>
      <w:r w:rsidRPr="006C128E">
        <w:rPr>
          <w:color w:val="000000" w:themeColor="text1"/>
        </w:rPr>
        <w:t> 10</w:t>
      </w:r>
      <w:r w:rsidRPr="006C128E">
        <w:rPr>
          <w:color w:val="000000" w:themeColor="text1"/>
          <w:vertAlign w:val="superscript"/>
        </w:rPr>
        <w:t>3</w:t>
      </w:r>
      <w:r w:rsidRPr="006C128E">
        <w:rPr>
          <w:color w:val="000000" w:themeColor="text1"/>
        </w:rPr>
        <w:t xml:space="preserve"> cells/well was still within the linear range, it was thought that </w:t>
      </w:r>
      <w:r>
        <w:rPr>
          <w:color w:val="000000" w:themeColor="text1"/>
        </w:rPr>
        <w:t>pipetting errors may have a more pronounced effect at lower cell densities.</w:t>
      </w:r>
      <w:r w:rsidRPr="006C128E">
        <w:rPr>
          <w:color w:val="000000" w:themeColor="text1"/>
        </w:rPr>
        <w:t xml:space="preserve"> As a result, a density of 10</w:t>
      </w:r>
      <w:r w:rsidRPr="006C128E">
        <w:rPr>
          <w:color w:val="000000" w:themeColor="text1"/>
          <w:vertAlign w:val="superscript"/>
        </w:rPr>
        <w:t>4</w:t>
      </w:r>
      <w:r w:rsidRPr="006C128E">
        <w:rPr>
          <w:color w:val="000000" w:themeColor="text1"/>
        </w:rPr>
        <w:t xml:space="preserve"> was chosen for future experiments, since this reduces the number of cells required for each experiment and allows some flexibility to run ex</w:t>
      </w:r>
      <w:r>
        <w:rPr>
          <w:color w:val="000000" w:themeColor="text1"/>
        </w:rPr>
        <w:t>periments for longer timepoints.</w:t>
      </w:r>
    </w:p>
    <w:p w14:paraId="6FA6EAE8" w14:textId="77777777" w:rsidR="004673FB" w:rsidRDefault="004673FB" w:rsidP="004673FB">
      <w:pPr>
        <w:pStyle w:val="Heading3"/>
        <w:rPr>
          <w:lang w:eastAsia="en-GB"/>
        </w:rPr>
      </w:pPr>
      <w:bookmarkStart w:id="198" w:name="_Ref525717943"/>
      <w:bookmarkStart w:id="199" w:name="_Toc2451034"/>
      <w:r>
        <w:rPr>
          <w:lang w:eastAsia="en-GB"/>
        </w:rPr>
        <w:t>Investigating cell metabolic activity after treatment with synthesised prodrugs</w:t>
      </w:r>
      <w:bookmarkEnd w:id="198"/>
      <w:bookmarkEnd w:id="199"/>
      <w:r>
        <w:rPr>
          <w:lang w:eastAsia="en-GB"/>
        </w:rPr>
        <w:t xml:space="preserve"> </w:t>
      </w:r>
    </w:p>
    <w:p w14:paraId="718EA703" w14:textId="77777777" w:rsidR="004673FB" w:rsidRDefault="004673FB" w:rsidP="004673FB">
      <w:r>
        <w:t xml:space="preserve">Following the cell density screen, the resazurin assay was used to determine changes in cellular metabolic activity of HDF after treatment with the synthesised compounds for 24 h. The first part of this chapter focussed on the concentrations of synthesised compounds necessary to inhibit LOXL2 in a biochemical assay. Therefore, the </w:t>
      </w:r>
      <w:r>
        <w:lastRenderedPageBreak/>
        <w:t>cytotoxicity of the synthesised compounds was determined over the same concentration range as the LOXL2 inhibition screen.</w:t>
      </w:r>
    </w:p>
    <w:p w14:paraId="08AA0B1D" w14:textId="462D9B3C" w:rsidR="004673FB" w:rsidRPr="00CF3EC9" w:rsidRDefault="004673FB" w:rsidP="004673FB">
      <w:pPr>
        <w:rPr>
          <w:lang w:eastAsia="en-GB"/>
        </w:rPr>
      </w:pPr>
      <w:r>
        <w:t xml:space="preserve">HDF were treated with media containing prodrugs from 0.032 to 100 µM (0.5 % DMSO) for 24 </w:t>
      </w:r>
      <w:r w:rsidRPr="00B152FA">
        <w:rPr>
          <w:color w:val="000000" w:themeColor="text1"/>
        </w:rPr>
        <w:t>hours (</w:t>
      </w:r>
      <w:r w:rsidRPr="00B152FA">
        <w:rPr>
          <w:color w:val="000000" w:themeColor="text1"/>
        </w:rPr>
        <w:fldChar w:fldCharType="begin"/>
      </w:r>
      <w:r w:rsidRPr="00B152FA">
        <w:rPr>
          <w:color w:val="000000" w:themeColor="text1"/>
        </w:rPr>
        <w:instrText xml:space="preserve"> REF _Ref510527853 \h </w:instrText>
      </w:r>
      <w:r w:rsidRPr="00B152FA">
        <w:rPr>
          <w:color w:val="000000" w:themeColor="text1"/>
        </w:rPr>
      </w:r>
      <w:r w:rsidRPr="00B152FA">
        <w:rPr>
          <w:color w:val="000000" w:themeColor="text1"/>
        </w:rPr>
        <w:fldChar w:fldCharType="separate"/>
      </w:r>
      <w:r w:rsidR="00E6157A" w:rsidRPr="0006425C">
        <w:t xml:space="preserve">Figure </w:t>
      </w:r>
      <w:r w:rsidR="00E6157A">
        <w:rPr>
          <w:noProof/>
        </w:rPr>
        <w:t>3</w:t>
      </w:r>
      <w:r w:rsidR="00E6157A">
        <w:t>.</w:t>
      </w:r>
      <w:r w:rsidR="00E6157A">
        <w:rPr>
          <w:noProof/>
        </w:rPr>
        <w:t>8</w:t>
      </w:r>
      <w:r w:rsidRPr="00B152FA">
        <w:rPr>
          <w:color w:val="000000" w:themeColor="text1"/>
        </w:rPr>
        <w:fldChar w:fldCharType="end"/>
      </w:r>
      <w:r w:rsidRPr="00B152FA">
        <w:rPr>
          <w:color w:val="000000" w:themeColor="text1"/>
        </w:rPr>
        <w:t xml:space="preserve">). Overall, the synthesised compounds </w:t>
      </w:r>
      <w:r w:rsidR="00080D1B" w:rsidRPr="00B152FA">
        <w:rPr>
          <w:color w:val="000000" w:themeColor="text1"/>
        </w:rPr>
        <w:t>had</w:t>
      </w:r>
      <w:r w:rsidRPr="00B152FA">
        <w:rPr>
          <w:color w:val="000000" w:themeColor="text1"/>
        </w:rPr>
        <w:t xml:space="preserve"> a negligible effect on HDF metabolism. Statistical analysis by a two-way ANOVA with</w:t>
      </w:r>
      <w:r w:rsidRPr="00B152FA">
        <w:rPr>
          <w:color w:val="000000" w:themeColor="text1"/>
          <w:lang w:eastAsia="en-GB"/>
        </w:rPr>
        <w:t xml:space="preserve"> Dunnett’s multiple comparisons </w:t>
      </w:r>
      <w:r w:rsidRPr="00B02BD7">
        <w:rPr>
          <w:color w:val="000000" w:themeColor="text1"/>
          <w:lang w:eastAsia="en-GB"/>
        </w:rPr>
        <w:t>test</w:t>
      </w:r>
      <w:r>
        <w:rPr>
          <w:color w:val="000000" w:themeColor="text1"/>
          <w:lang w:eastAsia="en-GB"/>
        </w:rPr>
        <w:t xml:space="preserve"> indicated that compounds </w:t>
      </w:r>
      <w:r w:rsidRPr="005C77D8">
        <w:rPr>
          <w:b/>
          <w:color w:val="000000" w:themeColor="text1"/>
          <w:lang w:eastAsia="en-GB"/>
        </w:rPr>
        <w:t>2b</w:t>
      </w:r>
      <w:r>
        <w:rPr>
          <w:color w:val="000000" w:themeColor="text1"/>
          <w:lang w:eastAsia="en-GB"/>
        </w:rPr>
        <w:t xml:space="preserve">, </w:t>
      </w:r>
      <w:r w:rsidRPr="005C77D8">
        <w:rPr>
          <w:b/>
          <w:color w:val="000000" w:themeColor="text1"/>
          <w:lang w:eastAsia="en-GB"/>
        </w:rPr>
        <w:t>3b</w:t>
      </w:r>
      <w:r>
        <w:rPr>
          <w:color w:val="000000" w:themeColor="text1"/>
          <w:lang w:eastAsia="en-GB"/>
        </w:rPr>
        <w:t xml:space="preserve">, </w:t>
      </w:r>
      <w:r w:rsidRPr="005C77D8">
        <w:rPr>
          <w:b/>
          <w:color w:val="000000" w:themeColor="text1"/>
          <w:lang w:eastAsia="en-GB"/>
        </w:rPr>
        <w:t>4b</w:t>
      </w:r>
      <w:r>
        <w:rPr>
          <w:color w:val="000000" w:themeColor="text1"/>
          <w:lang w:eastAsia="en-GB"/>
        </w:rPr>
        <w:t xml:space="preserve"> and </w:t>
      </w:r>
      <w:r w:rsidRPr="005C77D8">
        <w:rPr>
          <w:b/>
          <w:color w:val="000000" w:themeColor="text1"/>
          <w:lang w:eastAsia="en-GB"/>
        </w:rPr>
        <w:t>5b</w:t>
      </w:r>
      <w:r>
        <w:rPr>
          <w:color w:val="000000" w:themeColor="text1"/>
          <w:lang w:eastAsia="en-GB"/>
        </w:rPr>
        <w:t xml:space="preserve"> caused a statistically significant decrease in cell metab</w:t>
      </w:r>
      <w:r w:rsidR="00080D1B">
        <w:rPr>
          <w:color w:val="000000" w:themeColor="text1"/>
          <w:lang w:eastAsia="en-GB"/>
        </w:rPr>
        <w:t>olic activity when dosed at 100 </w:t>
      </w:r>
      <w:r>
        <w:rPr>
          <w:color w:val="000000" w:themeColor="text1"/>
          <w:lang w:eastAsia="en-GB"/>
        </w:rPr>
        <w:t xml:space="preserve">µM, compared to the 0.5 % DMSO vehicle control. However, the mean metabolic activity for each compound remained above 90 %, suggesting that whilst this had statistical significance, the reduction was not biologically significant.  </w:t>
      </w:r>
    </w:p>
    <w:p w14:paraId="7E791619" w14:textId="77777777" w:rsidR="004673FB" w:rsidRDefault="004673FB" w:rsidP="004673FB">
      <w:pPr>
        <w:pStyle w:val="ListParagraph"/>
        <w:spacing w:after="0"/>
        <w:ind w:left="0"/>
      </w:pPr>
    </w:p>
    <w:p w14:paraId="0651B0A0" w14:textId="77777777" w:rsidR="004673FB" w:rsidRDefault="004673FB" w:rsidP="004673FB">
      <w:pPr>
        <w:pStyle w:val="ListParagraph"/>
        <w:keepNext/>
        <w:spacing w:after="0"/>
        <w:ind w:left="0"/>
        <w:jc w:val="center"/>
      </w:pPr>
      <w:r w:rsidRPr="00240F3A">
        <w:rPr>
          <w:noProof/>
          <w:lang w:eastAsia="en-GB"/>
        </w:rPr>
        <w:lastRenderedPageBreak/>
        <w:drawing>
          <wp:inline distT="0" distB="0" distL="0" distR="0" wp14:anchorId="18625301" wp14:editId="0F171C57">
            <wp:extent cx="5201920" cy="646684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01920" cy="6466840"/>
                    </a:xfrm>
                    <a:prstGeom prst="rect">
                      <a:avLst/>
                    </a:prstGeom>
                  </pic:spPr>
                </pic:pic>
              </a:graphicData>
            </a:graphic>
          </wp:inline>
        </w:drawing>
      </w:r>
    </w:p>
    <w:p w14:paraId="06F1A133" w14:textId="7B9846B1" w:rsidR="004673FB" w:rsidRDefault="004673FB" w:rsidP="00E93FCC">
      <w:pPr>
        <w:pStyle w:val="Caption"/>
        <w:jc w:val="both"/>
      </w:pPr>
      <w:bookmarkStart w:id="200" w:name="_Ref510527853"/>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8</w:t>
      </w:r>
      <w:r w:rsidR="00BE21E4">
        <w:rPr>
          <w:noProof/>
        </w:rPr>
        <w:fldChar w:fldCharType="end"/>
      </w:r>
      <w:bookmarkEnd w:id="200"/>
      <w:r w:rsidRPr="0006425C">
        <w:t>.</w:t>
      </w:r>
      <w:r>
        <w:t xml:space="preserve"> </w:t>
      </w:r>
      <w:r w:rsidRPr="00E93FCC">
        <w:rPr>
          <w:b w:val="0"/>
        </w:rPr>
        <w:t>Metabolic activity of human dermal fibroblasts (HDF) determined by the resazurin sodium salt assay. HDF were treated with synthesised compounds for 24 hours at 37 </w:t>
      </w:r>
      <w:r w:rsidRPr="00E93FCC">
        <w:rPr>
          <w:b w:val="0"/>
        </w:rPr>
        <w:sym w:font="Symbol" w:char="F0B0"/>
      </w:r>
      <w:r w:rsidRPr="00E93FCC">
        <w:rPr>
          <w:b w:val="0"/>
        </w:rPr>
        <w:t>C, 5 % CO</w:t>
      </w:r>
      <w:r w:rsidRPr="00E93FCC">
        <w:rPr>
          <w:b w:val="0"/>
          <w:vertAlign w:val="subscript"/>
        </w:rPr>
        <w:t>2</w:t>
      </w:r>
      <w:r w:rsidRPr="00E93FCC">
        <w:rPr>
          <w:b w:val="0"/>
        </w:rPr>
        <w:t>. a) </w:t>
      </w:r>
      <w:r w:rsidRPr="00E93FCC">
        <w:rPr>
          <w:b w:val="0"/>
        </w:rPr>
        <w:sym w:font="Symbol" w:char="F062"/>
      </w:r>
      <w:r w:rsidRPr="00E93FCC">
        <w:rPr>
          <w:b w:val="0"/>
        </w:rPr>
        <w:noBreakHyphen/>
        <w:t xml:space="preserve">APN, b) Compound </w:t>
      </w:r>
      <w:r w:rsidRPr="00C757A0">
        <w:t>1b</w:t>
      </w:r>
      <w:r w:rsidRPr="00E93FCC">
        <w:rPr>
          <w:b w:val="0"/>
        </w:rPr>
        <w:t xml:space="preserve">, c) Compound </w:t>
      </w:r>
      <w:r w:rsidRPr="00C757A0">
        <w:t>2b</w:t>
      </w:r>
      <w:r w:rsidRPr="00E93FCC">
        <w:rPr>
          <w:b w:val="0"/>
        </w:rPr>
        <w:t xml:space="preserve">, d) Compound </w:t>
      </w:r>
      <w:r w:rsidRPr="00C757A0">
        <w:t>3b</w:t>
      </w:r>
      <w:r w:rsidRPr="00E93FCC">
        <w:rPr>
          <w:b w:val="0"/>
        </w:rPr>
        <w:t xml:space="preserve">, e) Compound </w:t>
      </w:r>
      <w:r w:rsidRPr="00C757A0">
        <w:t>4b</w:t>
      </w:r>
      <w:r w:rsidRPr="00E93FCC">
        <w:rPr>
          <w:b w:val="0"/>
        </w:rPr>
        <w:t xml:space="preserve">, f) Compound </w:t>
      </w:r>
      <w:r w:rsidRPr="00C757A0">
        <w:t>5b</w:t>
      </w:r>
      <w:r w:rsidRPr="00E93FCC">
        <w:rPr>
          <w:b w:val="0"/>
        </w:rPr>
        <w:t>. 100 % cell metabolism normalised to vehicle control of 0.5 % DMSO. Samples were prepared in triplicate and the results are expressed as mean values ± standard deviation. (* = p &lt; 0.0332, ** = p &lt; 0.0021, *** = p &lt; 0.0002, **** = p &lt; 0.0001).</w:t>
      </w:r>
    </w:p>
    <w:p w14:paraId="7EC1E868" w14:textId="0F727B07" w:rsidR="004673FB" w:rsidRDefault="004673FB" w:rsidP="004673FB">
      <w:pPr>
        <w:pStyle w:val="ListParagraph"/>
        <w:spacing w:after="0"/>
        <w:ind w:left="0"/>
      </w:pPr>
      <w:r>
        <w:t xml:space="preserve">Individual </w:t>
      </w:r>
      <w:r w:rsidRPr="0023113B">
        <w:rPr>
          <w:i/>
        </w:rPr>
        <w:t>in vitro</w:t>
      </w:r>
      <w:r>
        <w:t xml:space="preserve"> assays are designed to report a single type of endpoint. However, multiple cellular mechanisms can be used to assess cytotoxicity, </w:t>
      </w:r>
      <w:r>
        <w:rPr>
          <w:color w:val="000000" w:themeColor="text1"/>
        </w:rPr>
        <w:t>including</w:t>
      </w:r>
      <w:r w:rsidRPr="008358F6">
        <w:rPr>
          <w:color w:val="000000" w:themeColor="text1"/>
        </w:rPr>
        <w:t xml:space="preserve"> </w:t>
      </w:r>
      <w:r>
        <w:rPr>
          <w:color w:val="000000" w:themeColor="text1"/>
        </w:rPr>
        <w:t>metabolic activity, changes in proliferation and cell membrane integrity.</w:t>
      </w:r>
      <w:r>
        <w:t xml:space="preserve"> As a result, </w:t>
      </w:r>
      <w:r w:rsidRPr="008358F6">
        <w:rPr>
          <w:color w:val="000000" w:themeColor="text1"/>
        </w:rPr>
        <w:t>metabolic assays alone are not sufficient to fully describe the toxicity of a compound</w:t>
      </w:r>
      <w:r>
        <w:rPr>
          <w:color w:val="000000" w:themeColor="text1"/>
        </w:rPr>
        <w:t>.</w:t>
      </w:r>
      <w:r>
        <w:rPr>
          <w:color w:val="000000" w:themeColor="text1"/>
        </w:rPr>
        <w:fldChar w:fldCharType="begin" w:fldLock="1"/>
      </w:r>
      <w:r w:rsidR="00DB1BCE">
        <w:rPr>
          <w:color w:val="000000" w:themeColor="text1"/>
        </w:rPr>
        <w:instrText>ADDIN CSL_CITATION {"citationItems":[{"id":"ITEM-1","itemData":{"DOI":"10.1007/BF03216487","ISSN":"2005-9752","abstract":"SummaryCells respond rapidly to toxic substances by altering the morphology, growth, behavior, and biochemical processes controlling basic cell functions.in vitrocytotoxicity analysis, an alternative to animal-based testing, is an important tool to specifically screen the chemicals and form a comprehensive and reliable toxicological data useful for predicting the toxic effects on humans. Consequently, the increasing demand of cellbased screening system led to the development of various innovativein vitromodel systems, novel endpoints, variety of cytotoxicity assays, and advanced assessment or detection methods. Although the cellbased screening has come to a very advanced level capable of providing adequate information on kinetic progression of cell death and dynamic interaction between cells and toxicants, the certain limitations of the existing model systems and methods render the results with high variability and questionable relevance. Therefore, the multiplexed assay approach based on multiple endpoints should be preferred for the evaluation of toxicity of a chemical and to estimate the actual cause and mechanism of cell death. In addition, the existingin vitro cytotoxicity studies provide the collection of toxicological data useful for the determination of acute effects of a substance. These data don’t well suit to analyze the chronic effects of a chemical. Therefore, there is a strong need to improve the existing model systems and methods which could be applicable for the measurement of the time-course of molecular changes and complex sequences of biochemical events involved in chronic toxicityin vivo.","author":[{"dropping-particle":"","family":"Mahto","given":"Sanjeev Kumar","non-dropping-particle":"","parse-names":false,"suffix":""},{"dropping-particle":"","family":"Chandra","given":"Prakash","non-dropping-particle":"","parse-names":false,"suffix":""},{"dropping-particle":"","family":"Rhee","given":"Seog Woo","non-dropping-particle":"","parse-names":false,"suffix":""}],"container-title":"Toxicology and Environmental Health Sciences","id":"ITEM-1","issue":"2","issued":{"date-parts":[["2010"]]},"page":"87-93","title":"In vitro models, Endpoints and Assessment Methods for the Measurement of Cytotoxicity","type":"article-journal","volume":"2"},"uris":["http://www.mendeley.com/documents/?uuid=57e5a944-d3c7-4364-a160-01fbdb866963"]}],"mendeley":{"formattedCitation":"&lt;sup&gt;212&lt;/sup&gt;","plainTextFormattedCitation":"212","previouslyFormattedCitation":"&lt;sup&gt;211&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212</w:t>
      </w:r>
      <w:r>
        <w:rPr>
          <w:color w:val="000000" w:themeColor="text1"/>
        </w:rPr>
        <w:fldChar w:fldCharType="end"/>
      </w:r>
      <w:r>
        <w:t xml:space="preserve"> </w:t>
      </w:r>
      <w:r w:rsidRPr="00D544F2">
        <w:t>Consequently</w:t>
      </w:r>
      <w:r>
        <w:t xml:space="preserve">, it was decided that a complimentary </w:t>
      </w:r>
      <w:r w:rsidRPr="00D544F2">
        <w:t xml:space="preserve">cytotoxicity assay was </w:t>
      </w:r>
      <w:r>
        <w:t>necessary</w:t>
      </w:r>
      <w:r w:rsidRPr="00D544F2">
        <w:t xml:space="preserve"> </w:t>
      </w:r>
      <w:r w:rsidRPr="00D544F2">
        <w:lastRenderedPageBreak/>
        <w:t xml:space="preserve">to determine the </w:t>
      </w:r>
      <w:r>
        <w:t xml:space="preserve">cytotoxic </w:t>
      </w:r>
      <w:r w:rsidRPr="00D544F2">
        <w:t>effect</w:t>
      </w:r>
      <w:r>
        <w:t>s of the l</w:t>
      </w:r>
      <w:r w:rsidRPr="00D544F2">
        <w:t xml:space="preserve">ysyl oxidase inhibitors on human dermal fibroblasts. </w:t>
      </w:r>
    </w:p>
    <w:p w14:paraId="6FFDD78A" w14:textId="77777777" w:rsidR="004673FB" w:rsidRDefault="004673FB" w:rsidP="004673FB">
      <w:pPr>
        <w:pStyle w:val="ListParagraph"/>
        <w:spacing w:after="0"/>
        <w:ind w:left="0"/>
      </w:pPr>
    </w:p>
    <w:p w14:paraId="7842A96A" w14:textId="77777777" w:rsidR="004673FB" w:rsidRDefault="004673FB" w:rsidP="00150354">
      <w:pPr>
        <w:pStyle w:val="Heading3"/>
        <w:rPr>
          <w:lang w:eastAsia="en-GB"/>
        </w:rPr>
      </w:pPr>
      <w:bookmarkStart w:id="201" w:name="_Toc2451035"/>
      <w:r>
        <w:rPr>
          <w:lang w:eastAsia="en-GB"/>
        </w:rPr>
        <w:t>Investigating cell membrane integrity after treatment with synthesised prodrugs</w:t>
      </w:r>
      <w:bookmarkEnd w:id="201"/>
      <w:r>
        <w:rPr>
          <w:lang w:eastAsia="en-GB"/>
        </w:rPr>
        <w:t xml:space="preserve"> </w:t>
      </w:r>
    </w:p>
    <w:p w14:paraId="306A3115" w14:textId="06C9E814" w:rsidR="004673FB" w:rsidRPr="0033715B" w:rsidRDefault="004673FB" w:rsidP="004673FB">
      <w:pPr>
        <w:rPr>
          <w:color w:val="000000" w:themeColor="text1"/>
        </w:rPr>
      </w:pPr>
      <w:r>
        <w:t>The lactate dehydrogenase (LDH) assay is used to evaluate cell membrane integrity, an important marker of cytotoxicity. As an intra-cellular enzyme, LDH is not expected to be detected in the cell culture media of healthy, intact cells.</w:t>
      </w:r>
      <w:r>
        <w:fldChar w:fldCharType="begin" w:fldLock="1"/>
      </w:r>
      <w:r w:rsidR="00DB1BCE">
        <w:instrText>ADDIN CSL_CITATION {"citationItems":[{"id":"ITEM-1","itemData":{"DOI":"10.1016/j.toxlet.2005.07.001","ISBN":"0378-4274","ISSN":"03784274","PMID":"16111842","abstract":"The aim of this study was to compare four in vitro cytotoxicity assays and determine their ability to detect early cytotoxic events. Two hepatoma cell lines, namely HTC and HepG2 cells, were exposed to cadmium chloride (0-300 μM) for 3, 5 and 8 h. Following exposure to the toxic metal cytotoxicity was determined with the lactate dehydrogenase leakage assay (LDH), a protein assay, the neutral red assay and the methyl tetrazolium (MTT) assay. In HTC cells no toxicity was observed for any incubation period when the LDH leakage, the MTT and the protein assay were employed whereas the neutral red assay revealed early cytotoxicity starting after incubation of HTC cells with CdCl2for 3 h. In the case of HepG2 cells the MTT assay reveals cytotoxicity due to CdCl2exposure after 3 h whereas no such effect is seen with the other three assays. Following 5 h exposure of HepG2 cells to CdCl2, toxicity is observed with the MTT assay at lower concentrations compared to the ones required for detection of toxicity with the LDH leakage and the neutral red assay. In conclusion different sensitivity was observed for each assay with the neutral red and the MTT assay being the most sensitive in detecting cytotoxic events compared to the LDH leakage and the protein assay. © 2005 Elsevier Ireland Ltd. All rights reserved.","author":[{"dropping-particle":"","family":"Fotakis","given":"George","non-dropping-particle":"","parse-names":false,"suffix":""},{"dropping-particle":"","family":"Timbrell","given":"John A.","non-dropping-particle":"","parse-names":false,"suffix":""}],"container-title":"Toxicology Letters","id":"ITEM-1","issue":"2","issued":{"date-parts":[["2006"]]},"page":"171-177","title":"In vitro cytotoxicity assays: Comparison of LDH, neutral red, MTT and protein assay in hepatoma cell lines following exposure to cadmium chloride","type":"article-journal","volume":"160"},"uris":["http://www.mendeley.com/documents/?uuid=f0287692-72bd-4cc7-830b-d442e744aa5d"]}],"mendeley":{"formattedCitation":"&lt;sup&gt;213&lt;/sup&gt;","plainTextFormattedCitation":"213","previouslyFormattedCitation":"&lt;sup&gt;212&lt;/sup&gt;"},"properties":{"noteIndex":0},"schema":"https://github.com/citation-style-language/schema/raw/master/csl-citation.json"}</w:instrText>
      </w:r>
      <w:r>
        <w:fldChar w:fldCharType="separate"/>
      </w:r>
      <w:r w:rsidR="00DB1BCE" w:rsidRPr="00DB1BCE">
        <w:rPr>
          <w:noProof/>
          <w:vertAlign w:val="superscript"/>
        </w:rPr>
        <w:t>213</w:t>
      </w:r>
      <w:r>
        <w:fldChar w:fldCharType="end"/>
      </w:r>
      <w:r>
        <w:t xml:space="preserve"> </w:t>
      </w:r>
      <w:r w:rsidRPr="00EB6BB7">
        <w:rPr>
          <w:color w:val="000000" w:themeColor="text1"/>
        </w:rPr>
        <w:t>Therefore, detection of LDH in cell culture media indicates inconsistencies or defects in the cell membrane. In addition</w:t>
      </w:r>
      <w:r>
        <w:rPr>
          <w:color w:val="000000" w:themeColor="text1"/>
        </w:rPr>
        <w:t xml:space="preserve"> to this</w:t>
      </w:r>
      <w:r w:rsidRPr="00EB6BB7">
        <w:rPr>
          <w:color w:val="000000" w:themeColor="text1"/>
        </w:rPr>
        <w:t xml:space="preserve">, the synthesised compounds have been designed to be more lipophilic than </w:t>
      </w:r>
      <w:r>
        <w:rPr>
          <w:color w:val="000000" w:themeColor="text1"/>
        </w:rPr>
        <w:t>β</w:t>
      </w:r>
      <w:r w:rsidRPr="00EB6BB7">
        <w:rPr>
          <w:color w:val="000000" w:themeColor="text1"/>
        </w:rPr>
        <w:noBreakHyphen/>
        <w:t xml:space="preserve">APN, to allow increased delivery through the stratum corneum. Lipophilic compounds are more likely to interact with cell membranes due to the favourable interactions with the phospholipids that </w:t>
      </w:r>
      <w:r>
        <w:rPr>
          <w:color w:val="000000" w:themeColor="text1"/>
        </w:rPr>
        <w:t>assemble to form</w:t>
      </w:r>
      <w:r w:rsidRPr="00EB6BB7">
        <w:rPr>
          <w:color w:val="000000" w:themeColor="text1"/>
        </w:rPr>
        <w:t xml:space="preserve"> cellular membranes</w:t>
      </w:r>
      <w:r>
        <w:rPr>
          <w:color w:val="000000" w:themeColor="text1"/>
        </w:rPr>
        <w:t>.</w:t>
      </w:r>
      <w:r>
        <w:rPr>
          <w:color w:val="000000" w:themeColor="text1"/>
        </w:rPr>
        <w:fldChar w:fldCharType="begin" w:fldLock="1"/>
      </w:r>
      <w:r w:rsidR="00DB1BCE">
        <w:rPr>
          <w:color w:val="000000" w:themeColor="text1"/>
        </w:rPr>
        <w:instrText>ADDIN CSL_CITATION {"citationItems":[{"id":"ITEM-1","itemData":{"DOI":"10.1007/s11095-010-0303-7","ISBN":"1573-904X (Electronic)\\r0724-8741 (Linking)","ISSN":"07248741","PMID":"21052797","abstract":"In this review, we first summarize the structure and properties of biological membranes and the routes of passive drug transfer through physiological barriers. Lipophilicity is then introduced in terms of the intermolecular interactions it encodes. Finally, lipophilicity indices from isotropic solvent systems and from anisotropic membrane-like systems are discussed for their capacity to predict passive drug permeation across biological membranes such as the intestinal epithelium, the blood-brain barrier (BBB) or the skin. The broad evidence presented here shows that beyond the predictive power of lipophilicity parameters, the various intermolecular forces they encode allow a mechanistic interpretation of passive drug permeation.","author":[{"dropping-particle":"","family":"Liu","given":"Xiangli","non-dropping-particle":"","parse-names":false,"suffix":""},{"dropping-particle":"","family":"Testa","given":"Bernard","non-dropping-particle":"","parse-names":false,"suffix":""},{"dropping-particle":"","family":"Fahr","given":"Alfred","non-dropping-particle":"","parse-names":false,"suffix":""}],"container-title":"Pharmaceutical Research","id":"ITEM-1","issue":"5","issued":{"date-parts":[["2011"]]},"page":"962-977","title":"Lipophilicity and its relationship with passive drug permeation","type":"article-journal","volume":"28"},"uris":["http://www.mendeley.com/documents/?uuid=0e2a6420-0aec-4a5d-bd2d-815165b98a4b"]}],"mendeley":{"formattedCitation":"&lt;sup&gt;214&lt;/sup&gt;","plainTextFormattedCitation":"214","previouslyFormattedCitation":"&lt;sup&gt;213&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214</w:t>
      </w:r>
      <w:r>
        <w:rPr>
          <w:color w:val="000000" w:themeColor="text1"/>
        </w:rPr>
        <w:fldChar w:fldCharType="end"/>
      </w:r>
      <w:r>
        <w:rPr>
          <w:color w:val="000000" w:themeColor="text1"/>
        </w:rPr>
        <w:t xml:space="preserve"> However, if a compound has a large degree of interaction </w:t>
      </w:r>
      <w:r w:rsidRPr="00EB6BB7">
        <w:rPr>
          <w:color w:val="000000" w:themeColor="text1"/>
        </w:rPr>
        <w:t>with the cell membrane</w:t>
      </w:r>
      <w:r>
        <w:rPr>
          <w:color w:val="000000" w:themeColor="text1"/>
        </w:rPr>
        <w:t>, it</w:t>
      </w:r>
      <w:r w:rsidRPr="00EB6BB7">
        <w:rPr>
          <w:color w:val="000000" w:themeColor="text1"/>
        </w:rPr>
        <w:t xml:space="preserve"> could lead to too much </w:t>
      </w:r>
      <w:r>
        <w:rPr>
          <w:color w:val="000000" w:themeColor="text1"/>
        </w:rPr>
        <w:t>permeabilisation</w:t>
      </w:r>
      <w:r w:rsidRPr="00EB6BB7">
        <w:rPr>
          <w:color w:val="000000" w:themeColor="text1"/>
        </w:rPr>
        <w:t xml:space="preserve">, killing the cells and causing further damage to the tissue. It was therefore decided that </w:t>
      </w:r>
      <w:r>
        <w:rPr>
          <w:color w:val="000000" w:themeColor="text1"/>
        </w:rPr>
        <w:t>investigating</w:t>
      </w:r>
      <w:r w:rsidRPr="00EB6BB7">
        <w:rPr>
          <w:color w:val="000000" w:themeColor="text1"/>
        </w:rPr>
        <w:t xml:space="preserve"> the impact of the synthesised prodrugs on cell membrane integrity was particularly important. </w:t>
      </w:r>
    </w:p>
    <w:p w14:paraId="74E9C9EB" w14:textId="2A7B8CAD" w:rsidR="004673FB" w:rsidRPr="006F7A82" w:rsidRDefault="004673FB" w:rsidP="004673FB">
      <w:r w:rsidRPr="001912A7">
        <w:t xml:space="preserve">An initial cell density screen was performed on human dermal fibroblasts for the LDH </w:t>
      </w:r>
      <w:r w:rsidRPr="00741A38">
        <w:t>assay. It was concluded that 10</w:t>
      </w:r>
      <w:r w:rsidRPr="00741A38">
        <w:rPr>
          <w:vertAlign w:val="superscript"/>
        </w:rPr>
        <w:t>4</w:t>
      </w:r>
      <w:r w:rsidRPr="00741A38">
        <w:t xml:space="preserve"> cells/well produced a sufficient response in the assay as well as allowing direct comparison to the metabolic activity data.</w:t>
      </w:r>
      <w:r>
        <w:t xml:space="preserve"> The data for the LDH cell density screen can be found in </w:t>
      </w:r>
      <w:r w:rsidR="00080D1B">
        <w:t>A</w:t>
      </w:r>
      <w:r w:rsidRPr="00EB6BB7">
        <w:t>ppendix 3.3.</w:t>
      </w:r>
      <w:r>
        <w:t xml:space="preserve"> Similar to the resazurin sodium salt assay, the concentrations of synthesised compounds were selected based on the inhibition range as determined by the LOXL2 activity assay. For all concentrations tested, negligible LDH was detected in the cell culture media</w:t>
      </w:r>
      <w:r w:rsidR="00080D1B">
        <w:t xml:space="preserve"> (</w:t>
      </w:r>
      <w:r w:rsidR="00080D1B">
        <w:fldChar w:fldCharType="begin"/>
      </w:r>
      <w:r w:rsidR="00080D1B">
        <w:instrText xml:space="preserve"> REF _Ref512779987 \h </w:instrText>
      </w:r>
      <w:r w:rsidR="00080D1B">
        <w:fldChar w:fldCharType="separate"/>
      </w:r>
      <w:r w:rsidR="00E6157A" w:rsidRPr="0006425C">
        <w:t xml:space="preserve">Figure </w:t>
      </w:r>
      <w:r w:rsidR="00E6157A">
        <w:rPr>
          <w:noProof/>
        </w:rPr>
        <w:t>3</w:t>
      </w:r>
      <w:r w:rsidR="00E6157A">
        <w:t>.</w:t>
      </w:r>
      <w:r w:rsidR="00E6157A">
        <w:rPr>
          <w:noProof/>
        </w:rPr>
        <w:t>9</w:t>
      </w:r>
      <w:r w:rsidR="00080D1B">
        <w:fldChar w:fldCharType="end"/>
      </w:r>
      <w:r w:rsidR="00080D1B">
        <w:t>)</w:t>
      </w:r>
      <w:r>
        <w:t xml:space="preserve">. These results </w:t>
      </w:r>
      <w:r w:rsidRPr="00B152FA">
        <w:rPr>
          <w:color w:val="000000" w:themeColor="text1"/>
        </w:rPr>
        <w:t xml:space="preserve">suggest that neither </w:t>
      </w:r>
      <w:r w:rsidRPr="00B152FA">
        <w:rPr>
          <w:color w:val="000000" w:themeColor="text1"/>
        </w:rPr>
        <w:sym w:font="Symbol" w:char="F062"/>
      </w:r>
      <w:r>
        <w:rPr>
          <w:color w:val="000000" w:themeColor="text1"/>
        </w:rPr>
        <w:noBreakHyphen/>
      </w:r>
      <w:r w:rsidRPr="00B152FA">
        <w:rPr>
          <w:color w:val="000000" w:themeColor="text1"/>
        </w:rPr>
        <w:t xml:space="preserve">APN, nor the prodrugs, caused adverse cell membrane damage at these concentrations. </w:t>
      </w:r>
    </w:p>
    <w:p w14:paraId="47F42DAA" w14:textId="77777777" w:rsidR="004673FB" w:rsidRDefault="004673FB" w:rsidP="004673FB">
      <w:pPr>
        <w:keepNext/>
        <w:jc w:val="center"/>
      </w:pPr>
      <w:r w:rsidRPr="005A16F1">
        <w:rPr>
          <w:noProof/>
          <w:lang w:eastAsia="en-GB"/>
        </w:rPr>
        <w:lastRenderedPageBreak/>
        <w:drawing>
          <wp:inline distT="0" distB="0" distL="0" distR="0" wp14:anchorId="04A6FA52" wp14:editId="14DDBE8F">
            <wp:extent cx="5201920" cy="660908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01920" cy="6609080"/>
                    </a:xfrm>
                    <a:prstGeom prst="rect">
                      <a:avLst/>
                    </a:prstGeom>
                  </pic:spPr>
                </pic:pic>
              </a:graphicData>
            </a:graphic>
          </wp:inline>
        </w:drawing>
      </w:r>
    </w:p>
    <w:p w14:paraId="7D889ECE" w14:textId="6D01EE3B" w:rsidR="004673FB" w:rsidRDefault="004673FB" w:rsidP="00E93FCC">
      <w:pPr>
        <w:pStyle w:val="Caption"/>
        <w:jc w:val="both"/>
        <w:rPr>
          <w:color w:val="FF0000"/>
        </w:rPr>
      </w:pPr>
      <w:bookmarkStart w:id="202" w:name="_Ref512779987"/>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9</w:t>
      </w:r>
      <w:r w:rsidR="00BE21E4">
        <w:rPr>
          <w:noProof/>
        </w:rPr>
        <w:fldChar w:fldCharType="end"/>
      </w:r>
      <w:bookmarkEnd w:id="202"/>
      <w:r w:rsidRPr="0006425C">
        <w:t>.</w:t>
      </w:r>
      <w:r>
        <w:t xml:space="preserve"> </w:t>
      </w:r>
      <w:r w:rsidRPr="00E93FCC">
        <w:rPr>
          <w:b w:val="0"/>
        </w:rPr>
        <w:t>Lactate dehydrogenase (LDH) release relating to membrane integrity of human dermal fibroblasts (HDF). HDF were treated with synthesised compounds for 24 hours at 37 </w:t>
      </w:r>
      <w:r w:rsidRPr="00E93FCC">
        <w:rPr>
          <w:b w:val="0"/>
        </w:rPr>
        <w:sym w:font="Symbol" w:char="F0B0"/>
      </w:r>
      <w:r w:rsidRPr="00E93FCC">
        <w:rPr>
          <w:b w:val="0"/>
        </w:rPr>
        <w:t>C, 5 % CO</w:t>
      </w:r>
      <w:r w:rsidRPr="00E93FCC">
        <w:rPr>
          <w:b w:val="0"/>
          <w:vertAlign w:val="subscript"/>
        </w:rPr>
        <w:t>2</w:t>
      </w:r>
      <w:r w:rsidRPr="00E93FCC">
        <w:rPr>
          <w:b w:val="0"/>
        </w:rPr>
        <w:t xml:space="preserve">. a) </w:t>
      </w:r>
      <w:r w:rsidRPr="00E93FCC">
        <w:rPr>
          <w:b w:val="0"/>
        </w:rPr>
        <w:sym w:font="Symbol" w:char="F062"/>
      </w:r>
      <w:r w:rsidRPr="00E93FCC">
        <w:rPr>
          <w:b w:val="0"/>
        </w:rPr>
        <w:noBreakHyphen/>
        <w:t xml:space="preserve">APN, b) Compound </w:t>
      </w:r>
      <w:r w:rsidRPr="00080D1B">
        <w:t>1b</w:t>
      </w:r>
      <w:r w:rsidRPr="00E93FCC">
        <w:rPr>
          <w:b w:val="0"/>
        </w:rPr>
        <w:t xml:space="preserve">, c) Compound </w:t>
      </w:r>
      <w:r w:rsidRPr="00080D1B">
        <w:t>2b</w:t>
      </w:r>
      <w:r w:rsidRPr="00E93FCC">
        <w:rPr>
          <w:b w:val="0"/>
        </w:rPr>
        <w:t xml:space="preserve">, d) Compound </w:t>
      </w:r>
      <w:r w:rsidRPr="00080D1B">
        <w:t>3b</w:t>
      </w:r>
      <w:r w:rsidRPr="00E93FCC">
        <w:rPr>
          <w:b w:val="0"/>
        </w:rPr>
        <w:t>, e) Compound</w:t>
      </w:r>
      <w:r w:rsidRPr="00080D1B">
        <w:t xml:space="preserve"> 4b</w:t>
      </w:r>
      <w:r w:rsidRPr="00E93FCC">
        <w:rPr>
          <w:b w:val="0"/>
        </w:rPr>
        <w:t xml:space="preserve">, f) Compound </w:t>
      </w:r>
      <w:r w:rsidRPr="00080D1B">
        <w:t>5b</w:t>
      </w:r>
      <w:r w:rsidRPr="00E93FCC">
        <w:rPr>
          <w:b w:val="0"/>
        </w:rPr>
        <w:t>. 100 % cell metabolism normalised to vehicle control of 0.5 % DMSO. Samples were prepared in triplicate and the results are expressed as mean values ± standard deviation.</w:t>
      </w:r>
    </w:p>
    <w:p w14:paraId="7D41530C" w14:textId="77777777" w:rsidR="004673FB" w:rsidRPr="00AC1F7D" w:rsidRDefault="004673FB" w:rsidP="004673FB">
      <w:pPr>
        <w:rPr>
          <w:color w:val="000000" w:themeColor="text1"/>
        </w:rPr>
      </w:pPr>
      <w:r>
        <w:rPr>
          <w:color w:val="000000" w:themeColor="text1"/>
        </w:rPr>
        <w:t xml:space="preserve">Reviewing the data from both the resazurin sodium salt assay of cell metabolic activity and the LDH assay of cell membrane integrity, it has been shown that the synthesised prodrugs did not cause marked cytotoxicity to human dermal fibroblasts up to a concentration of 100 µM when treated for 24 hours. This is higher than the concentration required to inhibit LOXL2 in an </w:t>
      </w:r>
      <w:r w:rsidRPr="00C475DA">
        <w:rPr>
          <w:i/>
          <w:color w:val="000000" w:themeColor="text1"/>
        </w:rPr>
        <w:t>in vitro</w:t>
      </w:r>
      <w:r>
        <w:rPr>
          <w:color w:val="000000" w:themeColor="text1"/>
        </w:rPr>
        <w:t xml:space="preserve"> environment, as demonstrated </w:t>
      </w:r>
      <w:r>
        <w:rPr>
          <w:color w:val="000000" w:themeColor="text1"/>
        </w:rPr>
        <w:lastRenderedPageBreak/>
        <w:t xml:space="preserve">earlier in this chapter. Taken together, these results suggest the potential for the development of these compounds as therapeutic LOX inhibitors. </w:t>
      </w:r>
    </w:p>
    <w:p w14:paraId="4E1BEA45" w14:textId="5B55A49A" w:rsidR="004673FB" w:rsidRDefault="004673FB" w:rsidP="004673FB">
      <w:pPr>
        <w:pStyle w:val="Heading3"/>
      </w:pPr>
      <w:bookmarkStart w:id="203" w:name="_Toc2451036"/>
      <w:r>
        <w:t>Cytotoxicity of prodrugs at concentrations used in the 3D tissue</w:t>
      </w:r>
      <w:r w:rsidR="009352BF">
        <w:t>-</w:t>
      </w:r>
      <w:r>
        <w:t>engineered model of human skin</w:t>
      </w:r>
      <w:bookmarkEnd w:id="203"/>
    </w:p>
    <w:p w14:paraId="1FF73D19" w14:textId="44AEF076" w:rsidR="004673FB" w:rsidRPr="00C13AA1" w:rsidRDefault="004673FB" w:rsidP="004673FB">
      <w:pPr>
        <w:rPr>
          <w:color w:val="FF0000"/>
        </w:rPr>
      </w:pPr>
      <w:r w:rsidRPr="00290370">
        <w:rPr>
          <w:color w:val="000000" w:themeColor="text1"/>
        </w:rPr>
        <w:t>So far</w:t>
      </w:r>
      <w:r>
        <w:rPr>
          <w:color w:val="000000" w:themeColor="text1"/>
        </w:rPr>
        <w:t>,</w:t>
      </w:r>
      <w:r w:rsidRPr="00290370">
        <w:rPr>
          <w:color w:val="000000" w:themeColor="text1"/>
        </w:rPr>
        <w:t xml:space="preserve"> </w:t>
      </w:r>
      <w:r>
        <w:rPr>
          <w:color w:val="000000" w:themeColor="text1"/>
        </w:rPr>
        <w:t>this chapter has</w:t>
      </w:r>
      <w:r w:rsidRPr="00290370">
        <w:rPr>
          <w:color w:val="000000" w:themeColor="text1"/>
        </w:rPr>
        <w:t xml:space="preserve"> focussed on the effects of the </w:t>
      </w:r>
      <w:r>
        <w:rPr>
          <w:color w:val="000000" w:themeColor="text1"/>
        </w:rPr>
        <w:t>prodrugs</w:t>
      </w:r>
      <w:r w:rsidRPr="00290370">
        <w:rPr>
          <w:color w:val="000000" w:themeColor="text1"/>
        </w:rPr>
        <w:t xml:space="preserve"> in a biochemical assay and in 2D culture, investigating both their ability to </w:t>
      </w:r>
      <w:r>
        <w:rPr>
          <w:color w:val="000000" w:themeColor="text1"/>
        </w:rPr>
        <w:t>inhibit</w:t>
      </w:r>
      <w:r w:rsidRPr="00290370">
        <w:rPr>
          <w:color w:val="000000" w:themeColor="text1"/>
        </w:rPr>
        <w:t xml:space="preserve"> LOX</w:t>
      </w:r>
      <w:r>
        <w:rPr>
          <w:color w:val="000000" w:themeColor="text1"/>
        </w:rPr>
        <w:t>L2</w:t>
      </w:r>
      <w:r w:rsidRPr="00290370">
        <w:rPr>
          <w:color w:val="000000" w:themeColor="text1"/>
        </w:rPr>
        <w:t xml:space="preserve"> activity and </w:t>
      </w:r>
      <w:r>
        <w:rPr>
          <w:color w:val="000000" w:themeColor="text1"/>
        </w:rPr>
        <w:t>two different mechanisms of cytotoxicity</w:t>
      </w:r>
      <w:r w:rsidRPr="00290370">
        <w:rPr>
          <w:color w:val="000000" w:themeColor="text1"/>
        </w:rPr>
        <w:t xml:space="preserve">. Whilst </w:t>
      </w:r>
      <w:r>
        <w:rPr>
          <w:color w:val="000000" w:themeColor="text1"/>
        </w:rPr>
        <w:t xml:space="preserve">2D assays provide essential information for compound development, they cannot be considered fully representative of the cellular environment </w:t>
      </w:r>
      <w:r w:rsidRPr="0041073F">
        <w:rPr>
          <w:i/>
          <w:color w:val="000000" w:themeColor="text1"/>
        </w:rPr>
        <w:t>in vivo</w:t>
      </w:r>
      <w:r>
        <w:rPr>
          <w:color w:val="000000" w:themeColor="text1"/>
        </w:rPr>
        <w:t>.</w:t>
      </w:r>
      <w:r>
        <w:rPr>
          <w:color w:val="000000" w:themeColor="text1"/>
        </w:rPr>
        <w:fldChar w:fldCharType="begin" w:fldLock="1"/>
      </w:r>
      <w:r w:rsidR="00DB1BCE">
        <w:rPr>
          <w:color w:val="000000" w:themeColor="text1"/>
        </w:rPr>
        <w:instrText>ADDIN CSL_CITATION {"citationItems":[{"id":"ITEM-1","itemData":{"DOI":"10.18632/oncotarget.9935","ISBN":"1949-2553 (Electronic)","ISSN":"1949-2553","PMID":"27304190","abstract":"Solid tumours naturally grow in 3D wherein the spatial arrangement of cells affects how they interact with each other. This suggests that 3D cell culture may mimic the natural in vivo setting better than traditional monolayer (2D) cell culture, where cells are grown attached to plastic. Here, using HER2-positive breast cancer cell lines as models (BT474, HCC1954, EFM192A), the effects of culturing cells in 3D using the poly-HEMA method compared to 2D cultures were assessed in terms of cellular viability, response/resistance to anti-cancer drugs, protein expression and enzyme activity. Scanning electron microscopy showed the morphology of cells in 3D to be substantially different to those cultured in 2D. Cell viability in 3D cells was substantially lower than that of cells in 2D cultures, while 3D cultures were more resistant to the effects of HER-targeted (neratinib) and classical chemotherapy (docetaxel) drugs. Expression of proteins involved in cell survival, transporters associated with drug resistance and drug targets were increased in 3D cultures. Finally, activity of drug metabolising enzyme CYP3A4 was substantially increased in 3D compared to 2D cultures. Together this data indicates that the biological information represented by 3D and 2D cell cultures is substantially different i.e. 3D cell cultures demonstrate higher innate resistance to anti-cancer drugs compared to 2D cultures, which may be facilitated by the altered receptor proteins, drug transporters and metabolising enzyme activity. This highlights the importance of considering 3D in addition to 2D culture methods in pre-clinical studies of both newer targeted and more traditional anti-cancer drugs.","author":[{"dropping-particle":"","family":"Breslin","given":"Susan","non-dropping-particle":"","parse-names":false,"suffix":""},{"dropping-particle":"","family":"O'Driscoll","given":"Lorraine","non-dropping-particle":"","parse-names":false,"suffix":""}],"container-title":"Oncotarget","id":"ITEM-1","issue":"29","issued":{"date-parts":[["2016"]]},"page":"45745-45756","title":"The relevance of using 3D cell cultures, in addition to 2D monolayer cultures, when evaluating breast cancer drug sensitivity and resistance","type":"article-journal","volume":"7"},"uris":["http://www.mendeley.com/documents/?uuid=efb8432b-292d-4e37-926d-6871d184fa41"]}],"mendeley":{"formattedCitation":"&lt;sup&gt;215&lt;/sup&gt;","plainTextFormattedCitation":"215","previouslyFormattedCitation":"&lt;sup&gt;214&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215</w:t>
      </w:r>
      <w:r>
        <w:rPr>
          <w:color w:val="000000" w:themeColor="text1"/>
        </w:rPr>
        <w:fldChar w:fldCharType="end"/>
      </w:r>
      <w:r>
        <w:rPr>
          <w:color w:val="000000" w:themeColor="text1"/>
        </w:rPr>
        <w:t xml:space="preserve"> Drug discovery programs often find that the potency of a compound is reduced as the test system becomes more complex.</w:t>
      </w:r>
      <w:r>
        <w:rPr>
          <w:color w:val="000000" w:themeColor="text1"/>
        </w:rPr>
        <w:fldChar w:fldCharType="begin" w:fldLock="1"/>
      </w:r>
      <w:r w:rsidR="00DB1BCE">
        <w:rPr>
          <w:color w:val="000000" w:themeColor="text1"/>
        </w:rPr>
        <w:instrText>ADDIN CSL_CITATION {"citationItems":[{"id":"ITEM-1","itemData":{"DOI":"10.1124/jpet.105.100545.According","ISBN":"0022-3565 (Print)\\r0022-3565 (Linking)","ISSN":"0022-3565","PMID":"16537796","abstract":"In drug discovery, establishing a correlation between in vitro potency and in vivo activity is critical for the validation of the selected target and for developing confidence in the in vitro screening strategy. The present study developed a competition equilibrium dialysis assay using a 96-well dialysis technique to determine the intrinsic Kd for 13 inhibitors of human liver glycogen phosphorylase a (GPa) in the presence of liver homogenate to mimic the physiological environment. The results provided evidence that binding of an inhibitor to GPa was affected by extra cofactors present in the liver homogenate. A good correlation was demonstrated between the in vitro Kd determined under liver homogenate environment and free liver concentration of an inhibitor at the minimum efficacious dose in diabetic ob/ob mice. This study revealed important elements (such as endogenous cofactors missing from the in vitro assay and free concentration at the target tissue) that contributed to a better understanding of the linkage between in vitro and in vivo activity. The approach developed here may be applied to many drugs in pharmacology studies in which the correlation between in vitro and in vivo activities for the target tissue (such as solid tumors, brain, and liver) is critical.","author":[{"dropping-particle":"","family":"Yu","given":"Li J","non-dropping-particle":"","parse-names":false,"suffix":""},{"dropping-particle":"","family":"Chen","given":"Yue","non-dropping-particle":"","parse-names":false,"suffix":""},{"dropping-particle":"","family":"Treadway","given":"Judith L","non-dropping-particle":"","parse-names":false,"suffix":""},{"dropping-particle":"","family":"Mcpherson","given":"R Kirk","non-dropping-particle":"","parse-names":false,"suffix":""},{"dropping-particle":"","family":"Mccoid","given":"Scott C","non-dropping-particle":"","parse-names":false,"suffix":""},{"dropping-particle":"","family":"Gibbs","given":"E Michael","non-dropping-particle":"","parse-names":false,"suffix":""},{"dropping-particle":"","family":"Hoover","given":"Dennis J","non-dropping-particle":"","parse-names":false,"suffix":""}],"container-title":"the Journal of Pharmacology and Experimental Therapeutics","id":"ITEM-1","issue":"3","issued":{"date-parts":[["2006"]]},"page":"1230-1237","title":"Establishment of Correlation between in Vitro Enzyme Binding Potency and in Vivo Pharmacological Activity : Application to Liver Glycogen Phosphorylase a Inhibitors","type":"article-journal","volume":"317"},"uris":["http://www.mendeley.com/documents/?uuid=bfdaa5d0-ad6a-4da4-9014-6ad70720bfeb"]}],"mendeley":{"formattedCitation":"&lt;sup&gt;216&lt;/sup&gt;","plainTextFormattedCitation":"216","previouslyFormattedCitation":"&lt;sup&gt;215&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216</w:t>
      </w:r>
      <w:r>
        <w:rPr>
          <w:color w:val="000000" w:themeColor="text1"/>
        </w:rPr>
        <w:fldChar w:fldCharType="end"/>
      </w:r>
      <w:r>
        <w:rPr>
          <w:color w:val="000000" w:themeColor="text1"/>
        </w:rPr>
        <w:t xml:space="preserve"> For example, a compound may be found to be highly potent in an enzyme binding assay, yet much higher doses are required to elicit a biological response </w:t>
      </w:r>
      <w:r w:rsidRPr="00097777">
        <w:rPr>
          <w:i/>
          <w:color w:val="000000" w:themeColor="text1"/>
        </w:rPr>
        <w:t>in vivo</w:t>
      </w:r>
      <w:r>
        <w:rPr>
          <w:color w:val="000000" w:themeColor="text1"/>
        </w:rPr>
        <w:t>. Considering the process of contraction, many studies use markedly higher doses of β</w:t>
      </w:r>
      <w:r>
        <w:rPr>
          <w:color w:val="000000" w:themeColor="text1"/>
        </w:rPr>
        <w:noBreakHyphen/>
        <w:t>APN than its reported IC</w:t>
      </w:r>
      <w:r w:rsidRPr="00D6720F">
        <w:rPr>
          <w:color w:val="000000" w:themeColor="text1"/>
          <w:vertAlign w:val="subscript"/>
        </w:rPr>
        <w:t>50</w:t>
      </w:r>
      <w:r>
        <w:rPr>
          <w:color w:val="000000" w:themeColor="text1"/>
        </w:rPr>
        <w:t xml:space="preserve"> value for LOX inhibition. For example, Harrison </w:t>
      </w:r>
      <w:r w:rsidRPr="00D6720F">
        <w:rPr>
          <w:i/>
          <w:color w:val="000000" w:themeColor="text1"/>
        </w:rPr>
        <w:t>et al</w:t>
      </w:r>
      <w:r>
        <w:rPr>
          <w:color w:val="000000" w:themeColor="text1"/>
        </w:rPr>
        <w:t>. found that β</w:t>
      </w:r>
      <w:r>
        <w:rPr>
          <w:color w:val="000000" w:themeColor="text1"/>
        </w:rPr>
        <w:noBreakHyphen/>
        <w:t>APN was unable to inhibit contraction in a 3D model of human skin at concentrations below 200 µg/mL (1.56 mM).</w:t>
      </w:r>
      <w:r>
        <w:rPr>
          <w:color w:val="000000" w:themeColor="text1"/>
        </w:rPr>
        <w:fldChar w:fldCharType="begin" w:fldLock="1"/>
      </w:r>
      <w:r w:rsidR="0085447D">
        <w:rPr>
          <w:color w:val="000000" w:themeColor="text1"/>
        </w:rPr>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78</w:t>
      </w:r>
      <w:r>
        <w:rPr>
          <w:color w:val="000000" w:themeColor="text1"/>
        </w:rPr>
        <w:fldChar w:fldCharType="end"/>
      </w:r>
      <w:r>
        <w:rPr>
          <w:color w:val="FF0000"/>
        </w:rPr>
        <w:t xml:space="preserve"> </w:t>
      </w:r>
      <w:r w:rsidRPr="00670BA5">
        <w:rPr>
          <w:color w:val="000000" w:themeColor="text1"/>
        </w:rPr>
        <w:t xml:space="preserve">Taking this into consideration, further cytotoxicity experiments </w:t>
      </w:r>
      <w:r>
        <w:rPr>
          <w:color w:val="000000" w:themeColor="text1"/>
        </w:rPr>
        <w:t>were conducted</w:t>
      </w:r>
      <w:r w:rsidRPr="00670BA5">
        <w:rPr>
          <w:color w:val="000000" w:themeColor="text1"/>
        </w:rPr>
        <w:t xml:space="preserve"> using a</w:t>
      </w:r>
      <w:r>
        <w:rPr>
          <w:color w:val="000000" w:themeColor="text1"/>
        </w:rPr>
        <w:t xml:space="preserve"> single</w:t>
      </w:r>
      <w:r w:rsidRPr="00670BA5">
        <w:rPr>
          <w:color w:val="000000" w:themeColor="text1"/>
        </w:rPr>
        <w:t xml:space="preserve"> concentr</w:t>
      </w:r>
      <w:r>
        <w:rPr>
          <w:color w:val="000000" w:themeColor="text1"/>
        </w:rPr>
        <w:t xml:space="preserve">ation of each prodrug </w:t>
      </w:r>
      <w:r w:rsidRPr="00670BA5">
        <w:rPr>
          <w:color w:val="000000" w:themeColor="text1"/>
        </w:rPr>
        <w:t>that would likely be used in a 3D model of contraction</w:t>
      </w:r>
      <w:r>
        <w:rPr>
          <w:color w:val="000000" w:themeColor="text1"/>
        </w:rPr>
        <w:t>.</w:t>
      </w:r>
      <w:r w:rsidRPr="00E02674">
        <w:rPr>
          <w:color w:val="000000" w:themeColor="text1"/>
        </w:rPr>
        <w:t xml:space="preserve">  </w:t>
      </w:r>
    </w:p>
    <w:p w14:paraId="6AEFAE5D" w14:textId="77777777" w:rsidR="004673FB" w:rsidRPr="001834FA" w:rsidRDefault="004673FB" w:rsidP="004673FB">
      <w:pPr>
        <w:pStyle w:val="Heading3"/>
      </w:pPr>
      <w:bookmarkStart w:id="204" w:name="_Toc2451037"/>
      <w:r w:rsidRPr="001834FA">
        <w:t xml:space="preserve">Investigation of prodrugs on cell </w:t>
      </w:r>
      <w:r>
        <w:t>metabolic activity</w:t>
      </w:r>
      <w:bookmarkEnd w:id="204"/>
    </w:p>
    <w:p w14:paraId="08010E2A" w14:textId="77777777" w:rsidR="004673FB" w:rsidRPr="00BC2F7C" w:rsidRDefault="004673FB" w:rsidP="004673FB">
      <w:pPr>
        <w:rPr>
          <w:color w:val="000000" w:themeColor="text1"/>
          <w:u w:val="single"/>
        </w:rPr>
      </w:pPr>
      <w:r>
        <w:rPr>
          <w:color w:val="000000" w:themeColor="text1"/>
        </w:rPr>
        <w:t xml:space="preserve">Prodrugs </w:t>
      </w:r>
      <w:r w:rsidRPr="00E02674">
        <w:rPr>
          <w:color w:val="000000" w:themeColor="text1"/>
        </w:rPr>
        <w:t xml:space="preserve">were applied </w:t>
      </w:r>
      <w:r>
        <w:rPr>
          <w:color w:val="000000" w:themeColor="text1"/>
        </w:rPr>
        <w:t xml:space="preserve">at a concentration of 5 mM </w:t>
      </w:r>
      <w:r w:rsidRPr="00E02674">
        <w:rPr>
          <w:color w:val="000000" w:themeColor="text1"/>
        </w:rPr>
        <w:t xml:space="preserve">to </w:t>
      </w:r>
      <w:r>
        <w:rPr>
          <w:color w:val="000000" w:themeColor="text1"/>
        </w:rPr>
        <w:t>HDF</w:t>
      </w:r>
      <w:r w:rsidRPr="00E02674">
        <w:rPr>
          <w:color w:val="000000" w:themeColor="text1"/>
        </w:rPr>
        <w:t xml:space="preserve"> for 24, 48 and 72 hours in order to investigate </w:t>
      </w:r>
      <w:r>
        <w:rPr>
          <w:color w:val="000000" w:themeColor="text1"/>
        </w:rPr>
        <w:t xml:space="preserve">longer </w:t>
      </w:r>
      <w:r w:rsidRPr="00E02674">
        <w:rPr>
          <w:color w:val="000000" w:themeColor="text1"/>
        </w:rPr>
        <w:t xml:space="preserve">term effects </w:t>
      </w:r>
      <w:r>
        <w:rPr>
          <w:color w:val="000000" w:themeColor="text1"/>
        </w:rPr>
        <w:t xml:space="preserve">of the compounds on cell viability. Due to poor solubility in media, compound </w:t>
      </w:r>
      <w:r w:rsidRPr="00326792">
        <w:rPr>
          <w:b/>
          <w:color w:val="000000" w:themeColor="text1"/>
        </w:rPr>
        <w:t>3b</w:t>
      </w:r>
      <w:r>
        <w:rPr>
          <w:color w:val="000000" w:themeColor="text1"/>
        </w:rPr>
        <w:t xml:space="preserve"> was tested at a concentration of 2.5 mM. </w:t>
      </w:r>
    </w:p>
    <w:p w14:paraId="2B8915C9" w14:textId="77777777" w:rsidR="004673FB" w:rsidRDefault="004673FB" w:rsidP="004673FB">
      <w:pPr>
        <w:keepNext/>
        <w:spacing w:after="0"/>
        <w:jc w:val="left"/>
      </w:pPr>
      <w:r>
        <w:rPr>
          <w:noProof/>
          <w:lang w:eastAsia="en-GB"/>
        </w:rPr>
        <w:drawing>
          <wp:inline distT="0" distB="0" distL="0" distR="0" wp14:anchorId="19E43238" wp14:editId="4E119294">
            <wp:extent cx="5201920" cy="14363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C2_res_5m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01920" cy="1436370"/>
                    </a:xfrm>
                    <a:prstGeom prst="rect">
                      <a:avLst/>
                    </a:prstGeom>
                  </pic:spPr>
                </pic:pic>
              </a:graphicData>
            </a:graphic>
          </wp:inline>
        </w:drawing>
      </w:r>
    </w:p>
    <w:p w14:paraId="45158028" w14:textId="5F96F7AA" w:rsidR="004673FB" w:rsidRDefault="004673FB" w:rsidP="00AA10E5">
      <w:pPr>
        <w:pStyle w:val="Caption"/>
        <w:jc w:val="both"/>
      </w:pPr>
      <w:bookmarkStart w:id="205" w:name="_Ref512870175"/>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10</w:t>
      </w:r>
      <w:r w:rsidR="00BE21E4">
        <w:rPr>
          <w:noProof/>
        </w:rPr>
        <w:fldChar w:fldCharType="end"/>
      </w:r>
      <w:bookmarkEnd w:id="205"/>
      <w:r w:rsidRPr="0006425C">
        <w:t>.</w:t>
      </w:r>
      <w:r>
        <w:t xml:space="preserve"> </w:t>
      </w:r>
      <w:r w:rsidRPr="00AA10E5">
        <w:rPr>
          <w:b w:val="0"/>
        </w:rPr>
        <w:t xml:space="preserve">Resazurin sodium salt assay for cell metabolism of human dermal fibroblasts treated with 5 mM synthesised prodrugs (2.5 mM for </w:t>
      </w:r>
      <w:r w:rsidRPr="00AA10E5">
        <w:t>3b</w:t>
      </w:r>
      <w:r w:rsidRPr="00AA10E5">
        <w:rPr>
          <w:b w:val="0"/>
        </w:rPr>
        <w:t xml:space="preserve"> due to poor solubility in media) for 24, 48 and 72 hours. 100 % cell metabolism normalised to vehicle control of 1 % DMSO. Samples were prepared in triplicate and the results are expressed as individual values with error bars for the mean ± standard deviation.</w:t>
      </w:r>
    </w:p>
    <w:p w14:paraId="5D2DE61C" w14:textId="7B84CB55" w:rsidR="004673FB" w:rsidRPr="00C13AA1" w:rsidRDefault="004673FB" w:rsidP="004673FB">
      <w:pPr>
        <w:rPr>
          <w:color w:val="000000" w:themeColor="text1"/>
        </w:rPr>
      </w:pPr>
      <w:r>
        <w:t xml:space="preserve">From </w:t>
      </w:r>
      <w:r>
        <w:fldChar w:fldCharType="begin"/>
      </w:r>
      <w:r>
        <w:instrText xml:space="preserve"> REF _Ref512870175 \h </w:instrText>
      </w:r>
      <w:r>
        <w:fldChar w:fldCharType="separate"/>
      </w:r>
      <w:r w:rsidR="00E6157A" w:rsidRPr="0006425C">
        <w:t xml:space="preserve">Figure </w:t>
      </w:r>
      <w:r w:rsidR="00E6157A">
        <w:rPr>
          <w:noProof/>
        </w:rPr>
        <w:t>3</w:t>
      </w:r>
      <w:r w:rsidR="00E6157A">
        <w:t>.</w:t>
      </w:r>
      <w:r w:rsidR="00E6157A">
        <w:rPr>
          <w:noProof/>
        </w:rPr>
        <w:t>10</w:t>
      </w:r>
      <w:r>
        <w:fldChar w:fldCharType="end"/>
      </w:r>
      <w:r>
        <w:t xml:space="preserve"> it is clear that after 24 hours of treatment with either β</w:t>
      </w:r>
      <w:r>
        <w:noBreakHyphen/>
        <w:t xml:space="preserve">APN or the prodrugs, HDF metabolism decreased in all cases. During the initial 24 hours, </w:t>
      </w:r>
      <w:r>
        <w:lastRenderedPageBreak/>
        <w:t xml:space="preserve">compounds </w:t>
      </w:r>
      <w:r w:rsidRPr="00326792">
        <w:rPr>
          <w:b/>
        </w:rPr>
        <w:t>2b</w:t>
      </w:r>
      <w:r>
        <w:t xml:space="preserve">, </w:t>
      </w:r>
      <w:r w:rsidRPr="00326792">
        <w:rPr>
          <w:b/>
        </w:rPr>
        <w:t>3b</w:t>
      </w:r>
      <w:r>
        <w:t xml:space="preserve"> and </w:t>
      </w:r>
      <w:r w:rsidRPr="00326792">
        <w:rPr>
          <w:b/>
        </w:rPr>
        <w:t xml:space="preserve">5b </w:t>
      </w:r>
      <w:r>
        <w:t>reduced metabolic activity completely. Even β</w:t>
      </w:r>
      <w:r>
        <w:noBreakHyphen/>
        <w:t xml:space="preserve">APN, the widely-used LOX inhibitor, reduced cell metabolism to ~70 % compared to the 1 % DMSO control. After 48 and 72 hours, only cells treated with β-APN showed any substantial metabolic activity, and even </w:t>
      </w:r>
      <w:r w:rsidRPr="008E1B71">
        <w:rPr>
          <w:color w:val="000000" w:themeColor="text1"/>
        </w:rPr>
        <w:t xml:space="preserve">this was markedly reduced (~ 60 % compared to the untreated control). Whilst the exact mechanisms are not clear, the reason prodrugs </w:t>
      </w:r>
      <w:r w:rsidRPr="008E1B71">
        <w:rPr>
          <w:b/>
          <w:color w:val="000000" w:themeColor="text1"/>
        </w:rPr>
        <w:t>2b</w:t>
      </w:r>
      <w:r w:rsidRPr="008E1B71">
        <w:rPr>
          <w:color w:val="000000" w:themeColor="text1"/>
        </w:rPr>
        <w:t>-</w:t>
      </w:r>
      <w:r w:rsidRPr="008E1B71">
        <w:rPr>
          <w:b/>
          <w:color w:val="000000" w:themeColor="text1"/>
        </w:rPr>
        <w:t>5b</w:t>
      </w:r>
      <w:r w:rsidRPr="008E1B71">
        <w:rPr>
          <w:color w:val="000000" w:themeColor="text1"/>
        </w:rPr>
        <w:t xml:space="preserve"> had such a negative effect on cell metabolism could be due to the substituent groups on the aromatic ring.</w:t>
      </w:r>
      <w:r>
        <w:rPr>
          <w:color w:val="FF0000"/>
        </w:rPr>
        <w:t xml:space="preserve"> </w:t>
      </w:r>
      <w:r w:rsidRPr="008E1B71">
        <w:rPr>
          <w:color w:val="000000" w:themeColor="text1"/>
        </w:rPr>
        <w:t xml:space="preserve">For example, compound </w:t>
      </w:r>
      <w:r w:rsidRPr="008E1B71">
        <w:rPr>
          <w:b/>
          <w:color w:val="000000" w:themeColor="text1"/>
        </w:rPr>
        <w:t>3b</w:t>
      </w:r>
      <w:r w:rsidRPr="008E1B71">
        <w:rPr>
          <w:color w:val="000000" w:themeColor="text1"/>
        </w:rPr>
        <w:t xml:space="preserve"> contains a large hydrophobic t</w:t>
      </w:r>
      <w:r>
        <w:rPr>
          <w:color w:val="000000" w:themeColor="text1"/>
        </w:rPr>
        <w:t>ertiary-butyl group. Whilst the resazurin</w:t>
      </w:r>
      <w:r w:rsidRPr="008E1B71">
        <w:rPr>
          <w:color w:val="000000" w:themeColor="text1"/>
        </w:rPr>
        <w:t xml:space="preserve"> assay doesn’t monitor cell membrane integrity, it is possible that the hydrophobic group is disrupting the ce</w:t>
      </w:r>
      <w:r>
        <w:rPr>
          <w:color w:val="000000" w:themeColor="text1"/>
        </w:rPr>
        <w:t>ll membrane, causing cell lysis and therefore cell metabolism cannot take place</w:t>
      </w:r>
      <w:r w:rsidRPr="008E1B71">
        <w:rPr>
          <w:color w:val="000000" w:themeColor="text1"/>
        </w:rPr>
        <w:t xml:space="preserve">. </w:t>
      </w:r>
      <w:r>
        <w:rPr>
          <w:color w:val="000000" w:themeColor="text1"/>
        </w:rPr>
        <w:t xml:space="preserve">Compound </w:t>
      </w:r>
      <w:r w:rsidRPr="00C13AA1">
        <w:rPr>
          <w:b/>
          <w:color w:val="000000" w:themeColor="text1"/>
        </w:rPr>
        <w:t>4b</w:t>
      </w:r>
      <w:r>
        <w:rPr>
          <w:color w:val="000000" w:themeColor="text1"/>
        </w:rPr>
        <w:t xml:space="preserve"> contains a nitro group on the aromatic ring which is electron-withdrawing. This could make the oxygen atom</w:t>
      </w:r>
      <w:r w:rsidRPr="00C13AA1">
        <w:rPr>
          <w:color w:val="000000" w:themeColor="text1"/>
        </w:rPr>
        <w:t xml:space="preserve"> </w:t>
      </w:r>
      <w:r>
        <w:rPr>
          <w:color w:val="000000" w:themeColor="text1"/>
        </w:rPr>
        <w:t xml:space="preserve">of the </w:t>
      </w:r>
      <w:r w:rsidRPr="008E1B71">
        <w:rPr>
          <w:color w:val="000000" w:themeColor="text1"/>
        </w:rPr>
        <w:t>aromatic hydroxyl group more acidic</w:t>
      </w:r>
      <w:r>
        <w:rPr>
          <w:color w:val="000000" w:themeColor="text1"/>
        </w:rPr>
        <w:t xml:space="preserve">, which might lead to changes in pH and result in cellular stress. </w:t>
      </w:r>
      <w:r>
        <w:t xml:space="preserve">It is clear that when applied at these concentrations, the prodrugs have a detrimental effect </w:t>
      </w:r>
      <w:r w:rsidRPr="001D3A44">
        <w:rPr>
          <w:color w:val="000000" w:themeColor="text1"/>
        </w:rPr>
        <w:t>on cell metabolism. Sinc</w:t>
      </w:r>
      <w:r>
        <w:rPr>
          <w:color w:val="000000" w:themeColor="text1"/>
        </w:rPr>
        <w:t>e the main difference between β</w:t>
      </w:r>
      <w:r>
        <w:rPr>
          <w:color w:val="000000" w:themeColor="text1"/>
        </w:rPr>
        <w:noBreakHyphen/>
      </w:r>
      <w:r w:rsidRPr="001D3A44">
        <w:rPr>
          <w:color w:val="000000" w:themeColor="text1"/>
        </w:rPr>
        <w:t>APN and the prodrugs is the inclusion of the aldehyde substituents, it is likely that the toxicity arises from the inclusion of the</w:t>
      </w:r>
      <w:r>
        <w:rPr>
          <w:color w:val="000000" w:themeColor="text1"/>
        </w:rPr>
        <w:t>se</w:t>
      </w:r>
      <w:r w:rsidRPr="001D3A44">
        <w:rPr>
          <w:color w:val="000000" w:themeColor="text1"/>
        </w:rPr>
        <w:t xml:space="preserve"> aldehydes.</w:t>
      </w:r>
      <w:r>
        <w:rPr>
          <w:color w:val="000000" w:themeColor="text1"/>
        </w:rPr>
        <w:t xml:space="preserve"> As with previous work in this chapter, a second cytotoxicity test was performed in addition to the resazurin sodium salt assay. </w:t>
      </w:r>
    </w:p>
    <w:p w14:paraId="44E1A759" w14:textId="77777777" w:rsidR="004673FB" w:rsidRDefault="004673FB" w:rsidP="004673FB">
      <w:pPr>
        <w:pStyle w:val="Heading3"/>
      </w:pPr>
      <w:bookmarkStart w:id="206" w:name="_Toc2451038"/>
      <w:r w:rsidRPr="001834FA">
        <w:t>Investigation of prodrugs on cell membrane integrit</w:t>
      </w:r>
      <w:r>
        <w:t>y</w:t>
      </w:r>
      <w:bookmarkEnd w:id="206"/>
    </w:p>
    <w:p w14:paraId="1FDDDFBE" w14:textId="66C7322F" w:rsidR="004673FB" w:rsidRPr="00046AC6" w:rsidRDefault="004673FB" w:rsidP="004673FB">
      <w:r w:rsidRPr="00564128">
        <w:rPr>
          <w:color w:val="000000" w:themeColor="text1"/>
        </w:rPr>
        <w:t>The LDH cell membrane integrity assay was run in parallel to the</w:t>
      </w:r>
      <w:r>
        <w:rPr>
          <w:color w:val="000000" w:themeColor="text1"/>
        </w:rPr>
        <w:t xml:space="preserve"> resazurin assay, to assess the effect of the prodrugs at the higher concentration on cell membrane integrity. The data for the LDH assay after 24, 48 and 72 hours is shown in </w:t>
      </w:r>
      <w:r>
        <w:rPr>
          <w:color w:val="000000" w:themeColor="text1"/>
        </w:rPr>
        <w:fldChar w:fldCharType="begin"/>
      </w:r>
      <w:r>
        <w:rPr>
          <w:color w:val="000000" w:themeColor="text1"/>
        </w:rPr>
        <w:instrText xml:space="preserve"> REF _Ref512870911 \h </w:instrText>
      </w:r>
      <w:r>
        <w:rPr>
          <w:color w:val="000000" w:themeColor="text1"/>
        </w:rPr>
      </w:r>
      <w:r>
        <w:rPr>
          <w:color w:val="000000" w:themeColor="text1"/>
        </w:rPr>
        <w:fldChar w:fldCharType="separate"/>
      </w:r>
      <w:r w:rsidR="00E6157A" w:rsidRPr="0006425C">
        <w:t xml:space="preserve">Figure </w:t>
      </w:r>
      <w:r w:rsidR="00E6157A">
        <w:rPr>
          <w:noProof/>
        </w:rPr>
        <w:t>3</w:t>
      </w:r>
      <w:r w:rsidR="00E6157A">
        <w:t>.</w:t>
      </w:r>
      <w:r w:rsidR="00E6157A">
        <w:rPr>
          <w:noProof/>
        </w:rPr>
        <w:t>11</w:t>
      </w:r>
      <w:r>
        <w:rPr>
          <w:color w:val="000000" w:themeColor="text1"/>
        </w:rPr>
        <w:fldChar w:fldCharType="end"/>
      </w:r>
      <w:r>
        <w:rPr>
          <w:color w:val="000000" w:themeColor="text1"/>
        </w:rPr>
        <w:t>.</w:t>
      </w:r>
    </w:p>
    <w:p w14:paraId="1DDD50C5" w14:textId="77777777" w:rsidR="004673FB" w:rsidRDefault="004673FB" w:rsidP="004673FB">
      <w:pPr>
        <w:keepNext/>
        <w:spacing w:line="240" w:lineRule="auto"/>
      </w:pPr>
      <w:r w:rsidRPr="00DD55DE">
        <w:rPr>
          <w:noProof/>
          <w:lang w:eastAsia="en-GB"/>
        </w:rPr>
        <w:drawing>
          <wp:inline distT="0" distB="0" distL="0" distR="0" wp14:anchorId="2E018AB6" wp14:editId="0C3345EE">
            <wp:extent cx="5217485" cy="1524739"/>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3578" cy="1538209"/>
                    </a:xfrm>
                    <a:prstGeom prst="rect">
                      <a:avLst/>
                    </a:prstGeom>
                  </pic:spPr>
                </pic:pic>
              </a:graphicData>
            </a:graphic>
          </wp:inline>
        </w:drawing>
      </w:r>
    </w:p>
    <w:p w14:paraId="4E7059C0" w14:textId="7960EFB4" w:rsidR="004673FB" w:rsidRDefault="004673FB" w:rsidP="00AA10E5">
      <w:pPr>
        <w:pStyle w:val="Caption"/>
        <w:jc w:val="both"/>
      </w:pPr>
      <w:bookmarkStart w:id="207" w:name="_Ref512870911"/>
      <w:r w:rsidRPr="0006425C">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3</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11</w:t>
      </w:r>
      <w:r w:rsidR="00BE21E4">
        <w:rPr>
          <w:noProof/>
        </w:rPr>
        <w:fldChar w:fldCharType="end"/>
      </w:r>
      <w:bookmarkEnd w:id="207"/>
      <w:r w:rsidRPr="0006425C">
        <w:t>.</w:t>
      </w:r>
      <w:r>
        <w:t xml:space="preserve"> </w:t>
      </w:r>
      <w:r w:rsidRPr="00AA10E5">
        <w:rPr>
          <w:b w:val="0"/>
        </w:rPr>
        <w:t xml:space="preserve">Lactate dehydrogenase (LDH) assay for cell membrane integrity of human dermal fibroblasts treated with 5 mM synthesised prodrugs (2.5 mM for </w:t>
      </w:r>
      <w:r w:rsidRPr="00AA10E5">
        <w:t xml:space="preserve">3b </w:t>
      </w:r>
      <w:r w:rsidRPr="00AA10E5">
        <w:rPr>
          <w:b w:val="0"/>
        </w:rPr>
        <w:t>due to poor solubility in media) for 24, 48 and 72 hours. 100 % cell metabolism normalised to vehicle control of 1 % DMSO. Samples were prepared in triplicate and the results are expressed as individual values with error bars for the mean ± standard deviation.</w:t>
      </w:r>
    </w:p>
    <w:p w14:paraId="472FFFD4" w14:textId="59C59ED7" w:rsidR="004673FB" w:rsidRPr="0046003B" w:rsidRDefault="004673FB" w:rsidP="004673FB">
      <w:pPr>
        <w:rPr>
          <w:color w:val="FF0000"/>
        </w:rPr>
      </w:pPr>
      <w:r>
        <w:rPr>
          <w:color w:val="000000" w:themeColor="text1"/>
        </w:rPr>
        <w:lastRenderedPageBreak/>
        <w:t xml:space="preserve">After 24 hours, treatment of HDF with </w:t>
      </w:r>
      <w:r w:rsidRPr="00326792">
        <w:rPr>
          <w:b/>
          <w:color w:val="000000" w:themeColor="text1"/>
        </w:rPr>
        <w:t>3b</w:t>
      </w:r>
      <w:r>
        <w:rPr>
          <w:color w:val="000000" w:themeColor="text1"/>
        </w:rPr>
        <w:t xml:space="preserve"> resulted in a large increase in LDH release compared to cells treated with β</w:t>
      </w:r>
      <w:r>
        <w:rPr>
          <w:color w:val="000000" w:themeColor="text1"/>
        </w:rPr>
        <w:noBreakHyphen/>
        <w:t>APN and the other prodrugs. This result agrees with the resazurin data (</w:t>
      </w:r>
      <w:r>
        <w:rPr>
          <w:color w:val="000000" w:themeColor="text1"/>
        </w:rPr>
        <w:fldChar w:fldCharType="begin"/>
      </w:r>
      <w:r>
        <w:rPr>
          <w:color w:val="000000" w:themeColor="text1"/>
        </w:rPr>
        <w:instrText xml:space="preserve"> REF _Ref512870175 \h </w:instrText>
      </w:r>
      <w:r>
        <w:rPr>
          <w:color w:val="000000" w:themeColor="text1"/>
        </w:rPr>
      </w:r>
      <w:r>
        <w:rPr>
          <w:color w:val="000000" w:themeColor="text1"/>
        </w:rPr>
        <w:fldChar w:fldCharType="separate"/>
      </w:r>
      <w:r w:rsidR="00E6157A" w:rsidRPr="0006425C">
        <w:t xml:space="preserve">Figure </w:t>
      </w:r>
      <w:r w:rsidR="00E6157A">
        <w:rPr>
          <w:noProof/>
        </w:rPr>
        <w:t>3</w:t>
      </w:r>
      <w:r w:rsidR="00E6157A">
        <w:t>.</w:t>
      </w:r>
      <w:r w:rsidR="00E6157A">
        <w:rPr>
          <w:noProof/>
        </w:rPr>
        <w:t>10</w:t>
      </w:r>
      <w:r>
        <w:rPr>
          <w:color w:val="000000" w:themeColor="text1"/>
        </w:rPr>
        <w:fldChar w:fldCharType="end"/>
      </w:r>
      <w:r>
        <w:rPr>
          <w:color w:val="000000" w:themeColor="text1"/>
        </w:rPr>
        <w:t xml:space="preserve">) for </w:t>
      </w:r>
      <w:r w:rsidRPr="00326792">
        <w:rPr>
          <w:b/>
          <w:color w:val="000000" w:themeColor="text1"/>
        </w:rPr>
        <w:t>3b</w:t>
      </w:r>
      <w:r>
        <w:rPr>
          <w:color w:val="000000" w:themeColor="text1"/>
        </w:rPr>
        <w:t xml:space="preserve">, which showed no cell viability after 24 hours. As discussed above, it is possible that the tertiary butyl group of this compound was able to interact with, and disrupt, the </w:t>
      </w:r>
      <w:r w:rsidRPr="0046003B">
        <w:rPr>
          <w:color w:val="000000" w:themeColor="text1"/>
        </w:rPr>
        <w:t>phospholipid bilayer of the cell membrane to a greater extent tha</w:t>
      </w:r>
      <w:r>
        <w:rPr>
          <w:color w:val="000000" w:themeColor="text1"/>
        </w:rPr>
        <w:t>n</w:t>
      </w:r>
      <w:r w:rsidRPr="0046003B">
        <w:rPr>
          <w:color w:val="000000" w:themeColor="text1"/>
        </w:rPr>
        <w:t xml:space="preserve"> the other compounds. This has previously been demonstrated by McKarns </w:t>
      </w:r>
      <w:r w:rsidRPr="00CF2901">
        <w:rPr>
          <w:i/>
          <w:color w:val="000000" w:themeColor="text1"/>
        </w:rPr>
        <w:t>et al</w:t>
      </w:r>
      <w:r w:rsidRPr="0046003B">
        <w:rPr>
          <w:color w:val="000000" w:themeColor="text1"/>
        </w:rPr>
        <w:t>., who demonstrated that LDH release from rat liver epithelial cells increased as the hydrophobicity of the short-chain aliphatic alcohol increased.</w:t>
      </w:r>
      <w:r w:rsidRPr="0046003B">
        <w:rPr>
          <w:color w:val="000000" w:themeColor="text1"/>
        </w:rPr>
        <w:fldChar w:fldCharType="begin" w:fldLock="1"/>
      </w:r>
      <w:r w:rsidR="00DB1BCE">
        <w:rPr>
          <w:color w:val="000000" w:themeColor="text1"/>
        </w:rPr>
        <w:instrText>ADDIN CSL_CITATION {"citationItems":[{"id":"ITEM-1","itemData":{"author":[{"dropping-particle":"","family":"McKarns","given":"Susan C.","non-dropping-particle":"","parse-names":false,"suffix":""},{"dropping-particle":"","family":"Hansch","given":"Corwin","non-dropping-particle":"","parse-names":false,"suffix":""},{"dropping-particle":"","family":"Caldwell","given":"William S.","non-dropping-particle":"","parse-names":false,"suffix":""},{"dropping-particle":"","family":"Morgan","given":"Walter T.","non-dropping-particle":"","parse-names":false,"suffix":""},{"dropping-particle":"","family":"Moore","given":"Sarah K.","non-dropping-particle":"","parse-names":false,"suffix":""},{"dropping-particle":"","family":"Doolittle","given":"David J.","non-dropping-particle":"","parse-names":false,"suffix":""}],"container-title":"Fundamental and Applied Toxicology","id":"ITEM-1","issue":"January","issued":{"date-parts":[["1997"]]},"page":"62-70","title":"Correlation between Hydrophobicity of Short- Chain Aliphatic Alcohols and Their Ability to Alter Plasma Membrane Integrity","type":"article-journal","volume":"36"},"uris":["http://www.mendeley.com/documents/?uuid=ad5e578e-4b1c-4e6e-ad11-2a83053a22fe"]}],"mendeley":{"formattedCitation":"&lt;sup&gt;217&lt;/sup&gt;","plainTextFormattedCitation":"217","previouslyFormattedCitation":"&lt;sup&gt;216&lt;/sup&gt;"},"properties":{"noteIndex":0},"schema":"https://github.com/citation-style-language/schema/raw/master/csl-citation.json"}</w:instrText>
      </w:r>
      <w:r w:rsidRPr="0046003B">
        <w:rPr>
          <w:color w:val="000000" w:themeColor="text1"/>
        </w:rPr>
        <w:fldChar w:fldCharType="separate"/>
      </w:r>
      <w:r w:rsidR="00DB1BCE" w:rsidRPr="00DB1BCE">
        <w:rPr>
          <w:noProof/>
          <w:color w:val="000000" w:themeColor="text1"/>
          <w:vertAlign w:val="superscript"/>
        </w:rPr>
        <w:t>217</w:t>
      </w:r>
      <w:r w:rsidRPr="0046003B">
        <w:rPr>
          <w:color w:val="000000" w:themeColor="text1"/>
        </w:rPr>
        <w:fldChar w:fldCharType="end"/>
      </w:r>
      <w:r w:rsidRPr="0046003B">
        <w:rPr>
          <w:color w:val="000000" w:themeColor="text1"/>
        </w:rPr>
        <w:t xml:space="preserve"> Whilst these prodrugs are</w:t>
      </w:r>
      <w:r>
        <w:rPr>
          <w:color w:val="000000" w:themeColor="text1"/>
        </w:rPr>
        <w:t xml:space="preserve"> aromatic, a similar trend might</w:t>
      </w:r>
      <w:r w:rsidRPr="0046003B">
        <w:rPr>
          <w:color w:val="000000" w:themeColor="text1"/>
        </w:rPr>
        <w:t xml:space="preserve"> be expected. The remaining </w:t>
      </w:r>
      <w:r>
        <w:rPr>
          <w:color w:val="000000" w:themeColor="text1"/>
        </w:rPr>
        <w:t>prodrugs and β</w:t>
      </w:r>
      <w:r>
        <w:rPr>
          <w:color w:val="000000" w:themeColor="text1"/>
        </w:rPr>
        <w:noBreakHyphen/>
        <w:t xml:space="preserve">APN were well tolerated in the LDH assay after 24 hours. After 48 hours of treatment, </w:t>
      </w:r>
      <w:r w:rsidRPr="00326792">
        <w:rPr>
          <w:b/>
          <w:color w:val="000000" w:themeColor="text1"/>
        </w:rPr>
        <w:t>1b</w:t>
      </w:r>
      <w:r>
        <w:rPr>
          <w:color w:val="000000" w:themeColor="text1"/>
        </w:rPr>
        <w:t xml:space="preserve"> caused approximately 20 % LDH release compared to the lysis buffer control. This suggests that, whilst short exposures of </w:t>
      </w:r>
      <w:r w:rsidRPr="00326792">
        <w:rPr>
          <w:b/>
          <w:color w:val="000000" w:themeColor="text1"/>
        </w:rPr>
        <w:t>1b</w:t>
      </w:r>
      <w:r>
        <w:rPr>
          <w:color w:val="000000" w:themeColor="text1"/>
        </w:rPr>
        <w:t xml:space="preserve"> can be tolerated by HDF, longer exposure times lead to cell membrane disruption. Interestingly, compounds </w:t>
      </w:r>
      <w:r w:rsidRPr="001D3A44">
        <w:rPr>
          <w:b/>
          <w:color w:val="000000" w:themeColor="text1"/>
        </w:rPr>
        <w:t>2b</w:t>
      </w:r>
      <w:r>
        <w:rPr>
          <w:color w:val="000000" w:themeColor="text1"/>
        </w:rPr>
        <w:t xml:space="preserve">, </w:t>
      </w:r>
      <w:r w:rsidRPr="001D3A44">
        <w:rPr>
          <w:b/>
          <w:color w:val="000000" w:themeColor="text1"/>
        </w:rPr>
        <w:t>4b</w:t>
      </w:r>
      <w:r>
        <w:rPr>
          <w:color w:val="000000" w:themeColor="text1"/>
        </w:rPr>
        <w:t xml:space="preserve"> and </w:t>
      </w:r>
      <w:r w:rsidRPr="001D3A44">
        <w:rPr>
          <w:b/>
          <w:color w:val="000000" w:themeColor="text1"/>
        </w:rPr>
        <w:t>5b</w:t>
      </w:r>
      <w:r>
        <w:rPr>
          <w:color w:val="000000" w:themeColor="text1"/>
        </w:rPr>
        <w:t xml:space="preserve"> showed no LDH release even after 72 hours treatment. The resazurin assay indicated that these compounds reduced metabolic activity to zero after 24 hours. Taken together, this suggests that their mode of toxicity is not by membrane disruption but by an alternative pathway. </w:t>
      </w:r>
    </w:p>
    <w:p w14:paraId="412C1DBE" w14:textId="77777777" w:rsidR="00937FD1" w:rsidRPr="00937FD1" w:rsidRDefault="004673FB" w:rsidP="0060603F">
      <w:pPr>
        <w:rPr>
          <w:color w:val="000000" w:themeColor="text1"/>
        </w:rPr>
      </w:pPr>
      <w:r w:rsidRPr="00980CF2">
        <w:rPr>
          <w:color w:val="000000" w:themeColor="text1"/>
        </w:rPr>
        <w:t>The resazurin and LDH data for HDF treated with p</w:t>
      </w:r>
      <w:r w:rsidR="00080D1B">
        <w:rPr>
          <w:color w:val="000000" w:themeColor="text1"/>
        </w:rPr>
        <w:t>rodrugs at a concentration of 5 </w:t>
      </w:r>
      <w:r w:rsidRPr="00980CF2">
        <w:rPr>
          <w:color w:val="000000" w:themeColor="text1"/>
        </w:rPr>
        <w:t xml:space="preserve">mM </w:t>
      </w:r>
      <w:r>
        <w:rPr>
          <w:color w:val="000000" w:themeColor="text1"/>
        </w:rPr>
        <w:t xml:space="preserve">(2.5 mM for </w:t>
      </w:r>
      <w:r w:rsidRPr="002A29EF">
        <w:rPr>
          <w:b/>
          <w:color w:val="000000" w:themeColor="text1"/>
        </w:rPr>
        <w:t>3b</w:t>
      </w:r>
      <w:r>
        <w:rPr>
          <w:color w:val="000000" w:themeColor="text1"/>
        </w:rPr>
        <w:t xml:space="preserve">) </w:t>
      </w:r>
      <w:r w:rsidRPr="00980CF2">
        <w:rPr>
          <w:color w:val="000000" w:themeColor="text1"/>
        </w:rPr>
        <w:t xml:space="preserve">suggests that the compounds </w:t>
      </w:r>
      <w:r>
        <w:rPr>
          <w:color w:val="000000" w:themeColor="text1"/>
        </w:rPr>
        <w:t>are not well</w:t>
      </w:r>
      <w:r w:rsidRPr="00980CF2">
        <w:rPr>
          <w:color w:val="000000" w:themeColor="text1"/>
        </w:rPr>
        <w:t xml:space="preserve"> tolerated for long periods of time at these concentrations. </w:t>
      </w:r>
      <w:r>
        <w:rPr>
          <w:color w:val="000000" w:themeColor="text1"/>
        </w:rPr>
        <w:t xml:space="preserve">However, it should be noted that the experimental setup for these cytotoxicity tests is </w:t>
      </w:r>
      <w:r w:rsidRPr="00CF2901">
        <w:rPr>
          <w:color w:val="000000" w:themeColor="text1"/>
        </w:rPr>
        <w:t>not representative of the therapeutic application.</w:t>
      </w:r>
      <w:r>
        <w:rPr>
          <w:color w:val="000000" w:themeColor="text1"/>
        </w:rPr>
        <w:t xml:space="preserve"> As discussed in the</w:t>
      </w:r>
      <w:r w:rsidR="00080D1B">
        <w:rPr>
          <w:color w:val="000000" w:themeColor="text1"/>
        </w:rPr>
        <w:t xml:space="preserve"> introduction for this chapter</w:t>
      </w:r>
      <w:r>
        <w:rPr>
          <w:color w:val="000000" w:themeColor="text1"/>
        </w:rPr>
        <w:t xml:space="preserve">, </w:t>
      </w:r>
      <w:r w:rsidRPr="00B4140B">
        <w:rPr>
          <w:color w:val="000000" w:themeColor="text1"/>
        </w:rPr>
        <w:t xml:space="preserve">cytotoxicity testing in 2D culture is only intended as an indicator of toxicity and may not fully represent the </w:t>
      </w:r>
      <w:r w:rsidRPr="00B4140B">
        <w:rPr>
          <w:i/>
          <w:color w:val="000000" w:themeColor="text1"/>
        </w:rPr>
        <w:t>in vivo</w:t>
      </w:r>
      <w:r w:rsidRPr="00B4140B">
        <w:rPr>
          <w:color w:val="000000" w:themeColor="text1"/>
        </w:rPr>
        <w:t xml:space="preserve"> environment. In these assays the cells remain in solution with the compounds for the whole period of the assay. In the body, the compounds would likely be metabolised and excreted in relatively short time frames. Since the prodrugs are intended for topical use, they would be delivered from a patch or cream on the surface of the skin. Whilst the </w:t>
      </w:r>
      <w:r w:rsidRPr="00937FD1">
        <w:rPr>
          <w:color w:val="000000" w:themeColor="text1"/>
        </w:rPr>
        <w:t>use of a topical treatment is intended to circumvent this fast metabolism (by providing a steady release of drug over a prolonged time frame) it would not necessarily mean that the cells are sat in a concentrated solution of the drug.</w:t>
      </w:r>
      <w:r w:rsidR="00937FD1" w:rsidRPr="00937FD1">
        <w:rPr>
          <w:color w:val="000000" w:themeColor="text1"/>
        </w:rPr>
        <w:t xml:space="preserve"> </w:t>
      </w:r>
    </w:p>
    <w:p w14:paraId="5ED9FDFB" w14:textId="0F8807ED" w:rsidR="0060603F" w:rsidRPr="00CA2389" w:rsidRDefault="0085447D" w:rsidP="0060603F">
      <w:pPr>
        <w:rPr>
          <w:color w:val="000000" w:themeColor="text1"/>
        </w:rPr>
      </w:pPr>
      <w:r w:rsidRPr="00937FD1">
        <w:rPr>
          <w:color w:val="000000" w:themeColor="text1"/>
        </w:rPr>
        <w:t>The cytotoxicity of the prodrugs at these higher concentrations highlighted a concern that the prodrugs might damage the cells in a 3D tissue-engineered skin</w:t>
      </w:r>
      <w:r w:rsidR="0060603F" w:rsidRPr="00937FD1">
        <w:rPr>
          <w:color w:val="000000" w:themeColor="text1"/>
        </w:rPr>
        <w:t xml:space="preserve"> (TES)</w:t>
      </w:r>
      <w:r w:rsidRPr="00937FD1">
        <w:rPr>
          <w:color w:val="000000" w:themeColor="text1"/>
        </w:rPr>
        <w:t xml:space="preserve"> model of contraction, making it difficult to infer any meaningful results</w:t>
      </w:r>
      <w:r w:rsidR="0019096D" w:rsidRPr="00937FD1">
        <w:rPr>
          <w:color w:val="000000" w:themeColor="text1"/>
        </w:rPr>
        <w:t xml:space="preserve">. </w:t>
      </w:r>
      <w:r w:rsidRPr="00937FD1">
        <w:rPr>
          <w:color w:val="000000" w:themeColor="text1"/>
        </w:rPr>
        <w:t xml:space="preserve">However, it is a well </w:t>
      </w:r>
      <w:r w:rsidRPr="00937FD1">
        <w:rPr>
          <w:color w:val="000000" w:themeColor="text1"/>
        </w:rPr>
        <w:lastRenderedPageBreak/>
        <w:t>known phenomenon that cells are more tolerant to toxic agents when cultured in a 3D environment compared to 2D monolayers.</w:t>
      </w:r>
      <w:r w:rsidRPr="00937FD1">
        <w:rPr>
          <w:color w:val="000000" w:themeColor="text1"/>
        </w:rPr>
        <w:fldChar w:fldCharType="begin" w:fldLock="1"/>
      </w:r>
      <w:r w:rsidR="00DB1BCE">
        <w:rPr>
          <w:color w:val="000000" w:themeColor="text1"/>
        </w:rPr>
        <w:instrText>ADDIN CSL_CITATION {"citationItems":[{"id":"ITEM-1","itemData":{"DOI":"10.1089/adt.2014.573","author":[{"dropping-particle":"","family":"Edmondson","given":"Rasheena","non-dropping-particle":"","parse-names":false,"suffix":""},{"dropping-particle":"","family":"Broglie","given":"Jessica Jenkins","non-dropping-particle":"","parse-names":false,"suffix":""},{"dropping-particle":"","family":"Adcock","given":"Audrey F","non-dropping-particle":"","parse-names":false,"suffix":""},{"dropping-particle":"","family":"Yang","given":"Liju","non-dropping-particle":"","parse-names":false,"suffix":""}],"container-title":"ASSAY and Drug Development Technologies","id":"ITEM-1","issue":"4","issued":{"date-parts":[["2014"]]},"page":"207-218","title":"Three-Dimensional Cell Culture Systems and Their Applications in Drug Discovery and Cell-Based Biosensors","type":"article-journal","volume":"12"},"uris":["http://www.mendeley.com/documents/?uuid=dabd3803-d361-4c07-8382-253414cfaa5a"]}],"mendeley":{"formattedCitation":"&lt;sup&gt;218&lt;/sup&gt;","plainTextFormattedCitation":"218","previouslyFormattedCitation":"&lt;sup&gt;217&lt;/sup&gt;"},"properties":{"noteIndex":0},"schema":"https://github.com/citation-style-language/schema/raw/master/csl-citation.json"}</w:instrText>
      </w:r>
      <w:r w:rsidRPr="00937FD1">
        <w:rPr>
          <w:color w:val="000000" w:themeColor="text1"/>
        </w:rPr>
        <w:fldChar w:fldCharType="separate"/>
      </w:r>
      <w:r w:rsidR="00DB1BCE" w:rsidRPr="00DB1BCE">
        <w:rPr>
          <w:noProof/>
          <w:color w:val="000000" w:themeColor="text1"/>
          <w:vertAlign w:val="superscript"/>
        </w:rPr>
        <w:t>218</w:t>
      </w:r>
      <w:r w:rsidRPr="00937FD1">
        <w:rPr>
          <w:color w:val="000000" w:themeColor="text1"/>
        </w:rPr>
        <w:fldChar w:fldCharType="end"/>
      </w:r>
      <w:r w:rsidRPr="00937FD1">
        <w:rPr>
          <w:color w:val="000000" w:themeColor="text1"/>
        </w:rPr>
        <w:t xml:space="preserve"> For example, many studies have shown that cells cultured in 3D, such as cellular spheroids, are more tolerant to chemotherapy agents than the same cells tested in 2D format.</w:t>
      </w:r>
      <w:r w:rsidR="0019096D" w:rsidRPr="00937FD1">
        <w:rPr>
          <w:color w:val="000000" w:themeColor="text1"/>
        </w:rPr>
        <w:fldChar w:fldCharType="begin" w:fldLock="1"/>
      </w:r>
      <w:r w:rsidR="00DB1BCE">
        <w:rPr>
          <w:color w:val="000000" w:themeColor="text1"/>
        </w:rPr>
        <w:instrText>ADDIN CSL_CITATION {"citationItems":[{"id":"ITEM-1","itemData":{"DOI":"10.1016/j.biomaterials.2010.07.064","ISSN":"0142-9612","author":[{"dropping-particle":"","family":"Loessner","given":"Daniela","non-dropping-particle":"","parse-names":false,"suffix":""},{"dropping-particle":"","family":"Stok","given":"Kathryn S","non-dropping-particle":"","parse-names":false,"suffix":""},{"dropping-particle":"","family":"Lutolf","given":"Matthias P","non-dropping-particle":"","parse-names":false,"suffix":""},{"dropping-particle":"","family":"Hutmacher","given":"Dietmar W","non-dropping-particle":"","parse-names":false,"suffix":""},{"dropping-particle":"","family":"Clements","given":"Judith A","non-dropping-particle":"","parse-names":false,"suffix":""},{"dropping-particle":"","family":"Rizzi","given":"Simone C","non-dropping-particle":"","parse-names":false,"suffix":""}],"container-title":"Biomaterials","id":"ITEM-1","issue":"32","issued":{"date-parts":[["2010"]]},"page":"8494-8506","publisher":"Elsevier Ltd","title":"Biomaterials Bioengineered 3D platform to explore cell e ECM interactions and drug resistance of epithelial ovarian cancer cells","type":"article-journal","volume":"31"},"uris":["http://www.mendeley.com/documents/?uuid=86ad7092-88c3-4f6f-aa8f-52b0f4391805"]},{"id":"ITEM-2","itemData":{"DOI":"10.1016/j.yexcr.2012.03.026","ISSN":"0014-4827","author":[{"dropping-particle":"","family":"Karlsson","given":"Henning","non-dropping-particle":"","parse-names":false,"suffix":""},{"dropping-particle":"","family":"Fryknäs","given":"Mårten","non-dropping-particle":"","parse-names":false,"suffix":""},{"dropping-particle":"","family":"Larsson","given":"Rolf","non-dropping-particle":"","parse-names":false,"suffix":""},{"dropping-particle":"","family":"Nygren","given":"Peter","non-dropping-particle":"","parse-names":false,"suffix":""}],"container-title":"Experimental Cell Research","id":"ITEM-2","issue":"13","issued":{"date-parts":[["2012"]]},"page":"1577-1585","publisher":"Elsevier Inc.","title":"Loss of cancer drug activity in colon cancer HCT-116 cells during spheroid formation in a new 3-D spheroid cell culture system","type":"article-journal","volume":"318"},"uris":["http://www.mendeley.com/documents/?uuid=e8fa52eb-f641-40dc-b9a0-c0522c316a48"]}],"mendeley":{"formattedCitation":"&lt;sup&gt;219,220&lt;/sup&gt;","plainTextFormattedCitation":"219,220","previouslyFormattedCitation":"&lt;sup&gt;218,219&lt;/sup&gt;"},"properties":{"noteIndex":0},"schema":"https://github.com/citation-style-language/schema/raw/master/csl-citation.json"}</w:instrText>
      </w:r>
      <w:r w:rsidR="0019096D" w:rsidRPr="00937FD1">
        <w:rPr>
          <w:color w:val="000000" w:themeColor="text1"/>
        </w:rPr>
        <w:fldChar w:fldCharType="separate"/>
      </w:r>
      <w:r w:rsidR="00DB1BCE" w:rsidRPr="00DB1BCE">
        <w:rPr>
          <w:noProof/>
          <w:color w:val="000000" w:themeColor="text1"/>
          <w:vertAlign w:val="superscript"/>
        </w:rPr>
        <w:t>219,220</w:t>
      </w:r>
      <w:r w:rsidR="0019096D" w:rsidRPr="00937FD1">
        <w:rPr>
          <w:color w:val="000000" w:themeColor="text1"/>
        </w:rPr>
        <w:fldChar w:fldCharType="end"/>
      </w:r>
      <w:r w:rsidR="0019096D" w:rsidRPr="00937FD1">
        <w:rPr>
          <w:color w:val="000000" w:themeColor="text1"/>
          <w:vertAlign w:val="superscript"/>
        </w:rPr>
        <w:t>,</w:t>
      </w:r>
      <w:r w:rsidR="0019096D" w:rsidRPr="00937FD1">
        <w:rPr>
          <w:color w:val="000000" w:themeColor="text1"/>
          <w:vertAlign w:val="superscript"/>
        </w:rPr>
        <w:fldChar w:fldCharType="begin" w:fldLock="1"/>
      </w:r>
      <w:r w:rsidR="00DB1BCE">
        <w:rPr>
          <w:color w:val="000000" w:themeColor="text1"/>
          <w:vertAlign w:val="superscript"/>
        </w:rPr>
        <w:instrText>ADDIN CSL_CITATION {"citationItems":[{"id":"ITEM-1","itemData":{"DOI":"10.1002/term.2729","author":[{"dropping-particle":"","family":"Ding","given":"Yanfang","non-dropping-particle":"","parse-names":false,"suffix":""},{"dropping-particle":"","family":"Kaplan","given":"David L","non-dropping-particle":"","parse-names":false,"suffix":""},{"dropping-particle":"","family":"Lu","given":"Shenzhou","non-dropping-particle":"","parse-names":false,"suffix":""},{"dropping-particle":"","family":"Wang","given":"Xiuli","non-dropping-particle":"","parse-names":false,"suffix":""}],"container-title":"J Tissue Eng Regen Med","id":"ITEM-1","issued":{"date-parts":[["2018"]]},"page":"1959-1971","title":"Three ‐ dimensional tissue culture model of human breast cancer for the evaluation of multidrug resistance","type":"article-journal","volume":"12"},"uris":["http://www.mendeley.com/documents/?uuid=cff247fd-2722-4391-86b7-35f56cd14103"]}],"mendeley":{"formattedCitation":"&lt;sup&gt;221&lt;/sup&gt;","plainTextFormattedCitation":"221","previouslyFormattedCitation":"&lt;sup&gt;220&lt;/sup&gt;"},"properties":{"noteIndex":0},"schema":"https://github.com/citation-style-language/schema/raw/master/csl-citation.json"}</w:instrText>
      </w:r>
      <w:r w:rsidR="0019096D" w:rsidRPr="00937FD1">
        <w:rPr>
          <w:color w:val="000000" w:themeColor="text1"/>
          <w:vertAlign w:val="superscript"/>
        </w:rPr>
        <w:fldChar w:fldCharType="separate"/>
      </w:r>
      <w:r w:rsidR="00DB1BCE" w:rsidRPr="00DB1BCE">
        <w:rPr>
          <w:noProof/>
          <w:color w:val="000000" w:themeColor="text1"/>
          <w:vertAlign w:val="superscript"/>
        </w:rPr>
        <w:t>221</w:t>
      </w:r>
      <w:r w:rsidR="0019096D" w:rsidRPr="00937FD1">
        <w:rPr>
          <w:color w:val="000000" w:themeColor="text1"/>
          <w:vertAlign w:val="superscript"/>
        </w:rPr>
        <w:fldChar w:fldCharType="end"/>
      </w:r>
      <w:r w:rsidR="0019096D" w:rsidRPr="00937FD1">
        <w:rPr>
          <w:color w:val="000000" w:themeColor="text1"/>
        </w:rPr>
        <w:t xml:space="preserve"> This has been hypothesised to arise from the increased </w:t>
      </w:r>
      <w:r w:rsidRPr="00937FD1">
        <w:rPr>
          <w:color w:val="000000" w:themeColor="text1"/>
        </w:rPr>
        <w:t>connection between cells in space</w:t>
      </w:r>
      <w:r w:rsidR="0019096D" w:rsidRPr="00937FD1">
        <w:rPr>
          <w:color w:val="000000" w:themeColor="text1"/>
        </w:rPr>
        <w:t>,</w:t>
      </w:r>
      <w:r w:rsidRPr="00937FD1">
        <w:rPr>
          <w:color w:val="000000" w:themeColor="text1"/>
        </w:rPr>
        <w:t xml:space="preserve"> which allows </w:t>
      </w:r>
      <w:r w:rsidR="0019096D" w:rsidRPr="00937FD1">
        <w:rPr>
          <w:color w:val="000000" w:themeColor="text1"/>
        </w:rPr>
        <w:t>enhanced</w:t>
      </w:r>
      <w:r w:rsidRPr="00937FD1">
        <w:rPr>
          <w:color w:val="000000" w:themeColor="text1"/>
        </w:rPr>
        <w:t xml:space="preserve"> cell-cell signalling, as well as the presence of extracellular matrix proteins</w:t>
      </w:r>
      <w:r w:rsidR="0019096D" w:rsidRPr="00937FD1">
        <w:rPr>
          <w:color w:val="000000" w:themeColor="text1"/>
        </w:rPr>
        <w:t>,</w:t>
      </w:r>
      <w:r w:rsidRPr="00937FD1">
        <w:rPr>
          <w:color w:val="000000" w:themeColor="text1"/>
        </w:rPr>
        <w:t xml:space="preserve"> which provide a stable network for the cells</w:t>
      </w:r>
      <w:r w:rsidR="0019096D" w:rsidRPr="00937FD1">
        <w:rPr>
          <w:color w:val="000000" w:themeColor="text1"/>
        </w:rPr>
        <w:t xml:space="preserve"> and hinder drug </w:t>
      </w:r>
      <w:r w:rsidR="0089189C">
        <w:rPr>
          <w:color w:val="000000" w:themeColor="text1"/>
        </w:rPr>
        <w:t>diffusion</w:t>
      </w:r>
      <w:r w:rsidR="0019096D" w:rsidRPr="00937FD1">
        <w:rPr>
          <w:color w:val="000000" w:themeColor="text1"/>
        </w:rPr>
        <w:t>.</w:t>
      </w:r>
      <w:r w:rsidR="0019096D" w:rsidRPr="00937FD1">
        <w:rPr>
          <w:color w:val="000000" w:themeColor="text1"/>
        </w:rPr>
        <w:fldChar w:fldCharType="begin" w:fldLock="1"/>
      </w:r>
      <w:r w:rsidR="00DB1BCE">
        <w:rPr>
          <w:color w:val="000000" w:themeColor="text1"/>
        </w:rPr>
        <w:instrText>ADDIN CSL_CITATION {"citationItems":[{"id":"ITEM-1","itemData":{"DOI":"10.1186/s12885-017-3953-6","author":[{"dropping-particle":"","family":"Lovitt","given":"Carrie J","non-dropping-particle":"","parse-names":false,"suffix":""},{"dropping-particle":"","family":"Shelper","given":"Todd B","non-dropping-particle":"","parse-names":false,"suffix":""},{"dropping-particle":"","family":"Avery","given":"Vicky M","non-dropping-particle":"","parse-names":false,"suffix":""}],"container-title":"BMC Cancer","id":"ITEM-1","issue":"41","issued":{"date-parts":[["2018"]]},"page":"1-11","publisher":"BMC Cancer","title":"Doxorubicin resistance in breast cancer cells is mediated by extracellular matrix proteins","type":"article-journal","volume":"18"},"uris":["http://www.mendeley.com/documents/?uuid=632c8795-5fa4-4c91-a71b-4b7814bca169"]},{"id":"ITEM-2","itemData":{"author":[{"dropping-particle":"","family":"Longati","given":"Paola","non-dropping-particle":"","parse-names":false,"suffix":""},{"dropping-particle":"","family":"Jia","given":"Xiaohui","non-dropping-particle":"","parse-names":false,"suffix":""},{"dropping-particle":"","family":"Eimer","given":"Johannes","non-dropping-particle":"","parse-names":false,"suffix":""},{"dropping-particle":"","family":"Wagman","given":"Annika","non-dropping-particle":"","parse-names":false,"suffix":""},{"dropping-particle":"","family":"Witt","given":"Michael-robin","non-dropping-particle":"","parse-names":false,"suffix":""},{"dropping-particle":"","family":"Rehnmark","given":"Stefan","non-dropping-particle":"","parse-names":false,"suffix":""},{"dropping-particle":"","family":"Verbeke","given":"Caroline","non-dropping-particle":"","parse-names":false,"suffix":""},{"dropping-particle":"","family":"Toftgård","given":"Rune","non-dropping-particle":"","parse-names":false,"suffix":""},{"dropping-particle":"","family":"Löhr","given":"Matthias","non-dropping-particle":"","parse-names":false,"suffix":""},{"dropping-particle":"","family":"Heuchel","given":"Rainer L","non-dropping-particle":"","parse-names":false,"suffix":""}],"container-title":"BMC Cancer","id":"ITEM-2","issue":"95","issued":{"date-parts":[["2013"]]},"page":"1-13","title":"3D pancreatic carcinoma spheroids induce a matrix-rich , chemoresistant phenotype offering a better model for drug testing","type":"article-journal","volume":"13"},"uris":["http://www.mendeley.com/documents/?uuid=a0e47e32-27ba-4e34-8510-74fc652d468f"]}],"mendeley":{"formattedCitation":"&lt;sup&gt;222,223&lt;/sup&gt;","plainTextFormattedCitation":"222,223","previouslyFormattedCitation":"&lt;sup&gt;221,222&lt;/sup&gt;"},"properties":{"noteIndex":0},"schema":"https://github.com/citation-style-language/schema/raw/master/csl-citation.json"}</w:instrText>
      </w:r>
      <w:r w:rsidR="0019096D" w:rsidRPr="00937FD1">
        <w:rPr>
          <w:color w:val="000000" w:themeColor="text1"/>
        </w:rPr>
        <w:fldChar w:fldCharType="separate"/>
      </w:r>
      <w:r w:rsidR="00DB1BCE" w:rsidRPr="00DB1BCE">
        <w:rPr>
          <w:noProof/>
          <w:color w:val="000000" w:themeColor="text1"/>
          <w:vertAlign w:val="superscript"/>
        </w:rPr>
        <w:t>222,223</w:t>
      </w:r>
      <w:r w:rsidR="0019096D" w:rsidRPr="00937FD1">
        <w:rPr>
          <w:color w:val="000000" w:themeColor="text1"/>
        </w:rPr>
        <w:fldChar w:fldCharType="end"/>
      </w:r>
      <w:r w:rsidR="0019096D" w:rsidRPr="00937FD1">
        <w:rPr>
          <w:color w:val="000000" w:themeColor="text1"/>
        </w:rPr>
        <w:t xml:space="preserve"> This phenomenon has </w:t>
      </w:r>
      <w:r w:rsidR="0060603F" w:rsidRPr="00937FD1">
        <w:rPr>
          <w:color w:val="000000" w:themeColor="text1"/>
        </w:rPr>
        <w:t xml:space="preserve">also </w:t>
      </w:r>
      <w:r w:rsidR="0019096D" w:rsidRPr="00937FD1">
        <w:rPr>
          <w:color w:val="000000" w:themeColor="text1"/>
        </w:rPr>
        <w:t xml:space="preserve">been observed in </w:t>
      </w:r>
      <w:r w:rsidR="0060603F" w:rsidRPr="00937FD1">
        <w:rPr>
          <w:color w:val="000000" w:themeColor="text1"/>
        </w:rPr>
        <w:t>3D TES models, whereby primary cells cultured in 3D were more tolerant to doses of hydrogen peroxide and silver nitrate than the same cells cultured in monolayers.</w:t>
      </w:r>
      <w:r w:rsidR="0060603F" w:rsidRPr="00937FD1">
        <w:rPr>
          <w:color w:val="000000" w:themeColor="text1"/>
        </w:rPr>
        <w:fldChar w:fldCharType="begin" w:fldLock="1"/>
      </w:r>
      <w:r w:rsidR="00DB1BCE">
        <w:rPr>
          <w:color w:val="000000" w:themeColor="text1"/>
        </w:rPr>
        <w:instrText>ADDIN CSL_CITATION {"citationItems":[{"id":"ITEM-1","itemData":{"DOI":"10.1016/j.jbiotec.2005.12.021","ISBN":"0168-1656","ISSN":"01681656","PMID":"16446003","abstract":"In this study, we asked the question of whether cells in 3D culture cope more effectively with cytotoxic agents than cells in 2D. The sensitivities of human skin cells (keratinocytes, dermal fibroblasts and endothelial cells) to oxidative stress (hydrogen peroxide) and to a potentially toxic heavy metal (silver) when cultured under 2D and 3D conditions were investigated. The results show a marked resistance of cells to a given dose of hydrogen peroxide or silver nitrate causing a 50% loss of viability in 3D cultures, when compared to the same cells grown in 2D. There was also an improvement in the ability of cells to withstand both stresses when cells were in co-culture rather than in mono-culture. Foetal calf serum was found to have a mild protective effect in 2D culture but this was not extended to findings in 3D culture. This study suggests that dermatotoxicity testing using 3D co-cultures might be more likely to reflect true physiological responses to xenobiotic materials than existing models that rely on 2D mono-cultures. © 2006 Elsevier B.V. All rights reserved.","author":[{"dropping-particle":"","family":"Sun","given":"Tao","non-dropping-particle":"","parse-names":false,"suffix":""},{"dropping-particle":"","family":"Jackson","given":"Simon","non-dropping-particle":"","parse-names":false,"suffix":""},{"dropping-particle":"","family":"Haycock","given":"John W.","non-dropping-particle":"","parse-names":false,"suffix":""},{"dropping-particle":"","family":"MacNeil","given":"Sheila","non-dropping-particle":"","parse-names":false,"suffix":""}],"container-title":"Journal of Biotechnology","id":"ITEM-1","issue":"3","issued":{"date-parts":[["2006"]]},"page":"372-381","title":"Culture of skin cells in 3D rather than 2D improves their ability to survive exposure to cytotoxic agents","type":"article-journal","volume":"122"},"uris":["http://www.mendeley.com/documents/?uuid=a37bc59a-aa63-47ea-b856-87a4892db858"]}],"mendeley":{"formattedCitation":"&lt;sup&gt;224&lt;/sup&gt;","plainTextFormattedCitation":"224","previouslyFormattedCitation":"&lt;sup&gt;223&lt;/sup&gt;"},"properties":{"noteIndex":0},"schema":"https://github.com/citation-style-language/schema/raw/master/csl-citation.json"}</w:instrText>
      </w:r>
      <w:r w:rsidR="0060603F" w:rsidRPr="00937FD1">
        <w:rPr>
          <w:color w:val="000000" w:themeColor="text1"/>
        </w:rPr>
        <w:fldChar w:fldCharType="separate"/>
      </w:r>
      <w:r w:rsidR="00DB1BCE" w:rsidRPr="00DB1BCE">
        <w:rPr>
          <w:noProof/>
          <w:color w:val="000000" w:themeColor="text1"/>
          <w:vertAlign w:val="superscript"/>
        </w:rPr>
        <w:t>224</w:t>
      </w:r>
      <w:r w:rsidR="0060603F" w:rsidRPr="00937FD1">
        <w:rPr>
          <w:color w:val="000000" w:themeColor="text1"/>
        </w:rPr>
        <w:fldChar w:fldCharType="end"/>
      </w:r>
      <w:r w:rsidR="0060603F" w:rsidRPr="00937FD1">
        <w:rPr>
          <w:color w:val="000000" w:themeColor="text1"/>
        </w:rPr>
        <w:t xml:space="preserve"> These studies suggest that the HDF and HEK in the 3D TES model of contraction may be more tolerant to the cytotoxic action of the prodrugs than when tested as monolayers. </w:t>
      </w:r>
      <w:r w:rsidR="00937FD1" w:rsidRPr="00937FD1">
        <w:rPr>
          <w:color w:val="000000" w:themeColor="text1"/>
        </w:rPr>
        <w:t>With this knowledge, it was decided that the prodrugs, along with β</w:t>
      </w:r>
      <w:r w:rsidR="00937FD1" w:rsidRPr="00937FD1">
        <w:rPr>
          <w:color w:val="000000" w:themeColor="text1"/>
        </w:rPr>
        <w:noBreakHyphen/>
        <w:t>APN, should be tested in the 3D TES model for their anti-contraction properties.</w:t>
      </w:r>
    </w:p>
    <w:p w14:paraId="2EFA1E09" w14:textId="20923055" w:rsidR="004673FB" w:rsidRPr="007A4571" w:rsidRDefault="004673FB" w:rsidP="0060603F">
      <w:pPr>
        <w:pStyle w:val="Heading2"/>
      </w:pPr>
      <w:bookmarkStart w:id="208" w:name="_Toc2451039"/>
      <w:r>
        <w:t>Conclusions</w:t>
      </w:r>
      <w:bookmarkEnd w:id="208"/>
    </w:p>
    <w:p w14:paraId="4C5EF8F7" w14:textId="2B197F99" w:rsidR="004673FB" w:rsidRDefault="004673FB" w:rsidP="004673FB">
      <w:r>
        <w:t>The ability of the prodrugs to inhibit a commercial source of LOX was tested using a recombinant LOXL2 standard with a peroxidase-coupled fluorometric activity assay. A suitable assay concentration range was selected based on the reported IC</w:t>
      </w:r>
      <w:r w:rsidRPr="001F23C4">
        <w:rPr>
          <w:vertAlign w:val="subscript"/>
        </w:rPr>
        <w:t>50</w:t>
      </w:r>
      <w:r>
        <w:t xml:space="preserve"> of</w:t>
      </w:r>
      <w:r w:rsidRPr="001F23C4">
        <w:t xml:space="preserve"> </w:t>
      </w:r>
      <w:r>
        <w:t>β</w:t>
      </w:r>
      <w:r>
        <w:noBreakHyphen/>
        <w:t xml:space="preserve">APN from the literature. The prodrugs were found to inhibit LOXL2 in a concentration-dependent manner. Focussing on a single </w:t>
      </w:r>
      <w:r>
        <w:rPr>
          <w:color w:val="000000" w:themeColor="text1"/>
        </w:rPr>
        <w:t>prodrug,</w:t>
      </w:r>
      <w:r w:rsidRPr="0051179B">
        <w:rPr>
          <w:color w:val="000000" w:themeColor="text1"/>
        </w:rPr>
        <w:t xml:space="preserve"> IC</w:t>
      </w:r>
      <w:r w:rsidRPr="0051179B">
        <w:rPr>
          <w:color w:val="000000" w:themeColor="text1"/>
          <w:vertAlign w:val="subscript"/>
        </w:rPr>
        <w:t>50</w:t>
      </w:r>
      <w:r w:rsidRPr="0051179B">
        <w:rPr>
          <w:color w:val="000000" w:themeColor="text1"/>
        </w:rPr>
        <w:t xml:space="preserve"> </w:t>
      </w:r>
      <w:r>
        <w:rPr>
          <w:color w:val="000000" w:themeColor="text1"/>
        </w:rPr>
        <w:t>values were</w:t>
      </w:r>
      <w:r w:rsidRPr="0051179B">
        <w:rPr>
          <w:color w:val="000000" w:themeColor="text1"/>
        </w:rPr>
        <w:t xml:space="preserve"> interpolated for both β</w:t>
      </w:r>
      <w:r w:rsidRPr="0051179B">
        <w:rPr>
          <w:color w:val="000000" w:themeColor="text1"/>
        </w:rPr>
        <w:noBreakHyphen/>
        <w:t xml:space="preserve">APN and compound </w:t>
      </w:r>
      <w:r w:rsidRPr="0051179B">
        <w:rPr>
          <w:b/>
          <w:color w:val="000000" w:themeColor="text1"/>
        </w:rPr>
        <w:t>1b</w:t>
      </w:r>
      <w:r w:rsidRPr="0051179B">
        <w:rPr>
          <w:color w:val="000000" w:themeColor="text1"/>
        </w:rPr>
        <w:t xml:space="preserve"> as </w:t>
      </w:r>
      <w:r w:rsidR="008513BE">
        <w:rPr>
          <w:color w:val="000000" w:themeColor="text1"/>
        </w:rPr>
        <w:t>0.67 µM</w:t>
      </w:r>
      <w:r w:rsidRPr="0051179B">
        <w:rPr>
          <w:color w:val="000000" w:themeColor="text1"/>
        </w:rPr>
        <w:t xml:space="preserve"> and </w:t>
      </w:r>
      <w:r w:rsidR="008513BE">
        <w:rPr>
          <w:color w:val="000000" w:themeColor="text1"/>
        </w:rPr>
        <w:t>0.74</w:t>
      </w:r>
      <w:r w:rsidRPr="0051179B">
        <w:rPr>
          <w:color w:val="000000" w:themeColor="text1"/>
        </w:rPr>
        <w:t xml:space="preserve"> µM, respectively. </w:t>
      </w:r>
      <w:r w:rsidRPr="0051179B">
        <w:t>Comparing the inhibition profiles of β</w:t>
      </w:r>
      <w:r w:rsidRPr="0051179B">
        <w:noBreakHyphen/>
        <w:t xml:space="preserve">APN, </w:t>
      </w:r>
      <w:r w:rsidRPr="0051179B">
        <w:rPr>
          <w:b/>
        </w:rPr>
        <w:t>1a</w:t>
      </w:r>
      <w:r w:rsidRPr="0051179B">
        <w:t xml:space="preserve"> (salicylaldehyde) and </w:t>
      </w:r>
      <w:r w:rsidRPr="0051179B">
        <w:rPr>
          <w:b/>
        </w:rPr>
        <w:t>1b</w:t>
      </w:r>
      <w:r w:rsidRPr="0051179B">
        <w:t xml:space="preserve"> demonstrated </w:t>
      </w:r>
      <w:r w:rsidR="009C4870">
        <w:t>that it wa</w:t>
      </w:r>
      <w:r>
        <w:t>s the dissociation of the prodrug back to β</w:t>
      </w:r>
      <w:r>
        <w:noBreakHyphen/>
        <w:t>APN, and not the pr</w:t>
      </w:r>
      <w:r w:rsidR="009C4870">
        <w:t>esence of the aldehyde, which</w:t>
      </w:r>
      <w:r>
        <w:t xml:space="preserve"> elic</w:t>
      </w:r>
      <w:r w:rsidR="009C4870">
        <w:t>ited</w:t>
      </w:r>
      <w:r>
        <w:t xml:space="preserve"> an effect on the activity of LOXL2. </w:t>
      </w:r>
    </w:p>
    <w:p w14:paraId="7281F052" w14:textId="06EDCC05" w:rsidR="004673FB" w:rsidRPr="00415B8A" w:rsidRDefault="004673FB" w:rsidP="004673FB">
      <w:pPr>
        <w:rPr>
          <w:color w:val="FF0000"/>
        </w:rPr>
      </w:pPr>
      <w:r>
        <w:t xml:space="preserve">The cytotoxicity of the synthesised LOX inhibitors was determined by two complimentary cytotoxicity assays, investigating changes in cell metabolic activity and cell membrane integrity. In the first instance, HDF were treated with compounds at the same concentrations as those used in the enzyme activity assay. </w:t>
      </w:r>
      <w:r w:rsidRPr="00EE1E8D">
        <w:t>Initially the MTT assay was used to determine the metabolic activity of HDF. After a</w:t>
      </w:r>
      <w:r>
        <w:t>n initial</w:t>
      </w:r>
      <w:r w:rsidRPr="00EE1E8D">
        <w:t xml:space="preserve"> cell density screen</w:t>
      </w:r>
      <w:r>
        <w:t>,</w:t>
      </w:r>
      <w:r w:rsidRPr="00EE1E8D">
        <w:t xml:space="preserve"> it became evident that the assay was producing low absorbance values, and therefore may not be sensitive enough to detect subtle changes between cellular effects from different inhibitor concentrations.</w:t>
      </w:r>
      <w:r>
        <w:t xml:space="preserve"> An alternative metabolic activity assay, </w:t>
      </w:r>
      <w:r>
        <w:lastRenderedPageBreak/>
        <w:t xml:space="preserve">the resazurin sodium salt assay, was tested and found to be much more sensitive than the MTT assay. As a result, the resazurin sodium salt assay was selected for further metabolic activity experiments. A cell density of </w:t>
      </w:r>
      <w:r w:rsidRPr="00272ADD">
        <w:t>10</w:t>
      </w:r>
      <w:r w:rsidRPr="00272ADD">
        <w:rPr>
          <w:vertAlign w:val="superscript"/>
        </w:rPr>
        <w:t>4</w:t>
      </w:r>
      <w:r>
        <w:t xml:space="preserve"> </w:t>
      </w:r>
      <w:r w:rsidR="003920D6">
        <w:t xml:space="preserve">cells/well </w:t>
      </w:r>
      <w:r w:rsidRPr="00272ADD">
        <w:t>was</w:t>
      </w:r>
      <w:r>
        <w:t xml:space="preserve"> selected for future metabolic </w:t>
      </w:r>
      <w:r w:rsidRPr="008F5E05">
        <w:rPr>
          <w:color w:val="000000" w:themeColor="text1"/>
        </w:rPr>
        <w:t xml:space="preserve">activity assays. Treating HDF with each prodrug from </w:t>
      </w:r>
      <w:r w:rsidR="009C4870">
        <w:rPr>
          <w:color w:val="000000" w:themeColor="text1"/>
        </w:rPr>
        <w:t>0.032 to 100 </w:t>
      </w:r>
      <w:r w:rsidRPr="008F5E05">
        <w:rPr>
          <w:color w:val="000000" w:themeColor="text1"/>
        </w:rPr>
        <w:t xml:space="preserve">µM for 24 hours showed negligible changes to </w:t>
      </w:r>
      <w:r>
        <w:rPr>
          <w:color w:val="000000" w:themeColor="text1"/>
        </w:rPr>
        <w:t>HDF</w:t>
      </w:r>
      <w:r w:rsidRPr="008F5E05">
        <w:rPr>
          <w:color w:val="000000" w:themeColor="text1"/>
        </w:rPr>
        <w:t xml:space="preserve"> metabolic activity. </w:t>
      </w:r>
      <w:r w:rsidRPr="00415B8A">
        <w:rPr>
          <w:color w:val="000000" w:themeColor="text1"/>
        </w:rPr>
        <w:t xml:space="preserve">Statistical analysis by 2-way ANOVA with Dunnett’s multiple comparisons test highlighted statistically significant changes to cell metabolic activity when dosed with 100 µM of compounds </w:t>
      </w:r>
      <w:r w:rsidRPr="00415B8A">
        <w:rPr>
          <w:b/>
          <w:color w:val="000000" w:themeColor="text1"/>
        </w:rPr>
        <w:t>2b</w:t>
      </w:r>
      <w:r w:rsidRPr="00415B8A">
        <w:rPr>
          <w:color w:val="000000" w:themeColor="text1"/>
        </w:rPr>
        <w:t xml:space="preserve">, </w:t>
      </w:r>
      <w:r w:rsidRPr="00415B8A">
        <w:rPr>
          <w:b/>
          <w:color w:val="000000" w:themeColor="text1"/>
        </w:rPr>
        <w:t>3b</w:t>
      </w:r>
      <w:r w:rsidRPr="00415B8A">
        <w:rPr>
          <w:color w:val="000000" w:themeColor="text1"/>
        </w:rPr>
        <w:t xml:space="preserve">, </w:t>
      </w:r>
      <w:r w:rsidRPr="00415B8A">
        <w:rPr>
          <w:b/>
          <w:color w:val="000000" w:themeColor="text1"/>
        </w:rPr>
        <w:t>4b</w:t>
      </w:r>
      <w:r w:rsidRPr="00415B8A">
        <w:rPr>
          <w:color w:val="000000" w:themeColor="text1"/>
        </w:rPr>
        <w:t xml:space="preserve"> and </w:t>
      </w:r>
      <w:r w:rsidRPr="00415B8A">
        <w:rPr>
          <w:b/>
          <w:color w:val="000000" w:themeColor="text1"/>
        </w:rPr>
        <w:t>5b</w:t>
      </w:r>
      <w:r w:rsidRPr="00415B8A">
        <w:rPr>
          <w:color w:val="000000" w:themeColor="text1"/>
        </w:rPr>
        <w:t xml:space="preserve">. It was noted that despite the statistical significance, all cells retained over 90 % metabolism. Therefore, this result was not deemed to be biologically significant. The </w:t>
      </w:r>
      <w:r>
        <w:t xml:space="preserve">LDH assay was utilised to determine changes to cell membrane integrity. Treating HDF with the same prodrug concentrations as the resazurin assay resulted in negligible increase in LDH release after 24 hours. </w:t>
      </w:r>
    </w:p>
    <w:p w14:paraId="126101D6" w14:textId="2208F6E2" w:rsidR="00C05C88" w:rsidRDefault="00C05C88" w:rsidP="004673FB">
      <w:r w:rsidRPr="00C05C88">
        <w:t xml:space="preserve">The results of the two cytotoxicity assays were very positive when testing the compounds at concentrations that inhibited LOXL2. However, previous studies suggested that much higher concentrations of β-APN are required to inhibit contraction in a 3D tissue-engineered skin model. Therefore, further cytotoxicity studies were carried out using a higher concentration of β-APN and the prodrugs, which more closely reflected those used in 3D models of contraction. Both the resazurin assay and the LDH assay indicated that β‑APN and the prodrugs caused varying degrees of cytotoxicity at this higher concentration when tested for 24, 48 and 72 hours.  This </w:t>
      </w:r>
      <w:r w:rsidR="00941DC2">
        <w:t>caused</w:t>
      </w:r>
      <w:r w:rsidRPr="00C05C88">
        <w:t xml:space="preserve"> concern that the prodrugs might damage the cells in a 3D tissue-engineered model of contraction. However, </w:t>
      </w:r>
      <w:r w:rsidR="00941DC2">
        <w:t xml:space="preserve">since </w:t>
      </w:r>
      <w:r w:rsidRPr="00C05C88">
        <w:t>it has been shown previously that cells are more tolerant to toxic agents in 3D culture, the decision was made to test β‑APN and the prodrugs in a 3D model of contraction.</w:t>
      </w:r>
    </w:p>
    <w:p w14:paraId="1AD8322A" w14:textId="77777777" w:rsidR="004673FB" w:rsidRDefault="004673FB" w:rsidP="004673FB">
      <w:pPr>
        <w:spacing w:after="0" w:line="240" w:lineRule="auto"/>
        <w:jc w:val="left"/>
      </w:pPr>
      <w:r>
        <w:br w:type="page"/>
      </w:r>
    </w:p>
    <w:p w14:paraId="4C6F6B0D" w14:textId="77777777" w:rsidR="005F7AA3" w:rsidRDefault="005F7AA3">
      <w:pPr>
        <w:spacing w:after="0" w:line="240" w:lineRule="auto"/>
        <w:jc w:val="left"/>
        <w:rPr>
          <w:rFonts w:eastAsiaTheme="majorEastAsia" w:cstheme="majorBidi"/>
          <w:b/>
          <w:color w:val="000000" w:themeColor="text1"/>
          <w:sz w:val="36"/>
          <w:szCs w:val="32"/>
        </w:rPr>
      </w:pPr>
      <w:bookmarkStart w:id="209" w:name="_Toc520463552"/>
      <w:r>
        <w:lastRenderedPageBreak/>
        <w:br w:type="page"/>
      </w:r>
    </w:p>
    <w:p w14:paraId="5A1AE355" w14:textId="3EF4B278" w:rsidR="00C0659D" w:rsidRPr="00F627DC" w:rsidRDefault="00C0659D" w:rsidP="005D2C0B">
      <w:pPr>
        <w:pStyle w:val="Heading1"/>
      </w:pPr>
      <w:bookmarkStart w:id="210" w:name="_Toc2451040"/>
      <w:r w:rsidRPr="00F627DC">
        <w:lastRenderedPageBreak/>
        <w:t>Chapter</w:t>
      </w:r>
      <w:r>
        <w:t xml:space="preserve"> Four</w:t>
      </w:r>
      <w:bookmarkEnd w:id="209"/>
      <w:r>
        <w:t xml:space="preserve">: </w:t>
      </w:r>
      <w:bookmarkStart w:id="211" w:name="_Toc520463553"/>
      <w:r>
        <w:t>Testing synthesised prodrugs in 3D models of contraction</w:t>
      </w:r>
      <w:bookmarkEnd w:id="210"/>
      <w:bookmarkEnd w:id="211"/>
    </w:p>
    <w:p w14:paraId="54901FDA" w14:textId="77777777" w:rsidR="00C0659D" w:rsidRPr="00F627DC" w:rsidRDefault="00C0659D" w:rsidP="00C0659D">
      <w:pPr>
        <w:pStyle w:val="Heading2"/>
      </w:pPr>
      <w:bookmarkStart w:id="212" w:name="_Toc520463554"/>
      <w:bookmarkStart w:id="213" w:name="_Toc2451041"/>
      <w:r w:rsidRPr="00F627DC">
        <w:t>Introduction</w:t>
      </w:r>
      <w:bookmarkEnd w:id="212"/>
      <w:bookmarkEnd w:id="213"/>
    </w:p>
    <w:p w14:paraId="3822BE38" w14:textId="09D3793B" w:rsidR="00C0659D" w:rsidRDefault="00C0659D" w:rsidP="00C0659D">
      <w:pPr>
        <w:rPr>
          <w:color w:val="000000" w:themeColor="text1"/>
        </w:rPr>
      </w:pPr>
      <w:r w:rsidRPr="005F2D37">
        <w:rPr>
          <w:color w:val="000000" w:themeColor="text1"/>
        </w:rPr>
        <w:t xml:space="preserve">Chapter </w:t>
      </w:r>
      <w:r>
        <w:rPr>
          <w:color w:val="000000" w:themeColor="text1"/>
        </w:rPr>
        <w:t>3 focussed on the ability of the synthesised prodrugs to inhibit lysyl oxidase</w:t>
      </w:r>
      <w:r w:rsidR="00A0623A">
        <w:rPr>
          <w:color w:val="000000" w:themeColor="text1"/>
        </w:rPr>
        <w:t>-like 2</w:t>
      </w:r>
      <w:r>
        <w:rPr>
          <w:color w:val="000000" w:themeColor="text1"/>
        </w:rPr>
        <w:t xml:space="preserve"> (LOX</w:t>
      </w:r>
      <w:r w:rsidR="00A0623A">
        <w:rPr>
          <w:color w:val="000000" w:themeColor="text1"/>
        </w:rPr>
        <w:t>L2</w:t>
      </w:r>
      <w:r>
        <w:rPr>
          <w:color w:val="000000" w:themeColor="text1"/>
        </w:rPr>
        <w:t xml:space="preserve">), the enzyme that catalyses elastin and collagen cross-linking. It was shown that the dissociation of the </w:t>
      </w:r>
      <w:r w:rsidRPr="00F52BB4">
        <w:rPr>
          <w:color w:val="000000" w:themeColor="text1"/>
        </w:rPr>
        <w:t xml:space="preserve">prodrugs into </w:t>
      </w:r>
      <w:r w:rsidRPr="00F52BB4">
        <w:rPr>
          <w:color w:val="000000" w:themeColor="text1"/>
        </w:rPr>
        <w:sym w:font="Symbol" w:char="F062"/>
      </w:r>
      <w:r w:rsidRPr="00F52BB4">
        <w:rPr>
          <w:color w:val="000000" w:themeColor="text1"/>
        </w:rPr>
        <w:noBreakHyphen/>
        <w:t>APN and an aldehyde substituent was sufficient to inhibit LOX</w:t>
      </w:r>
      <w:r w:rsidR="00A0623A">
        <w:rPr>
          <w:color w:val="000000" w:themeColor="text1"/>
        </w:rPr>
        <w:t>L2</w:t>
      </w:r>
      <w:r w:rsidRPr="00F52BB4">
        <w:rPr>
          <w:color w:val="000000" w:themeColor="text1"/>
        </w:rPr>
        <w:t xml:space="preserve"> activity. </w:t>
      </w:r>
      <w:r>
        <w:rPr>
          <w:color w:val="000000" w:themeColor="text1"/>
        </w:rPr>
        <w:t xml:space="preserve">However, these experiments were unable to evaluate whether the prodrugs were able to inhibit the </w:t>
      </w:r>
      <w:r w:rsidRPr="00F52BB4">
        <w:rPr>
          <w:color w:val="000000" w:themeColor="text1"/>
        </w:rPr>
        <w:t>physical phenomenon of contraction</w:t>
      </w:r>
      <w:r>
        <w:rPr>
          <w:color w:val="000000" w:themeColor="text1"/>
        </w:rPr>
        <w:t xml:space="preserve">. </w:t>
      </w:r>
      <w:r w:rsidRPr="00F52BB4">
        <w:rPr>
          <w:color w:val="000000" w:themeColor="text1"/>
        </w:rPr>
        <w:t>To examine this, an appropriate</w:t>
      </w:r>
      <w:r>
        <w:rPr>
          <w:color w:val="000000" w:themeColor="text1"/>
        </w:rPr>
        <w:t>, physiologically relevant</w:t>
      </w:r>
      <w:r w:rsidRPr="00F52BB4">
        <w:rPr>
          <w:color w:val="000000" w:themeColor="text1"/>
        </w:rPr>
        <w:t xml:space="preserve"> model of contraction is required. </w:t>
      </w:r>
    </w:p>
    <w:p w14:paraId="27E843E3" w14:textId="6D65094A" w:rsidR="00C0659D" w:rsidRDefault="00C0659D" w:rsidP="00C0659D">
      <w:r>
        <w:t xml:space="preserve">Animal disease models have been vital in the modern drug discovery process to evaluate the </w:t>
      </w:r>
      <w:r w:rsidRPr="00076496">
        <w:rPr>
          <w:color w:val="000000" w:themeColor="text1"/>
        </w:rPr>
        <w:t>efficacy and safety of new treatments.</w:t>
      </w:r>
      <w:r w:rsidRPr="00076496">
        <w:rPr>
          <w:color w:val="000000" w:themeColor="text1"/>
        </w:rPr>
        <w:fldChar w:fldCharType="begin" w:fldLock="1"/>
      </w:r>
      <w:r w:rsidR="00DB1BCE">
        <w:rPr>
          <w:color w:val="000000" w:themeColor="text1"/>
        </w:rPr>
        <w:instrText>ADDIN CSL_CITATION {"citationItems":[{"id":"ITEM-1","itemData":{"DOI":"10.1186/bcr2283","ISBN":"1465-542X (Electronic) 1465-5411 (Linking)","ISSN":"14655411","PMID":"20030874","author":[{"dropping-particle":"","family":"Clarke","given":"Robert","non-dropping-particle":"","parse-names":false,"suffix":""}],"container-title":"Breast Cancer Research","id":"ITEM-1","issue":"SUPPL. 3","issued":{"date-parts":[["2009"]]},"page":"11-13","title":"The role of preclinical animal models in breast cancer drug development","type":"article-journal","volume":"11"},"uris":["http://www.mendeley.com/documents/?uuid=8534ab8c-ad3b-4e38-a621-0409634dffed"]}],"mendeley":{"formattedCitation":"&lt;sup&gt;225&lt;/sup&gt;","plainTextFormattedCitation":"225","previouslyFormattedCitation":"&lt;sup&gt;224&lt;/sup&gt;"},"properties":{"noteIndex":0},"schema":"https://github.com/citation-style-language/schema/raw/master/csl-citation.json"}</w:instrText>
      </w:r>
      <w:r w:rsidRPr="00076496">
        <w:rPr>
          <w:color w:val="000000" w:themeColor="text1"/>
        </w:rPr>
        <w:fldChar w:fldCharType="separate"/>
      </w:r>
      <w:r w:rsidR="00DB1BCE" w:rsidRPr="00DB1BCE">
        <w:rPr>
          <w:noProof/>
          <w:color w:val="000000" w:themeColor="text1"/>
          <w:vertAlign w:val="superscript"/>
        </w:rPr>
        <w:t>225</w:t>
      </w:r>
      <w:r w:rsidRPr="00076496">
        <w:rPr>
          <w:color w:val="000000" w:themeColor="text1"/>
        </w:rPr>
        <w:fldChar w:fldCharType="end"/>
      </w:r>
      <w:r w:rsidRPr="00076496">
        <w:rPr>
          <w:color w:val="000000" w:themeColor="text1"/>
        </w:rPr>
        <w:t xml:space="preserve"> They also provide insights into disease mechanisms, allowing the development of more targeted therapies. </w:t>
      </w:r>
      <w:r>
        <w:rPr>
          <w:color w:val="000000" w:themeColor="text1"/>
        </w:rPr>
        <w:t xml:space="preserve">Several animal models have been developed to study the </w:t>
      </w:r>
      <w:r w:rsidRPr="00076496">
        <w:rPr>
          <w:color w:val="000000" w:themeColor="text1"/>
        </w:rPr>
        <w:t>mechanism of scar formation and con</w:t>
      </w:r>
      <w:r>
        <w:rPr>
          <w:color w:val="000000" w:themeColor="text1"/>
        </w:rPr>
        <w:t>traction.</w:t>
      </w:r>
      <w:r w:rsidRPr="00076496">
        <w:rPr>
          <w:color w:val="000000" w:themeColor="text1"/>
        </w:rPr>
        <w:t xml:space="preserve"> For example, Ibrahim </w:t>
      </w:r>
      <w:r w:rsidRPr="00076496">
        <w:rPr>
          <w:i/>
          <w:color w:val="000000" w:themeColor="text1"/>
        </w:rPr>
        <w:t>et al</w:t>
      </w:r>
      <w:r w:rsidRPr="00076496">
        <w:rPr>
          <w:color w:val="000000" w:themeColor="text1"/>
        </w:rPr>
        <w:t xml:space="preserve">. established an immune competent murine model of hypertrophic </w:t>
      </w:r>
      <w:r>
        <w:t>scar contraction to try and closely mimic current burn scar management, with the aim of using the model to test novel therapies.</w:t>
      </w:r>
      <w:r>
        <w:fldChar w:fldCharType="begin" w:fldLock="1"/>
      </w:r>
      <w:r w:rsidR="00DB1BCE">
        <w:instrText xml:space="preserve">ADDIN CSL_CITATION {"citationItems":[{"id":"ITEM-1","itemData":{"DOI":"10.1111/wrr.12238","ISBN":"1524-475X (Electronic)\\r1067-1927 (Linking)","ISSN":"1524475X","PMID":"25327261","abstract":"Hypertrophic scar contraction (HSc) following burn injury causes contractures. Contractures are painful and disfiguring. Current HSc therapies are marginally effective. To study pathogenesis and develop new therapies, a murine model is needed. We have created a validated immune-competent murine HSc model. A third-degree burn was created on the dorsum of C57BL/6 mice. Three days post-burn, tissue was excised and grafted with ear skin. Graft contraction was analyzed by computer planimetry and tissue harvested on different time points. Outcomes were compared to human condition to validate the model. To confirm graft survival, green fluorescent protein mice (GFP) were used and histologic analysis was performed to differentiate between ear and back skin. Role of panniculus carnosus (PC) in contraction was analyzed. Cellularity was assessed with DAPI. Collagen maturation was assessed with Picro-sirius red. Mast cells were stained with Toluidine blue. Macrophages were detected with F4/80 immune. Vascularity was assessed with CD31 immune. RNA for contractile proteins was detected by qRT-PCR. Elastic moduli of human and murine skin and scar tissue were analyzed using a microstrain analyzer. Grafts contracted to </w:instrText>
      </w:r>
      <w:r w:rsidR="00DB1BCE">
        <w:rPr>
          <w:rFonts w:ascii="Cambria Math" w:hAnsi="Cambria Math" w:cs="Cambria Math"/>
        </w:rPr>
        <w:instrText>∼</w:instrText>
      </w:r>
      <w:r w:rsidR="00DB1BCE">
        <w:instrText>45% of their original size by day 14 and maintained their size. Grafting of GFP mouse skin onto wild type mice and vice-versa and analysis of dermal thickness and hair follicle density, confirmed graft survival. Interestingly, hair follicles disappeared after grafting and regenerated in ear skin configuration by day 30. Radiological analysis revealed the PC does not contribute to contraction. Microscopic analyses demonstrated that grafts show increase in cellularity. Granulation tissue formed after day 3. Collagen analysis revealed increases in collagen maturation over time. CD31 stain revealed increased vascularity. Macrophages and mast cells were increased. qRT-PCR demonstrated upregulation of TGF-β, ASMA, NMMII, and ROCK2 in HSc. Tensile testing revealed that human skin and scar tissues are tougher than mouse skin and scar tissues.","author":[{"dropping-particle":"","family":"Ibrahim","given":"Mohamed Magdy","non-dropping-particle":"","parse-names":false,"suffix":""},{"dropping-particle":"","family":"Bond","given":"Jennifer","non-dropping-particle":"","parse-names":false,"suffix":""},{"dropping-particle":"","family":"Bergeron","given":"Andrew","non-dropping-particle":"","parse-names":false,"suffix":""},{"dropping-particle":"","family":"Miller","given":"Kyle J.","non-dropping-particle":"","parse-names":false,"suffix":""},{"dropping-particle":"","family":"Ehanire","given":"Tosan","non-dropping-particle":"","parse-names":false,"suffix":""},{"dropping-particle":"","family":"Quiles","given":"Carlos","non-dropping-particle":"","parse-names":false,"suffix":""},{"dropping-particle":"","family":"Lorden","given":"Elizabeth R.","non-dropping-particle":"","parse-names":false,"suffix":""},{"dropping-particle":"","family":"Medina","given":"Manuel A.","non-dropping-particle":"","parse-names":false,"suffix":""},{"dropping-particle":"","family":"Fisher","given":"Mark","non-dropping-particle":"","parse-names":false,"suffix":""},{"dropping-particle":"","family":"Klitzman","given":"Bruce","non-dropping-particle":"","parse-names":false,"suffix":""},{"dropping-particle":"","family":"Selim","given":"M. Angelica","non-dropping-particle":"","parse-names":false,"suffix":""},{"dropping-particle":"","family":"Leong","given":"Kam W.","non-dropping-particle":"","parse-names":false,"suffix":""},{"dropping-particle":"","family":"Levinson","given":"Howard","non-dropping-particle":"","parse-names":false,"suffix":""}],"container-title":"Wound Repair and Regeneration","id":"ITEM-1","issue":"6","issued":{"date-parts":[["2014"]]},"page":"755-764","title":"A novel immune competent murine hypertrophic scar contracture model: A tool to elucidate disease mechanism and develop new therapies","type":"article-journal","volume":"22"},"uris":["http://www.mendeley.com/documents/?uuid=d2dfd1c2-08ec-4732-aee2-5716fc1a2897"]}],"mendeley":{"formattedCitation":"&lt;sup&gt;226&lt;/sup&gt;","plainTextFormattedCitation":"226","previouslyFormattedCitation":"&lt;sup&gt;225&lt;/sup&gt;"},"properties":{"noteIndex":0},"schema":"https://github.com/citation-style-language/schema/raw/master/csl-citation.json"}</w:instrText>
      </w:r>
      <w:r>
        <w:fldChar w:fldCharType="separate"/>
      </w:r>
      <w:r w:rsidR="00DB1BCE" w:rsidRPr="00DB1BCE">
        <w:rPr>
          <w:noProof/>
          <w:vertAlign w:val="superscript"/>
        </w:rPr>
        <w:t>226</w:t>
      </w:r>
      <w:r>
        <w:fldChar w:fldCharType="end"/>
      </w:r>
      <w:r>
        <w:t xml:space="preserve"> Their model differed from pre-existing ones by the presence of an intact immune system, allowing the immune system’s role in scar formation to be examined. Models using larger animals, including canines and horses, have also been used elucidate the mechanism of scar contracture.</w:t>
      </w:r>
      <w:r>
        <w:fldChar w:fldCharType="begin" w:fldLock="1"/>
      </w:r>
      <w:r w:rsidR="0085447D">
        <w:instrText>ADDIN CSL_CITATION {"citationItems":[{"id":"ITEM-1","itemData":{"DOI":"10.1007/s00580-007-0716-9","ISSN":"16185641","author":[{"dropping-particle":"","family":"Sardari","given":"Kamran","non-dropping-particle":"","parse-names":false,"suffix":""},{"dropping-particle":"","family":"Sharifi","given":"Siavash","non-dropping-particle":"","parse-names":false,"suffix":""}],"container-title":"Comparative Clinical Pathology","id":"ITEM-1","issue":"3","issued":{"date-parts":[["2008"]]},"page":"179-183","title":"Effect of collagen cross-linking inhibition by local application of beta-aminopropionitrile fumarate on wound contraction and healing (macroscopic study)","type":"article-journal","volume":"17"},"uris":["http://www.mendeley.com/documents/?uuid=cb74b0f4-3db6-4d83-a09d-ccb2d185bcbb"]}],"mendeley":{"formattedCitation":"&lt;sup&gt;99&lt;/sup&gt;","plainTextFormattedCitation":"99","previouslyFormattedCitation":"&lt;sup&gt;99&lt;/sup&gt;"},"properties":{"noteIndex":0},"schema":"https://github.com/citation-style-language/schema/raw/master/csl-citation.json"}</w:instrText>
      </w:r>
      <w:r>
        <w:fldChar w:fldCharType="separate"/>
      </w:r>
      <w:r w:rsidR="00B02713" w:rsidRPr="00B02713">
        <w:rPr>
          <w:noProof/>
          <w:vertAlign w:val="superscript"/>
        </w:rPr>
        <w:t>99</w:t>
      </w:r>
      <w:r>
        <w:fldChar w:fldCharType="end"/>
      </w:r>
      <w:r w:rsidRPr="005C7AA7">
        <w:rPr>
          <w:vertAlign w:val="superscript"/>
        </w:rPr>
        <w:t>,</w:t>
      </w:r>
      <w:r>
        <w:fldChar w:fldCharType="begin" w:fldLock="1"/>
      </w:r>
      <w:r w:rsidR="0085447D">
        <w:instrText>ADDIN CSL_CITATION {"citationItems":[{"id":"ITEM-1","itemData":{"DOI":"10.1007/s00580-008-0789-0","ISSN":"16185641","author":[{"dropping-particle":"","family":"Sardari","given":"Kamran","non-dropping-particle":"","parse-names":false,"suffix":""},{"dropping-particle":"","family":"Kazemi","given":"Hossein","non-dropping-particle":"","parse-names":false,"suffix":""},{"dropping-particle":"","family":"Emami","given":"Mohamad Reza","non-dropping-particle":"","parse-names":false,"suffix":""},{"dropping-particle":"","family":"Movasaghi","given":"Ahmad Reza","non-dropping-particle":"","parse-names":false,"suffix":""},{"dropping-particle":"","family":"Goli","given":"Amir Afkhami","non-dropping-particle":"","parse-names":false,"suffix":""}],"container-title":"Comparative Clinical Pathology","id":"ITEM-1","issue":"3","issued":{"date-parts":[["2009"]]},"page":"239-247","title":"Role of collagen cross-linking on equine wound contraction and healing","type":"article-journal","volume":"18"},"uris":["http://www.mendeley.com/documents/?uuid=0a14c948-a8da-449d-b1cb-6303c5d264e8"]}],"mendeley":{"formattedCitation":"&lt;sup&gt;100&lt;/sup&gt;","plainTextFormattedCitation":"100","previouslyFormattedCitation":"&lt;sup&gt;100&lt;/sup&gt;"},"properties":{"noteIndex":0},"schema":"https://github.com/citation-style-language/schema/raw/master/csl-citation.json"}</w:instrText>
      </w:r>
      <w:r>
        <w:fldChar w:fldCharType="separate"/>
      </w:r>
      <w:r w:rsidR="00B02713" w:rsidRPr="00B02713">
        <w:rPr>
          <w:noProof/>
          <w:vertAlign w:val="superscript"/>
        </w:rPr>
        <w:t>100</w:t>
      </w:r>
      <w:r>
        <w:fldChar w:fldCharType="end"/>
      </w:r>
      <w:r>
        <w:t xml:space="preserve"> </w:t>
      </w:r>
    </w:p>
    <w:p w14:paraId="14811144" w14:textId="54028735" w:rsidR="00C0659D" w:rsidRPr="00AE342E" w:rsidRDefault="00C0659D" w:rsidP="00C0659D">
      <w:pPr>
        <w:rPr>
          <w:color w:val="000000" w:themeColor="text1"/>
        </w:rPr>
      </w:pPr>
      <w:r w:rsidRPr="005C7AA7">
        <w:rPr>
          <w:color w:val="000000" w:themeColor="text1"/>
        </w:rPr>
        <w:t>However, the use of animal</w:t>
      </w:r>
      <w:r>
        <w:rPr>
          <w:color w:val="000000" w:themeColor="text1"/>
        </w:rPr>
        <w:t xml:space="preserve"> models to investigate </w:t>
      </w:r>
      <w:r w:rsidRPr="005C7AA7">
        <w:rPr>
          <w:color w:val="000000" w:themeColor="text1"/>
        </w:rPr>
        <w:t>contraction should be treated with caution.</w:t>
      </w:r>
      <w:r>
        <w:t xml:space="preserve"> Loose-skinned animals, such as rodents and grazing animals, possess a smooth layer of </w:t>
      </w:r>
      <w:r w:rsidRPr="00D20B2E">
        <w:t>muscle under the skin known</w:t>
      </w:r>
      <w:r>
        <w:t xml:space="preserve"> as the </w:t>
      </w:r>
      <w:r w:rsidRPr="00AA1F54">
        <w:rPr>
          <w:i/>
        </w:rPr>
        <w:t>panniculus carnosus</w:t>
      </w:r>
      <w:r>
        <w:t xml:space="preserve"> (PC).</w:t>
      </w:r>
      <w:r>
        <w:fldChar w:fldCharType="begin" w:fldLock="1"/>
      </w:r>
      <w:r w:rsidR="00DB1BCE">
        <w:instrText>ADDIN CSL_CITATION {"citationItems":[{"id":"ITEM-1","itemData":{"DOI":"10.1016/j.stemcr.2016.08.002","ISSN":"2213-6711","abstract":"The dermal Panniculus carnosus (PC) muscle is important for wound contraction in lower mammals and represents an interesting model of muscle regeneration due to its high cell turnover. The resident satellite cells (the bona fide muscle stem cells) remain poorly characterized. Here we analyzed PC satellite cells with regard to developmental origin and purported function. Lineage tracing shows that they originate in Myf5(+), Pax3/Pax7(+) cell populations. Skin and muscle wounding increased PC myofiber turnover, with the satellite cell progeny being involved in muscle regeneration but with no detectable contribution to the wound-bed myofibroblasts. Since hematopoietic stem cells fuse to PC myofibers in the absence of injury, we also studied the contribution of bone marrow-derived cells to the PC satellite cell compartment, demonstrating that cells of donor origin are capable of repopulating the PC muscle stem cell niche after irradiation and bone marrow transplantation but may not fully acquire the relevant myogenic commitment. ","author":[{"dropping-particle":"","family":"Naldaiz-Gastesi","given":"Neia","non-dropping-particle":"","parse-names":false,"suffix":""},{"dropping-particle":"","family":"Goicoechea","given":"María","non-dropping-particle":"","parse-names":false,"suffix":""},{"dropping-particle":"","family":"Alonso-Martín","given":"Sonia","non-dropping-particle":"","parse-names":false,"suffix":""},{"dropping-particle":"","family":"Aiastui","given":"Ana","non-dropping-particle":"","parse-names":false,"suffix":""},{"dropping-particle":"","family":"López-Mayorga","given":"Macarena","non-dropping-particle":"","parse-names":false,"suffix":""},{"dropping-particle":"","family":"García-Belda","given":"Paula","non-dropping-particle":"","parse-names":false,"suffix":""},{"dropping-particle":"","family":"Lacalle","given":"Jaione","non-dropping-particle":"","parse-names":false,"suffix":""},{"dropping-particle":"","family":"San José","given":"Carlos","non-dropping-particle":"","parse-names":false,"suffix":""},{"dropping-particle":"","family":"Araúzo-Bravo","given":"Marcos J","non-dropping-particle":"","parse-names":false,"suffix":""},{"dropping-particle":"","family":"Trouilh","given":"Lidwine","non-dropping-particle":"","parse-names":false,"suffix":""},{"dropping-particle":"","family":"Anton-Leberre","given":"Véronique","non-dropping-particle":"","parse-names":false,"suffix":""},{"dropping-particle":"","family":"Herrero","given":"Diego","non-dropping-particle":"","parse-names":false,"suffix":""},{"dropping-particle":"","family":"Matheu","given":"Ander","non-dropping-particle":"","parse-names":false,"suffix":""},{"dropping-particle":"","family":"Bernad","given":"Antonio","non-dropping-particle":"","parse-names":false,"suffix":""},{"dropping-particle":"","family":"García-Verdugo","given":"José Manuel","non-dropping-particle":"","parse-names":false,"suffix":""},{"dropping-particle":"","family":"Carvajal","given":"Jaime J","non-dropping-particle":"","parse-names":false,"suffix":""},{"dropping-particle":"","family":"Relaix","given":"Frédéric","non-dropping-particle":"","parse-names":false,"suffix":""},{"dropping-particle":"","family":"Lopez de Munain","given":"Adolfo","non-dropping-particle":"","parse-names":false,"suffix":""},{"dropping-particle":"","family":"García-Parra","given":"Patricia","non-dropping-particle":"","parse-names":false,"suffix":""},{"dropping-particle":"","family":"Izeta","given":"Ander","non-dropping-particle":"","parse-names":false,"suffix":""}],"container-title":"Stem Cell Reports","id":"ITEM-1","issue":"3","issued":{"date-parts":[["2016","9","13"]]},"page":"411-424","publisher":"Elsevier","title":"Identification and Characterization of the Dermal Panniculus Carnosus Muscle Stem Cells","type":"article-journal","volume":"7"},"uris":["http://www.mendeley.com/documents/?uuid=5b66fa05-6fe7-43a1-a2db-4a358230af87"]}],"mendeley":{"formattedCitation":"&lt;sup&gt;227&lt;/sup&gt;","plainTextFormattedCitation":"227","previouslyFormattedCitation":"&lt;sup&gt;226&lt;/sup&gt;"},"properties":{"noteIndex":0},"schema":"https://github.com/citation-style-language/schema/raw/master/csl-citation.json"}</w:instrText>
      </w:r>
      <w:r>
        <w:fldChar w:fldCharType="separate"/>
      </w:r>
      <w:r w:rsidR="00DB1BCE" w:rsidRPr="00DB1BCE">
        <w:rPr>
          <w:noProof/>
          <w:vertAlign w:val="superscript"/>
        </w:rPr>
        <w:t>227</w:t>
      </w:r>
      <w:r>
        <w:fldChar w:fldCharType="end"/>
      </w:r>
      <w:r>
        <w:t xml:space="preserve"> The presence of the PC allows the skin to glide over the underlying tissue without causing distortion. However</w:t>
      </w:r>
      <w:r w:rsidRPr="005C7AA7">
        <w:rPr>
          <w:color w:val="000000" w:themeColor="text1"/>
        </w:rPr>
        <w:t xml:space="preserve">, this layer is absent in </w:t>
      </w:r>
      <w:r>
        <w:t>humans.</w:t>
      </w:r>
      <w:r>
        <w:fldChar w:fldCharType="begin" w:fldLock="1"/>
      </w:r>
      <w:r w:rsidR="00DB1BCE">
        <w:instrText>ADDIN CSL_CITATION {"citationItems":[{"id":"ITEM-1","itemData":{"DOI":"doi:10.1111/joa.12840","ISSN":"0021-8782","abstract":"Abstract The panniculus carnosus is a thin striated muscular layer intimately attached to the skin and fascia of most mammals, where it provides skin twitching and contraction functions. In humans, the panniculus carnosus is conserved at sparse anatomical locations with high interindividual variability, and it is considered of no functional significance (most possibly being a remnant of evolution). Diverse research fields (such as anatomy, dermatology, myology, neuroscience, surgery, veterinary science) use this unique muscle as a model, but several unknowns and misconceptions remain in the literature. In this article, we review what is currently known about panniculus carnosus structure, development, anatomical location, response to environmental stimuli and potential function(s), with the aim of putting together the evidence arising from the different research communities and raising interest in this unique muscle, which we postulate as an ideal model for both vascular and muscular research.","author":[{"dropping-particle":"","family":"Naldaiz-Gastesi","given":"Neia","non-dropping-particle":"","parse-names":false,"suffix":""},{"dropping-particle":"","family":"Bahri","given":"Ola A","non-dropping-particle":"","parse-names":false,"suffix":""},{"dropping-particle":"","family":"López de Munain","given":"Adolfo","non-dropping-particle":"","parse-names":false,"suffix":""},{"dropping-particle":"","family":"McCullagh","given":"Karl J A","non-dropping-particle":"","parse-names":false,"suffix":""},{"dropping-particle":"","family":"Izeta","given":"Ander","non-dropping-particle":"","parse-names":false,"suffix":""}],"container-title":"Journal of Anatomy","id":"ITEM-1","issue":"3","issued":{"date-parts":[["2018"]]},"page":"275-288","title":"The panniculus carnosus muscle: an evolutionary enigma at the intersection of distinct research fields","type":"article-journal","volume":"233"},"uris":["http://www.mendeley.com/documents/?uuid=0fb62c02-2db6-45a3-b107-d2910529e500"]}],"mendeley":{"formattedCitation":"&lt;sup&gt;228&lt;/sup&gt;","plainTextFormattedCitation":"228","previouslyFormattedCitation":"&lt;sup&gt;227&lt;/sup&gt;"},"properties":{"noteIndex":0},"schema":"https://github.com/citation-style-language/schema/raw/master/csl-citation.json"}</w:instrText>
      </w:r>
      <w:r>
        <w:fldChar w:fldCharType="separate"/>
      </w:r>
      <w:r w:rsidR="00DB1BCE" w:rsidRPr="00DB1BCE">
        <w:rPr>
          <w:noProof/>
          <w:vertAlign w:val="superscript"/>
        </w:rPr>
        <w:t>228</w:t>
      </w:r>
      <w:r>
        <w:fldChar w:fldCharType="end"/>
      </w:r>
      <w:r>
        <w:t xml:space="preserve"> As a result, skin contraction in humans leads to deformation of the underlying tissue, resulting in cosmetic deformity and restricted joint mobility.</w:t>
      </w:r>
      <w:r>
        <w:fldChar w:fldCharType="begin" w:fldLock="1"/>
      </w:r>
      <w:r w:rsidR="0085447D">
        <w:instrText>ADDIN CSL_CITATION {"citationItems":[{"id":"ITEM-1","itemData":{"DOI":"10.1097/01.BCR.0000245652.26648.36","ISBN":"1559-047X (Print)\\r1559-047X (Linking)","ISSN":"1559047X","PMID":"17091084","abstract":"We sought to investigate quality of life, and to specifically assess how joint contracture affects it, in patients with burn injuries. The study is involved 22 adults with burn injuries. Patients were divided into two groups according to the presence (n = 11) or absence (n = 11) of any joint contracture. Patient age, sex, date of burn injury, burn type, location, and extent of burn (TBSA) were recorded for each case. Each individual underwent a thorough musculoskeletal system examination, with special focus on range of motion of the joints. Quality of life was evaluated using the Short Form 36 (SF-36). Eight (36.4%) of the patients were women, and 14 (63.6%) were men, and their mean age (+/- SE) was 24.7 +/- 4.68 years. The mean interval from injury to the study assessment was 21.45 +/- 14.69 months. Eleven patients (50%) had at least one joint contracture. The patients with one or more contractures had significantly lower scores for the SF-36 subscales of physical functioning, physical role limitations, bodily pain, and vitality (P = .05, P = .01, P = .04, and P = .02, respectively). In the 22 patients overall, TBSA was negatively correlated with the scores for the SF-36 subscales vitality and emotional role limitations (r = -.586 and r = -.805, respectively). Joint contracture does impact burn patients' quality of life, especially with respect to physical functioning, physical role limitations, bodily pain, and vitality. In addition, the amount of BSA burned is correlated with psychosocial problems and poorer quality of life, regardless of whether joint contractures develop.","author":[{"dropping-particle":"","family":"Leblebici","given":"Berrin","non-dropping-particle":"","parse-names":false,"suffix":""},{"dropping-particle":"","family":"Adam","given":"Mehmet","non-dropping-particle":"","parse-names":false,"suffix":""},{"dropping-particle":"","family":"Baǧiş","given":"Selda","non-dropping-particle":"","parse-names":false,"suffix":""},{"dropping-particle":"","family":"Tarim","given":"Akin M.","non-dropping-particle":"","parse-names":false,"suffix":""},{"dropping-particle":"","family":"Noyan","given":"Turgut","non-dropping-particle":"","parse-names":false,"suffix":""},{"dropping-particle":"","family":"Akman","given":"Mahmut N.","non-dropping-particle":"","parse-names":false,"suffix":""},{"dropping-particle":"","family":"Haberal","given":"Mehmet A.","non-dropping-particle":"","parse-names":false,"suffix":""}],"container-title":"Journal of Burn Care and Research","id":"ITEM-1","issue":"6","issued":{"date-parts":[["2006"]]},"page":"864-868","title":"Quality of life after burn injury: The impact of joint contracture","type":"article-journal","volume":"27"},"uris":["http://www.mendeley.com/documents/?uuid=f89806f4-6a96-48f2-a660-e54212f9e795"]}],"mendeley":{"formattedCitation":"&lt;sup&gt;43&lt;/sup&gt;","plainTextFormattedCitation":"43","previouslyFormattedCitation":"&lt;sup&gt;43&lt;/sup&gt;"},"properties":{"noteIndex":0},"schema":"https://github.com/citation-style-language/schema/raw/master/csl-citation.json"}</w:instrText>
      </w:r>
      <w:r>
        <w:fldChar w:fldCharType="separate"/>
      </w:r>
      <w:r w:rsidR="00B02713" w:rsidRPr="00B02713">
        <w:rPr>
          <w:noProof/>
          <w:vertAlign w:val="superscript"/>
        </w:rPr>
        <w:t>43</w:t>
      </w:r>
      <w:r>
        <w:fldChar w:fldCharType="end"/>
      </w:r>
      <w:r>
        <w:t xml:space="preserve"> Consequently, alternative methods for modelling contraction have been explored.</w:t>
      </w:r>
    </w:p>
    <w:p w14:paraId="36802137" w14:textId="1B20C9C2" w:rsidR="00C0659D" w:rsidRPr="00273322" w:rsidRDefault="00C0659D" w:rsidP="00C0659D">
      <w:pPr>
        <w:rPr>
          <w:color w:val="000000" w:themeColor="text1"/>
        </w:rPr>
      </w:pPr>
      <w:r>
        <w:rPr>
          <w:color w:val="000000" w:themeColor="text1"/>
        </w:rPr>
        <w:t>Several groups have used a mathematical approach to model the mechanism of wound contraction.</w:t>
      </w:r>
      <w:r>
        <w:rPr>
          <w:color w:val="000000" w:themeColor="text1"/>
        </w:rPr>
        <w:fldChar w:fldCharType="begin" w:fldLock="1"/>
      </w:r>
      <w:r w:rsidR="00DB1BCE">
        <w:rPr>
          <w:color w:val="000000" w:themeColor="text1"/>
        </w:rPr>
        <w:instrText>ADDIN CSL_CITATION {"citationItems":[{"id":"ITEM-1","itemData":{"DOI":"10.1016/j.jbiomech.2008.02.024","ISBN":"3537191553","ISSN":"00219290","PMID":"18397790","abstract":"The healing of wounds is a complex process and the contraction of the resulting scar can have a negative impact on the neighbouring skin. A finite element model of skin simulating the contraction of a scar and deformation of the surrounding skin is presented. The skin is represented by an orthotropic-viscoelastic constitutive law, which is validated against experimental data in the literature. A simplified experimental model of a contracting scar in real skin is also developed. The pattern and size of the wrinkles formed around the contracting scar in the finite element model compare favourably with those formed in the experimental model. The orthotropic nature of skin plays a significant role in the behaviour of skin around scars-the wrinkles have a preferential orientation that corresponds to a direction perpendicular to the Langer's lines in the skin. The pre-stress in skin (a property that is ignored in many skin models) is shown to be an important factor in wrinkle formation around scars. The proposed model can be used to analyse the suturing and closure of wounds of various shapes. © 2008 Elsevier Ltd. All rights reserved.","author":[{"dropping-particle":"","family":"Flynn","given":"Cormac","non-dropping-particle":"","parse-names":false,"suffix":""},{"dropping-particle":"","family":"McCormack","given":"Brendan A O","non-dropping-particle":"","parse-names":false,"suffix":""}],"container-title":"Journal of Biomechanics","id":"ITEM-1","issue":"7","issued":{"date-parts":[["2008"]]},"page":"1582-1589","title":"A simplified model of scar contraction","type":"article-journal","volume":"41"},"uris":["http://www.mendeley.com/documents/?uuid=97ee17fb-4b9a-41fb-a464-938d9aa3f5a8"]},{"id":"ITEM-2","itemData":{"DOI":"10.1016/j.jtbi.2013.03.013","ISSN":"00225193","PMID":"23563057","abstract":"We propose a biomechanical model for investigating wound contraction mechanism and resulting scarring. Extracellular matrix is modeled as fiber-reinforced anisotropic soft tissue, with its elastic properties dynamically changing with the density and orientation of collagen fibers. Collagen fibers are deposited by fibroblasts infiltrating the wound space, and are dynamically aligned with both migrating fibroblasts and tissue residing tension field. Our new 2D hybrid agent-based model provides a comprehensive platform for examining the mechanobiology in wound contraction and scar formation. Simulation results are consistent with experimental observations and are able to reveal the effects of wound morphology and mechanical environment on contraction patterns. Our model results support the hypothesis that scar formation is the product of collagen fiber synthesis and alignment in the presence of the tensile stress field generated by a wound contraction process. © 2013 Elsevier Ltd.","author":[{"dropping-particle":"","family":"Yang","given":"Le","non-dropping-particle":"","parse-names":false,"suffix":""},{"dropping-particle":"","family":"Witten","given":"Tarynn M.","non-dropping-particle":"","parse-names":false,"suffix":""},{"dropping-particle":"","family":"Pidaparti","given":"Ramana M.","non-dropping-particle":"","parse-names":false,"suffix":""}],"container-title":"Journal of Theoretical Biology","id":"ITEM-2","issued":{"date-parts":[["2013"]]},"page":"228-248","publisher":"Elsevier","title":"A biomechanical model of wound contraction and scar formation","type":"article-journal","volume":"332"},"uris":["http://www.mendeley.com/documents/?uuid=f869212d-b8f5-4139-a8c6-1519ae0af0d8"]},{"id":"ITEM-3","itemData":{"DOI":"10.1016/j.jbiomech.2015.11.058","ISBN":"1873-2380 (Electronic)\\r0021-9290 (Linking)","ISSN":"18732380","PMID":"26805459","abstract":"A mathematical model for wound contraction is presented. The model is based on a cell-based formalism where fibroblasts, myofibroblasts and the immune reaction are taken into account. The model is used to simulate contraction of a wound using point forces on the cell boundary and it also determines the orientation of collagen after restoration of the damage. The paper presents the mathematical model in terms of the equations and assumptions, as well as some implications of the modelling. The present model predicts that the amount of final contraction is larger if the migration velocity of the leukocytes is larger and hence it is important that the immune system functions well to prevent contractures. Further, the present model is the first cell-based model that combines the immune system to final contractions.","author":[{"dropping-particle":"","family":"Boon","given":"W. M.","non-dropping-particle":"","parse-names":false,"suffix":""},{"dropping-particle":"","family":"Koppenol","given":"D. C.","non-dropping-particle":"","parse-names":false,"suffix":""},{"dropping-particle":"","family":"Vermolen","given":"F. J.","non-dropping-particle":"","parse-names":false,"suffix":""}],"container-title":"Journal of Biomechanics","id":"ITEM-3","issue":"8","issued":{"date-parts":[["2016"]]},"page":"1388-1401","publisher":"Elsevier","title":"A multi-agent cell-based model for wound contraction","type":"article-journal","volume":"49"},"uris":["http://www.mendeley.com/documents/?uuid=5778eff1-6ad6-4021-845a-75762c230dfe"]}],"mendeley":{"formattedCitation":"&lt;sup&gt;229–231&lt;/sup&gt;","plainTextFormattedCitation":"229–231","previouslyFormattedCitation":"&lt;sup&gt;228–230&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229–231</w:t>
      </w:r>
      <w:r>
        <w:rPr>
          <w:color w:val="000000" w:themeColor="text1"/>
        </w:rPr>
        <w:fldChar w:fldCharType="end"/>
      </w:r>
      <w:r>
        <w:rPr>
          <w:color w:val="000000" w:themeColor="text1"/>
        </w:rPr>
        <w:t xml:space="preserve"> This negates the need for animal or human subjects, making the </w:t>
      </w:r>
      <w:r>
        <w:rPr>
          <w:color w:val="000000" w:themeColor="text1"/>
        </w:rPr>
        <w:lastRenderedPageBreak/>
        <w:t xml:space="preserve">process cheaper with fewer ethical concerns. However, whilst this approach helps to understand the underlying mechanism of contraction at a cellular level, it cannot be used to test the effects of new drug candidates. In addition, many of these mathematical simulations are built using knowledge gained from animal studies which, as discussed previously, may not be fully representative of human wound healing. </w:t>
      </w:r>
    </w:p>
    <w:p w14:paraId="6C8707B4" w14:textId="06C2E292" w:rsidR="00C0659D" w:rsidRDefault="00C0659D" w:rsidP="00C0659D">
      <w:pPr>
        <w:rPr>
          <w:color w:val="000000" w:themeColor="text1"/>
        </w:rPr>
      </w:pPr>
      <w:r>
        <w:t xml:space="preserve">Elsdale and Bard found that fibroblasts grown in a collagen lattice have a different </w:t>
      </w:r>
      <w:r w:rsidRPr="0026118C">
        <w:rPr>
          <w:color w:val="000000" w:themeColor="text1"/>
        </w:rPr>
        <w:t>morphology to those grown in 2D culture on plastic or glass substrates.</w:t>
      </w:r>
      <w:r w:rsidRPr="0026118C">
        <w:rPr>
          <w:color w:val="000000" w:themeColor="text1"/>
        </w:rPr>
        <w:fldChar w:fldCharType="begin" w:fldLock="1"/>
      </w:r>
      <w:r w:rsidR="0085447D">
        <w:rPr>
          <w:color w:val="000000" w:themeColor="text1"/>
        </w:rPr>
        <w:instrText>ADDIN CSL_CITATION {"citationItems":[{"id":"ITEM-1","itemData":{"abstract":"A simple technique is described for the preparation of collagen substrata containing 0 1% of collagen by weight, in the form of native bundles with a 640 A period, the substrata are similar in these respects to soft-tissue matrices These substrata are hydrated collagen lattices (HCLs) in which the watery milieu is held within a fibrous collagen net mainly by capillary forces. HCLs have been characterized in terms of the course of coltagen precipitation and aggregation, ultrastructure, and their stability under various conditions. The ways in which HCLs can be employed as both two- and three-dimensional substrata in cell behavioral studies are illustrated with some preliminary observations on the form, motility, adhesion, and growth of human diploid ceils and two lines of malignant ceils.","author":[{"dropping-particle":"","family":"Elsdale","given":"Tom","non-dropping-particle":"","parse-names":false,"suffix":""},{"dropping-particle":"","family":"Bard","given":"Jonathan","non-dropping-particle":"","parse-names":false,"suffix":""}],"container-title":"The Journal of Cell Biology","id":"ITEM-1","issued":{"date-parts":[["1972"]]},"page":"626-637","title":"Collagen substrata for studies on cell behaviour","type":"article-journal","volume":"54"},"uris":["http://www.mendeley.com/documents/?uuid=e4acf8dc-9e79-4997-a4c3-bcc1f156ea76"]}],"mendeley":{"formattedCitation":"&lt;sup&gt;75&lt;/sup&gt;","plainTextFormattedCitation":"75","previouslyFormattedCitation":"&lt;sup&gt;75&lt;/sup&gt;"},"properties":{"noteIndex":0},"schema":"https://github.com/citation-style-language/schema/raw/master/csl-citation.json"}</w:instrText>
      </w:r>
      <w:r w:rsidRPr="0026118C">
        <w:rPr>
          <w:color w:val="000000" w:themeColor="text1"/>
        </w:rPr>
        <w:fldChar w:fldCharType="separate"/>
      </w:r>
      <w:r w:rsidR="00B02713" w:rsidRPr="00B02713">
        <w:rPr>
          <w:noProof/>
          <w:color w:val="000000" w:themeColor="text1"/>
          <w:vertAlign w:val="superscript"/>
        </w:rPr>
        <w:t>75</w:t>
      </w:r>
      <w:r w:rsidRPr="0026118C">
        <w:rPr>
          <w:color w:val="000000" w:themeColor="text1"/>
        </w:rPr>
        <w:fldChar w:fldCharType="end"/>
      </w:r>
      <w:r w:rsidRPr="0026118C">
        <w:rPr>
          <w:color w:val="000000" w:themeColor="text1"/>
        </w:rPr>
        <w:t xml:space="preserve"> This prompted the use of collagen gels to explore cell motility and behaviour in a 3D environment.</w:t>
      </w:r>
      <w:r>
        <w:rPr>
          <w:color w:val="000000" w:themeColor="text1"/>
        </w:rPr>
        <w:t xml:space="preserve"> Following this</w:t>
      </w:r>
      <w:r>
        <w:t xml:space="preserve">, Bell </w:t>
      </w:r>
      <w:r w:rsidR="00441098" w:rsidRPr="00441098">
        <w:rPr>
          <w:i/>
        </w:rPr>
        <w:t>et al.</w:t>
      </w:r>
      <w:r>
        <w:t xml:space="preserve"> demonstrated that fibroblast-seeded collagen gels were able to contract over a number of days in culture.</w:t>
      </w:r>
      <w:r>
        <w:fldChar w:fldCharType="begin" w:fldLock="1"/>
      </w:r>
      <w:r w:rsidR="00DB1BCE">
        <w:instrText>ADDIN CSL_CITATION {"citationItems":[{"id":"ITEM-1","itemData":{"DOI":"10.1126/science.7008197","ISBN":"00368075","ISSN":"00368075","PMID":"7008197","abstract":"Living skin-equivalent grafts consisting of fibroblasts cast in collagen lattices and seeded with epidermal cells were successfully grafted onto the donors of the cells. The grafts were vascularized, did not evoke a homograft reaction, inhibited wound contraction, filled the wound space, and persisted.","author":[{"dropping-particle":"","family":"Bell","given":"Eugene","non-dropping-particle":"","parse-names":false,"suffix":""},{"dropping-particle":"","family":"Ehrlich","given":"H. Paul","non-dropping-particle":"","parse-names":false,"suffix":""},{"dropping-particle":"","family":"Buttle","given":"David J.","non-dropping-particle":"","parse-names":false,"suffix":""},{"dropping-particle":"","family":"Nakatsuji","given":"Takako","non-dropping-particle":"","parse-names":false,"suffix":""}],"container-title":"Science","id":"ITEM-1","issue":"4486","issued":{"date-parts":[["1981"]]},"page":"1052-1054","title":"Living tissue formed in vitro and accepted as skin-equivalent tissue of full thickness","type":"article-journal","volume":"211"},"uris":["http://www.mendeley.com/documents/?uuid=f4b14b97-fa64-47a9-ace5-0eb7172e9d1e"]}],"mendeley":{"formattedCitation":"&lt;sup&gt;232&lt;/sup&gt;","plainTextFormattedCitation":"232","previouslyFormattedCitation":"&lt;sup&gt;231&lt;/sup&gt;"},"properties":{"noteIndex":0},"schema":"https://github.com/citation-style-language/schema/raw/master/csl-citation.json"}</w:instrText>
      </w:r>
      <w:r>
        <w:fldChar w:fldCharType="separate"/>
      </w:r>
      <w:r w:rsidR="00DB1BCE" w:rsidRPr="00DB1BCE">
        <w:rPr>
          <w:noProof/>
          <w:vertAlign w:val="superscript"/>
        </w:rPr>
        <w:t>232</w:t>
      </w:r>
      <w:r>
        <w:fldChar w:fldCharType="end"/>
      </w:r>
      <w:r>
        <w:t xml:space="preserve"> This finding led to a wealth of research utilising collagen gels as </w:t>
      </w:r>
      <w:r w:rsidRPr="005A0DDB">
        <w:rPr>
          <w:i/>
        </w:rPr>
        <w:t>in vitro</w:t>
      </w:r>
      <w:r>
        <w:t xml:space="preserve"> models of contraction, investigating</w:t>
      </w:r>
      <w:r>
        <w:rPr>
          <w:color w:val="000000" w:themeColor="text1"/>
        </w:rPr>
        <w:t xml:space="preserve"> the effect of growth factors,</w:t>
      </w:r>
      <w:r w:rsidRPr="008F0056">
        <w:rPr>
          <w:color w:val="000000" w:themeColor="text1"/>
        </w:rPr>
        <w:fldChar w:fldCharType="begin" w:fldLock="1"/>
      </w:r>
      <w:r w:rsidR="00DB1BCE">
        <w:rPr>
          <w:color w:val="000000" w:themeColor="text1"/>
        </w:rPr>
        <w:instrText>ADDIN CSL_CITATION {"citationItems":[{"id":"ITEM-1","itemData":{"DOI":"10.1016/j.bbamcr.2004.05.005","ISBN":"0006-3002 (Print)\\n0006-3002 (Linking)","ISSN":"01674889","PMID":"15313011","abstract":"Renal tubulointerstitial fibrosis is the common final pathway leading to end-stage renal failure. Tubulointerstitial fibrosis is characterized by fibroblast proliferation and excessive matrix accumulation. Transforming growth factor-β1 (TGF-β1) has been implicated in the development of renal fibrosis accompanied by α-smooth muscle actin (α-SMA) expression in renal fibroblasts. To investigate the molecular and cellular mechanisms involved in tubulointerstitial fibrosis, we examined the effect of TGF-β1 on collagen type I (collagen) gel contraction, an in vitro model of scar collagen remodeling. TGF-β1 enhanced collagen gel contraction by human renal fibroblasts in a dose- and time-dependent manner. Function-blocking anti-α1 or anti-α2 integrin subunit antibodies significantly suppressed TGF-β1-stimulated collagen gel contraction. Scanning electron microscopy showed that TGF-β1 enhanced the formation of the collagen fibrils by cell attachment to collagen via α1β1 and α2β1 integrins. Flow cytometry and cell adhesion analyses revealed that the stimulation of renal fibroblasts with TGF-β1 enhanced cell adhesion to collagen via the increased expression of α1 and α2 integrin subunits within collagen gels. Fibroblast migration to collagen was not up-regulated by TGF-β1. Furthermore, TGF-β1 increased the expression of a putative contractile protein, α-SMA, by human renal fibroblasts in collagen gels. These results suggest that TGF-β1 stimulates fibroblast-collagen matrix remodeling by increasing both integrin-mediated cell attachment to collagen and α-SMA expression, thereby contributing to pathological tubulointerstitial collagen matrix reorganization in renal fibrosis. © 2004 Elsevier B.V. All rights reserved.","author":[{"dropping-particle":"","family":"Kondo","given":"Shuji","non-dropping-particle":"","parse-names":false,"suffix":""},{"dropping-particle":"","family":"Kagami","given":"Shoji","non-dropping-particle":"","parse-names":false,"suffix":""},{"dropping-particle":"","family":"Urushihara","given":"Maki","non-dropping-particle":"","parse-names":false,"suffix":""},{"dropping-particle":"","family":"Kitamura","given":"Akiko","non-dropping-particle":"","parse-names":false,"suffix":""},{"dropping-particle":"","family":"Shimizu","given":"Maki","non-dropping-particle":"","parse-names":false,"suffix":""},{"dropping-particle":"","family":"Strutz","given":"Frank","non-dropping-particle":"","parse-names":false,"suffix":""},{"dropping-particle":"","family":"Müller","given":"Gerhard A.","non-dropping-particle":"","parse-names":false,"suffix":""},{"dropping-particle":"","family":"Kuroda","given":"Yasuhiro","non-dropping-particle":"","parse-names":false,"suffix":""}],"container-title":"Biochimica et Biophysica Acta - Molecular Cell Research","id":"ITEM-1","issue":"2","issued":{"date-parts":[["2004"]]},"page":"91-100","title":"Transforming growth factor-β1 stimulates collagen matrix remodeling through increased adhesive and contractive potential by human renal fibroblasts","type":"article-journal","volume":"1693"},"uris":["http://www.mendeley.com/documents/?uuid=ed1792a1-1a89-48a8-92e3-ba34f0352b71"]},{"id":"ITEM-2","itemData":{"ISBN":"0021-9533 (Print)\\r0021-9533 (Linking)","ISSN":"0021-9533","PMID":"1400635","abstract":"We have examined the effects of three macrophage-derived cytokines, platelet-derived growth factor (PDGF), transforming growth factor-beta 1 (TGF-beta 1) and interleukin-1 alpha (IL-1 alpha) on the contraction of collagen type I gels populated by human foreskin fibroblasts. Contraction was quantified as loss in gel weight. Both PDGF-AA and PDGF-BB were found to induce a rapid collagen-gel contraction. TGF-beta 1 also stimulated gel contraction but with a delayed onset and at a slower rate than the PDGF-stimulated contraction. Rabbit polyclonal IgGs recognizing PDGF-AA and PDGF-BB, respectively, specifically inhibited the effects of the corresponding PDGF isoforms. However, the stimulatory effect of TGF-beta 1 was not affected by any of the anti-PDGF antibodies. The ability of PDGF to stimulate contraction became less pronounced in collagen gel cultures grown in the absence of growth factors over periods of several days. Under the same conditions, the stimulatory effect of TGF-beta 1 was not reduced. The reduced response to PDGF may be due to reduced tension on fibroblasts growing in collagen gels, since fibroblasts on free-floating gels showed a marked reduction in PDGF-BB-induced PDGF beta-receptor aggregates when compared to fibroblasts on attached collagen gels. IL-1 alpha inhibited initial collagen gel contraction, and at later stages induced a visible degradation of the collagen gels, presumably due to the generation of collagenase activity. The combination of IL-1 alpha and PDGF-BB stimulated initial collagen gel contraction, although less effectively than PDGF-BB alone.(ABSTRACT TRUNCATED AT 250 WORDS)","author":[{"dropping-particle":"","family":"Tingström","given":"A","non-dropping-particle":"","parse-names":false,"suffix":""},{"dropping-particle":"","family":"Heldin","given":"C H","non-dropping-particle":"","parse-names":false,"suffix":""},{"dropping-particle":"","family":"Rubin","given":"K","non-dropping-particle":"","parse-names":false,"suffix":""}],"container-title":"Journal of cell science","id":"ITEM-2","issued":{"date-parts":[["2005"]]},"page":"315-322","title":"Regulation of fibroblast-mediated collagen gel contraction by platelet-derived growth factor, interleukin-1 alpha and transforming growth factor-beta 1.","type":"article-journal","volume":"102 ( Pt 2"},"uris":["http://www.mendeley.com/documents/?uuid=c3f7739c-39b9-4c3a-b779-4bbffe8b2be1"]}],"mendeley":{"formattedCitation":"&lt;sup&gt;233,234&lt;/sup&gt;","plainTextFormattedCitation":"233,234","previouslyFormattedCitation":"&lt;sup&gt;232,233&lt;/sup&gt;"},"properties":{"noteIndex":0},"schema":"https://github.com/citation-style-language/schema/raw/master/csl-citation.json"}</w:instrText>
      </w:r>
      <w:r w:rsidRPr="008F0056">
        <w:rPr>
          <w:color w:val="000000" w:themeColor="text1"/>
        </w:rPr>
        <w:fldChar w:fldCharType="separate"/>
      </w:r>
      <w:r w:rsidR="00DB1BCE" w:rsidRPr="00DB1BCE">
        <w:rPr>
          <w:noProof/>
          <w:color w:val="000000" w:themeColor="text1"/>
          <w:vertAlign w:val="superscript"/>
        </w:rPr>
        <w:t>233,234</w:t>
      </w:r>
      <w:r w:rsidRPr="008F0056">
        <w:rPr>
          <w:color w:val="000000" w:themeColor="text1"/>
        </w:rPr>
        <w:fldChar w:fldCharType="end"/>
      </w:r>
      <w:r w:rsidRPr="008F0056">
        <w:rPr>
          <w:color w:val="000000" w:themeColor="text1"/>
        </w:rPr>
        <w:t xml:space="preserve"> cell </w:t>
      </w:r>
      <w:r w:rsidRPr="002B1FF5">
        <w:rPr>
          <w:color w:val="000000" w:themeColor="text1"/>
        </w:rPr>
        <w:t>phenotype</w:t>
      </w:r>
      <w:r w:rsidRPr="002B1FF5">
        <w:rPr>
          <w:color w:val="000000" w:themeColor="text1"/>
        </w:rPr>
        <w:fldChar w:fldCharType="begin" w:fldLock="1"/>
      </w:r>
      <w:r w:rsidR="00DB1BCE">
        <w:rPr>
          <w:color w:val="000000" w:themeColor="text1"/>
        </w:rPr>
        <w:instrText>ADDIN CSL_CITATION {"citationItems":[{"id":"ITEM-1","itemData":{"DOI":"10.1097/01.PRS.0000101530.33096.5B","ISBN":"0032-1052","ISSN":"00321052","PMID":"14758226","abstract":"Wound contraction in humans has both positive and negative effects. It is beneficial to wound healing by narrowing the wound margins, but the formation of undesirable scar contracture brings cosmetic and even functional problems. The entire mechanism of wound healing and scar contracture is not clear yet, but it is at least considered that both the fibroblasts and the myofibroblasts are responsible for contraction in healing wounds. The myofibroblast is a cell that possesses all the morphologic and biochemical characteristics of both a fibroblast and a smooth muscle cell. Normally, the myofibroblasts appear in the initial wound healing processes and generate contractile forces to pull both edges of an open wound until it disappears by apoptosis. But as an altered regulation of myofibroblast disappearance, they remain in the dermis and continuously contract the scar, eventually causing scar contracture. In this research, to compare and directly evaluate the influence on scar contracture of the myofibroblast versus the fibroblast, dermal tissues were taken from 10 patients who had highly contracted hypertrophic scars. The myofibroblasts were isolated and concentrated from the fibroblasts using the magnetic activating cell-sorting column to obtain the myofibroblast group, which contained about 28 to 41 percent of the myofibroblasts, and the fibroblast group, which contained less than 0.9 percent of the myofibroblasts. Each group was cultured in the fibroblast-populated collagen lattice for 13 days, and the contraction of the collagen gel was measured every other day. In addition, they were selectively treated with tranilast [N-(3',4'-dimethoxycinnamoyl) anthranilic acid] to evaluate the influence on the contraction of the collagen gel lattice. During the culture, the myofibroblast group, compared with the fibroblast group, showed statistically significant contraction of the collagen gel lattice day by day, except on the first day, and only the myofibroblast group was affected by tranilast treatment, showing significant inhibition of gel contraction. By utilizing an in vitro model, the authors have demonstrated that myofibroblasts play a more important role in the contracture of the hypertrophic scar.","author":[{"dropping-particle":"","family":"Shin","given":"Dongmin","non-dropping-particle":"","parse-names":false,"suffix":""},{"dropping-particle":"","family":"Minn","given":"Kyung Won","non-dropping-particle":"","parse-names":false,"suffix":""}],"container-title":"Plastic and Reconstructive Surgery","id":"ITEM-1","issue":"2","issued":{"date-parts":[["2004"]]},"page":"633-640","title":"The effect of myofibroblast on contracture of hypertrophic scar","type":"article-journal","volume":"113"},"uris":["http://www.mendeley.com/documents/?uuid=c30b477c-0acc-4b9b-b112-b4c23663272b"]}],"mendeley":{"formattedCitation":"&lt;sup&gt;235&lt;/sup&gt;","plainTextFormattedCitation":"235","previouslyFormattedCitation":"&lt;sup&gt;234&lt;/sup&gt;"},"properties":{"noteIndex":0},"schema":"https://github.com/citation-style-language/schema/raw/master/csl-citation.json"}</w:instrText>
      </w:r>
      <w:r w:rsidRPr="002B1FF5">
        <w:rPr>
          <w:color w:val="000000" w:themeColor="text1"/>
        </w:rPr>
        <w:fldChar w:fldCharType="separate"/>
      </w:r>
      <w:r w:rsidR="00DB1BCE" w:rsidRPr="00DB1BCE">
        <w:rPr>
          <w:noProof/>
          <w:color w:val="000000" w:themeColor="text1"/>
          <w:vertAlign w:val="superscript"/>
        </w:rPr>
        <w:t>235</w:t>
      </w:r>
      <w:r w:rsidRPr="002B1FF5">
        <w:rPr>
          <w:color w:val="000000" w:themeColor="text1"/>
        </w:rPr>
        <w:fldChar w:fldCharType="end"/>
      </w:r>
      <w:r w:rsidRPr="002B1FF5">
        <w:rPr>
          <w:color w:val="000000" w:themeColor="text1"/>
        </w:rPr>
        <w:t xml:space="preserve"> and pharmacological treatments</w:t>
      </w:r>
      <w:r w:rsidRPr="002B1FF5">
        <w:rPr>
          <w:color w:val="000000" w:themeColor="text1"/>
        </w:rPr>
        <w:fldChar w:fldCharType="begin" w:fldLock="1"/>
      </w:r>
      <w:r w:rsidR="00DB1BCE">
        <w:rPr>
          <w:color w:val="000000" w:themeColor="text1"/>
        </w:rPr>
        <w:instrText>ADDIN CSL_CITATION {"citationItems":[{"id":"ITEM-1","itemData":{"DOI":"10.1248/bpb.b13-00996","ISSN":"1347-5215","PMID":"24882412","abstract":"Collagen gel contraction assay is a method for evaluating contraction of cells embedded in collagen gel matrices through measuring the gel size. In the present study, we established a protocol for collagen gel contraction assay using human bronchial smooth muscle cells obtained commercially, and applied it for evaluation of inhibitory effect of formoterol on histamine-induced contraction. Human bronchial smooth muscle cells were embedded in collagen gel in wells of 24-well plates, and gel contraction against histamine or acetylcholine was observed. Gel size was measured at an interval of 10 min for 60 min from the addition of a stimulant. Both acetylcholine and histamine caused gel contraction in a concentration-dependent manner and the contraction by histamine was apparently potent than that by acetylcholine. Formoterol at concentrations of 10(-10)-10(-7) M inhibited collagen gel contraction caused by histamine concentration-dependently. Pre-treatment with fluticasone at a concentration of 10(-8) M apparently potentiated the inhibitory effect of formoterol at 10(-10) and 10(-8) M on collagen gel contraction by histamine. Prolonged pre-treatment with 10(-8) M formoterol abolished the inhibitory effect of 10(-8) M formoterol. Furthermore, 4 h simultaneous pre-treatment with 10(-8) M formoterol and fluticasone partially but significantly recovered the inhibitory effect of 10(-8) M formoterol. Present results indicate that the collagen gel contraction assay using human bronchial smooth muscle cells is useful for evaluating the effects of bronchodilating drugs, and that fluticasone potentiates the inhibitory effect of formoterol on histamine-induced collagen gel contraction.","author":[{"dropping-particle":"","family":"Sakota","given":"Yusuke","non-dropping-particle":"","parse-names":false,"suffix":""},{"dropping-particle":"","family":"Ozawa","given":"Yuji","non-dropping-particle":"","parse-names":false,"suffix":""},{"dropping-particle":"","family":"Yamashita","given":"Hirotaka","non-dropping-particle":"","parse-names":false,"suffix":""},{"dropping-particle":"","family":"Tanaka","given":"Hiroyuki","non-dropping-particle":"","parse-names":false,"suffix":""},{"dropping-particle":"","family":"Inagaki","given":"Naoki","non-dropping-particle":"","parse-names":false,"suffix":""}],"container-title":"Biological &amp; Pharmaceutical Bulletin","id":"ITEM-1","issue":"6","issued":{"date-parts":[["2014"]]},"page":"1014-20","title":"Collagen gel contraction assay using human bronchial smooth muscle cells and its application for evaluation of inhibitory effect of formoterol.","type":"article-journal","volume":"37"},"uris":["http://www.mendeley.com/documents/?uuid=d97479f9-ab7a-4509-ba0d-ff5fc9a1e635"]}],"mendeley":{"formattedCitation":"&lt;sup&gt;236&lt;/sup&gt;","plainTextFormattedCitation":"236","previouslyFormattedCitation":"&lt;sup&gt;235&lt;/sup&gt;"},"properties":{"noteIndex":0},"schema":"https://github.com/citation-style-language/schema/raw/master/csl-citation.json"}</w:instrText>
      </w:r>
      <w:r w:rsidRPr="002B1FF5">
        <w:rPr>
          <w:color w:val="000000" w:themeColor="text1"/>
        </w:rPr>
        <w:fldChar w:fldCharType="separate"/>
      </w:r>
      <w:r w:rsidR="00DB1BCE" w:rsidRPr="00DB1BCE">
        <w:rPr>
          <w:noProof/>
          <w:color w:val="000000" w:themeColor="text1"/>
          <w:vertAlign w:val="superscript"/>
        </w:rPr>
        <w:t>236</w:t>
      </w:r>
      <w:r w:rsidRPr="002B1FF5">
        <w:rPr>
          <w:color w:val="000000" w:themeColor="text1"/>
        </w:rPr>
        <w:fldChar w:fldCharType="end"/>
      </w:r>
      <w:r w:rsidRPr="002B1FF5">
        <w:rPr>
          <w:color w:val="000000" w:themeColor="text1"/>
        </w:rPr>
        <w:t xml:space="preserve"> on contraction. </w:t>
      </w:r>
      <w:r w:rsidRPr="003E0473">
        <w:rPr>
          <w:color w:val="000000" w:themeColor="text1"/>
        </w:rPr>
        <w:t xml:space="preserve">Nishiyama </w:t>
      </w:r>
      <w:r w:rsidRPr="003E0473">
        <w:rPr>
          <w:i/>
          <w:color w:val="000000" w:themeColor="text1"/>
        </w:rPr>
        <w:t>et al</w:t>
      </w:r>
      <w:r w:rsidRPr="003E0473">
        <w:rPr>
          <w:color w:val="000000" w:themeColor="text1"/>
        </w:rPr>
        <w:t>. were able to identify three distinct phases of collagen gel contraction and used this to assess kinetic parameters</w:t>
      </w:r>
      <w:r>
        <w:rPr>
          <w:color w:val="000000" w:themeColor="text1"/>
        </w:rPr>
        <w:t xml:space="preserve"> of contraction</w:t>
      </w:r>
      <w:r w:rsidRPr="003E0473">
        <w:rPr>
          <w:color w:val="000000" w:themeColor="text1"/>
        </w:rPr>
        <w:t xml:space="preserve"> </w:t>
      </w:r>
      <w:r>
        <w:rPr>
          <w:color w:val="000000" w:themeColor="text1"/>
        </w:rPr>
        <w:t xml:space="preserve">associated with </w:t>
      </w:r>
      <w:r w:rsidRPr="003E0473">
        <w:rPr>
          <w:color w:val="000000" w:themeColor="text1"/>
        </w:rPr>
        <w:t>different cell types.</w:t>
      </w:r>
      <w:r w:rsidRPr="003E0473">
        <w:rPr>
          <w:color w:val="000000" w:themeColor="text1"/>
        </w:rPr>
        <w:fldChar w:fldCharType="begin" w:fldLock="1"/>
      </w:r>
      <w:r w:rsidR="00DB1BCE">
        <w:rPr>
          <w:color w:val="000000" w:themeColor="text1"/>
        </w:rPr>
        <w:instrText>ADDIN CSL_CITATION {"citationItems":[{"id":"ITEM-1","itemData":{"DOI":"https://doi.org/10.1016/S0174-173X(88)80045-1","ISBN":"0174-173X","ISSN":"0174-173X","PMID":"3396309","abstract":"Kinetics of collagen gel contraction by fibroblasts cultured in vitro was examined in detail for quantitative analysis. The process of collagen gel contraction was not expressed by a simple function of time. It appeared to consist of three distinct phases; a lag phase before the initiation of contraction, a rapid contraction phase and a slow contraction phase. Factors affecting the gel contraction can be classified into four groups. The first group includes increase in cell number, in culture temperature or in serum concentration, which strengthened the contraction in all the three phases, suggesting that they affected cellular activity particularly in interacting with collagen. The second group repressed the later two phases of contraction but not the first lag phase, typically increase in collagen concentration and a low dose of nocodazole or colcemid. Increasing population doubling levels of fibroblasts belongs to the third group which caused a reduced lag time but no change in the later two phases. Cytochalasin D at a low dose (0.03–0.1 µg/ml) is another example of the third group which shortened the lag time. The last group did not change the contraction curves. Donor age of fibroblasts isolated from the skin is an example of this group. The rate of rapid contraction in the second phase was always found to be closely correlated with the degree of contraction at the end of the third phase, in a whole set of the factors above mentioned. The results suggest that the extent of the later two phases might be a reflection of the same cellular activity, particularly cytokinetical one. The lag time is directly related to the time for cells to become elongate in shape as observed by using the video-microscopy, suggesting that the lag phase is also governed by cytokinetical activity. The two cytokinetical activities are closely related, but may be distinct, since the factors affecting the collagen gel contraction can be differentiated into four groups. © 1988, Gustav Fischer Verlag · Stuttgart · New York. All rights reserved.","author":[{"dropping-particle":"","family":"Nishiyama","given":"Toshio","non-dropping-particle":"","parse-names":false,"suffix":""},{"dropping-particle":"","family":"Tominaga","given":"Naoki","non-dropping-particle":"","parse-names":false,"suffix":""},{"dropping-particle":"","family":"Nakajima","given":"Keisuke","non-dropping-particle":"","parse-names":false,"suffix":""},{"dropping-particle":"","family":"Hayashi","given":"Toshihiko","non-dropping-particle":"","parse-names":false,"suffix":""}],"container-title":"Collagen and Related Research","id":"ITEM-1","issue":"3","issued":{"date-parts":[["1988"]]},"page":"259-273","title":"Quantitative Evaluation of the Factors Affecting the Process of Fibroblast-Mediated Collagen Gel Contraction by Separating the Process into Three Phases","type":"article-journal","volume":"8"},"uris":["http://www.mendeley.com/documents/?uuid=09da0a7c-df28-4cf1-a959-a542c03b99ab"]}],"mendeley":{"formattedCitation":"&lt;sup&gt;237&lt;/sup&gt;","plainTextFormattedCitation":"237","previouslyFormattedCitation":"&lt;sup&gt;236&lt;/sup&gt;"},"properties":{"noteIndex":0},"schema":"https://github.com/citation-style-language/schema/raw/master/csl-citation.json"}</w:instrText>
      </w:r>
      <w:r w:rsidRPr="003E0473">
        <w:rPr>
          <w:color w:val="000000" w:themeColor="text1"/>
        </w:rPr>
        <w:fldChar w:fldCharType="separate"/>
      </w:r>
      <w:r w:rsidR="00DB1BCE" w:rsidRPr="00DB1BCE">
        <w:rPr>
          <w:noProof/>
          <w:color w:val="000000" w:themeColor="text1"/>
          <w:vertAlign w:val="superscript"/>
        </w:rPr>
        <w:t>237</w:t>
      </w:r>
      <w:r w:rsidRPr="003E0473">
        <w:rPr>
          <w:color w:val="000000" w:themeColor="text1"/>
        </w:rPr>
        <w:fldChar w:fldCharType="end"/>
      </w:r>
      <w:r w:rsidRPr="003E0473">
        <w:rPr>
          <w:color w:val="000000" w:themeColor="text1"/>
        </w:rPr>
        <w:t xml:space="preserve"> </w:t>
      </w:r>
      <w:r>
        <w:rPr>
          <w:color w:val="000000" w:themeColor="text1"/>
        </w:rPr>
        <w:t xml:space="preserve">The contraction of collagen gels has also been used to understand specific disease mechanisms. For example, Yang </w:t>
      </w:r>
      <w:r w:rsidRPr="002E462E">
        <w:rPr>
          <w:i/>
          <w:color w:val="000000" w:themeColor="text1"/>
        </w:rPr>
        <w:t>et al</w:t>
      </w:r>
      <w:r>
        <w:rPr>
          <w:color w:val="000000" w:themeColor="text1"/>
        </w:rPr>
        <w:t>. compared contraction rates for normal cells with cell populations derived from patients with carpal tunnel syndrome (CTS), and found that patient-derived cells had much greater contractile abilities.</w:t>
      </w:r>
      <w:r>
        <w:rPr>
          <w:color w:val="000000" w:themeColor="text1"/>
        </w:rPr>
        <w:fldChar w:fldCharType="begin" w:fldLock="1"/>
      </w:r>
      <w:r w:rsidR="00DB1BCE">
        <w:rPr>
          <w:color w:val="000000" w:themeColor="text1"/>
        </w:rPr>
        <w:instrText>ADDIN CSL_CITATION {"citationItems":[{"id":"ITEM-1","itemData":{"DOI":"10.1002/jbm.a.35200","ISBN":"1552-4965 (Electronic)\\r1549-3296 (Linking)","ISSN":"15524965","PMID":"24753289","abstract":"Noninflammatory subsynovial connective tissue (SSCT) fibrosis with nerve compression is a prominent feature of carpal tunnel syndrome (CTS). Studies have shown that SSCT matrix synthesis and material property changes in CTS are associated with increased activity of transforming growth factor (TGF)-β1. The aim of this study were to (1) investigate the ability of SSCT fibroblasts from CTS patients and unaffected individuals to contract a collagen gel ring and (2) determine how the addition of TGF-β1 affects this ability. SSCT fibroblasts from three normal cadavers and three age-matched female patients who had undergone surgery for CTS were used. Results showed patient cell-seeded gels had a significantly higher contraction rate (p &lt; 0.001) than control cells, and fully contracted gel rings possessed a significantly higher tensile strength (p = 0.003) and stiffness (p &lt; 0.001). Furthermore, TGF-β1 significantly intensified contraction rate (p &lt; 0.001), tensile strength (p &lt; 0.001), and stiffness (p &lt; 0.001). In conclusion, SSCT cells from normal donors and CTS patients contract collagen gel rings differently, and this ability is affected by TGF-β1 treatment. This cell-seeded collagen gel model may be useful for developing new methods of stopping or eliminating the effect of TGF-β1 on the SSCT fibroblasts and surrounding matrix, which might aid in the identification of medical treatment for CTS.","author":[{"dropping-particle":"","family":"Yang","given":"Tai Hua","non-dropping-particle":"","parse-names":false,"suffix":""},{"dropping-particle":"","family":"Thoreson","given":"Andrew R.","non-dropping-particle":"","parse-names":false,"suffix":""},{"dropping-particle":"","family":"Gingery","given":"Anne","non-dropping-particle":"","parse-names":false,"suffix":""},{"dropping-particle":"","family":"An","given":"Kai Nan","non-dropping-particle":"","parse-names":false,"suffix":""},{"dropping-particle":"","family":"Larson","given":"Dirk R.","non-dropping-particle":"","parse-names":false,"suffix":""},{"dropping-particle":"","family":"Zhao","given":"Chunfeng","non-dropping-particle":"","parse-names":false,"suffix":""},{"dropping-particle":"","family":"Amadio","given":"Peter C.","non-dropping-particle":"","parse-names":false,"suffix":""}],"container-title":"Journal of Biomedical Materials Research - Part A","id":"ITEM-1","issue":"2","issued":{"date-parts":[["2015"]]},"page":"574-580","title":"Collagen gel contraction as a measure of fibroblast function in carpal tunnel syndrome","type":"article-journal","volume":"103"},"uris":["http://www.mendeley.com/documents/?uuid=9860ded0-3668-4510-9c63-3f731327ac89"]}],"mendeley":{"formattedCitation":"&lt;sup&gt;238&lt;/sup&gt;","plainTextFormattedCitation":"238","previouslyFormattedCitation":"&lt;sup&gt;237&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238</w:t>
      </w:r>
      <w:r>
        <w:rPr>
          <w:color w:val="000000" w:themeColor="text1"/>
        </w:rPr>
        <w:fldChar w:fldCharType="end"/>
      </w:r>
      <w:r>
        <w:rPr>
          <w:color w:val="000000" w:themeColor="text1"/>
        </w:rPr>
        <w:t xml:space="preserve"> They hoped that the model would provide a platform to test potential therapies for CTS</w:t>
      </w:r>
      <w:r w:rsidRPr="00B21A2D">
        <w:rPr>
          <w:color w:val="000000" w:themeColor="text1"/>
        </w:rPr>
        <w:t xml:space="preserve">. </w:t>
      </w:r>
      <w:r>
        <w:rPr>
          <w:color w:val="000000" w:themeColor="text1"/>
        </w:rPr>
        <w:t xml:space="preserve">Whilst much of the work on collagen gel contraction has focussed on the role of the fibroblast, there has been emerging evidence to suggest the keratinocytes drive contraction of the extracellular matrix. </w:t>
      </w:r>
      <w:r w:rsidRPr="00B21A2D">
        <w:rPr>
          <w:color w:val="000000" w:themeColor="text1"/>
        </w:rPr>
        <w:t xml:space="preserve">Schafer </w:t>
      </w:r>
      <w:r w:rsidRPr="00B21A2D">
        <w:rPr>
          <w:i/>
          <w:color w:val="000000" w:themeColor="text1"/>
        </w:rPr>
        <w:t>et al</w:t>
      </w:r>
      <w:r w:rsidRPr="00B21A2D">
        <w:rPr>
          <w:color w:val="000000" w:themeColor="text1"/>
        </w:rPr>
        <w:t xml:space="preserve">. suggested that keratinocytes have a role in the reorganisation </w:t>
      </w:r>
      <w:r>
        <w:rPr>
          <w:color w:val="000000" w:themeColor="text1"/>
        </w:rPr>
        <w:t>of collagen during wound healing.</w:t>
      </w:r>
      <w:r>
        <w:rPr>
          <w:color w:val="000000" w:themeColor="text1"/>
        </w:rPr>
        <w:fldChar w:fldCharType="begin" w:fldLock="1"/>
      </w:r>
      <w:r w:rsidR="0085447D">
        <w:rPr>
          <w:color w:val="000000" w:themeColor="text1"/>
        </w:rPr>
        <w:instrText>ADDIN CSL_CITATION {"citationItems":[{"id":"ITEM-1","itemData":{"DOI":"10.1016/0014-4827(89)90422-9","ISSN":"00144827","PMID":"2472282","abstract":"Fibroblasts derived from the papillary and reticular dermis of human skin and human keratinocytes show differences in their abilities to contract floating three-dimensional gels constructed from type I collagen. Reticular fibroblasts produce greater gel contraction than papillary fibroblasts. When equal numbers of papillary and reticular fibroblasts are mixed in the gels, papillary fibroblasts consistently inhibit gel contraction by reticular fibroblasts indicating interaction between these cell types in the contraction process. Surprisingly, keratinocytes alone produce greater gel contraction than that produced by either fibroblast type. Cooperativity in the gel contraction process is observed when fibroblasts are incorporated into the collagen matrix and keratinocytes are seeded onto the gel surface. Keratinocytes and dermal fibroblasts adhere to the collagen fibril to induce gel contraction by different mechanisms. Fibroblast contraction of collagen gels does not require fibronectin but is a serum-dependent reaction. In contrast, keratinocyte contraction of collagen gels occurs in a serum-free environment. Polyclonal, affinity-purified antibodies to human plasma fibronectin at high concentrations do not inhibit gel contraction by keratinocytes, making unlikely the possibility that fibronectin synthesized by the keratinocyte is a significant factor in the gel contraction process. We are currently examining the possibilities either that keratinocytes are synthesizing other adhesion proteins or that receptors on the cell surface can interact directly with the collagen fiber.","author":[{"dropping-particle":"","family":"Schafer","given":"Irwin A","non-dropping-particle":"","parse-names":false,"suffix":""},{"dropping-particle":"","family":"Shapiro","given":"Allan","non-dropping-particle":"","parse-names":false,"suffix":""},{"dropping-particle":"","family":"Kovach","given":"Maureen","non-dropping-particle":"","parse-names":false,"suffix":""},{"dropping-particle":"","family":"Lang","given":"Cindy","non-dropping-particle":"","parse-names":false,"suffix":""},{"dropping-particle":"","family":"Fratianne","given":"Richard B","non-dropping-particle":"","parse-names":false,"suffix":""}],"container-title":"Experimental cell research","id":"ITEM-1","issue":"1","issued":{"date-parts":[["1989"]]},"page":"112-125","title":"The interaction of human papillary and reticular fibroblasts and human keratinocytes in the contraction of three-dimensional floating collagen lattices.","type":"article-journal","volume":"183"},"uris":["http://www.mendeley.com/documents/?uuid=4964cde3-7641-4a28-b705-464b8b5a6446"]}],"mendeley":{"formattedCitation":"&lt;sup&gt;71&lt;/sup&gt;","plainTextFormattedCitation":"71","previouslyFormattedCitation":"&lt;sup&gt;71&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71</w:t>
      </w:r>
      <w:r>
        <w:rPr>
          <w:color w:val="000000" w:themeColor="text1"/>
        </w:rPr>
        <w:fldChar w:fldCharType="end"/>
      </w:r>
      <w:r>
        <w:rPr>
          <w:color w:val="000000" w:themeColor="text1"/>
        </w:rPr>
        <w:t xml:space="preserve"> This was supported with work by Souren </w:t>
      </w:r>
      <w:r w:rsidRPr="00515DC0">
        <w:rPr>
          <w:i/>
          <w:color w:val="000000" w:themeColor="text1"/>
        </w:rPr>
        <w:t>et al</w:t>
      </w:r>
      <w:r>
        <w:rPr>
          <w:color w:val="000000" w:themeColor="text1"/>
        </w:rPr>
        <w:t>., who demonstrated that fibroblasts and keratinocytes were able to contract free-floating collagen gels in a synergistic manner.</w:t>
      </w:r>
      <w:r>
        <w:rPr>
          <w:color w:val="000000" w:themeColor="text1"/>
        </w:rPr>
        <w:fldChar w:fldCharType="begin" w:fldLock="1"/>
      </w:r>
      <w:r w:rsidR="0085447D">
        <w:rPr>
          <w:color w:val="000000" w:themeColor="text1"/>
        </w:rPr>
        <w:instrText>ADDIN CSL_CITATION {"citationItems":[{"id":"ITEM-1","itemData":{"DOI":"10.1007/BF02624138","ISSN":"0883-8364","PMID":"2592298","abstract":"In the process of wound healing keratinocytes and fibroblasts play an important role, keratinocytes in the re-epithelization process and fibroblasts in the process of wound contraction. We have studied the role of human keratinocytes and fibroblasts in the rearrangement of collagen in a collagen lattice model system. Our results revealed that keratinocytes as well as fibroblasts rearrange the collagen lattice; this occurs in a cell number and collagen concentration dependent manner. The optimal gel contraction is obtained in the presence of keratinocytes on the top of and of fibroblasts in the collagen lattice, the situation most closely approaching the in vivo situation. Between the two types of cells, differences in morphologic behavior were observed: when incorporated into the gel the keratinocytes retained their spherical shape throughout the whole culture period, but fibroblasts became elongated and formed extensions. Our data suggest that not only fibroblasts but also keratinocytes may be involved in the process of wound contraction.","author":[{"dropping-particle":"","family":"Souren","given":"J M","non-dropping-particle":"","parse-names":false,"suffix":""},{"dropping-particle":"","family":"Ponec","given":"Maria","non-dropping-particle":"","parse-names":false,"suffix":""},{"dropping-particle":"","family":"Wijk","given":"R","non-dropping-particle":"van","parse-names":false,"suffix":""}],"container-title":"In vitro cellular &amp; developmental biology : journal of the Tissue Culture Association","id":"ITEM-1","issue":"11","issued":{"date-parts":[["1989"]]},"page":"1039-1045","title":"Contraction of collagen by human fibroblasts and keratinocytes.","type":"article-journal","volume":"25"},"uris":["http://www.mendeley.com/documents/?uuid=ca9b3c56-22f3-459e-8af2-d5e96a5ea224"]}],"mendeley":{"formattedCitation":"&lt;sup&gt;68&lt;/sup&gt;","plainTextFormattedCitation":"68","previouslyFormattedCitation":"&lt;sup&gt;68&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68</w:t>
      </w:r>
      <w:r>
        <w:rPr>
          <w:color w:val="000000" w:themeColor="text1"/>
        </w:rPr>
        <w:fldChar w:fldCharType="end"/>
      </w:r>
      <w:r>
        <w:rPr>
          <w:color w:val="000000" w:themeColor="text1"/>
        </w:rPr>
        <w:t xml:space="preserve"> More recently, Rakar </w:t>
      </w:r>
      <w:r w:rsidRPr="001351CA">
        <w:rPr>
          <w:i/>
          <w:color w:val="000000" w:themeColor="text1"/>
        </w:rPr>
        <w:t>et al</w:t>
      </w:r>
      <w:r>
        <w:rPr>
          <w:color w:val="000000" w:themeColor="text1"/>
        </w:rPr>
        <w:t>. investigated how the addition of melanocytes affected contraction of fibroblast</w:t>
      </w:r>
      <w:r>
        <w:rPr>
          <w:color w:val="000000" w:themeColor="text1"/>
        </w:rPr>
        <w:noBreakHyphen/>
        <w:t>, and keratinocyte-populated collagen gels.</w:t>
      </w:r>
      <w:r>
        <w:rPr>
          <w:color w:val="000000" w:themeColor="text1"/>
        </w:rPr>
        <w:fldChar w:fldCharType="begin" w:fldLock="1"/>
      </w:r>
      <w:r w:rsidR="0085447D">
        <w:rPr>
          <w:color w:val="000000" w:themeColor="text1"/>
        </w:rPr>
        <w:instrText>ADDIN CSL_CITATION {"citationItems":[{"id":"ITEM-1","itemData":{"DOI":"10.1016/j.burns.2014.10.034","ISSN":"0305-4179","abstract":"Scarring is an extensive problem in burn care, and treatment can be especially complicated in cases of hypertrophic scarring. Contraction is an important factor in scarring but the contribution of different cell types remains unclear. We have investigated the contractile behavior of keratinocytes, melanocytes and fibroblasts by using an in vitro collagen gel assay aimed at identifying a modulating role of melanocytes in keratinocyte-mediated contraction. Cells were seeded on a collagen type I gel substrate and the change in gel dimensions were measured over time. Hematoxylin &amp; Eosin-staining and immunohistochemistry against pan-cytokeratin and microphthalmia-associated transcription factor showed that melanocytes integrated between keratinocytes and remained there throughout the experiments. Keratinocyte- and fibroblast-seeded gels contracted significantly over time, whereas melanocyte-seeded gels did not. Co-culture assays showed that melanocytes mitigate the keratinocyte-dependent contraction (significantly slower and 18–32% less). Fibroblasts augmented the contraction in most assays (approximately 6% more). Non-contact co-cultures showed some influence on the keratinocyte-dependent contraction. Results show that mechanisms attributable to melanocytes, but not fibroblasts, can mitigate keratinocyte contractile behavior. Contact-dependent mechanisms are stronger modulators than non-contact dependent mechanisms, but both modes carry significance to the contraction modulation of keratinocytes. Further investigations are required to determine the mechanisms involved and to determine the utility of melanocytes beyond hypopigmentation in improved clinical regimes of burn wounds and wound healing.","author":[{"dropping-particle":"","family":"Rakar","given":"Jonathan","non-dropping-particle":"","parse-names":false,"suffix":""},{"dropping-particle":"","family":"Krammer","given":"Marcus. P","non-dropping-particle":"","parse-names":false,"suffix":""},{"dropping-particle":"","family":"Kratz","given":"Gunnar","non-dropping-particle":"","parse-names":false,"suffix":""}],"container-title":"Burns","id":"ITEM-1","issue":"5","issued":{"date-parts":[["2015"]]},"page":"1035-1042","publisher":"Elsevier Ltd and International Society of Burns Injuries","title":"Human melanocytes mitigate keratinocyte-dependent contraction in an in vitro collagen contraction assay","type":"article-journal","volume":"41"},"uris":["http://www.mendeley.com/documents/?uuid=1e213e96-c0f2-4a10-bb37-a006ee68379a"]}],"mendeley":{"formattedCitation":"&lt;sup&gt;72&lt;/sup&gt;","plainTextFormattedCitation":"72","previouslyFormattedCitation":"&lt;sup&gt;72&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72</w:t>
      </w:r>
      <w:r>
        <w:rPr>
          <w:color w:val="000000" w:themeColor="text1"/>
        </w:rPr>
        <w:fldChar w:fldCharType="end"/>
      </w:r>
      <w:r>
        <w:rPr>
          <w:color w:val="000000" w:themeColor="text1"/>
        </w:rPr>
        <w:t xml:space="preserve"> They found that melanocytes were able to inhibit keratinocyte-, but not fibroblast-, mediated gel contraction. </w:t>
      </w:r>
    </w:p>
    <w:p w14:paraId="133F8499" w14:textId="2C65BD2D" w:rsidR="00C0659D" w:rsidRDefault="00C0659D" w:rsidP="00C0659D">
      <w:pPr>
        <w:rPr>
          <w:color w:val="000000" w:themeColor="text1"/>
        </w:rPr>
      </w:pPr>
      <w:r>
        <w:rPr>
          <w:color w:val="000000" w:themeColor="text1"/>
        </w:rPr>
        <w:t xml:space="preserve">Some studies have specifically focussed on the role of collagen cross-linking in collagen gel contraction. Woodley </w:t>
      </w:r>
      <w:r w:rsidR="00DE3FCA" w:rsidRPr="00DE3FCA">
        <w:rPr>
          <w:i/>
          <w:color w:val="000000" w:themeColor="text1"/>
        </w:rPr>
        <w:t>et al</w:t>
      </w:r>
      <w:r w:rsidR="00DE3FCA">
        <w:rPr>
          <w:color w:val="000000" w:themeColor="text1"/>
        </w:rPr>
        <w:t>.</w:t>
      </w:r>
      <w:r>
        <w:rPr>
          <w:color w:val="000000" w:themeColor="text1"/>
        </w:rPr>
        <w:t xml:space="preserve"> demonstrated that pepsin-treated collagen contracted at a much slower rate than untreated collagen.</w:t>
      </w:r>
      <w:r>
        <w:rPr>
          <w:color w:val="000000" w:themeColor="text1"/>
        </w:rPr>
        <w:fldChar w:fldCharType="begin" w:fldLock="1"/>
      </w:r>
      <w:r w:rsidR="00DB1BCE">
        <w:rPr>
          <w:color w:val="000000" w:themeColor="text1"/>
        </w:rPr>
        <w:instrText>ADDIN CSL_CITATION {"citationItems":[{"id":"ITEM-1","itemData":{"DOI":"10.1111/1523-1747.ep12481920","ISBN":"0022-202X","ISSN":"15231747","PMID":"1875057","abstract":"Solubilized interstitial collagens will form a fibrillar, gel-like lattice when brought to physiologic conditions. In the presence of human dermal fibroblasts the collagen lattice will contract. The rate of contraction can be determined by computer-assisted planemetry. The mechanisms involved in contraction are as yet unknown. Using this system it was found that the rate of contraction was markedly decreased when collagen lacking telopeptides was substituted for native collagen. Histidinohydroxylysinonorleucine (HHL) is a major stable trifunctional collagen cross-link in mature skin that involves a carboxyl terminal, telopeptide site 16c, the sixteenth amino acid residue from the carboxy terminal of the telopeptide region of α1 (I) in type I collagen. Little, if any, HHL was present in native, purified, reconstituted, soluble collagen fibrils from 1% acetic acid-extracted 2-year-old bovine skin. In contrast, HHL cross-links were present (0.22 moles of cross-link per mole of collagen) in lattices of the same collagen contracted by fibroblasts. However, rat tail tendon does not contain HHL cross-links, and collagen lattices made of rat tail tendon collagen are capable of contraction. This suggests that telopeptide sites, and not mature HHL cross-links per se, are essential for fibroblasts to contract collagen lattices. Beta-aminopropionitrile fumarate (BAPN), a potent lathyrogen that perturbs collagen cross-linking by inhibition of lysyl oxidase, also inhibited the rate of lattice cell contraction in lattices composed of native collagen. However, the concentrations of BAPN that were necessary to inhibit the contraction of collagen lattices also inhibited fibroblast growth suggestive of cellular toxicity. In accordance with other studies, we found no inhibition of the rate of lattice contraction when fibronectin-depleted serum was used. Electron microscopy of contracted gels revealed typical collagen fibers with a characteristic axial periodicity. The data provide evidence that collagen telopeptide sites play a role in collagen gel lattice contraction.","author":[{"dropping-particle":"","family":"Woodley","given":"David T.","non-dropping-particle":"","parse-names":false,"suffix":""},{"dropping-particle":"","family":"Yamauchi","given":"Mitsuo","non-dropping-particle":"","parse-names":false,"suffix":""},{"dropping-particle":"","family":"Wynn","given":"Kimberly C.","non-dropping-particle":"","parse-names":false,"suffix":""},{"dropping-particle":"","family":"Mechanic","given":"Gerald","non-dropping-particle":"","parse-names":false,"suffix":""},{"dropping-particle":"","family":"Briggaman","given":"Robert A.","non-dropping-particle":"","parse-names":false,"suffix":""}],"container-title":"Journal of Investigative Dermatology","id":"ITEM-1","issue":"3","issued":{"date-parts":[["1991"]]},"page":"580-585","title":"Collagen telopeptides (cross-linking sites) play a role in collagen gel lattice contraction","type":"article","volume":"97"},"uris":["http://www.mendeley.com/documents/?uuid=27f52864-7196-4d34-84b0-46256826b136"]}],"mendeley":{"formattedCitation":"&lt;sup&gt;239&lt;/sup&gt;","plainTextFormattedCitation":"239","previouslyFormattedCitation":"&lt;sup&gt;238&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239</w:t>
      </w:r>
      <w:r>
        <w:rPr>
          <w:color w:val="000000" w:themeColor="text1"/>
        </w:rPr>
        <w:fldChar w:fldCharType="end"/>
      </w:r>
      <w:r>
        <w:rPr>
          <w:color w:val="000000" w:themeColor="text1"/>
        </w:rPr>
        <w:t xml:space="preserve"> They attributed this to a </w:t>
      </w:r>
      <w:r>
        <w:rPr>
          <w:color w:val="000000" w:themeColor="text1"/>
        </w:rPr>
        <w:lastRenderedPageBreak/>
        <w:t xml:space="preserve">lack of collagen telopeptides (cross-linking sites) in the pepsin-treated collagen. To investigate this further, </w:t>
      </w:r>
      <w:r w:rsidR="00DE3FCA">
        <w:rPr>
          <w:color w:val="000000" w:themeColor="text1"/>
        </w:rPr>
        <w:t>they</w:t>
      </w:r>
      <w:r>
        <w:rPr>
          <w:color w:val="000000" w:themeColor="text1"/>
        </w:rPr>
        <w:t xml:space="preserve"> compared </w:t>
      </w:r>
      <w:r w:rsidR="00DE3FCA">
        <w:rPr>
          <w:color w:val="000000" w:themeColor="text1"/>
        </w:rPr>
        <w:t xml:space="preserve">the contraction of </w:t>
      </w:r>
      <w:r>
        <w:rPr>
          <w:color w:val="000000" w:themeColor="text1"/>
        </w:rPr>
        <w:t xml:space="preserve">collagen gels treated with and without </w:t>
      </w:r>
      <w:r>
        <w:rPr>
          <w:color w:val="000000" w:themeColor="text1"/>
        </w:rPr>
        <w:sym w:font="Symbol" w:char="F062"/>
      </w:r>
      <w:r>
        <w:rPr>
          <w:color w:val="000000" w:themeColor="text1"/>
        </w:rPr>
        <w:noBreakHyphen/>
        <w:t xml:space="preserve">APN and found that </w:t>
      </w:r>
      <w:r>
        <w:rPr>
          <w:color w:val="000000" w:themeColor="text1"/>
        </w:rPr>
        <w:sym w:font="Symbol" w:char="F062"/>
      </w:r>
      <w:r>
        <w:rPr>
          <w:color w:val="000000" w:themeColor="text1"/>
        </w:rPr>
        <w:noBreakHyphen/>
        <w:t xml:space="preserve">APN treatment led to a delayed and reduced degree of contraction. Redden and Doolin also demonstrated that collagen gel contraction could be inhibited by treatment with </w:t>
      </w:r>
      <w:r>
        <w:rPr>
          <w:color w:val="000000" w:themeColor="text1"/>
        </w:rPr>
        <w:sym w:font="Symbol" w:char="F062"/>
      </w:r>
      <w:r>
        <w:rPr>
          <w:color w:val="000000" w:themeColor="text1"/>
        </w:rPr>
        <w:noBreakHyphen/>
        <w:t>APN.</w:t>
      </w:r>
      <w:r>
        <w:rPr>
          <w:color w:val="000000" w:themeColor="text1"/>
        </w:rPr>
        <w:fldChar w:fldCharType="begin" w:fldLock="1"/>
      </w:r>
      <w:r w:rsidR="0085447D">
        <w:rPr>
          <w:color w:val="000000" w:themeColor="text1"/>
        </w:rPr>
        <w:instrText>ADDIN CSL_CITATION {"citationItems":[{"id":"ITEM-1","itemData":{"DOI":"10.1034/j.1600-0846.2003.00023.x","ISBN":"0909-752X (Print)","ISSN":"0909-752X","PMID":"12877693","abstract":"BACKGROUND/PURPOSE: Fibroblasts are actively and dynamically involved in wound healing (dermal regeneration, wound contraction, and scar contracture) and fibrosis. Fibroblast-seeded collagen gels provide an in vitro model for these processes. Over time, fibroblasts will contract the gels, but the mechanisms are not completely understood. This research investigated the influence of cell density and collagen crosslinking on the contraction of fibroblast-populated gels by varying seeding density and blocking the catalyzing enzyme lysyl oxidase, respectively. METHODS: Collagen gels were seeded with fibroblasts at either 3 x 104 or 1 x 105 cells/mL and incubated with or without the lathyrogen beta-aminoproprionitrile (BAPN) for 8 days. In all, four experimental groups were analyzed: low cell density control, high cell density control, low density plus BAPN, and high density plus BAPN. Digital images were taken daily and gel area was calculated. RESULTS: Contraction was dependent on cell concentration, with higher density gels being contracted to a greater extent. BAPN had no effect until after day 2 when it inhibited (high density) or almost completely blocked (low density) the gel contraction. BAPN also reduced total long-term contraction. CONCLUSION: The results demonstrated a bimodal nature to fibroblast-mediated gel contraction: a cell density-dependent component, most likely mediated through cellular forces, and a delayed collagen crosslinking component that could be blocked by BAPN. In the long-term, similar contraction rates among the four experimental groups, particularly between the two BAPN groups, implies that the collagen crosslinking effect is discrete and independent of cell density.","author":[{"dropping-particle":"","family":"Redden","given":"Robert A","non-dropping-particle":"","parse-names":false,"suffix":""},{"dropping-particle":"","family":"Doolin","given":"Edward J","non-dropping-particle":"","parse-names":false,"suffix":""}],"container-title":"Skin research and technology","id":"ITEM-1","issue":"3","issued":{"date-parts":[["2003"]]},"page":"290-293","title":"Collagen crosslinking and cell density have distinct effects on fibroblast-mediated contraction of collagen gels.","type":"article-journal","volume":"9"},"uris":["http://www.mendeley.com/documents/?uuid=5e3c0ffd-1050-4010-9048-6ee2453708ef"]}],"mendeley":{"formattedCitation":"&lt;sup&gt;79&lt;/sup&gt;","plainTextFormattedCitation":"79","previouslyFormattedCitation":"&lt;sup&gt;79&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79</w:t>
      </w:r>
      <w:r>
        <w:rPr>
          <w:color w:val="000000" w:themeColor="text1"/>
        </w:rPr>
        <w:fldChar w:fldCharType="end"/>
      </w:r>
      <w:r>
        <w:rPr>
          <w:color w:val="000000" w:themeColor="text1"/>
        </w:rPr>
        <w:t xml:space="preserve"> Interestingly, whilst Woodley</w:t>
      </w:r>
      <w:r w:rsidR="00DE3FCA">
        <w:rPr>
          <w:color w:val="000000" w:themeColor="text1"/>
        </w:rPr>
        <w:t xml:space="preserve"> </w:t>
      </w:r>
      <w:r w:rsidR="00DE3FCA" w:rsidRPr="00DE3FCA">
        <w:rPr>
          <w:i/>
          <w:color w:val="000000" w:themeColor="text1"/>
        </w:rPr>
        <w:t>et al</w:t>
      </w:r>
      <w:r w:rsidR="00DE3FCA">
        <w:rPr>
          <w:color w:val="000000" w:themeColor="text1"/>
        </w:rPr>
        <w:t>.</w:t>
      </w:r>
      <w:r>
        <w:rPr>
          <w:color w:val="000000" w:themeColor="text1"/>
        </w:rPr>
        <w:t xml:space="preserve"> noted that </w:t>
      </w:r>
      <w:r>
        <w:rPr>
          <w:color w:val="000000" w:themeColor="text1"/>
        </w:rPr>
        <w:sym w:font="Symbol" w:char="F062"/>
      </w:r>
      <w:r>
        <w:rPr>
          <w:color w:val="000000" w:themeColor="text1"/>
        </w:rPr>
        <w:noBreakHyphen/>
        <w:t xml:space="preserve">APN treatment delayed the onset of contraction, Redden and </w:t>
      </w:r>
      <w:r w:rsidR="00DE3FCA">
        <w:rPr>
          <w:color w:val="000000" w:themeColor="text1"/>
        </w:rPr>
        <w:t>Doolin</w:t>
      </w:r>
      <w:r>
        <w:rPr>
          <w:color w:val="000000" w:themeColor="text1"/>
        </w:rPr>
        <w:t xml:space="preserve"> found that contraction occurred in a bimodal fashion, where the effect of </w:t>
      </w:r>
      <w:r>
        <w:rPr>
          <w:color w:val="000000" w:themeColor="text1"/>
        </w:rPr>
        <w:sym w:font="Symbol" w:char="F062"/>
      </w:r>
      <w:r>
        <w:rPr>
          <w:color w:val="000000" w:themeColor="text1"/>
        </w:rPr>
        <w:noBreakHyphen/>
        <w:t xml:space="preserve">APN treatment was only apparent after 2 days in culture. </w:t>
      </w:r>
    </w:p>
    <w:p w14:paraId="06CE8CF8" w14:textId="78E32B26" w:rsidR="00C0659D" w:rsidRPr="00F970EA" w:rsidRDefault="00C0659D" w:rsidP="00C0659D">
      <w:pPr>
        <w:rPr>
          <w:color w:val="000000" w:themeColor="text1"/>
        </w:rPr>
      </w:pPr>
      <w:r>
        <w:rPr>
          <w:color w:val="000000" w:themeColor="text1"/>
        </w:rPr>
        <w:t>Despite their widespread use for investigating the mechanism of contraction</w:t>
      </w:r>
      <w:r>
        <w:t xml:space="preserve">, collagen gels lack the complexity of an </w:t>
      </w:r>
      <w:r w:rsidRPr="000E4E3E">
        <w:rPr>
          <w:i/>
        </w:rPr>
        <w:t>in vivo</w:t>
      </w:r>
      <w:r>
        <w:t xml:space="preserve"> environment. The amount of collagen in the gel, by weight, is relatively low compared to mature human dermis.</w:t>
      </w:r>
      <w:r w:rsidRPr="009A7A3F">
        <w:rPr>
          <w:color w:val="FF0000"/>
        </w:rPr>
        <w:t xml:space="preserve"> </w:t>
      </w:r>
      <w:r w:rsidRPr="009A7A3F">
        <w:rPr>
          <w:color w:val="000000" w:themeColor="text1"/>
        </w:rPr>
        <w:t>Contraction, therefore, occurs much more readily in these models</w:t>
      </w:r>
      <w:r w:rsidRPr="00991C47">
        <w:rPr>
          <w:color w:val="000000" w:themeColor="text1"/>
        </w:rPr>
        <w:t xml:space="preserve">. In addition, Dallon and Ehrlich reviewed several decades of data from collagen gel studies and came to the conclusion </w:t>
      </w:r>
      <w:r>
        <w:rPr>
          <w:color w:val="000000" w:themeColor="text1"/>
        </w:rPr>
        <w:t>that the mode of contraction relied heavily on the method used to cast the gel.</w:t>
      </w:r>
      <w:r w:rsidRPr="00991C47">
        <w:rPr>
          <w:color w:val="000000" w:themeColor="text1"/>
        </w:rPr>
        <w:fldChar w:fldCharType="begin" w:fldLock="1"/>
      </w:r>
      <w:r w:rsidR="0085447D">
        <w:rPr>
          <w:color w:val="000000" w:themeColor="text1"/>
        </w:rPr>
        <w:instrText>ADDIN CSL_CITATION {"citationItems":[{"id":"ITEM-1","itemData":{"DOI":"10.1111/j.1524-475X.2008.00392.x","ISBN":"1524-475X (Electronic) 1067-1927 (Linking)","ISSN":"10671927","PMID":"18638264","abstract":"Bell's introduction of the fibroblast-populated collagen lattice (FPCL) has facilitated the study of collagen-cell interactions. As a result of the numerous modifications of the casting of FPCLs, the in vivo applications of these in vitro findings have been confusing. Here experimental FPCL contraction findings are viewed in regard to three proposed mechanisms responsible for lattice contraction. The cellular mechanisms responsible for generating FPCL contraction are cell contraction, cell tractional forces related to cell locomotion, and initial cell elongation and spreading.","author":[{"dropping-particle":"","family":"Dallon","given":"John C","non-dropping-particle":"","parse-names":false,"suffix":""},{"dropping-particle":"","family":"Ehrlich","given":"H Paul","non-dropping-particle":"","parse-names":false,"suffix":""}],"container-title":"Wound Repair and Regeneration","id":"ITEM-1","issue":"4","issued":{"date-parts":[["2008"]]},"page":"472-479","title":"A review of fibroblast-populated collagen lattices","type":"article-journal","volume":"16"},"uris":["http://www.mendeley.com/documents/?uuid=3756803c-7698-4f69-991f-578849d63bed"]}],"mendeley":{"formattedCitation":"&lt;sup&gt;77&lt;/sup&gt;","plainTextFormattedCitation":"77","previouslyFormattedCitation":"&lt;sup&gt;77&lt;/sup&gt;"},"properties":{"noteIndex":0},"schema":"https://github.com/citation-style-language/schema/raw/master/csl-citation.json"}</w:instrText>
      </w:r>
      <w:r w:rsidRPr="00991C47">
        <w:rPr>
          <w:color w:val="000000" w:themeColor="text1"/>
        </w:rPr>
        <w:fldChar w:fldCharType="separate"/>
      </w:r>
      <w:r w:rsidR="00B02713" w:rsidRPr="00B02713">
        <w:rPr>
          <w:noProof/>
          <w:color w:val="000000" w:themeColor="text1"/>
          <w:vertAlign w:val="superscript"/>
        </w:rPr>
        <w:t>77</w:t>
      </w:r>
      <w:r w:rsidRPr="00991C47">
        <w:rPr>
          <w:color w:val="000000" w:themeColor="text1"/>
        </w:rPr>
        <w:fldChar w:fldCharType="end"/>
      </w:r>
      <w:r w:rsidRPr="00991C47">
        <w:rPr>
          <w:color w:val="000000" w:themeColor="text1"/>
        </w:rPr>
        <w:t xml:space="preserve"> As a result, collagen gels cannot be considered to fully replicate the </w:t>
      </w:r>
      <w:r w:rsidRPr="00991C47">
        <w:rPr>
          <w:i/>
          <w:color w:val="000000" w:themeColor="text1"/>
        </w:rPr>
        <w:t>in vivo</w:t>
      </w:r>
      <w:r w:rsidRPr="00991C47">
        <w:rPr>
          <w:color w:val="000000" w:themeColor="text1"/>
        </w:rPr>
        <w:t xml:space="preserve"> environment. </w:t>
      </w:r>
    </w:p>
    <w:p w14:paraId="3D02C017" w14:textId="7A9B7981" w:rsidR="00C0659D" w:rsidRDefault="00C0659D" w:rsidP="00C0659D">
      <w:pPr>
        <w:rPr>
          <w:color w:val="000000" w:themeColor="text1"/>
        </w:rPr>
      </w:pPr>
      <w:r w:rsidRPr="008B36E6">
        <w:rPr>
          <w:color w:val="000000" w:themeColor="text1"/>
        </w:rPr>
        <w:t>In the past few decades, advances in primary cell expansion and an increased understanding of skin disease mechanisms have led to the development of tissue</w:t>
      </w:r>
      <w:r w:rsidR="009352BF">
        <w:rPr>
          <w:color w:val="000000" w:themeColor="text1"/>
        </w:rPr>
        <w:t>-</w:t>
      </w:r>
      <w:r w:rsidRPr="008B36E6">
        <w:rPr>
          <w:color w:val="000000" w:themeColor="text1"/>
        </w:rPr>
        <w:t xml:space="preserve">engineered skin </w:t>
      </w:r>
      <w:r>
        <w:rPr>
          <w:color w:val="000000" w:themeColor="text1"/>
        </w:rPr>
        <w:t xml:space="preserve">(TES) </w:t>
      </w:r>
      <w:r w:rsidRPr="008B36E6">
        <w:rPr>
          <w:color w:val="000000" w:themeColor="text1"/>
        </w:rPr>
        <w:t>for both laboratory and clinical use.</w:t>
      </w:r>
      <w:r w:rsidRPr="008B36E6">
        <w:rPr>
          <w:color w:val="000000" w:themeColor="text1"/>
        </w:rPr>
        <w:fldChar w:fldCharType="begin" w:fldLock="1"/>
      </w:r>
      <w:r w:rsidR="00DB1BCE">
        <w:rPr>
          <w:color w:val="000000" w:themeColor="text1"/>
        </w:rPr>
        <w:instrText>ADDIN CSL_CITATION {"citationItems":[{"id":"ITEM-1","itemData":{"DOI":"10.1038/nature05664","ISBN":"0028-0836 U6 - ctx_ver=Z39.88-2004&amp;ctx_enc=info%3Aofi%2Fenc%3AUTF-8&amp;rfr_id=info:sid/summon.serialssolutions.com&amp;rft_val_fmt=info:ofi/fmt:kev:mtx:journal&amp;rft.genre=article&amp;rft.atitle=Progress+and+opportunities+for+tissue-engineered+skin&amp;rft.jtitle=Nature&amp;rft.au=MacNeil%2C+Sheila&amp;rft.date=2007-02-22&amp;rft.pub=Nature+Publishing+Group&amp;rft.issn=0028-0836&amp;rft.volume=445&amp;rft.issue=7130&amp;rft.spage=874&amp;rft.epage=880&amp;rft_id=info:doi/10.1038%2Fnature05664&amp;rft.externalDBID=GNAA&amp;rft.externalDocID=17314974 U7 -","ISSN":"0028-0836","PMID":"17314974","abstract":"Tissue-engineered skin is now a reality. For patients with extensive full-thickness burns, laboratory expansion of skin cells to achieve barrier function can make the difference between life and death, and it was this acute need that drove the initiation of tissue engineering in the 1980s. A much larger group of patients have ulcers resistant to conventional healing, and treatments using cultured skin cells have been devised to restart the wound-healing process. In the laboratory, the use of tissue-engineered skin provides insight into the behaviour of skin cells in healthy skin and in diseases such as vitiligo, melanoma, psoriasis and blistering disorders.","author":[{"dropping-particle":"","family":"MacNeil","given":"Sheila","non-dropping-particle":"","parse-names":false,"suffix":""}],"container-title":"Nature","id":"ITEM-1","issue":"7130","issued":{"date-parts":[["2007"]]},"page":"874-880","title":"Progress and opportunities for tissue-engineered skin.","type":"article-journal","volume":"445"},"uris":["http://www.mendeley.com/documents/?uuid=11b4f7a8-aecc-468c-906f-01a4601302f0"]}],"mendeley":{"formattedCitation":"&lt;sup&gt;240&lt;/sup&gt;","plainTextFormattedCitation":"240","previouslyFormattedCitation":"&lt;sup&gt;239&lt;/sup&gt;"},"properties":{"noteIndex":0},"schema":"https://github.com/citation-style-language/schema/raw/master/csl-citation.json"}</w:instrText>
      </w:r>
      <w:r w:rsidRPr="008B36E6">
        <w:rPr>
          <w:color w:val="000000" w:themeColor="text1"/>
        </w:rPr>
        <w:fldChar w:fldCharType="separate"/>
      </w:r>
      <w:r w:rsidR="00DB1BCE" w:rsidRPr="00DB1BCE">
        <w:rPr>
          <w:noProof/>
          <w:color w:val="000000" w:themeColor="text1"/>
          <w:vertAlign w:val="superscript"/>
        </w:rPr>
        <w:t>240</w:t>
      </w:r>
      <w:r w:rsidRPr="008B36E6">
        <w:rPr>
          <w:color w:val="000000" w:themeColor="text1"/>
        </w:rPr>
        <w:fldChar w:fldCharType="end"/>
      </w:r>
      <w:r w:rsidRPr="008B36E6">
        <w:rPr>
          <w:color w:val="000000" w:themeColor="text1"/>
        </w:rPr>
        <w:t xml:space="preserve"> </w:t>
      </w:r>
      <w:r>
        <w:rPr>
          <w:color w:val="000000" w:themeColor="text1"/>
        </w:rPr>
        <w:t xml:space="preserve">The aim of TES is to mimic part, or all, of the skin’s function. TES models have been utilised in the cosmetic industry to test irritancy and corrosiveness of substances, and have been used as an alternative to animal testing (reviewed in detail by Mathes </w:t>
      </w:r>
      <w:r w:rsidRPr="00BC72B7">
        <w:rPr>
          <w:i/>
          <w:color w:val="000000" w:themeColor="text1"/>
        </w:rPr>
        <w:t>et al</w:t>
      </w:r>
      <w:r w:rsidR="00DE3FCA">
        <w:rPr>
          <w:i/>
          <w:color w:val="000000" w:themeColor="text1"/>
        </w:rPr>
        <w:t>.</w:t>
      </w:r>
      <w:r w:rsidRPr="00351FBC">
        <w:rPr>
          <w:color w:val="000000" w:themeColor="text1"/>
        </w:rPr>
        <w:t>).</w:t>
      </w:r>
      <w:r>
        <w:rPr>
          <w:color w:val="000000" w:themeColor="text1"/>
        </w:rPr>
        <w:fldChar w:fldCharType="begin" w:fldLock="1"/>
      </w:r>
      <w:r w:rsidR="00DB1BCE">
        <w:rPr>
          <w:color w:val="000000" w:themeColor="text1"/>
        </w:rPr>
        <w:instrText>ADDIN CSL_CITATION {"citationItems":[{"id":"ITEM-1","itemData":{"DOI":"10.1016/j.addr.2013.12.006","ISBN":"0169-409x","ISSN":"18728294","PMID":"24378581","abstract":"Three dimensional (3D) tissue models of the human skin are probably the most developed and understood in vitro engineered constructs. The motivation to accomplish organotypic structures was driven by the clinics to enable transplantation of in vitro grown tissue substitutes and by the cosmetics industry as alternative test substrates in order to replace animal models. Today a huge variety of 3D human skin models exist, covering a multitude of scientific and/or technical demands. This review summarizes and discusses different approaches of skin model development and sets them into the context of drug development. Although human skin models have become indispensable for the cosmetics industry, they have not yet started their triumphal procession in pharmaceutical research and development. For drug development these tissue models may be of particular interest for a) systemically acting drugs applied on the skin, and b) drugs acting at the site of application in the case of skin diseases or disorders. Although quite a broad spectrum of models covering different aspects of the skin as a biologically acting surface exists, these are most often single stand-alone approaches. In order to enable the comprehensive application into drug development processes, the approaches have to be synchronized to allow a cross-over comparison. Besides the development of biological relevant models, other issues are not less important in the context of drug development: standardized production procedures, process automation, establishment of significant analytical methods, and data correlation. For the successful routine use of engineered human skin models in drug development, major requirements were defined. If these requirements can be accomplished in the next few years, human organotypic skin models will become indispensable for drug development, too. © 2014 Elsevier B.V.","author":[{"dropping-particle":"","family":"Mathes","given":"Stephanie H.","non-dropping-particle":"","parse-names":false,"suffix":""},{"dropping-particle":"","family":"Ruffner","given":"Heinz","non-dropping-particle":"","parse-names":false,"suffix":""},{"dropping-particle":"","family":"Graf-Hausner","given":"Ursula","non-dropping-particle":"","parse-names":false,"suffix":""}],"container-title":"Advanced Drug Delivery Reviews","id":"ITEM-1","issued":{"date-parts":[["2014"]]},"page":"81-102","publisher":"Elsevier B.V.","title":"The use of skin models in drug development","type":"article-journal","volume":"69-70"},"uris":["http://www.mendeley.com/documents/?uuid=59c3646a-4256-425f-9ee9-f799d51425d7"]}],"mendeley":{"formattedCitation":"&lt;sup&gt;241&lt;/sup&gt;","plainTextFormattedCitation":"241","previouslyFormattedCitation":"&lt;sup&gt;240&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241</w:t>
      </w:r>
      <w:r>
        <w:rPr>
          <w:color w:val="000000" w:themeColor="text1"/>
        </w:rPr>
        <w:fldChar w:fldCharType="end"/>
      </w:r>
      <w:r>
        <w:rPr>
          <w:color w:val="000000" w:themeColor="text1"/>
        </w:rPr>
        <w:t xml:space="preserve"> This approach is being developed further for the pharmaceutical industry to test new topical therapies. </w:t>
      </w:r>
    </w:p>
    <w:p w14:paraId="2D8FFC76" w14:textId="130C38BA" w:rsidR="00C0659D" w:rsidRDefault="00C0659D" w:rsidP="00C0659D">
      <w:pPr>
        <w:rPr>
          <w:color w:val="000000" w:themeColor="text1"/>
        </w:rPr>
      </w:pPr>
      <w:r>
        <w:rPr>
          <w:color w:val="000000" w:themeColor="text1"/>
        </w:rPr>
        <w:t>From a clinical perspective, there is a substantial drive towards producing reliable skin substitutes to treat a range of morbidities including burns wounds, chronic ulcers, scar contraction and pigment defects.</w:t>
      </w:r>
      <w:r>
        <w:rPr>
          <w:color w:val="000000" w:themeColor="text1"/>
        </w:rPr>
        <w:fldChar w:fldCharType="begin" w:fldLock="1"/>
      </w:r>
      <w:r w:rsidR="00DB1BCE">
        <w:rPr>
          <w:color w:val="000000" w:themeColor="text1"/>
        </w:rPr>
        <w:instrText>ADDIN CSL_CITATION {"citationItems":[{"id":"ITEM-1","itemData":{"DOI":"10.1038/nature05664","ISBN":"0028-0836 U6 - ctx_ver=Z39.88-2004&amp;ctx_enc=info%3Aofi%2Fenc%3AUTF-8&amp;rfr_id=info:sid/summon.serialssolutions.com&amp;rft_val_fmt=info:ofi/fmt:kev:mtx:journal&amp;rft.genre=article&amp;rft.atitle=Progress+and+opportunities+for+tissue-engineered+skin&amp;rft.jtitle=Nature&amp;rft.au=MacNeil%2C+Sheila&amp;rft.date=2007-02-22&amp;rft.pub=Nature+Publishing+Group&amp;rft.issn=0028-0836&amp;rft.volume=445&amp;rft.issue=7130&amp;rft.spage=874&amp;rft.epage=880&amp;rft_id=info:doi/10.1038%2Fnature05664&amp;rft.externalDBID=GNAA&amp;rft.externalDocID=17314974 U7 -","ISSN":"0028-0836","PMID":"17314974","abstract":"Tissue-engineered skin is now a reality. For patients with extensive full-thickness burns, laboratory expansion of skin cells to achieve barrier function can make the difference between life and death, and it was this acute need that drove the initiation of tissue engineering in the 1980s. A much larger group of patients have ulcers resistant to conventional healing, and treatments using cultured skin cells have been devised to restart the wound-healing process. In the laboratory, the use of tissue-engineered skin provides insight into the behaviour of skin cells in healthy skin and in diseases such as vitiligo, melanoma, psoriasis and blistering disorders.","author":[{"dropping-particle":"","family":"MacNeil","given":"Sheila","non-dropping-particle":"","parse-names":false,"suffix":""}],"container-title":"Nature","id":"ITEM-1","issue":"7130","issued":{"date-parts":[["2007"]]},"page":"874-880","title":"Progress and opportunities for tissue-engineered skin.","type":"article-journal","volume":"445"},"uris":["http://www.mendeley.com/documents/?uuid=11b4f7a8-aecc-468c-906f-01a4601302f0"]}],"mendeley":{"formattedCitation":"&lt;sup&gt;240&lt;/sup&gt;","plainTextFormattedCitation":"240","previouslyFormattedCitation":"&lt;sup&gt;239&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240</w:t>
      </w:r>
      <w:r>
        <w:rPr>
          <w:color w:val="000000" w:themeColor="text1"/>
        </w:rPr>
        <w:fldChar w:fldCharType="end"/>
      </w:r>
      <w:r>
        <w:rPr>
          <w:color w:val="000000" w:themeColor="text1"/>
        </w:rPr>
        <w:t xml:space="preserve"> Success has been shown with a range of TES architectures, varying in complexity and function. Particularly for burn wounds, the key purpose of a skin substitute is to provide wound cover and accelerate wound closure. Either or both of these tasks can be achieved using commercially available TES, which </w:t>
      </w:r>
      <w:r>
        <w:t>can take the form of an epidermal component, a dermal component, or in some cases both</w:t>
      </w:r>
      <w:r>
        <w:rPr>
          <w:color w:val="000000" w:themeColor="text1"/>
        </w:rPr>
        <w:t>.</w:t>
      </w:r>
      <w:r>
        <w:rPr>
          <w:color w:val="000000" w:themeColor="text1"/>
        </w:rPr>
        <w:fldChar w:fldCharType="begin" w:fldLock="1"/>
      </w:r>
      <w:r w:rsidR="0085447D">
        <w:rPr>
          <w:color w:val="000000" w:themeColor="text1"/>
        </w:rPr>
        <w:instrText>ADDIN CSL_CITATION {"citationItems":[{"id":"ITEM-1","itemData":{"DOI":"10.1054/hips.2002.3800","ISBN":"0007-1226 (Print)\\r0007-1226 (Linking)","ISSN":"0007-1226","PMID":"12041969","abstract":"The role of artificial skin substitutes in burn surgery and the treatment of chronic wounds is constantly evolving. New products are regularly being produced and approved for clinical use. Studies on existing products clarify their efficacy and effectiveness in different clinical scenarios. This review is aimed at busy clinicians in order to bring them up to date with the latest developments in the field of artificial skin substitutes. It examines the components, structure, performance and comparative costs of the main commercial skin substitutes, and reviews briefly technologies under development that have not yet become widely available.","author":[{"dropping-particle":"","family":"Jones","given":"I","non-dropping-particle":"","parse-names":false,"suffix":""},{"dropping-particle":"","family":"Currie","given":"L","non-dropping-particle":"","parse-names":false,"suffix":""},{"dropping-particle":"","family":"Martin","given":"R","non-dropping-particle":"","parse-names":false,"suffix":""}],"container-title":"British journal of plastic surgery","id":"ITEM-1","issue":"3","issued":{"date-parts":[["2002"]]},"page":"185-193","title":"A guide to biological skin substitutes.","type":"article-journal","volume":"55"},"uris":["http://www.mendeley.com/documents/?uuid=6a3767e0-c1d8-43cf-a0df-6c1633f79718"]}],"mendeley":{"formattedCitation":"&lt;sup&gt;37&lt;/sup&gt;","plainTextFormattedCitation":"37","previouslyFormattedCitation":"&lt;sup&gt;37&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37</w:t>
      </w:r>
      <w:r>
        <w:rPr>
          <w:color w:val="000000" w:themeColor="text1"/>
        </w:rPr>
        <w:fldChar w:fldCharType="end"/>
      </w:r>
      <w:r>
        <w:rPr>
          <w:color w:val="000000" w:themeColor="text1"/>
        </w:rPr>
        <w:t xml:space="preserve"> </w:t>
      </w:r>
    </w:p>
    <w:p w14:paraId="07D50700" w14:textId="63711556" w:rsidR="00C0659D" w:rsidRPr="00502CD3" w:rsidRDefault="00C0659D" w:rsidP="00C0659D">
      <w:r>
        <w:lastRenderedPageBreak/>
        <w:t>The MacNeil group at the University of Sheffield have developed a tissue</w:t>
      </w:r>
      <w:r w:rsidR="009352BF">
        <w:t>-</w:t>
      </w:r>
      <w:r>
        <w:t xml:space="preserve">engineered skin composite, comprising of both dermal and epidermal layers, from sterilised </w:t>
      </w:r>
      <w:r w:rsidRPr="00C46C2B">
        <w:rPr>
          <w:i/>
        </w:rPr>
        <w:t>ex vivo</w:t>
      </w:r>
      <w:r>
        <w:t xml:space="preserve"> human skin.</w:t>
      </w:r>
      <w:r>
        <w:fldChar w:fldCharType="begin" w:fldLock="1"/>
      </w:r>
      <w:r w:rsidR="00DB1BCE">
        <w:instrText>ADDIN CSL_CITATION {"citationItems":[{"id":"ITEM-1","itemData":{"author":[{"dropping-particle":"","family":"Chakrabarty","given":"K H","non-dropping-particle":"","parse-names":false,"suffix":""},{"dropping-particle":"","family":"Dawson","given":"R A","non-dropping-particle":"","parse-names":false,"suffix":""},{"dropping-particle":"","family":"Harris","given":"P","non-dropping-particle":"","parse-names":false,"suffix":""},{"dropping-particle":"","family":"Layton","given":"C","non-dropping-particle":"","parse-names":false,"suffix":""},{"dropping-particle":"","family":"Babu","given":"M","non-dropping-particle":"","parse-names":false,"suffix":""},{"dropping-particle":"","family":"Gould","given":"L","non-dropping-particle":"","parse-names":false,"suffix":""},{"dropping-particle":"","family":"Phillips","given":"J","non-dropping-particle":"","parse-names":false,"suffix":""},{"dropping-particle":"","family":"Leigh","given":"I","non-dropping-particle":"","parse-names":false,"suffix":""},{"dropping-particle":"","family":"Green","given":"C","non-dropping-particle":"","parse-names":false,"suffix":""},{"dropping-particle":"","family":"Neil","given":"S M A C","non-dropping-particle":"","parse-names":false,"suffix":""}],"container-title":"British Journal of Dermatology","id":"ITEM-1","issued":{"date-parts":[["1999"]]},"page":"811-823","title":"Development of autologous human dermal - epidermal composites based on sterilized human allodermis for clinical use","type":"article-journal","volume":"141"},"uris":["http://www.mendeley.com/documents/?uuid=a5b02888-4af6-4a11-b664-dee704005a60"]}],"mendeley":{"formattedCitation":"&lt;sup&gt;242&lt;/sup&gt;","plainTextFormattedCitation":"242","previouslyFormattedCitation":"&lt;sup&gt;241&lt;/sup&gt;"},"properties":{"noteIndex":0},"schema":"https://github.com/citation-style-language/schema/raw/master/csl-citation.json"}</w:instrText>
      </w:r>
      <w:r>
        <w:fldChar w:fldCharType="separate"/>
      </w:r>
      <w:r w:rsidR="00DB1BCE" w:rsidRPr="00DB1BCE">
        <w:rPr>
          <w:noProof/>
          <w:vertAlign w:val="superscript"/>
        </w:rPr>
        <w:t>242</w:t>
      </w:r>
      <w:r>
        <w:fldChar w:fldCharType="end"/>
      </w:r>
      <w:r>
        <w:t xml:space="preserve"> The composite was</w:t>
      </w:r>
      <w:r w:rsidR="00DE3FCA">
        <w:t xml:space="preserve"> initially</w:t>
      </w:r>
      <w:r>
        <w:t xml:space="preserve"> intended for clinical use through one-stage grafting for patients with extensive, full-thickness skin loss. The model has since been developed to study reepithelialisation,</w:t>
      </w:r>
      <w:r>
        <w:fldChar w:fldCharType="begin" w:fldLock="1"/>
      </w:r>
      <w:r w:rsidR="00DB1BCE">
        <w:instrText>ADDIN CSL_CITATION {"citationItems":[{"id":"ITEM-1","itemData":{"DOI":"10.1111/j.1743-6109.2006.00111.x","ISBN":"1067-1927 (Print)\\r1067-1927 (Linking)","ISSN":"10671927","PMID":"16630110","abstract":"To produce a stable epidermis, keratinocytes need to be firmly attached to the basement membrane. However, following wounding, keratinocytes are required to develop a migratory phenotype in order to reepithelialize the wound. To investigate some of the issues underlying reepithelialization, we have developed a three-dimensional in vitro model of tissue-engineered skin, comprising sterilized human dermis seeded with human keratinocytes and dermal fibroblasts. Using this model, we have shown that the inclusion of fibroblasts within the model increases the stability of keratinocyte attachment. We have also demonstrated that keratinocyte migration occurs most effectively in the absence of a basement membrane and following the inclusion of fibroblasts in the model. In addition, subjecting the keratinocyte layer to mechanical trauma induces a migratory phenotype. We conclude that this three-dimensional in vitro wound model can be used to increase our understanding of the factors that enhance keratinocyte migration and hence wound healing in vivo.","author":[{"dropping-particle":"","family":"Harrison","given":"Caroline A.","non-dropping-particle":"","parse-names":false,"suffix":""},{"dropping-particle":"","family":"Heaton","given":"Martin J.","non-dropping-particle":"","parse-names":false,"suffix":""},{"dropping-particle":"","family":"Layton","given":"Christopher M.","non-dropping-particle":"","parse-names":false,"suffix":""},{"dropping-particle":"","family":"Neil","given":"Sheila","non-dropping-particle":"Mac","parse-names":false,"suffix":""}],"container-title":"Wound Repair and Regeneration","id":"ITEM-1","issue":"2","issued":{"date-parts":[["2006"]]},"page":"203-209","title":"Use of an in vitro model of tissue-engineered human skin to study keratinocyte attachment and migration in the process of reepithelialization","type":"article-journal","volume":"14"},"uris":["http://www.mendeley.com/documents/?uuid=88f682fb-7d44-4dd2-974a-09a6fe2caae1"]}],"mendeley":{"formattedCitation":"&lt;sup&gt;243&lt;/sup&gt;","plainTextFormattedCitation":"243","previouslyFormattedCitation":"&lt;sup&gt;242&lt;/sup&gt;"},"properties":{"noteIndex":0},"schema":"https://github.com/citation-style-language/schema/raw/master/csl-citation.json"}</w:instrText>
      </w:r>
      <w:r>
        <w:fldChar w:fldCharType="separate"/>
      </w:r>
      <w:r w:rsidR="00DB1BCE" w:rsidRPr="00DB1BCE">
        <w:rPr>
          <w:noProof/>
          <w:vertAlign w:val="superscript"/>
        </w:rPr>
        <w:t>243</w:t>
      </w:r>
      <w:r>
        <w:fldChar w:fldCharType="end"/>
      </w:r>
      <w:r>
        <w:t xml:space="preserve"> bacterial infection</w:t>
      </w:r>
      <w:r>
        <w:fldChar w:fldCharType="begin" w:fldLock="1"/>
      </w:r>
      <w:r w:rsidR="00DB1BCE">
        <w:instrText>ADDIN CSL_CITATION {"citationItems":[{"id":"ITEM-1","itemData":{"DOI":"10.1007/978-1-60761-984-0","ISBN":"978-1-60761-983-3","ISSN":"1940-6029","PMID":"21042974","author":[{"dropping-particle":"","family":"Macneil","given":"Sheila","non-dropping-particle":"","parse-names":false,"suffix":""},{"dropping-particle":"","family":"Shepherd","given":"Joanna","non-dropping-particle":"","parse-names":false,"suffix":""},{"dropping-particle":"","family":"Smith","given":"Louise","non-dropping-particle":"","parse-names":false,"suffix":""}],"chapter-number":"Nine:Produ","container-title":"3D Cell Culture: Methods and Protocols, Methods in Molecular Biology","edition":"2011","editor":[{"dropping-particle":"","family":"Haycock","given":"John W.","non-dropping-particle":"","parse-names":false,"suffix":""}],"id":"ITEM-1","issue":"June 2014","issued":{"date-parts":[["2011"]]},"page":"129-153","publisher":"Humana Press Inc","title":"Production of Tissue-Engineered Skin and Oral Mucosa for Clinical and Experimental Use","type":"chapter","volume":"695"},"uris":["http://www.mendeley.com/documents/?uuid=7bc44acc-6329-4e0a-945e-b2637ccbba70"]}],"mendeley":{"formattedCitation":"&lt;sup&gt;244&lt;/sup&gt;","plainTextFormattedCitation":"244","previouslyFormattedCitation":"&lt;sup&gt;243&lt;/sup&gt;"},"properties":{"noteIndex":0},"schema":"https://github.com/citation-style-language/schema/raw/master/csl-citation.json"}</w:instrText>
      </w:r>
      <w:r>
        <w:fldChar w:fldCharType="separate"/>
      </w:r>
      <w:r w:rsidR="00DB1BCE" w:rsidRPr="00DB1BCE">
        <w:rPr>
          <w:noProof/>
          <w:vertAlign w:val="superscript"/>
        </w:rPr>
        <w:t>244</w:t>
      </w:r>
      <w:r>
        <w:fldChar w:fldCharType="end"/>
      </w:r>
      <w:r>
        <w:t xml:space="preserve"> and angiogenesis in TES.</w:t>
      </w:r>
      <w:r>
        <w:fldChar w:fldCharType="begin" w:fldLock="1"/>
      </w:r>
      <w:r w:rsidR="00DB1BCE">
        <w:instrText>ADDIN CSL_CITATION {"citationItems":[{"id":"ITEM-1","itemData":{"DOI":"10.1046/j.1524-475X.2003.11407.x","ISBN":"1067-1927 (Print)\\r1067-1927 (Linking)","ISSN":"10671927","PMID":"12846915","abstract":"We have previously shown that reconstructed human skin engineered from autologous keratinocytes, fibroblasts, and sterilized donor allodermis stimulates angiogenesis within 5-7 days when placed on well-vascularized wound beds in nude mice. When this reconstructed skin was used clinically in more demanding wound beds, some grafts were lost, possibly due to delayed vascularization. As this reconstructed skin lacks any endothelial cells, our aim in this study was to develop an angiogenic reconstructed skin model in which to explore strategies to improve angiogenesis both in vitro and in vivo. We report that culture of small-vessel human dermal microvascular endothelial cells (HuDMECs) was achieved using magnetic beads coated with an antibody to platelet cell adhesion molecule as a means of purifying the culture. Keratinocytes, fibroblasts, and HuDMECs could be cultured from the same skin biopsy. Initial studies culturing HuDMECs and other sources of endothelial cells with the tissue-engineered skin showed that these cells were capable of slowly entering the dermis under standard culture conditions in vitro. In conclusion, this provides us with a model in which to explore strategies for improving angiogenesis in vitro and also establishes the culture methodologies for the production of reconstructed skin containing autologous keratinocytes, fibroblasts, and endothelial cells.","author":[{"dropping-particle":"","family":"Sahota","given":"Parbinder S.","non-dropping-particle":"","parse-names":false,"suffix":""},{"dropping-particle":"","family":"Burn","given":"J. Lance","non-dropping-particle":"","parse-names":false,"suffix":""},{"dropping-particle":"","family":"Heaton","given":"Martin","non-dropping-particle":"","parse-names":false,"suffix":""},{"dropping-particle":"","family":"Freedlander","given":"Eric","non-dropping-particle":"","parse-names":false,"suffix":""},{"dropping-particle":"","family":"Suvarna","given":"Simon K.","non-dropping-particle":"","parse-names":false,"suffix":""},{"dropping-particle":"","family":"Brown","given":"Nicola J.","non-dropping-particle":"","parse-names":false,"suffix":""},{"dropping-particle":"","family":"Neil","given":"Shelia","non-dropping-particle":"Mac","parse-names":false,"suffix":""}],"container-title":"Wound Repair and Regeneration","id":"ITEM-1","issue":"4","issued":{"date-parts":[["2003"]]},"page":"275-284","title":"Development of a reconstructed human skin model for angiogenesis","type":"article-journal","volume":"11"},"uris":["http://www.mendeley.com/documents/?uuid=4dc9c779-7a77-454d-8642-41a775e92bc5"]}],"mendeley":{"formattedCitation":"&lt;sup&gt;245&lt;/sup&gt;","plainTextFormattedCitation":"245","previouslyFormattedCitation":"&lt;sup&gt;244&lt;/sup&gt;"},"properties":{"noteIndex":0},"schema":"https://github.com/citation-style-language/schema/raw/master/csl-citation.json"}</w:instrText>
      </w:r>
      <w:r>
        <w:fldChar w:fldCharType="separate"/>
      </w:r>
      <w:r w:rsidR="00DB1BCE" w:rsidRPr="00DB1BCE">
        <w:rPr>
          <w:noProof/>
          <w:vertAlign w:val="superscript"/>
        </w:rPr>
        <w:t>245</w:t>
      </w:r>
      <w:r>
        <w:fldChar w:fldCharType="end"/>
      </w:r>
      <w:r>
        <w:t xml:space="preserve"> </w:t>
      </w:r>
      <w:r w:rsidRPr="00502CD3">
        <w:t xml:space="preserve">Whilst preparing TES </w:t>
      </w:r>
      <w:r>
        <w:t xml:space="preserve">composites as potential </w:t>
      </w:r>
      <w:r w:rsidR="00DE3FCA">
        <w:t>wound covers for burns, Ralston </w:t>
      </w:r>
      <w:r w:rsidRPr="00502CD3">
        <w:rPr>
          <w:i/>
        </w:rPr>
        <w:t>et al</w:t>
      </w:r>
      <w:r>
        <w:t>. noted that the composites were able to contract over a number of days in culture.</w:t>
      </w:r>
      <w:r>
        <w:fldChar w:fldCharType="begin" w:fldLock="1"/>
      </w:r>
      <w:r w:rsidR="0085447D">
        <w:instrText>ADDIN CSL_CITATION {"citationItems":[{"id":"ITEM-1","itemData":{"DOI":"10.1016/S0007-1226(97)90327-1","ISSN":"00071226","PMID":"9326143","abstract":"Composites of human de-epidermised acellular dermis and normal adult human keratinocytes and fibroblasts were examined for the ability of cells to contract these composites. Image analysis of the outline or the composites showed that, in this model, keratinocytes alone or in the presence of fibroblasts caused highly significant contraction (of the order of 25% by day 12). There was no significant contraction of the dermis with fibroblasts alone or in the absence of cells. The presence or absence of basement membrane antigens did not influence the effect of keratinocytes on dermal contraction. Analysis of the conditioned media from these composites showed that the greatest fibronectin production was seen with fibroblasts alone in the presence of basement membrane. Keratinocytes alone produced little fibronectin irrespective of the presence of the basement membrane. If keratinocytes were present with fibroblasts, however, then fibronectin production was significantly reduced both in the presence and absence of the basement membrane, indicating that keratinocytes modify dermal fibroblast extracellular matrix production. This study shows that while keratinocytes and fibroblasts are clearly influencing each other's activity in this human skin composite model, under the circumstances we describe it is the keratinocyte and not the fibroblast which causes contraction of the human de-epidermised acellular dermis.","author":[{"dropping-particle":"","family":"Ralston","given":"D R","non-dropping-particle":"","parse-names":false,"suffix":""},{"dropping-particle":"","family":"Layton","given":"C","non-dropping-particle":"","parse-names":false,"suffix":""},{"dropping-particle":"","family":"Dalley","given":"A. J.","non-dropping-particle":"","parse-names":false,"suffix":""},{"dropping-particle":"","family":"Boyce","given":"S G","non-dropping-particle":"","parse-names":false,"suffix":""},{"dropping-particle":"","family":"Freedlander","given":"E","non-dropping-particle":"","parse-names":false,"suffix":""},{"dropping-particle":"","family":"MacNeil","given":"S.","non-dropping-particle":"","parse-names":false,"suffix":""}],"container-title":"British Journal of Plastic Surgery","id":"ITEM-1","issue":"6","issued":{"date-parts":[["1997"]]},"page":"408-415","title":"Keratinocytes contract human dermal extracellular matrix and reduce soluble fibronectin production by fibroblasts in a skin composite model","type":"article-journal","volume":"50"},"uris":["http://www.mendeley.com/documents/?uuid=5f5a3ae6-cca5-474d-8b36-cfde6f337a1a"]}],"mendeley":{"formattedCitation":"&lt;sup&gt;73&lt;/sup&gt;","plainTextFormattedCitation":"73","previouslyFormattedCitation":"&lt;sup&gt;73&lt;/sup&gt;"},"properties":{"noteIndex":0},"schema":"https://github.com/citation-style-language/schema/raw/master/csl-citation.json"}</w:instrText>
      </w:r>
      <w:r>
        <w:fldChar w:fldCharType="separate"/>
      </w:r>
      <w:r w:rsidR="00B02713" w:rsidRPr="00B02713">
        <w:rPr>
          <w:noProof/>
          <w:vertAlign w:val="superscript"/>
        </w:rPr>
        <w:t>73</w:t>
      </w:r>
      <w:r>
        <w:fldChar w:fldCharType="end"/>
      </w:r>
      <w:r>
        <w:t xml:space="preserve"> This led to an investigation into the use of TES composites as an </w:t>
      </w:r>
      <w:r w:rsidRPr="00502CD3">
        <w:rPr>
          <w:i/>
        </w:rPr>
        <w:t>in vitro</w:t>
      </w:r>
      <w:r>
        <w:t xml:space="preserve"> model of contraction. Seeding the composites with fibroblasts, keratinocytes, or a combination of the two cell types, led to the conclusion that contraction was ultimately driven by the presence of keratinocytes. This finding opposed much of the literature on contraction gained from collagen gel studies. This work was reproduced and supported by Chakrabarty </w:t>
      </w:r>
      <w:r w:rsidRPr="00502CD3">
        <w:rPr>
          <w:i/>
        </w:rPr>
        <w:t>et al</w:t>
      </w:r>
      <w:r>
        <w:t>., who demonstrated that increasing the number of fibroblasts in the TES composite had a negligible effect on the degree of contraction, whilst increasing the number of keratinocytes caused a marked increase in contraction.</w:t>
      </w:r>
      <w:r>
        <w:fldChar w:fldCharType="begin" w:fldLock="1"/>
      </w:r>
      <w:r w:rsidR="0085447D">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fldChar w:fldCharType="separate"/>
      </w:r>
      <w:r w:rsidR="00B02713" w:rsidRPr="00B02713">
        <w:rPr>
          <w:noProof/>
          <w:vertAlign w:val="superscript"/>
        </w:rPr>
        <w:t>74</w:t>
      </w:r>
      <w:r>
        <w:fldChar w:fldCharType="end"/>
      </w:r>
      <w:r>
        <w:t xml:space="preserve"> </w:t>
      </w:r>
    </w:p>
    <w:p w14:paraId="127A2D18" w14:textId="6EFCA23F" w:rsidR="00C0659D" w:rsidRDefault="00C0659D" w:rsidP="00C0659D">
      <w:r>
        <w:t xml:space="preserve">To try and understand the mechanism driving contraction of the TES composites, Harrison </w:t>
      </w:r>
      <w:r w:rsidRPr="00351FBC">
        <w:rPr>
          <w:i/>
        </w:rPr>
        <w:t>et al</w:t>
      </w:r>
      <w:r>
        <w:t>. treated TES composites with various pharmacological agents, examining their effect on collagen synthesis, degradation and cross-linking.</w:t>
      </w:r>
      <w:r>
        <w:fldChar w:fldCharType="begin" w:fldLock="1"/>
      </w:r>
      <w:r w:rsidR="0085447D">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fldChar w:fldCharType="separate"/>
      </w:r>
      <w:r w:rsidR="00B02713" w:rsidRPr="00B02713">
        <w:rPr>
          <w:noProof/>
          <w:vertAlign w:val="superscript"/>
        </w:rPr>
        <w:t>78</w:t>
      </w:r>
      <w:r>
        <w:fldChar w:fldCharType="end"/>
      </w:r>
      <w:r>
        <w:t xml:space="preserve"> Whilst no clear relationship could be established between either collagen synthesis or degradation with contraction, pre-treatment of the dermis with 0.05 % (v/v) glutaraldehyde was able to greatly inhibit composite contraction. This was attributed to stiffening of the collagen matrix through crosslinking. In addition, treating the TES composites with 200 µg/mL </w:t>
      </w:r>
      <w:r>
        <w:sym w:font="Symbol" w:char="F062"/>
      </w:r>
      <w:r>
        <w:noBreakHyphen/>
        <w:t xml:space="preserve">APN led to a significant reduction in contraction (p &lt; 0.05). These findings suggested that contraction in the TES composites was facilitated by </w:t>
      </w:r>
      <w:r w:rsidR="003920D6">
        <w:t>LOX</w:t>
      </w:r>
      <w:r>
        <w:t xml:space="preserve"> catalysed </w:t>
      </w:r>
      <w:r w:rsidR="00DE3FCA">
        <w:t xml:space="preserve">collagen </w:t>
      </w:r>
      <w:r>
        <w:t>cross-links. Work by the same group prepared tissue</w:t>
      </w:r>
      <w:r w:rsidR="009352BF">
        <w:t>-</w:t>
      </w:r>
      <w:r>
        <w:t>engineered buccal mucosa (TEBM) for urethral replacement</w:t>
      </w:r>
      <w:r>
        <w:fldChar w:fldCharType="begin" w:fldLock="1"/>
      </w:r>
      <w:r w:rsidR="00DB1BCE">
        <w:instrText>ADDIN CSL_CITATION {"citationItems":[{"id":"ITEM-1","itemData":{"DOI":"doi:10.1111/j.1464-410X.2003.04723.x","ISSN":"1464-4096","abstract":"OBJECTIVE To develop tissue-engineered buccal mucosa (TEBM) for use in substitution urethroplasty, as urethral reconstruction is limited by the amount and type of tissue that is available for grafting, and BM has become the favoured tissue for use as a urethral substitute in the last decade. MATERIALS AND METHODS After enzymatic treatment of a small (0.5?cm) BM biopsy the epidermis and dermis were mechanically separated. Oral keratinocytes were isolated from the epidermis and oral fibroblasts from the dermis. These cells were expanded and applied to sterilized de-epidermized dermis (DED) to obtain a full-thickness TE oral mucosa. Horizontal migration of keratinocytes on the DED was assessed using a tetrazolium-blue (MTT) assay. The TEBM was assessed histologically after mechanical stressing in vitro using catheterization and meshing. RESULTS Histologically the TEBM closely resembled the native oral mucosa after culturing at an air?liquid interface for 2?weeks. The MTT assay showed good horizontal migration of keratinocytes on the DED. Serial histology revealed a gradually increasing thickness of the epidermis and remodelling of the dermis by the fibroblasts from day 1 to day 14. Despite subjecting the TEBM to mechanical stress the integrity of the epidermal-dermal junction was maintained. CONCLUSIONS We report the successful culture of full-thickness TEBM for substitution urethroplasty, which is robust and suitable for clinical use.","author":[{"dropping-particle":"","family":"Bhargava","given":"S","non-dropping-particle":"","parse-names":false,"suffix":""},{"dropping-particle":"","family":"Chapple","given":"Cr R","non-dropping-particle":"","parse-names":false,"suffix":""},{"dropping-particle":"","family":"Bullock","given":"A J","non-dropping-particle":"","parse-names":false,"suffix":""},{"dropping-particle":"","family":"Layton","given":"C","non-dropping-particle":"","parse-names":false,"suffix":""},{"dropping-particle":"","family":"MacNeil","given":"S","non-dropping-particle":"","parse-names":false,"suffix":""}],"container-title":"BJU International","id":"ITEM-1","issue":"6","issued":{"date-parts":[["2004"]]},"page":"807-811","title":"Tissue-engineered buccal mucosa for substitution urethroplasty","type":"article-journal","volume":"93"},"uris":["http://www.mendeley.com/documents/?uuid=4d98c1ef-b25c-4c89-882a-4dfb566ff0a3"]}],"mendeley":{"formattedCitation":"&lt;sup&gt;246&lt;/sup&gt;","plainTextFormattedCitation":"246","previouslyFormattedCitation":"&lt;sup&gt;245&lt;/sup&gt;"},"properties":{"noteIndex":0},"schema":"https://github.com/citation-style-language/schema/raw/master/csl-citation.json"}</w:instrText>
      </w:r>
      <w:r>
        <w:fldChar w:fldCharType="separate"/>
      </w:r>
      <w:r w:rsidR="00DB1BCE" w:rsidRPr="00DB1BCE">
        <w:rPr>
          <w:noProof/>
          <w:vertAlign w:val="superscript"/>
        </w:rPr>
        <w:t>246</w:t>
      </w:r>
      <w:r>
        <w:fldChar w:fldCharType="end"/>
      </w:r>
      <w:r>
        <w:t xml:space="preserve"> and successfully transplanted it into five patients with urethral stricture.</w:t>
      </w:r>
      <w:r>
        <w:fldChar w:fldCharType="begin" w:fldLock="1"/>
      </w:r>
      <w:r w:rsidR="00DB1BCE">
        <w:instrText>ADDIN CSL_CITATION {"citationItems":[{"id":"ITEM-1","itemData":{"DOI":"10.1016/j.eururo.2008.01.061","ISBN":"0302-2838 (Print)\\r0302-2838 (Linking)","ISSN":"03022838","PMID":"18262717","abstract":"Introduction: Whilst buccal mucosa is the most versatile tissue for urethral replacement, the quest continues for an ideal tissue replacement for the urethra when substantial tissue transfer is needed. Previously we described the development of autologous tissue-engineered buccal mucosa (TEBM). Here we report clinical outcomes of the first human series of its use in substitution urethroplasty. Methodology: Five patients with urethral stricture secondary to lichen sclerosus (LS) awaiting substantial substitution urethroplasty elected to undergo urethroplasty using TEBM, with full ethics committee support. Buccal mucosa biopsies (0.5 cm) were obtained from each patient. Keratinocytes and fibroblasts were isolated and cultured, seeded onto sterilised donor de-epidermised dermis, and maintained at air-liquid interface for 7-10 d to obtain full-thickness grafts. These grafts were used for urethroplasty in a one-stage (n = 2) or a two-stage procedure (n = 3). Follow-up was performed at 2 and 6 wk, at 3, 6, 9, and 12 mo, and every 6 mo thereafter. Results: Follow-up ranged from 32 to 37 mo (mean, 33.6). The initial graft take was 100%, as assessed by visual inspection. Subsequently, one patient had complete excision of the grafted urethra and one required partial graft excision, for fibrosis and hyperproliferation of tissue, respectively. Three patients have a patent urethra with the TEBM graft in situ, although all three required some form of instrumentation. Conclusions: Whilst TEBM may in the future offer a clinically useful autologous urethral replacement tissue, in this group of patients with LS urethral strictures, it was not without complications, namely fibrosis and contraction in two of five patients. © 2008 European Association of Urology.","author":[{"dropping-particle":"","family":"Bhargava","given":"Saurabh","non-dropping-particle":"","parse-names":false,"suffix":""},{"dropping-particle":"","family":"Patterson","given":"Jacob M.","non-dropping-particle":"","parse-names":false,"suffix":""},{"dropping-particle":"","family":"Inman","given":"Richard D.","non-dropping-particle":"","parse-names":false,"suffix":""},{"dropping-particle":"","family":"MacNeil","given":"Sheila","non-dropping-particle":"","parse-names":false,"suffix":""},{"dropping-particle":"","family":"Chapple","given":"Christopher R.","non-dropping-particle":"","parse-names":false,"suffix":""}],"container-title":"European Urology","id":"ITEM-1","issue":"6","issued":{"date-parts":[["2008"]]},"page":"1263-1271","title":"Tissue-Engineered Buccal Mucosa Urethroplasty-Clinical Outcomes","type":"article-journal","volume":"53"},"uris":["http://www.mendeley.com/documents/?uuid=bb701ea9-107d-49ea-b7a1-8e2679c607cd"]}],"mendeley":{"formattedCitation":"&lt;sup&gt;247&lt;/sup&gt;","plainTextFormattedCitation":"247","previouslyFormattedCitation":"&lt;sup&gt;246&lt;/sup&gt;"},"properties":{"noteIndex":0},"schema":"https://github.com/citation-style-language/schema/raw/master/csl-citation.json"}</w:instrText>
      </w:r>
      <w:r>
        <w:fldChar w:fldCharType="separate"/>
      </w:r>
      <w:r w:rsidR="00DB1BCE" w:rsidRPr="00DB1BCE">
        <w:rPr>
          <w:noProof/>
          <w:vertAlign w:val="superscript"/>
        </w:rPr>
        <w:t>247</w:t>
      </w:r>
      <w:r>
        <w:fldChar w:fldCharType="end"/>
      </w:r>
      <w:r>
        <w:t xml:space="preserve"> Whilst initial graft take was very successful, two of the five patients presented with fibrosis and contracture</w:t>
      </w:r>
      <w:r w:rsidRPr="00010B6B">
        <w:t xml:space="preserve"> </w:t>
      </w:r>
      <w:r>
        <w:t xml:space="preserve">after 3 years. The group therefore investigated methods to reduce contraction of TEBM. Similar to Harrison </w:t>
      </w:r>
      <w:r w:rsidRPr="0096550E">
        <w:rPr>
          <w:i/>
        </w:rPr>
        <w:t>et al</w:t>
      </w:r>
      <w:r>
        <w:t xml:space="preserve">., treatment with 0.05 % glutaraldehyde and 200 µg/mL </w:t>
      </w:r>
      <w:r>
        <w:sym w:font="Symbol" w:char="F062"/>
      </w:r>
      <w:r>
        <w:noBreakHyphen/>
        <w:t>APN were able to significantly inhibit contraction of the TEBM.</w:t>
      </w:r>
    </w:p>
    <w:p w14:paraId="7420BDFE" w14:textId="77777777" w:rsidR="00C0659D" w:rsidRPr="00FA05B6" w:rsidRDefault="00C0659D" w:rsidP="00C0659D">
      <w:r>
        <w:lastRenderedPageBreak/>
        <w:t xml:space="preserve">The work describing TES and TEBM models of contracture highlights how these models can be used to infer clinically-relevant knowledge about the progression of contracture. As a result, the aim of this chapter was to test both </w:t>
      </w:r>
      <w:r>
        <w:sym w:font="Symbol" w:char="F062"/>
      </w:r>
      <w:r>
        <w:noBreakHyphen/>
        <w:t xml:space="preserve">APN and the synthesised prodrugs in a TES model of contraction. </w:t>
      </w:r>
    </w:p>
    <w:p w14:paraId="2725B608" w14:textId="0977CAA5" w:rsidR="00C0659D" w:rsidRDefault="00C0659D" w:rsidP="00C0659D">
      <w:pPr>
        <w:pStyle w:val="Heading2"/>
      </w:pPr>
      <w:bookmarkStart w:id="214" w:name="_Toc520463555"/>
      <w:bookmarkStart w:id="215" w:name="_Toc2451042"/>
      <w:r>
        <w:t>Materials</w:t>
      </w:r>
      <w:bookmarkEnd w:id="214"/>
      <w:bookmarkEnd w:id="215"/>
    </w:p>
    <w:p w14:paraId="5FC41890" w14:textId="1B6DDCD7" w:rsidR="00C0659D" w:rsidRPr="00787637" w:rsidRDefault="00C0659D" w:rsidP="00C0659D">
      <w:pPr>
        <w:rPr>
          <w:color w:val="FF0000"/>
        </w:rPr>
      </w:pPr>
      <w:r>
        <w:t>Dimethyl sulfoxide (DMSO, &gt; 99.9</w:t>
      </w:r>
      <w:r w:rsidR="00D801AD">
        <w:t> </w:t>
      </w:r>
      <w:r>
        <w:t>%) was obtained from Alfa Aesar. β</w:t>
      </w:r>
      <w:r>
        <w:noBreakHyphen/>
        <w:t>aminopropionitrile fumarate salt (β</w:t>
      </w:r>
      <w:r>
        <w:noBreakHyphen/>
        <w:t>APN, &gt; 99 %) was obtained from Acros Organics.</w:t>
      </w:r>
      <w:r w:rsidRPr="003F72A6">
        <w:t xml:space="preserve"> </w:t>
      </w:r>
      <w:r>
        <w:t xml:space="preserve">Difco trypsin was obtained from Difco Labs. Industrially methylated spirit (IMS), sodium chloride (NaCl, 99.6 %), </w:t>
      </w:r>
      <w:r w:rsidRPr="002E1753">
        <w:rPr>
          <w:color w:val="000000" w:themeColor="text1"/>
        </w:rPr>
        <w:t>sodium hydroxide (NaOH, &gt; 97</w:t>
      </w:r>
      <w:r w:rsidR="00D801AD">
        <w:rPr>
          <w:color w:val="000000" w:themeColor="text1"/>
        </w:rPr>
        <w:t> </w:t>
      </w:r>
      <w:r w:rsidRPr="002E1753">
        <w:rPr>
          <w:color w:val="000000" w:themeColor="text1"/>
        </w:rPr>
        <w:t xml:space="preserve">%) </w:t>
      </w:r>
      <w:r>
        <w:rPr>
          <w:color w:val="000000" w:themeColor="text1"/>
        </w:rPr>
        <w:t xml:space="preserve">and xylene </w:t>
      </w:r>
      <w:r w:rsidRPr="002E1753">
        <w:rPr>
          <w:color w:val="000000" w:themeColor="text1"/>
        </w:rPr>
        <w:t>were</w:t>
      </w:r>
      <w:r>
        <w:t xml:space="preserve"> obtained from Fisher Scientific. DPX mounting media was obtained from Merck. Phosphate-buffered saline (PBS) tablets were obtained from Oxoid and prepared in deionised water at a </w:t>
      </w:r>
      <w:r w:rsidRPr="006547A7">
        <w:t>concentration of 100 mM, pH 7.3.</w:t>
      </w:r>
      <w:r>
        <w:t xml:space="preserve"> Recombinant human epidermal growth factor (rh EGF) (97 %) and recombinant human lysyl oxidase-like-2 (LOXL2) (&gt; 90 %) were obtained from R&amp;D systems.</w:t>
      </w:r>
      <w:r w:rsidRPr="00643D5F">
        <w:t xml:space="preserve"> </w:t>
      </w:r>
      <w:r>
        <w:t xml:space="preserve">Collagenase A was </w:t>
      </w:r>
      <w:r w:rsidRPr="00D331AA">
        <w:rPr>
          <w:color w:val="000000" w:themeColor="text1"/>
        </w:rPr>
        <w:t>obtained from Roche and made up to a concentration of 0.5 mg/mL in DMEM. Rat tail collagen I solution (A1048301, 3 mg/mL) was</w:t>
      </w:r>
      <w:r>
        <w:rPr>
          <w:color w:val="000000" w:themeColor="text1"/>
        </w:rPr>
        <w:t xml:space="preserve"> </w:t>
      </w:r>
      <w:r w:rsidRPr="00D331AA">
        <w:rPr>
          <w:color w:val="000000" w:themeColor="text1"/>
        </w:rPr>
        <w:t>purchased from ThermoFisher. Adenine</w:t>
      </w:r>
      <w:r>
        <w:t>, amphotericin B, cholera toxin (95 %), Dulbecco’s modified Eagle’s medium (DMEM), e</w:t>
      </w:r>
      <w:r w:rsidRPr="003F72A6">
        <w:t>thylenediaminetetraacetic acid solution</w:t>
      </w:r>
      <w:r>
        <w:t xml:space="preserve"> (EDTA) (0.02 %), fetal calf serum (FCS), formaldehyde (37 %), L</w:t>
      </w:r>
      <w:r>
        <w:noBreakHyphen/>
        <w:t>glutamine, HAM’s nutrient mixture F12, hydrocortisone, insulin, penicillin</w:t>
      </w:r>
      <w:r>
        <w:noBreakHyphen/>
        <w:t>streptomycin solution, resazurin sodium salt, transferrin,</w:t>
      </w:r>
      <w:r w:rsidRPr="000C2B6E">
        <w:t xml:space="preserve"> </w:t>
      </w:r>
      <w:r>
        <w:t>triiodo</w:t>
      </w:r>
      <w:r>
        <w:noBreakHyphen/>
        <w:t>L</w:t>
      </w:r>
      <w:r>
        <w:noBreakHyphen/>
        <w:t>t</w:t>
      </w:r>
      <w:r w:rsidRPr="000C2B6E">
        <w:t>hyronine (T3)</w:t>
      </w:r>
      <w:r>
        <w:t xml:space="preserve">, trypan blue and </w:t>
      </w:r>
      <w:r w:rsidRPr="005848D3">
        <w:t>trypsin (0.02 % EDTA)</w:t>
      </w:r>
      <w:r>
        <w:t xml:space="preserve"> were obtained from Sigma. </w:t>
      </w:r>
    </w:p>
    <w:p w14:paraId="00EF2B8D" w14:textId="77777777" w:rsidR="00C0659D" w:rsidRDefault="00C0659D" w:rsidP="00DE3FCA">
      <w:pPr>
        <w:pStyle w:val="Heading2"/>
      </w:pPr>
      <w:bookmarkStart w:id="216" w:name="_Toc520463557"/>
      <w:bookmarkStart w:id="217" w:name="_Toc2451043"/>
      <w:r>
        <w:t>Methods</w:t>
      </w:r>
      <w:bookmarkEnd w:id="216"/>
      <w:bookmarkEnd w:id="217"/>
    </w:p>
    <w:p w14:paraId="72666E87" w14:textId="77777777" w:rsidR="00C0659D" w:rsidRDefault="00C0659D" w:rsidP="00DE3FCA">
      <w:pPr>
        <w:pStyle w:val="Heading3"/>
        <w:rPr>
          <w:lang w:eastAsia="en-GB"/>
        </w:rPr>
      </w:pPr>
      <w:bookmarkStart w:id="218" w:name="_Toc2451044"/>
      <w:r>
        <w:rPr>
          <w:lang w:eastAsia="en-GB"/>
        </w:rPr>
        <w:t>Cell culture media</w:t>
      </w:r>
      <w:bookmarkEnd w:id="218"/>
    </w:p>
    <w:p w14:paraId="5EAB149F" w14:textId="77777777" w:rsidR="00C0659D" w:rsidRDefault="00C0659D" w:rsidP="00C0659D">
      <w:pPr>
        <w:rPr>
          <w:lang w:eastAsia="en-GB"/>
        </w:rPr>
      </w:pPr>
      <w:r>
        <w:rPr>
          <w:lang w:eastAsia="en-GB"/>
        </w:rPr>
        <w:t>Human epidermal keratinocytes (HEK) were cultured in Green’s media, consisting of</w:t>
      </w:r>
      <w:r w:rsidRPr="001119C0">
        <w:rPr>
          <w:lang w:eastAsia="en-GB"/>
        </w:rPr>
        <w:t xml:space="preserve"> </w:t>
      </w:r>
      <w:r>
        <w:rPr>
          <w:lang w:eastAsia="en-GB"/>
        </w:rPr>
        <w:t>Dulbecco’s modified Eagle’s medium (DMEM) and Ham’s F12 nutrient mixture in a 3:1 (v/v) ratio, supplemented with 10 % (v/v) fetal calf serum (FCS), 100 IU/mL penicillin, 100 mg/mL streptomycin, 2 mM</w:t>
      </w:r>
      <w:r w:rsidRPr="00714E8E">
        <w:t xml:space="preserve"> </w:t>
      </w:r>
      <w:r>
        <w:t>L</w:t>
      </w:r>
      <w:r>
        <w:noBreakHyphen/>
      </w:r>
      <w:r>
        <w:rPr>
          <w:lang w:eastAsia="en-GB"/>
        </w:rPr>
        <w:t>glutamine, 0.625 μg/mL amphotericin B, 0.1 μM cholera toxin, 10 ng/mL epidermal growth factor (EGF), 0.4 μg/mL hydrocortisone, 0.18 mM adenine, 5 μg/mL insulin, 5 μg/mL transferrin, and 0.2 </w:t>
      </w:r>
      <w:r w:rsidRPr="00714E8E">
        <w:rPr>
          <w:lang w:eastAsia="en-GB"/>
        </w:rPr>
        <w:t>μM triiodo</w:t>
      </w:r>
      <w:r>
        <w:rPr>
          <w:lang w:eastAsia="en-GB"/>
        </w:rPr>
        <w:noBreakHyphen/>
        <w:t>L</w:t>
      </w:r>
      <w:r>
        <w:rPr>
          <w:lang w:eastAsia="en-GB"/>
        </w:rPr>
        <w:noBreakHyphen/>
      </w:r>
      <w:r w:rsidRPr="00714E8E">
        <w:rPr>
          <w:lang w:eastAsia="en-GB"/>
        </w:rPr>
        <w:t>thyronine</w:t>
      </w:r>
      <w:r>
        <w:rPr>
          <w:lang w:eastAsia="en-GB"/>
        </w:rPr>
        <w:t> (T3)</w:t>
      </w:r>
      <w:r w:rsidRPr="00714E8E">
        <w:rPr>
          <w:lang w:eastAsia="en-GB"/>
        </w:rPr>
        <w:t>.</w:t>
      </w:r>
    </w:p>
    <w:p w14:paraId="64430C93" w14:textId="77777777" w:rsidR="00C0659D" w:rsidRPr="001119C0" w:rsidRDefault="00C0659D" w:rsidP="00C0659D">
      <w:pPr>
        <w:rPr>
          <w:lang w:eastAsia="en-GB"/>
        </w:rPr>
      </w:pPr>
      <w:r>
        <w:rPr>
          <w:lang w:eastAsia="en-GB"/>
        </w:rPr>
        <w:lastRenderedPageBreak/>
        <w:t>Human dermal fibroblasts (HDF) were cultured in fibroblast growth media consisting of DMEM supplemented with 10 % (v/v) FCS, 100 IU/mL penicillin, 100 mg/mL streptomycin, 2 mM L</w:t>
      </w:r>
      <w:r>
        <w:rPr>
          <w:lang w:eastAsia="en-GB"/>
        </w:rPr>
        <w:noBreakHyphen/>
        <w:t xml:space="preserve">glutamine and 0.625 μg/ml amphotericin B.  </w:t>
      </w:r>
    </w:p>
    <w:p w14:paraId="7B46440E" w14:textId="3304E18D" w:rsidR="00C0659D" w:rsidRPr="001119C0" w:rsidRDefault="00C0659D" w:rsidP="00C0659D">
      <w:pPr>
        <w:rPr>
          <w:color w:val="FF0000"/>
          <w:lang w:eastAsia="en-GB"/>
        </w:rPr>
      </w:pPr>
      <w:r>
        <w:rPr>
          <w:lang w:eastAsia="en-GB"/>
        </w:rPr>
        <w:t>For details on human epidermal keratinocyte and human dermal fibroblast iso</w:t>
      </w:r>
      <w:r w:rsidR="00DE3FCA">
        <w:rPr>
          <w:lang w:eastAsia="en-GB"/>
        </w:rPr>
        <w:t xml:space="preserve">lation and culture, see sections </w:t>
      </w:r>
      <w:r w:rsidR="00DE3FCA">
        <w:rPr>
          <w:lang w:eastAsia="en-GB"/>
        </w:rPr>
        <w:fldChar w:fldCharType="begin"/>
      </w:r>
      <w:r w:rsidR="00DE3FCA">
        <w:rPr>
          <w:lang w:eastAsia="en-GB"/>
        </w:rPr>
        <w:instrText xml:space="preserve"> REF _Ref525727212 \r \h </w:instrText>
      </w:r>
      <w:r w:rsidR="00DE3FCA">
        <w:rPr>
          <w:lang w:eastAsia="en-GB"/>
        </w:rPr>
      </w:r>
      <w:r w:rsidR="00DE3FCA">
        <w:rPr>
          <w:lang w:eastAsia="en-GB"/>
        </w:rPr>
        <w:fldChar w:fldCharType="separate"/>
      </w:r>
      <w:r w:rsidR="00E6157A">
        <w:rPr>
          <w:lang w:eastAsia="en-GB"/>
        </w:rPr>
        <w:t>3.3.1</w:t>
      </w:r>
      <w:r w:rsidR="00DE3FCA">
        <w:rPr>
          <w:lang w:eastAsia="en-GB"/>
        </w:rPr>
        <w:fldChar w:fldCharType="end"/>
      </w:r>
      <w:r w:rsidR="00DE3FCA">
        <w:rPr>
          <w:lang w:eastAsia="en-GB"/>
        </w:rPr>
        <w:t xml:space="preserve"> and </w:t>
      </w:r>
      <w:r w:rsidR="00DE3FCA">
        <w:rPr>
          <w:lang w:eastAsia="en-GB"/>
        </w:rPr>
        <w:fldChar w:fldCharType="begin"/>
      </w:r>
      <w:r w:rsidR="00DE3FCA">
        <w:rPr>
          <w:lang w:eastAsia="en-GB"/>
        </w:rPr>
        <w:instrText xml:space="preserve"> REF _Ref513980037 \r \h </w:instrText>
      </w:r>
      <w:r w:rsidR="00DE3FCA">
        <w:rPr>
          <w:lang w:eastAsia="en-GB"/>
        </w:rPr>
      </w:r>
      <w:r w:rsidR="00DE3FCA">
        <w:rPr>
          <w:lang w:eastAsia="en-GB"/>
        </w:rPr>
        <w:fldChar w:fldCharType="separate"/>
      </w:r>
      <w:r w:rsidR="00E6157A">
        <w:rPr>
          <w:lang w:eastAsia="en-GB"/>
        </w:rPr>
        <w:t>3.3.2</w:t>
      </w:r>
      <w:r w:rsidR="00DE3FCA">
        <w:rPr>
          <w:lang w:eastAsia="en-GB"/>
        </w:rPr>
        <w:fldChar w:fldCharType="end"/>
      </w:r>
      <w:r w:rsidR="00DE3FCA">
        <w:rPr>
          <w:lang w:eastAsia="en-GB"/>
        </w:rPr>
        <w:t>.</w:t>
      </w:r>
      <w:r w:rsidRPr="003E737E">
        <w:rPr>
          <w:color w:val="FF0000"/>
          <w:lang w:eastAsia="en-GB"/>
        </w:rPr>
        <w:t xml:space="preserve"> </w:t>
      </w:r>
    </w:p>
    <w:p w14:paraId="51ADD96D" w14:textId="77777777" w:rsidR="00C0659D" w:rsidRDefault="00C0659D" w:rsidP="00DE3FCA">
      <w:pPr>
        <w:pStyle w:val="Heading3"/>
      </w:pPr>
      <w:bookmarkStart w:id="219" w:name="_Toc520463558"/>
      <w:bookmarkStart w:id="220" w:name="_Ref522087827"/>
      <w:bookmarkStart w:id="221" w:name="_Toc2451045"/>
      <w:r>
        <w:t>Preparation of de-epidermised dermis (DED) from donor skin</w:t>
      </w:r>
      <w:bookmarkEnd w:id="219"/>
      <w:bookmarkEnd w:id="220"/>
      <w:bookmarkEnd w:id="221"/>
    </w:p>
    <w:p w14:paraId="157B0CAF" w14:textId="77777777" w:rsidR="00C0659D" w:rsidRDefault="00C0659D" w:rsidP="00C0659D">
      <w:pPr>
        <w:rPr>
          <w:lang w:eastAsia="en-GB"/>
        </w:rPr>
      </w:pPr>
      <w:r>
        <w:t xml:space="preserve">Full thickness skin (FTS) was </w:t>
      </w:r>
      <w:r w:rsidRPr="00714811">
        <w:rPr>
          <w:lang w:eastAsia="en-GB"/>
        </w:rPr>
        <w:t xml:space="preserve">obtained </w:t>
      </w:r>
      <w:r>
        <w:rPr>
          <w:lang w:eastAsia="en-GB"/>
        </w:rPr>
        <w:t>from consenting patients</w:t>
      </w:r>
      <w:r w:rsidRPr="00714811">
        <w:rPr>
          <w:lang w:eastAsia="en-GB"/>
        </w:rPr>
        <w:t xml:space="preserve"> </w:t>
      </w:r>
      <w:r>
        <w:rPr>
          <w:lang w:eastAsia="en-GB"/>
        </w:rPr>
        <w:t xml:space="preserve">undergoing elective surgery </w:t>
      </w:r>
      <w:r w:rsidRPr="00714811">
        <w:rPr>
          <w:lang w:eastAsia="en-GB"/>
        </w:rPr>
        <w:t>at the Sheffield Hallamshire</w:t>
      </w:r>
      <w:r>
        <w:rPr>
          <w:lang w:eastAsia="en-GB"/>
        </w:rPr>
        <w:t xml:space="preserve"> Hospital</w:t>
      </w:r>
      <w:r w:rsidRPr="00714811">
        <w:rPr>
          <w:lang w:eastAsia="en-GB"/>
        </w:rPr>
        <w:t xml:space="preserve">. </w:t>
      </w:r>
      <w:r>
        <w:rPr>
          <w:lang w:eastAsia="en-GB"/>
        </w:rPr>
        <w:t xml:space="preserve">Patients gave written consent for skin that had been removed, which was not required for their treatment. </w:t>
      </w:r>
      <w:r w:rsidRPr="00714811">
        <w:rPr>
          <w:lang w:eastAsia="en-GB"/>
        </w:rPr>
        <w:t xml:space="preserve">Full ethical approval was </w:t>
      </w:r>
      <w:r>
        <w:rPr>
          <w:lang w:eastAsia="en-GB"/>
        </w:rPr>
        <w:t>given by the NHS Research Ethics Committee, ethics number 15/YH/0177.</w:t>
      </w:r>
    </w:p>
    <w:p w14:paraId="2CA24023" w14:textId="51C7A896" w:rsidR="00C0659D" w:rsidRPr="00F021F9" w:rsidRDefault="00C0659D" w:rsidP="00C0659D">
      <w:pPr>
        <w:rPr>
          <w:lang w:eastAsia="en-GB"/>
        </w:rPr>
      </w:pPr>
      <w:r>
        <w:rPr>
          <w:lang w:eastAsia="en-GB"/>
        </w:rPr>
        <w:t>Split-thickness skin grafts (STSG) were prepared from full-thickness skin by a laboratory technician. STSG were washed twice with sterile PBS and placed in a sterile container with 1 M NaCl until submerged. STSG were incubated at 37 </w:t>
      </w:r>
      <w:r>
        <w:rPr>
          <w:lang w:eastAsia="en-GB"/>
        </w:rPr>
        <w:sym w:font="Symbol" w:char="F0B0"/>
      </w:r>
      <w:r>
        <w:rPr>
          <w:lang w:eastAsia="en-GB"/>
        </w:rPr>
        <w:t>C, 5 % CO</w:t>
      </w:r>
      <w:r w:rsidRPr="001C734D">
        <w:rPr>
          <w:vertAlign w:val="subscript"/>
          <w:lang w:eastAsia="en-GB"/>
        </w:rPr>
        <w:t>2</w:t>
      </w:r>
      <w:r>
        <w:rPr>
          <w:lang w:eastAsia="en-GB"/>
        </w:rPr>
        <w:t xml:space="preserve"> overnight. After incubation, the sample was washed again with sterile PBS and placed in a sterile petri dish.  If loose, the epidermis was removed from the underlying dermis using sterilised forceps. If the epidermis was still well-attached, the sample was placed back in 1 M NaCl for a further hour at 37 </w:t>
      </w:r>
      <w:r>
        <w:rPr>
          <w:lang w:eastAsia="en-GB"/>
        </w:rPr>
        <w:sym w:font="Symbol" w:char="F0B0"/>
      </w:r>
      <w:r w:rsidR="00DE3FCA">
        <w:rPr>
          <w:lang w:eastAsia="en-GB"/>
        </w:rPr>
        <w:t>C, 5 </w:t>
      </w:r>
      <w:r>
        <w:rPr>
          <w:lang w:eastAsia="en-GB"/>
        </w:rPr>
        <w:t>% CO</w:t>
      </w:r>
      <w:r w:rsidRPr="001C734D">
        <w:rPr>
          <w:vertAlign w:val="subscript"/>
          <w:lang w:eastAsia="en-GB"/>
        </w:rPr>
        <w:t>2</w:t>
      </w:r>
      <w:r>
        <w:rPr>
          <w:lang w:eastAsia="en-GB"/>
        </w:rPr>
        <w:t xml:space="preserve">. Following this, the epidermis was removed from the dermis by gentle pulling or light scraping with a scalpel blade. The STSG was rinsed with sterile PBS then submerged in Green’s media and stored at 4 </w:t>
      </w:r>
      <w:r>
        <w:rPr>
          <w:lang w:eastAsia="en-GB"/>
        </w:rPr>
        <w:sym w:font="Symbol" w:char="F0B0"/>
      </w:r>
      <w:r>
        <w:rPr>
          <w:lang w:eastAsia="en-GB"/>
        </w:rPr>
        <w:t xml:space="preserve">C until required. </w:t>
      </w:r>
    </w:p>
    <w:p w14:paraId="678338C8" w14:textId="77777777" w:rsidR="00C0659D" w:rsidRDefault="00C0659D" w:rsidP="00AF52F5">
      <w:pPr>
        <w:pStyle w:val="Heading3"/>
      </w:pPr>
      <w:bookmarkStart w:id="222" w:name="_Toc520463559"/>
      <w:bookmarkStart w:id="223" w:name="_Toc2451046"/>
      <w:r>
        <w:t>Preparation of DED from Euroskin</w:t>
      </w:r>
      <w:bookmarkEnd w:id="222"/>
      <w:bookmarkEnd w:id="223"/>
    </w:p>
    <w:p w14:paraId="30264818" w14:textId="088FBB84" w:rsidR="00C0659D" w:rsidRDefault="00C0659D" w:rsidP="00C0659D">
      <w:r>
        <w:t xml:space="preserve">Euroskin was purchased from ETB-Bislife in an 85 % glycerol solution. To remove the glycerol and rehydrate the Euroskin, Euroskin was removed from the packaging container and placed in a 100 mL sterile pot. Euroskin was covered with sterile PBS and stored at 4 </w:t>
      </w:r>
      <w:r>
        <w:rPr>
          <w:lang w:eastAsia="en-GB"/>
        </w:rPr>
        <w:sym w:font="Symbol" w:char="F0B0"/>
      </w:r>
      <w:r>
        <w:rPr>
          <w:lang w:eastAsia="en-GB"/>
        </w:rPr>
        <w:t>C. After several hours the PBS was removed and replaced with fresh sterile PBS. This process was repeated 3 times within 24 hours. After the third PBS wash, Euroskin was placed in 1M NaCl and stored at 37 </w:t>
      </w:r>
      <w:r>
        <w:rPr>
          <w:lang w:eastAsia="en-GB"/>
        </w:rPr>
        <w:sym w:font="Symbol" w:char="F0B0"/>
      </w:r>
      <w:r>
        <w:rPr>
          <w:lang w:eastAsia="en-GB"/>
        </w:rPr>
        <w:t>C, 5 % CO</w:t>
      </w:r>
      <w:r w:rsidRPr="001C734D">
        <w:rPr>
          <w:vertAlign w:val="subscript"/>
          <w:lang w:eastAsia="en-GB"/>
        </w:rPr>
        <w:t>2</w:t>
      </w:r>
      <w:r>
        <w:rPr>
          <w:lang w:eastAsia="en-GB"/>
        </w:rPr>
        <w:t xml:space="preserve"> overnight to remove the epidermis. Epidermis removal was carried out as </w:t>
      </w:r>
      <w:r w:rsidRPr="00166E02">
        <w:rPr>
          <w:lang w:eastAsia="en-GB"/>
        </w:rPr>
        <w:t xml:space="preserve">described in section </w:t>
      </w:r>
      <w:r w:rsidRPr="00166E02">
        <w:rPr>
          <w:lang w:eastAsia="en-GB"/>
        </w:rPr>
        <w:fldChar w:fldCharType="begin"/>
      </w:r>
      <w:r w:rsidRPr="00166E02">
        <w:rPr>
          <w:lang w:eastAsia="en-GB"/>
        </w:rPr>
        <w:instrText xml:space="preserve"> REF _Ref522087827 \r \h  \* MERGEFORMAT </w:instrText>
      </w:r>
      <w:r w:rsidRPr="00166E02">
        <w:rPr>
          <w:lang w:eastAsia="en-GB"/>
        </w:rPr>
      </w:r>
      <w:r w:rsidRPr="00166E02">
        <w:rPr>
          <w:lang w:eastAsia="en-GB"/>
        </w:rPr>
        <w:fldChar w:fldCharType="separate"/>
      </w:r>
      <w:r w:rsidR="00E6157A">
        <w:rPr>
          <w:lang w:eastAsia="en-GB"/>
        </w:rPr>
        <w:t>4.3.2</w:t>
      </w:r>
      <w:r w:rsidRPr="00166E02">
        <w:rPr>
          <w:lang w:eastAsia="en-GB"/>
        </w:rPr>
        <w:fldChar w:fldCharType="end"/>
      </w:r>
      <w:r w:rsidRPr="00166E02">
        <w:rPr>
          <w:lang w:eastAsia="en-GB"/>
        </w:rPr>
        <w:t>.</w:t>
      </w:r>
    </w:p>
    <w:p w14:paraId="47A888BA" w14:textId="77777777" w:rsidR="00C0659D" w:rsidRDefault="00C0659D" w:rsidP="00AF52F5">
      <w:pPr>
        <w:pStyle w:val="Heading3"/>
        <w:rPr>
          <w:lang w:eastAsia="en-GB"/>
        </w:rPr>
      </w:pPr>
      <w:bookmarkStart w:id="224" w:name="_Toc2451047"/>
      <w:r>
        <w:rPr>
          <w:lang w:eastAsia="en-GB"/>
        </w:rPr>
        <w:lastRenderedPageBreak/>
        <w:t>Thickness measurement of de-epidermised dermis (DED)</w:t>
      </w:r>
      <w:bookmarkEnd w:id="224"/>
    </w:p>
    <w:p w14:paraId="27921067" w14:textId="665ACA2B" w:rsidR="00C0659D" w:rsidRPr="00A4477E" w:rsidRDefault="00C0659D" w:rsidP="00C0659D">
      <w:r>
        <w:t xml:space="preserve">The thickness of skin and DED was carried out using a Mutitoyo microgauge (Mutitoyo Corporation). Thickness measurements were taken at three separate points </w:t>
      </w:r>
      <w:r w:rsidR="00DE3FCA">
        <w:t xml:space="preserve">on the skin or DED </w:t>
      </w:r>
      <w:r>
        <w:t xml:space="preserve">and averaged.  </w:t>
      </w:r>
    </w:p>
    <w:p w14:paraId="298C082D" w14:textId="77777777" w:rsidR="00C0659D" w:rsidRDefault="00C0659D" w:rsidP="00AF52F5">
      <w:pPr>
        <w:pStyle w:val="Heading3"/>
      </w:pPr>
      <w:bookmarkStart w:id="225" w:name="_Toc520463560"/>
      <w:bookmarkStart w:id="226" w:name="_Toc2451048"/>
      <w:r>
        <w:t>Production of tissue-engineered composites of human skin</w:t>
      </w:r>
      <w:bookmarkEnd w:id="225"/>
      <w:bookmarkEnd w:id="226"/>
    </w:p>
    <w:p w14:paraId="3D52599B" w14:textId="14CFC896" w:rsidR="00C0659D" w:rsidRPr="00A30159" w:rsidRDefault="00C0659D" w:rsidP="00C0659D">
      <w:pPr>
        <w:rPr>
          <w:lang w:eastAsia="en-GB"/>
        </w:rPr>
      </w:pPr>
      <w:r>
        <w:t>To prepare the tissue</w:t>
      </w:r>
      <w:r w:rsidR="009352BF">
        <w:t>-</w:t>
      </w:r>
      <w:r>
        <w:t>engineered composites of human skin, de-epidermised dermis (DED) obtained from either surgical samples or Euroskin, were first cut into 2 </w:t>
      </w:r>
      <w:r>
        <w:sym w:font="Symbol" w:char="F0B4"/>
      </w:r>
      <w:r>
        <w:t> 2 cm squares and placed in individual wells of a 6 well cell culture plate. DED from a single donor was used for each experiment (</w:t>
      </w:r>
      <w:r w:rsidR="003920D6">
        <w:t>6 samples</w:t>
      </w:r>
      <w:r>
        <w:t>). A sterile, bevelled-edge steel ring was placed in the centre of the DED, bevelled edge facing down into the dermis. A cell suspension containing 10</w:t>
      </w:r>
      <w:r w:rsidRPr="00BC72BC">
        <w:rPr>
          <w:vertAlign w:val="superscript"/>
        </w:rPr>
        <w:t>5</w:t>
      </w:r>
      <w:r>
        <w:t xml:space="preserve"> HDF and 3 </w:t>
      </w:r>
      <w:r>
        <w:sym w:font="Symbol" w:char="F0B4"/>
      </w:r>
      <w:r>
        <w:t> 10</w:t>
      </w:r>
      <w:r w:rsidRPr="00BC72BC">
        <w:rPr>
          <w:vertAlign w:val="superscript"/>
        </w:rPr>
        <w:t>5</w:t>
      </w:r>
      <w:r>
        <w:t xml:space="preserve"> HEK in Green’s media was added to the papillary surface of the DED, into the centre of the ring. Additional Green’s media was added to the outside of the ring to keep the DED hydrated. The plates containing DED were placed in an incubator at </w:t>
      </w:r>
      <w:r>
        <w:rPr>
          <w:lang w:eastAsia="en-GB"/>
        </w:rPr>
        <w:t>37 </w:t>
      </w:r>
      <w:r>
        <w:rPr>
          <w:lang w:eastAsia="en-GB"/>
        </w:rPr>
        <w:sym w:font="Symbol" w:char="F0B0"/>
      </w:r>
      <w:r>
        <w:rPr>
          <w:lang w:eastAsia="en-GB"/>
        </w:rPr>
        <w:t>C, 5 % CO</w:t>
      </w:r>
      <w:r w:rsidRPr="001C734D">
        <w:rPr>
          <w:vertAlign w:val="subscript"/>
          <w:lang w:eastAsia="en-GB"/>
        </w:rPr>
        <w:t>2</w:t>
      </w:r>
      <w:r>
        <w:rPr>
          <w:lang w:eastAsia="en-GB"/>
        </w:rPr>
        <w:t xml:space="preserve"> overnight to allow cell attachment to the dermis. The following day the media was removed and replaced with fresh Green’s media covering the whole sterile steel ring. Plates were incubated for a further 24 h at 37 </w:t>
      </w:r>
      <w:r>
        <w:rPr>
          <w:lang w:eastAsia="en-GB"/>
        </w:rPr>
        <w:sym w:font="Symbol" w:char="F0B0"/>
      </w:r>
      <w:r>
        <w:rPr>
          <w:lang w:eastAsia="en-GB"/>
        </w:rPr>
        <w:t xml:space="preserve">C, 5 % </w:t>
      </w:r>
      <w:r w:rsidRPr="00E47CA0">
        <w:rPr>
          <w:color w:val="000000" w:themeColor="text1"/>
          <w:lang w:eastAsia="en-GB"/>
        </w:rPr>
        <w:t>CO</w:t>
      </w:r>
      <w:r w:rsidRPr="00E47CA0">
        <w:rPr>
          <w:color w:val="000000" w:themeColor="text1"/>
          <w:vertAlign w:val="subscript"/>
          <w:lang w:eastAsia="en-GB"/>
        </w:rPr>
        <w:t>2</w:t>
      </w:r>
      <w:r w:rsidRPr="00E47CA0">
        <w:rPr>
          <w:color w:val="000000" w:themeColor="text1"/>
          <w:lang w:eastAsia="en-GB"/>
        </w:rPr>
        <w:t>. After 24 h the steel ring was removed. A 1 cm diameter circle of the DED, where the cells had been seeded, was cut out using a scalpel.</w:t>
      </w:r>
      <w:r>
        <w:rPr>
          <w:color w:val="FF0000"/>
          <w:lang w:eastAsia="en-GB"/>
        </w:rPr>
        <w:t xml:space="preserve"> </w:t>
      </w:r>
      <w:r>
        <w:rPr>
          <w:lang w:eastAsia="en-GB"/>
        </w:rPr>
        <w:t xml:space="preserve">The cell-seeded circle of DED was placed on a sterile steel grid in a 6 well plate and media was added to form an air-liquid interface (ALI). Skin composites were cultured for a further 28 days. Media changes of Green’s media were performed every 2-3 days according to a pre-determined schedule </w:t>
      </w:r>
      <w:r w:rsidR="00675D68">
        <w:rPr>
          <w:lang w:eastAsia="en-GB"/>
        </w:rPr>
        <w:t>(</w:t>
      </w:r>
      <w:r>
        <w:rPr>
          <w:lang w:eastAsia="en-GB"/>
        </w:rPr>
        <w:fldChar w:fldCharType="begin"/>
      </w:r>
      <w:r>
        <w:rPr>
          <w:lang w:eastAsia="en-GB"/>
        </w:rPr>
        <w:instrText xml:space="preserve"> REF _Ref522089929 \h </w:instrText>
      </w:r>
      <w:r>
        <w:rPr>
          <w:lang w:eastAsia="en-GB"/>
        </w:rPr>
      </w:r>
      <w:r>
        <w:rPr>
          <w:lang w:eastAsia="en-GB"/>
        </w:rPr>
        <w:fldChar w:fldCharType="separate"/>
      </w:r>
      <w:r w:rsidR="00E6157A">
        <w:t xml:space="preserve">Figure </w:t>
      </w:r>
      <w:r w:rsidR="00E6157A">
        <w:rPr>
          <w:noProof/>
        </w:rPr>
        <w:t>4</w:t>
      </w:r>
      <w:r w:rsidR="00E6157A">
        <w:t>.</w:t>
      </w:r>
      <w:r w:rsidR="00E6157A">
        <w:rPr>
          <w:noProof/>
        </w:rPr>
        <w:t>1</w:t>
      </w:r>
      <w:r>
        <w:rPr>
          <w:lang w:eastAsia="en-GB"/>
        </w:rPr>
        <w:fldChar w:fldCharType="end"/>
      </w:r>
      <w:r w:rsidR="00675D68">
        <w:rPr>
          <w:lang w:eastAsia="en-GB"/>
        </w:rPr>
        <w:t>)</w:t>
      </w:r>
      <w:r>
        <w:rPr>
          <w:lang w:eastAsia="en-GB"/>
        </w:rPr>
        <w:t xml:space="preserve">. </w:t>
      </w:r>
    </w:p>
    <w:p w14:paraId="081FF07B" w14:textId="77777777" w:rsidR="005D2C0B" w:rsidRDefault="00C0659D" w:rsidP="005D2C0B">
      <w:pPr>
        <w:keepNext/>
      </w:pPr>
      <w:r w:rsidRPr="00063193">
        <w:rPr>
          <w:noProof/>
          <w:color w:val="FF0000"/>
          <w:lang w:val="en-US"/>
        </w:rPr>
        <w:drawing>
          <wp:inline distT="0" distB="0" distL="0" distR="0" wp14:anchorId="00672DB8" wp14:editId="11518D0A">
            <wp:extent cx="5201920" cy="14116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01920" cy="1411605"/>
                    </a:xfrm>
                    <a:prstGeom prst="rect">
                      <a:avLst/>
                    </a:prstGeom>
                  </pic:spPr>
                </pic:pic>
              </a:graphicData>
            </a:graphic>
          </wp:inline>
        </w:drawing>
      </w:r>
    </w:p>
    <w:p w14:paraId="7BE18B51" w14:textId="506B64DE" w:rsidR="00C0659D" w:rsidRDefault="00C0659D" w:rsidP="005D2C0B">
      <w:pPr>
        <w:pStyle w:val="Caption"/>
        <w:jc w:val="both"/>
      </w:pPr>
      <w:bookmarkStart w:id="227" w:name="_Ref522089929"/>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w:t>
      </w:r>
      <w:r w:rsidR="00BE21E4">
        <w:rPr>
          <w:noProof/>
        </w:rPr>
        <w:fldChar w:fldCharType="end"/>
      </w:r>
      <w:bookmarkEnd w:id="227"/>
      <w:r>
        <w:t xml:space="preserve">. </w:t>
      </w:r>
      <w:r w:rsidRPr="00AA10E5">
        <w:rPr>
          <w:b w:val="0"/>
        </w:rPr>
        <w:t>Timeline of tissue</w:t>
      </w:r>
      <w:r w:rsidR="009352BF">
        <w:rPr>
          <w:b w:val="0"/>
        </w:rPr>
        <w:t>-</w:t>
      </w:r>
      <w:r w:rsidRPr="00AA10E5">
        <w:rPr>
          <w:b w:val="0"/>
        </w:rPr>
        <w:t>engineered skin (TES) composite preparation. DED = de-epidermised dermis. HDF = human dermal fibroblasts. HEK = human epidermal keratinocytes. ALI = air-liquid interface. On labelled days, images of each composite were recorded by digital photography and the media was changed.</w:t>
      </w:r>
      <w:r>
        <w:t xml:space="preserve"> </w:t>
      </w:r>
    </w:p>
    <w:p w14:paraId="16AAA255" w14:textId="77777777" w:rsidR="00C0659D" w:rsidRDefault="00C0659D" w:rsidP="00AF52F5">
      <w:pPr>
        <w:pStyle w:val="Heading3"/>
        <w:rPr>
          <w:lang w:eastAsia="en-GB"/>
        </w:rPr>
      </w:pPr>
      <w:bookmarkStart w:id="228" w:name="_Toc2451049"/>
      <w:r>
        <w:rPr>
          <w:lang w:eastAsia="en-GB"/>
        </w:rPr>
        <w:lastRenderedPageBreak/>
        <w:t>Measurement of composite size</w:t>
      </w:r>
      <w:bookmarkEnd w:id="228"/>
    </w:p>
    <w:p w14:paraId="2B224CC1" w14:textId="1E604570" w:rsidR="00C0659D" w:rsidRDefault="00C0659D" w:rsidP="00C0659D">
      <w:pPr>
        <w:rPr>
          <w:lang w:eastAsia="en-GB"/>
        </w:rPr>
      </w:pPr>
      <w:r>
        <w:rPr>
          <w:lang w:eastAsia="en-GB"/>
        </w:rPr>
        <w:t xml:space="preserve">Composite size was recorded at pre-determined timepoints using serial digital photography. Composite surface area was analysed using Image J </w:t>
      </w:r>
      <w:r w:rsidRPr="00E47CA0">
        <w:rPr>
          <w:lang w:eastAsia="en-GB"/>
        </w:rPr>
        <w:t>software, version 1.49</w:t>
      </w:r>
      <w:r>
        <w:rPr>
          <w:lang w:eastAsia="en-GB"/>
        </w:rPr>
        <w:t xml:space="preserve">, and expressed as a </w:t>
      </w:r>
      <w:r w:rsidRPr="00DE3FCA">
        <w:rPr>
          <w:lang w:eastAsia="en-GB"/>
        </w:rPr>
        <w:t xml:space="preserve">percentage using </w:t>
      </w:r>
      <w:r w:rsidR="00D801AD">
        <w:rPr>
          <w:lang w:eastAsia="en-GB"/>
        </w:rPr>
        <w:t>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11"/>
      </w:tblGrid>
      <w:tr w:rsidR="00C0659D" w14:paraId="2C57FC55" w14:textId="77777777" w:rsidTr="00B868B6">
        <w:trPr>
          <w:trHeight w:val="1304"/>
        </w:trPr>
        <w:tc>
          <w:tcPr>
            <w:tcW w:w="7371" w:type="dxa"/>
          </w:tcPr>
          <w:p w14:paraId="5DE75297" w14:textId="77777777" w:rsidR="00C0659D" w:rsidRPr="00203799" w:rsidRDefault="00C0659D" w:rsidP="0081379E">
            <w:pPr>
              <w:rPr>
                <w:i/>
                <w:color w:val="000000" w:themeColor="text1"/>
                <w:sz w:val="10"/>
                <w:szCs w:val="10"/>
                <w:lang w:eastAsia="en-GB"/>
              </w:rPr>
            </w:pPr>
          </w:p>
          <w:p w14:paraId="0E5859D4" w14:textId="7A98F5A3" w:rsidR="00C0659D" w:rsidRDefault="00C0659D" w:rsidP="0081379E">
            <w:pPr>
              <w:rPr>
                <w:color w:val="000000" w:themeColor="text1"/>
                <w:lang w:eastAsia="en-GB"/>
              </w:rPr>
            </w:pPr>
            <m:oMathPara>
              <m:oMath>
                <m:r>
                  <w:rPr>
                    <w:rFonts w:ascii="Cambria Math" w:hAnsi="Cambria Math"/>
                    <w:color w:val="000000" w:themeColor="text1"/>
                    <w:lang w:eastAsia="en-GB"/>
                  </w:rPr>
                  <m:t xml:space="preserve">Surface area </m:t>
                </m:r>
                <m:d>
                  <m:dPr>
                    <m:ctrlPr>
                      <w:rPr>
                        <w:rFonts w:ascii="Cambria Math" w:hAnsi="Cambria Math"/>
                        <w:i/>
                        <w:color w:val="000000" w:themeColor="text1"/>
                        <w:lang w:eastAsia="en-GB"/>
                      </w:rPr>
                    </m:ctrlPr>
                  </m:dPr>
                  <m:e>
                    <m:r>
                      <w:rPr>
                        <w:rFonts w:ascii="Cambria Math" w:hAnsi="Cambria Math"/>
                        <w:color w:val="000000" w:themeColor="text1"/>
                        <w:lang w:eastAsia="en-GB"/>
                      </w:rPr>
                      <m:t>%</m:t>
                    </m:r>
                  </m:e>
                </m:d>
                <m:r>
                  <w:rPr>
                    <w:rFonts w:ascii="Cambria Math" w:hAnsi="Cambria Math"/>
                    <w:color w:val="000000" w:themeColor="text1"/>
                    <w:lang w:eastAsia="en-GB"/>
                  </w:rPr>
                  <m:t>=</m:t>
                </m:r>
                <m:d>
                  <m:dPr>
                    <m:ctrlPr>
                      <w:rPr>
                        <w:rFonts w:ascii="Cambria Math" w:hAnsi="Cambria Math"/>
                        <w:i/>
                        <w:color w:val="000000" w:themeColor="text1"/>
                        <w:lang w:eastAsia="en-GB"/>
                      </w:rPr>
                    </m:ctrlPr>
                  </m:dPr>
                  <m:e>
                    <m:f>
                      <m:fPr>
                        <m:ctrlPr>
                          <w:rPr>
                            <w:rFonts w:ascii="Cambria Math" w:hAnsi="Cambria Math"/>
                            <w:i/>
                            <w:color w:val="000000" w:themeColor="text1"/>
                            <w:lang w:eastAsia="en-GB"/>
                          </w:rPr>
                        </m:ctrlPr>
                      </m:fPr>
                      <m:num>
                        <m:sSub>
                          <m:sSubPr>
                            <m:ctrlPr>
                              <w:rPr>
                                <w:rFonts w:ascii="Cambria Math" w:hAnsi="Cambria Math"/>
                                <w:i/>
                                <w:color w:val="000000" w:themeColor="text1"/>
                                <w:lang w:eastAsia="en-GB"/>
                              </w:rPr>
                            </m:ctrlPr>
                          </m:sSubPr>
                          <m:e>
                            <m:r>
                              <w:rPr>
                                <w:rFonts w:ascii="Cambria Math" w:hAnsi="Cambria Math"/>
                                <w:color w:val="000000" w:themeColor="text1"/>
                                <w:lang w:eastAsia="en-GB"/>
                              </w:rPr>
                              <m:t>Area</m:t>
                            </m:r>
                          </m:e>
                          <m:sub>
                            <m:r>
                              <w:rPr>
                                <w:rFonts w:ascii="Cambria Math" w:hAnsi="Cambria Math"/>
                                <w:color w:val="000000" w:themeColor="text1"/>
                                <w:lang w:eastAsia="en-GB"/>
                              </w:rPr>
                              <m:t>t</m:t>
                            </m:r>
                          </m:sub>
                        </m:sSub>
                      </m:num>
                      <m:den>
                        <m:sSub>
                          <m:sSubPr>
                            <m:ctrlPr>
                              <w:rPr>
                                <w:rFonts w:ascii="Cambria Math" w:hAnsi="Cambria Math"/>
                                <w:i/>
                                <w:color w:val="000000" w:themeColor="text1"/>
                                <w:lang w:eastAsia="en-GB"/>
                              </w:rPr>
                            </m:ctrlPr>
                          </m:sSubPr>
                          <m:e>
                            <m:r>
                              <w:rPr>
                                <w:rFonts w:ascii="Cambria Math" w:hAnsi="Cambria Math"/>
                                <w:color w:val="000000" w:themeColor="text1"/>
                                <w:lang w:eastAsia="en-GB"/>
                              </w:rPr>
                              <m:t>Area</m:t>
                            </m:r>
                          </m:e>
                          <m:sub>
                            <m:r>
                              <w:rPr>
                                <w:rFonts w:ascii="Cambria Math" w:hAnsi="Cambria Math"/>
                                <w:color w:val="000000" w:themeColor="text1"/>
                                <w:lang w:eastAsia="en-GB"/>
                              </w:rPr>
                              <m:t>0</m:t>
                            </m:r>
                          </m:sub>
                        </m:sSub>
                      </m:den>
                    </m:f>
                  </m:e>
                </m:d>
                <m:r>
                  <w:rPr>
                    <w:rFonts w:ascii="Cambria Math" w:hAnsi="Cambria Math"/>
                    <w:color w:val="000000" w:themeColor="text1"/>
                    <w:lang w:eastAsia="en-GB"/>
                  </w:rPr>
                  <m:t>×100</m:t>
                </m:r>
              </m:oMath>
            </m:oMathPara>
          </w:p>
        </w:tc>
        <w:tc>
          <w:tcPr>
            <w:tcW w:w="811" w:type="dxa"/>
          </w:tcPr>
          <w:p w14:paraId="6E7ACDDD" w14:textId="77777777" w:rsidR="00C0659D" w:rsidRPr="00203799" w:rsidRDefault="00C0659D" w:rsidP="0081379E">
            <w:pPr>
              <w:rPr>
                <w:sz w:val="15"/>
                <w:szCs w:val="15"/>
              </w:rPr>
            </w:pPr>
          </w:p>
          <w:p w14:paraId="78388BCC" w14:textId="2FCBC763" w:rsidR="00C0659D" w:rsidRPr="00B868B6" w:rsidRDefault="00C0659D" w:rsidP="0081379E">
            <w:pPr>
              <w:pStyle w:val="Caption"/>
              <w:rPr>
                <w:b w:val="0"/>
                <w:lang w:eastAsia="en-GB"/>
              </w:rPr>
            </w:pPr>
            <w:bookmarkStart w:id="229" w:name="_Ref522609716"/>
            <w:r w:rsidRPr="00B868B6">
              <w:rPr>
                <w:b w:val="0"/>
                <w:sz w:val="21"/>
              </w:rPr>
              <w:t xml:space="preserve">( </w:t>
            </w:r>
            <w:r w:rsidR="00B868B6" w:rsidRPr="00B868B6">
              <w:rPr>
                <w:b w:val="0"/>
                <w:sz w:val="21"/>
              </w:rPr>
              <w:t>4.</w:t>
            </w:r>
            <w:r w:rsidRPr="00B868B6">
              <w:rPr>
                <w:b w:val="0"/>
                <w:sz w:val="21"/>
              </w:rPr>
              <w:fldChar w:fldCharType="begin"/>
            </w:r>
            <w:r w:rsidRPr="00B868B6">
              <w:rPr>
                <w:b w:val="0"/>
                <w:sz w:val="21"/>
              </w:rPr>
              <w:instrText xml:space="preserve"> SEQ ( \* ARABIC </w:instrText>
            </w:r>
            <w:r w:rsidRPr="00B868B6">
              <w:rPr>
                <w:b w:val="0"/>
                <w:sz w:val="21"/>
              </w:rPr>
              <w:fldChar w:fldCharType="separate"/>
            </w:r>
            <w:r w:rsidR="00E6157A">
              <w:rPr>
                <w:b w:val="0"/>
                <w:noProof/>
                <w:sz w:val="21"/>
              </w:rPr>
              <w:t>1</w:t>
            </w:r>
            <w:r w:rsidRPr="00B868B6">
              <w:rPr>
                <w:b w:val="0"/>
                <w:sz w:val="21"/>
              </w:rPr>
              <w:fldChar w:fldCharType="end"/>
            </w:r>
            <w:r w:rsidRPr="00B868B6">
              <w:rPr>
                <w:b w:val="0"/>
                <w:sz w:val="21"/>
              </w:rPr>
              <w:t xml:space="preserve"> )</w:t>
            </w:r>
            <w:bookmarkEnd w:id="229"/>
          </w:p>
        </w:tc>
      </w:tr>
    </w:tbl>
    <w:p w14:paraId="46782005" w14:textId="77777777" w:rsidR="00C0659D" w:rsidRPr="008E2F9C" w:rsidRDefault="00C0659D" w:rsidP="00C0659D">
      <w:r>
        <w:t xml:space="preserve">where </w:t>
      </w:r>
      <w:r w:rsidRPr="006F0BAE">
        <w:t>Area</w:t>
      </w:r>
      <w:r w:rsidRPr="006F0BAE">
        <w:rPr>
          <w:vertAlign w:val="subscript"/>
        </w:rPr>
        <w:t>t</w:t>
      </w:r>
      <w:r>
        <w:t xml:space="preserve"> and </w:t>
      </w:r>
      <w:r w:rsidRPr="006F0BAE">
        <w:t>Area</w:t>
      </w:r>
      <w:r w:rsidRPr="006F0BAE">
        <w:rPr>
          <w:vertAlign w:val="subscript"/>
        </w:rPr>
        <w:t>0</w:t>
      </w:r>
      <w:r w:rsidRPr="006F0BAE">
        <w:t xml:space="preserve"> </w:t>
      </w:r>
      <w:r>
        <w:t xml:space="preserve">are the composite surface areas on day </w:t>
      </w:r>
      <w:r w:rsidRPr="008E2F9C">
        <w:rPr>
          <w:i/>
        </w:rPr>
        <w:t>t</w:t>
      </w:r>
      <w:r>
        <w:t xml:space="preserve"> and day </w:t>
      </w:r>
      <w:r w:rsidRPr="00675D68">
        <w:t>0</w:t>
      </w:r>
      <w:r>
        <w:t xml:space="preserve">, respectively. </w:t>
      </w:r>
    </w:p>
    <w:p w14:paraId="0971432D" w14:textId="77777777" w:rsidR="00C0659D" w:rsidRDefault="00C0659D" w:rsidP="00AF52F5">
      <w:pPr>
        <w:pStyle w:val="Heading3"/>
      </w:pPr>
      <w:bookmarkStart w:id="230" w:name="_Ref521154332"/>
      <w:bookmarkStart w:id="231" w:name="_Toc2451050"/>
      <w:r>
        <w:t xml:space="preserve">Tissue-engineered composites of human skin dosed with </w:t>
      </w:r>
      <w:r>
        <w:sym w:font="Symbol" w:char="F062"/>
      </w:r>
      <w:r>
        <w:noBreakHyphen/>
        <w:t>APN</w:t>
      </w:r>
      <w:bookmarkEnd w:id="230"/>
      <w:bookmarkEnd w:id="231"/>
    </w:p>
    <w:p w14:paraId="592AC347" w14:textId="05B8ED43" w:rsidR="00C0659D" w:rsidRDefault="00C0659D" w:rsidP="00C0659D">
      <w:pPr>
        <w:rPr>
          <w:lang w:eastAsia="en-GB"/>
        </w:rPr>
      </w:pPr>
      <w:r>
        <w:t>Tissue</w:t>
      </w:r>
      <w:r w:rsidR="009352BF">
        <w:t>-</w:t>
      </w:r>
      <w:r>
        <w:t xml:space="preserve">engineered composites of human skin were prepared as described above. A 20 mg/mL solution of </w:t>
      </w:r>
      <w:r>
        <w:sym w:font="Symbol" w:char="F062"/>
      </w:r>
      <w:r>
        <w:noBreakHyphen/>
        <w:t>APN fumarate salt was prepared in Green’s media (10 % FCS) and sterile-filtered</w:t>
      </w:r>
      <w:r w:rsidRPr="009433B2">
        <w:rPr>
          <w:lang w:eastAsia="en-GB"/>
        </w:rPr>
        <w:t xml:space="preserve"> </w:t>
      </w:r>
      <w:r>
        <w:rPr>
          <w:lang w:eastAsia="en-GB"/>
        </w:rPr>
        <w:t xml:space="preserve">through a </w:t>
      </w:r>
      <w:r w:rsidRPr="00643D5F">
        <w:rPr>
          <w:lang w:eastAsia="en-GB"/>
        </w:rPr>
        <w:t>0.2 µm polyether sulfone</w:t>
      </w:r>
      <w:r>
        <w:rPr>
          <w:lang w:eastAsia="en-GB"/>
        </w:rPr>
        <w:t xml:space="preserve"> (PES) filter</w:t>
      </w:r>
      <w:r>
        <w:t xml:space="preserve"> to provide a stock solution. This stock solution was diluted 1 in 100 in Green’s media to produce a 200 µg/mL solution. 2 days after cell-seeding of DED, composites were raised on sterile steel grids and dosing solution was added to form an ALI. </w:t>
      </w:r>
      <w:r>
        <w:rPr>
          <w:lang w:eastAsia="en-GB"/>
        </w:rPr>
        <w:t xml:space="preserve">Media changes of Green’s media and dosed media were performed every 2-3 days according to a pre-determined schedule. Composite size was recorded as pre-determined timepoints using serial digital photography. Composite surface area was analysed using Image J </w:t>
      </w:r>
      <w:r w:rsidRPr="00E47CA0">
        <w:rPr>
          <w:lang w:eastAsia="en-GB"/>
        </w:rPr>
        <w:t>software, version 1.49</w:t>
      </w:r>
      <w:r>
        <w:rPr>
          <w:lang w:eastAsia="en-GB"/>
        </w:rPr>
        <w:t xml:space="preserve">, and expressed as a percentage using </w:t>
      </w:r>
      <w:r w:rsidRPr="00675D68">
        <w:rPr>
          <w:lang w:eastAsia="en-GB"/>
        </w:rPr>
        <w:t xml:space="preserve">equation </w:t>
      </w:r>
      <w:r w:rsidR="009F4B92">
        <w:rPr>
          <w:lang w:eastAsia="en-GB"/>
        </w:rPr>
        <w:t>4.1.</w:t>
      </w:r>
    </w:p>
    <w:p w14:paraId="589261E5" w14:textId="77777777" w:rsidR="00C0659D" w:rsidRDefault="00C0659D" w:rsidP="00AF52F5">
      <w:pPr>
        <w:pStyle w:val="Heading3"/>
      </w:pPr>
      <w:bookmarkStart w:id="232" w:name="_Toc520463561"/>
      <w:bookmarkStart w:id="233" w:name="_Toc2451051"/>
      <w:r>
        <w:t>Histology</w:t>
      </w:r>
      <w:bookmarkEnd w:id="232"/>
      <w:bookmarkEnd w:id="233"/>
    </w:p>
    <w:p w14:paraId="3DF13447" w14:textId="221115A3" w:rsidR="008A122E" w:rsidRDefault="008A122E" w:rsidP="008A122E">
      <w:pPr>
        <w:pStyle w:val="Caption"/>
        <w:spacing w:line="360" w:lineRule="auto"/>
        <w:jc w:val="both"/>
      </w:pPr>
      <w:r w:rsidRPr="003E1F9C">
        <w:rPr>
          <w:rFonts w:eastAsiaTheme="minorHAnsi"/>
          <w:b w:val="0"/>
          <w:bCs w:val="0"/>
          <w:sz w:val="24"/>
          <w:szCs w:val="24"/>
        </w:rPr>
        <w:t>Following digital photography on the final day of culture, tissue</w:t>
      </w:r>
      <w:r w:rsidR="009352BF">
        <w:rPr>
          <w:rFonts w:eastAsiaTheme="minorHAnsi"/>
          <w:b w:val="0"/>
          <w:bCs w:val="0"/>
          <w:sz w:val="24"/>
          <w:szCs w:val="24"/>
        </w:rPr>
        <w:t>-</w:t>
      </w:r>
      <w:r w:rsidRPr="003E1F9C">
        <w:rPr>
          <w:rFonts w:eastAsiaTheme="minorHAnsi"/>
          <w:b w:val="0"/>
          <w:bCs w:val="0"/>
          <w:sz w:val="24"/>
          <w:szCs w:val="24"/>
        </w:rPr>
        <w:t>engineered skin composites were removed from grids and placed in a 24 well cell culture plate. Composites were washed with sterile PBS and fixed in 3.7 % formaldehyde for 24 h at 4 </w:t>
      </w:r>
      <w:r w:rsidR="00675D68">
        <w:rPr>
          <w:rFonts w:eastAsiaTheme="minorHAnsi"/>
          <w:b w:val="0"/>
          <w:bCs w:val="0"/>
          <w:sz w:val="24"/>
          <w:szCs w:val="24"/>
        </w:rPr>
        <w:sym w:font="Symbol" w:char="F0B0"/>
      </w:r>
      <w:r w:rsidRPr="003E1F9C">
        <w:rPr>
          <w:rFonts w:eastAsiaTheme="minorHAnsi"/>
          <w:b w:val="0"/>
          <w:bCs w:val="0"/>
          <w:sz w:val="24"/>
          <w:szCs w:val="24"/>
        </w:rPr>
        <w:t>C. After 24 h, formaldehyde was removed, and composites were washed with sterile PBS. Individual composites were placed in cassettes in preparation for histological processing. Samples were processed overnight using a Lecia TP1020 bench top tissue processor and underwent the following solution schedule</w:t>
      </w:r>
      <w:r>
        <w:rPr>
          <w:sz w:val="21"/>
        </w:rPr>
        <w:t xml:space="preserve"> </w:t>
      </w:r>
      <w:r w:rsidRPr="003E1F9C">
        <w:rPr>
          <w:b w:val="0"/>
          <w:sz w:val="24"/>
        </w:rPr>
        <w:t>(Table 4.1).</w:t>
      </w:r>
    </w:p>
    <w:p w14:paraId="2DB852D3" w14:textId="0D75EEF9" w:rsidR="00C0659D" w:rsidRDefault="00C0659D" w:rsidP="00C0659D"/>
    <w:p w14:paraId="005D8421" w14:textId="2C3E8DAD" w:rsidR="00C0659D" w:rsidRDefault="00C0659D" w:rsidP="00C0659D"/>
    <w:p w14:paraId="7C34563D" w14:textId="77777777" w:rsidR="00DE3FCA" w:rsidRPr="00DE3FCA" w:rsidRDefault="00DE3FCA" w:rsidP="00DE3FCA">
      <w:bookmarkStart w:id="234" w:name="_Ref520916286"/>
    </w:p>
    <w:p w14:paraId="6C02AC7D" w14:textId="77777777" w:rsidR="008A122E" w:rsidRDefault="008A122E" w:rsidP="005D2C0B">
      <w:pPr>
        <w:pStyle w:val="Caption"/>
        <w:jc w:val="center"/>
      </w:pPr>
    </w:p>
    <w:p w14:paraId="76C1D0B7" w14:textId="0D8E86A6" w:rsidR="00C0659D" w:rsidRDefault="005D2C0B" w:rsidP="005D2C0B">
      <w:pPr>
        <w:pStyle w:val="Caption"/>
        <w:jc w:val="center"/>
      </w:pPr>
      <w:r>
        <w:lastRenderedPageBreak/>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1</w:t>
      </w:r>
      <w:r w:rsidR="00BE21E4">
        <w:rPr>
          <w:noProof/>
        </w:rPr>
        <w:fldChar w:fldCharType="end"/>
      </w:r>
      <w:bookmarkEnd w:id="234"/>
      <w:r>
        <w:t>.</w:t>
      </w:r>
      <w:r w:rsidR="00C0659D">
        <w:t xml:space="preserve"> </w:t>
      </w:r>
      <w:r w:rsidR="00C0659D" w:rsidRPr="005D2C0B">
        <w:rPr>
          <w:b w:val="0"/>
        </w:rPr>
        <w:t>Solutions and timings for histological processing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3701"/>
      </w:tblGrid>
      <w:tr w:rsidR="00C0659D" w14:paraId="0D3E01B9" w14:textId="77777777" w:rsidTr="0081379E">
        <w:trPr>
          <w:jc w:val="center"/>
        </w:trPr>
        <w:tc>
          <w:tcPr>
            <w:tcW w:w="2253" w:type="dxa"/>
            <w:tcBorders>
              <w:top w:val="single" w:sz="4" w:space="0" w:color="auto"/>
              <w:bottom w:val="single" w:sz="4" w:space="0" w:color="auto"/>
            </w:tcBorders>
          </w:tcPr>
          <w:p w14:paraId="0470E6A9" w14:textId="77777777" w:rsidR="00C0659D" w:rsidRPr="00D11876" w:rsidRDefault="00C0659D" w:rsidP="0081379E">
            <w:pPr>
              <w:jc w:val="center"/>
              <w:rPr>
                <w:b/>
                <w:color w:val="000000" w:themeColor="text1"/>
              </w:rPr>
            </w:pPr>
            <w:r w:rsidRPr="00D11876">
              <w:rPr>
                <w:b/>
                <w:color w:val="000000" w:themeColor="text1"/>
              </w:rPr>
              <w:t>Treatment</w:t>
            </w:r>
          </w:p>
        </w:tc>
        <w:tc>
          <w:tcPr>
            <w:tcW w:w="3701" w:type="dxa"/>
            <w:tcBorders>
              <w:top w:val="single" w:sz="4" w:space="0" w:color="auto"/>
              <w:bottom w:val="single" w:sz="4" w:space="0" w:color="auto"/>
            </w:tcBorders>
          </w:tcPr>
          <w:p w14:paraId="7A4D9445" w14:textId="77777777" w:rsidR="00C0659D" w:rsidRPr="00D11876" w:rsidRDefault="00C0659D" w:rsidP="0081379E">
            <w:pPr>
              <w:jc w:val="center"/>
              <w:rPr>
                <w:b/>
                <w:color w:val="000000" w:themeColor="text1"/>
              </w:rPr>
            </w:pPr>
            <w:r w:rsidRPr="00D11876">
              <w:rPr>
                <w:b/>
                <w:color w:val="000000" w:themeColor="text1"/>
              </w:rPr>
              <w:t xml:space="preserve">Time </w:t>
            </w:r>
            <w:r>
              <w:rPr>
                <w:b/>
                <w:color w:val="000000" w:themeColor="text1"/>
              </w:rPr>
              <w:t>exposed to solution</w:t>
            </w:r>
          </w:p>
        </w:tc>
      </w:tr>
      <w:tr w:rsidR="00C0659D" w14:paraId="4B76AA96" w14:textId="77777777" w:rsidTr="0081379E">
        <w:trPr>
          <w:jc w:val="center"/>
        </w:trPr>
        <w:tc>
          <w:tcPr>
            <w:tcW w:w="2253" w:type="dxa"/>
            <w:tcBorders>
              <w:top w:val="single" w:sz="4" w:space="0" w:color="auto"/>
            </w:tcBorders>
            <w:vAlign w:val="center"/>
          </w:tcPr>
          <w:p w14:paraId="1ED4C3FE" w14:textId="77777777" w:rsidR="00C0659D" w:rsidRPr="00D11876" w:rsidRDefault="00C0659D" w:rsidP="0081379E">
            <w:pPr>
              <w:spacing w:line="276" w:lineRule="auto"/>
              <w:ind w:firstLine="326"/>
              <w:jc w:val="left"/>
              <w:rPr>
                <w:color w:val="000000" w:themeColor="text1"/>
              </w:rPr>
            </w:pPr>
            <w:r w:rsidRPr="00D11876">
              <w:rPr>
                <w:color w:val="000000" w:themeColor="text1"/>
              </w:rPr>
              <w:t>70 % IMS</w:t>
            </w:r>
          </w:p>
        </w:tc>
        <w:tc>
          <w:tcPr>
            <w:tcW w:w="3701" w:type="dxa"/>
            <w:tcBorders>
              <w:top w:val="single" w:sz="4" w:space="0" w:color="auto"/>
            </w:tcBorders>
            <w:vAlign w:val="center"/>
          </w:tcPr>
          <w:p w14:paraId="636F9A13" w14:textId="77777777" w:rsidR="00C0659D" w:rsidRPr="00D11876" w:rsidRDefault="00C0659D" w:rsidP="0081379E">
            <w:pPr>
              <w:spacing w:line="276" w:lineRule="auto"/>
              <w:ind w:firstLine="1048"/>
              <w:jc w:val="left"/>
              <w:rPr>
                <w:color w:val="000000" w:themeColor="text1"/>
              </w:rPr>
            </w:pPr>
            <w:r w:rsidRPr="00D11876">
              <w:rPr>
                <w:color w:val="000000" w:themeColor="text1"/>
              </w:rPr>
              <w:t>1 hour</w:t>
            </w:r>
          </w:p>
        </w:tc>
      </w:tr>
      <w:tr w:rsidR="00C0659D" w14:paraId="320D5321" w14:textId="77777777" w:rsidTr="0081379E">
        <w:trPr>
          <w:jc w:val="center"/>
        </w:trPr>
        <w:tc>
          <w:tcPr>
            <w:tcW w:w="2253" w:type="dxa"/>
            <w:vAlign w:val="center"/>
          </w:tcPr>
          <w:p w14:paraId="227B149C" w14:textId="77777777" w:rsidR="00C0659D" w:rsidRPr="00D11876" w:rsidRDefault="00C0659D" w:rsidP="0081379E">
            <w:pPr>
              <w:spacing w:line="276" w:lineRule="auto"/>
              <w:ind w:firstLine="326"/>
              <w:jc w:val="left"/>
              <w:rPr>
                <w:color w:val="000000" w:themeColor="text1"/>
              </w:rPr>
            </w:pPr>
            <w:r w:rsidRPr="00D11876">
              <w:rPr>
                <w:color w:val="000000" w:themeColor="text1"/>
              </w:rPr>
              <w:t>70 % IMS</w:t>
            </w:r>
          </w:p>
        </w:tc>
        <w:tc>
          <w:tcPr>
            <w:tcW w:w="3701" w:type="dxa"/>
            <w:vAlign w:val="center"/>
          </w:tcPr>
          <w:p w14:paraId="66D26F86" w14:textId="77777777" w:rsidR="00C0659D" w:rsidRPr="00D11876" w:rsidRDefault="00C0659D" w:rsidP="0081379E">
            <w:pPr>
              <w:spacing w:line="276" w:lineRule="auto"/>
              <w:ind w:firstLine="1048"/>
              <w:jc w:val="left"/>
              <w:rPr>
                <w:color w:val="000000" w:themeColor="text1"/>
              </w:rPr>
            </w:pPr>
            <w:r>
              <w:rPr>
                <w:color w:val="000000" w:themeColor="text1"/>
              </w:rPr>
              <w:t>1 hour</w:t>
            </w:r>
          </w:p>
        </w:tc>
      </w:tr>
      <w:tr w:rsidR="00C0659D" w14:paraId="6F4C0AD8" w14:textId="77777777" w:rsidTr="0081379E">
        <w:trPr>
          <w:jc w:val="center"/>
        </w:trPr>
        <w:tc>
          <w:tcPr>
            <w:tcW w:w="2253" w:type="dxa"/>
            <w:vAlign w:val="center"/>
          </w:tcPr>
          <w:p w14:paraId="443ADE99" w14:textId="77777777" w:rsidR="00C0659D" w:rsidRPr="00D11876" w:rsidRDefault="00C0659D" w:rsidP="0081379E">
            <w:pPr>
              <w:spacing w:line="276" w:lineRule="auto"/>
              <w:ind w:firstLine="326"/>
              <w:jc w:val="left"/>
              <w:rPr>
                <w:color w:val="000000" w:themeColor="text1"/>
              </w:rPr>
            </w:pPr>
            <w:r w:rsidRPr="00D11876">
              <w:rPr>
                <w:color w:val="000000" w:themeColor="text1"/>
              </w:rPr>
              <w:t>80 % IMS</w:t>
            </w:r>
          </w:p>
        </w:tc>
        <w:tc>
          <w:tcPr>
            <w:tcW w:w="3701" w:type="dxa"/>
            <w:vAlign w:val="center"/>
          </w:tcPr>
          <w:p w14:paraId="217A639C"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5685A246" w14:textId="77777777" w:rsidTr="0081379E">
        <w:trPr>
          <w:jc w:val="center"/>
        </w:trPr>
        <w:tc>
          <w:tcPr>
            <w:tcW w:w="2253" w:type="dxa"/>
            <w:vAlign w:val="center"/>
          </w:tcPr>
          <w:p w14:paraId="534902FE" w14:textId="77777777" w:rsidR="00C0659D" w:rsidRPr="00D11876" w:rsidRDefault="00C0659D" w:rsidP="0081379E">
            <w:pPr>
              <w:spacing w:line="276" w:lineRule="auto"/>
              <w:ind w:firstLine="326"/>
              <w:jc w:val="left"/>
              <w:rPr>
                <w:color w:val="000000" w:themeColor="text1"/>
              </w:rPr>
            </w:pPr>
            <w:r w:rsidRPr="00D11876">
              <w:rPr>
                <w:color w:val="000000" w:themeColor="text1"/>
              </w:rPr>
              <w:t>85 % IMS</w:t>
            </w:r>
          </w:p>
        </w:tc>
        <w:tc>
          <w:tcPr>
            <w:tcW w:w="3701" w:type="dxa"/>
            <w:vAlign w:val="center"/>
          </w:tcPr>
          <w:p w14:paraId="3304B44C"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06FBAD15" w14:textId="77777777" w:rsidTr="0081379E">
        <w:trPr>
          <w:jc w:val="center"/>
        </w:trPr>
        <w:tc>
          <w:tcPr>
            <w:tcW w:w="2253" w:type="dxa"/>
            <w:vAlign w:val="center"/>
          </w:tcPr>
          <w:p w14:paraId="5FAF2906" w14:textId="77777777" w:rsidR="00C0659D" w:rsidRPr="00D11876" w:rsidRDefault="00C0659D" w:rsidP="0081379E">
            <w:pPr>
              <w:spacing w:line="276" w:lineRule="auto"/>
              <w:ind w:firstLine="326"/>
              <w:jc w:val="left"/>
              <w:rPr>
                <w:color w:val="000000" w:themeColor="text1"/>
              </w:rPr>
            </w:pPr>
            <w:r w:rsidRPr="00D11876">
              <w:rPr>
                <w:color w:val="000000" w:themeColor="text1"/>
              </w:rPr>
              <w:t>90 % IMS</w:t>
            </w:r>
          </w:p>
        </w:tc>
        <w:tc>
          <w:tcPr>
            <w:tcW w:w="3701" w:type="dxa"/>
            <w:vAlign w:val="center"/>
          </w:tcPr>
          <w:p w14:paraId="5DC5C3F6"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00B07E2E" w14:textId="77777777" w:rsidTr="0081379E">
        <w:trPr>
          <w:jc w:val="center"/>
        </w:trPr>
        <w:tc>
          <w:tcPr>
            <w:tcW w:w="2253" w:type="dxa"/>
            <w:vAlign w:val="center"/>
          </w:tcPr>
          <w:p w14:paraId="002BA3A6" w14:textId="77777777" w:rsidR="00C0659D" w:rsidRPr="00D11876" w:rsidRDefault="00C0659D" w:rsidP="0081379E">
            <w:pPr>
              <w:spacing w:line="276" w:lineRule="auto"/>
              <w:ind w:firstLine="326"/>
              <w:jc w:val="left"/>
              <w:rPr>
                <w:color w:val="000000" w:themeColor="text1"/>
              </w:rPr>
            </w:pPr>
            <w:r w:rsidRPr="00D11876">
              <w:rPr>
                <w:color w:val="000000" w:themeColor="text1"/>
              </w:rPr>
              <w:t>95 % IMS</w:t>
            </w:r>
          </w:p>
        </w:tc>
        <w:tc>
          <w:tcPr>
            <w:tcW w:w="3701" w:type="dxa"/>
            <w:vAlign w:val="center"/>
          </w:tcPr>
          <w:p w14:paraId="2531C071"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25ACB192" w14:textId="77777777" w:rsidTr="0081379E">
        <w:trPr>
          <w:jc w:val="center"/>
        </w:trPr>
        <w:tc>
          <w:tcPr>
            <w:tcW w:w="2253" w:type="dxa"/>
            <w:vAlign w:val="center"/>
          </w:tcPr>
          <w:p w14:paraId="0DE56562" w14:textId="77777777" w:rsidR="00C0659D" w:rsidRPr="00D11876" w:rsidRDefault="00C0659D" w:rsidP="0081379E">
            <w:pPr>
              <w:spacing w:line="276" w:lineRule="auto"/>
              <w:ind w:firstLine="326"/>
              <w:jc w:val="left"/>
              <w:rPr>
                <w:color w:val="000000" w:themeColor="text1"/>
              </w:rPr>
            </w:pPr>
            <w:r w:rsidRPr="00D11876">
              <w:rPr>
                <w:color w:val="000000" w:themeColor="text1"/>
              </w:rPr>
              <w:t>100 % IMS</w:t>
            </w:r>
          </w:p>
        </w:tc>
        <w:tc>
          <w:tcPr>
            <w:tcW w:w="3701" w:type="dxa"/>
            <w:vAlign w:val="center"/>
          </w:tcPr>
          <w:p w14:paraId="346F1CB2"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411A95B3" w14:textId="77777777" w:rsidTr="0081379E">
        <w:trPr>
          <w:jc w:val="center"/>
        </w:trPr>
        <w:tc>
          <w:tcPr>
            <w:tcW w:w="2253" w:type="dxa"/>
            <w:vAlign w:val="center"/>
          </w:tcPr>
          <w:p w14:paraId="6D24E226" w14:textId="77777777" w:rsidR="00C0659D" w:rsidRPr="00D11876" w:rsidRDefault="00C0659D" w:rsidP="0081379E">
            <w:pPr>
              <w:spacing w:line="276" w:lineRule="auto"/>
              <w:ind w:firstLine="326"/>
              <w:jc w:val="left"/>
              <w:rPr>
                <w:color w:val="000000" w:themeColor="text1"/>
              </w:rPr>
            </w:pPr>
            <w:r w:rsidRPr="00D11876">
              <w:rPr>
                <w:color w:val="000000" w:themeColor="text1"/>
              </w:rPr>
              <w:t>100 % IMS</w:t>
            </w:r>
          </w:p>
        </w:tc>
        <w:tc>
          <w:tcPr>
            <w:tcW w:w="3701" w:type="dxa"/>
            <w:vAlign w:val="center"/>
          </w:tcPr>
          <w:p w14:paraId="3B04C587" w14:textId="77777777" w:rsidR="00C0659D" w:rsidRPr="00D11876" w:rsidRDefault="00C0659D" w:rsidP="0081379E">
            <w:pPr>
              <w:spacing w:line="276" w:lineRule="auto"/>
              <w:ind w:firstLine="1048"/>
              <w:jc w:val="left"/>
              <w:rPr>
                <w:color w:val="000000" w:themeColor="text1"/>
              </w:rPr>
            </w:pPr>
            <w:r w:rsidRPr="00BA78AD">
              <w:rPr>
                <w:color w:val="000000" w:themeColor="text1"/>
              </w:rPr>
              <w:t>1 hour 30 mins</w:t>
            </w:r>
          </w:p>
        </w:tc>
      </w:tr>
      <w:tr w:rsidR="00C0659D" w14:paraId="762D5D37" w14:textId="77777777" w:rsidTr="0081379E">
        <w:trPr>
          <w:jc w:val="center"/>
        </w:trPr>
        <w:tc>
          <w:tcPr>
            <w:tcW w:w="2253" w:type="dxa"/>
            <w:vAlign w:val="center"/>
          </w:tcPr>
          <w:p w14:paraId="33EDBCB5" w14:textId="77777777" w:rsidR="00C0659D" w:rsidRPr="00D11876" w:rsidRDefault="00C0659D" w:rsidP="0081379E">
            <w:pPr>
              <w:spacing w:line="276" w:lineRule="auto"/>
              <w:ind w:firstLine="326"/>
              <w:jc w:val="left"/>
              <w:rPr>
                <w:color w:val="000000" w:themeColor="text1"/>
              </w:rPr>
            </w:pPr>
            <w:r w:rsidRPr="00D11876">
              <w:rPr>
                <w:color w:val="000000" w:themeColor="text1"/>
              </w:rPr>
              <w:t>100 % xylene</w:t>
            </w:r>
          </w:p>
        </w:tc>
        <w:tc>
          <w:tcPr>
            <w:tcW w:w="3701" w:type="dxa"/>
            <w:vAlign w:val="center"/>
          </w:tcPr>
          <w:p w14:paraId="426D4CF0" w14:textId="77777777" w:rsidR="00C0659D" w:rsidRPr="00D11876" w:rsidRDefault="00C0659D" w:rsidP="0081379E">
            <w:pPr>
              <w:spacing w:line="276" w:lineRule="auto"/>
              <w:ind w:firstLine="1048"/>
              <w:jc w:val="left"/>
              <w:rPr>
                <w:color w:val="000000" w:themeColor="text1"/>
              </w:rPr>
            </w:pPr>
            <w:r>
              <w:rPr>
                <w:color w:val="000000" w:themeColor="text1"/>
              </w:rPr>
              <w:t>1 hour 30 mins</w:t>
            </w:r>
          </w:p>
        </w:tc>
      </w:tr>
      <w:tr w:rsidR="00C0659D" w14:paraId="1B1F99D4" w14:textId="77777777" w:rsidTr="0081379E">
        <w:trPr>
          <w:jc w:val="center"/>
        </w:trPr>
        <w:tc>
          <w:tcPr>
            <w:tcW w:w="2253" w:type="dxa"/>
            <w:vAlign w:val="center"/>
          </w:tcPr>
          <w:p w14:paraId="455DF281" w14:textId="77777777" w:rsidR="00C0659D" w:rsidRPr="00D11876" w:rsidRDefault="00C0659D" w:rsidP="0081379E">
            <w:pPr>
              <w:spacing w:line="276" w:lineRule="auto"/>
              <w:ind w:firstLine="326"/>
              <w:jc w:val="left"/>
              <w:rPr>
                <w:color w:val="000000" w:themeColor="text1"/>
              </w:rPr>
            </w:pPr>
            <w:r w:rsidRPr="00D11876">
              <w:rPr>
                <w:color w:val="000000" w:themeColor="text1"/>
              </w:rPr>
              <w:t>100 % xylene</w:t>
            </w:r>
          </w:p>
        </w:tc>
        <w:tc>
          <w:tcPr>
            <w:tcW w:w="3701" w:type="dxa"/>
            <w:vAlign w:val="center"/>
          </w:tcPr>
          <w:p w14:paraId="402D0B84" w14:textId="77777777" w:rsidR="00C0659D" w:rsidRPr="00D11876" w:rsidRDefault="00C0659D" w:rsidP="0081379E">
            <w:pPr>
              <w:spacing w:line="276" w:lineRule="auto"/>
              <w:ind w:firstLine="1048"/>
              <w:jc w:val="left"/>
              <w:rPr>
                <w:color w:val="000000" w:themeColor="text1"/>
              </w:rPr>
            </w:pPr>
            <w:r>
              <w:rPr>
                <w:color w:val="000000" w:themeColor="text1"/>
              </w:rPr>
              <w:t>1 hour 30 mins</w:t>
            </w:r>
          </w:p>
        </w:tc>
      </w:tr>
      <w:tr w:rsidR="00C0659D" w14:paraId="6C01D4B5" w14:textId="77777777" w:rsidTr="0081379E">
        <w:trPr>
          <w:jc w:val="center"/>
        </w:trPr>
        <w:tc>
          <w:tcPr>
            <w:tcW w:w="2253" w:type="dxa"/>
            <w:vAlign w:val="center"/>
          </w:tcPr>
          <w:p w14:paraId="265D0972" w14:textId="77777777" w:rsidR="00C0659D" w:rsidRPr="00D11876" w:rsidRDefault="00C0659D" w:rsidP="0081379E">
            <w:pPr>
              <w:spacing w:line="276" w:lineRule="auto"/>
              <w:ind w:firstLine="326"/>
              <w:jc w:val="left"/>
              <w:rPr>
                <w:color w:val="000000" w:themeColor="text1"/>
              </w:rPr>
            </w:pPr>
            <w:r w:rsidRPr="00D11876">
              <w:rPr>
                <w:color w:val="000000" w:themeColor="text1"/>
              </w:rPr>
              <w:t>100 % wax</w:t>
            </w:r>
          </w:p>
        </w:tc>
        <w:tc>
          <w:tcPr>
            <w:tcW w:w="3701" w:type="dxa"/>
            <w:vAlign w:val="center"/>
          </w:tcPr>
          <w:p w14:paraId="5A40336D" w14:textId="77777777" w:rsidR="00C0659D" w:rsidRPr="00D11876" w:rsidRDefault="00C0659D" w:rsidP="0081379E">
            <w:pPr>
              <w:spacing w:line="276" w:lineRule="auto"/>
              <w:ind w:firstLine="1048"/>
              <w:jc w:val="left"/>
              <w:rPr>
                <w:color w:val="000000" w:themeColor="text1"/>
              </w:rPr>
            </w:pPr>
            <w:r>
              <w:rPr>
                <w:color w:val="000000" w:themeColor="text1"/>
              </w:rPr>
              <w:t>2 hours</w:t>
            </w:r>
          </w:p>
        </w:tc>
      </w:tr>
      <w:tr w:rsidR="00C0659D" w14:paraId="1B819D73" w14:textId="77777777" w:rsidTr="0081379E">
        <w:trPr>
          <w:jc w:val="center"/>
        </w:trPr>
        <w:tc>
          <w:tcPr>
            <w:tcW w:w="2253" w:type="dxa"/>
            <w:tcBorders>
              <w:bottom w:val="single" w:sz="4" w:space="0" w:color="auto"/>
            </w:tcBorders>
            <w:vAlign w:val="center"/>
          </w:tcPr>
          <w:p w14:paraId="1D4A041D" w14:textId="77777777" w:rsidR="00C0659D" w:rsidRPr="00D11876" w:rsidRDefault="00C0659D" w:rsidP="0081379E">
            <w:pPr>
              <w:spacing w:line="276" w:lineRule="auto"/>
              <w:ind w:firstLine="326"/>
              <w:jc w:val="left"/>
              <w:rPr>
                <w:color w:val="000000" w:themeColor="text1"/>
              </w:rPr>
            </w:pPr>
            <w:r w:rsidRPr="00D11876">
              <w:rPr>
                <w:color w:val="000000" w:themeColor="text1"/>
              </w:rPr>
              <w:t>100 % wax</w:t>
            </w:r>
          </w:p>
        </w:tc>
        <w:tc>
          <w:tcPr>
            <w:tcW w:w="3701" w:type="dxa"/>
            <w:tcBorders>
              <w:bottom w:val="single" w:sz="4" w:space="0" w:color="auto"/>
            </w:tcBorders>
            <w:vAlign w:val="center"/>
          </w:tcPr>
          <w:p w14:paraId="3B8C96CA" w14:textId="77777777" w:rsidR="00C0659D" w:rsidRPr="00D11876" w:rsidRDefault="00C0659D" w:rsidP="0081379E">
            <w:pPr>
              <w:spacing w:line="276" w:lineRule="auto"/>
              <w:ind w:firstLine="1048"/>
              <w:jc w:val="left"/>
              <w:rPr>
                <w:color w:val="000000" w:themeColor="text1"/>
              </w:rPr>
            </w:pPr>
            <w:r>
              <w:rPr>
                <w:color w:val="000000" w:themeColor="text1"/>
              </w:rPr>
              <w:t>2 hours</w:t>
            </w:r>
          </w:p>
        </w:tc>
      </w:tr>
    </w:tbl>
    <w:p w14:paraId="568204FD" w14:textId="77777777" w:rsidR="00C0659D" w:rsidRPr="00D11876" w:rsidRDefault="00C0659D" w:rsidP="00C0659D">
      <w:pPr>
        <w:rPr>
          <w:color w:val="FF0000"/>
        </w:rPr>
      </w:pPr>
    </w:p>
    <w:p w14:paraId="5506514C" w14:textId="049E3A3F" w:rsidR="00C0659D" w:rsidRPr="00CB6A16" w:rsidRDefault="00C0659D" w:rsidP="00C0659D">
      <w:r>
        <w:t xml:space="preserve">Following tissue processing, samples were cut in half and placed cut-side down in wax moulds, to provide the correct sample orientation for sectioning. Samples were embedded in molten paraffin wax using </w:t>
      </w:r>
      <w:r w:rsidRPr="00E47CA0">
        <w:t>a Leica EG1160</w:t>
      </w:r>
      <w:r>
        <w:t xml:space="preserve"> embedding system. Filled wax blocks were cooled for 1 h on ice blocks before sectioning. Sectioning of samples was carried out </w:t>
      </w:r>
      <w:r w:rsidRPr="00E47CA0">
        <w:t>on a Leica RM2145</w:t>
      </w:r>
      <w:r>
        <w:t xml:space="preserve"> microtome using a microtome blade. 7 µm sections of samples were taken and immediately placed in a water bath set to 40 </w:t>
      </w:r>
      <w:r w:rsidR="00675D68" w:rsidRPr="00675D68">
        <w:rPr>
          <w:bCs/>
        </w:rPr>
        <w:sym w:font="Symbol" w:char="F0B0"/>
      </w:r>
      <w:r>
        <w:t xml:space="preserve">C, to allow the samples to smooth out prior to mounting on slides. Samples were mounted on Polysine microscope slides (ThermoFisher) and allowed to dry on a hot plate set to 42 ˚C. </w:t>
      </w:r>
    </w:p>
    <w:p w14:paraId="6E69C652" w14:textId="77777777" w:rsidR="00C0659D" w:rsidRDefault="00C0659D" w:rsidP="00AF52F5">
      <w:pPr>
        <w:pStyle w:val="Heading3"/>
      </w:pPr>
      <w:bookmarkStart w:id="235" w:name="_Toc520463562"/>
      <w:bookmarkStart w:id="236" w:name="_Toc2451052"/>
      <w:r>
        <w:t>Haematoxylin &amp; eosin (H&amp;E) staining</w:t>
      </w:r>
      <w:bookmarkEnd w:id="235"/>
      <w:bookmarkEnd w:id="236"/>
    </w:p>
    <w:p w14:paraId="43319B21" w14:textId="3D7FB1A6" w:rsidR="00C0659D" w:rsidRDefault="00C0659D" w:rsidP="00C0659D">
      <w:r>
        <w:t xml:space="preserve">Following sectioning, samples were stained with haematoxylin &amp; eosin (H&amp;E) according to the following </w:t>
      </w:r>
      <w:r w:rsidRPr="00A30159">
        <w:t xml:space="preserve">procedure, </w:t>
      </w:r>
      <w:r w:rsidRPr="00A30159">
        <w:fldChar w:fldCharType="begin"/>
      </w:r>
      <w:r w:rsidRPr="00A30159">
        <w:instrText xml:space="preserve"> REF _Ref521075646 \h  \* MERGEFORMAT </w:instrText>
      </w:r>
      <w:r w:rsidRPr="00A30159">
        <w:fldChar w:fldCharType="separate"/>
      </w:r>
      <w:r w:rsidR="00E6157A" w:rsidRPr="001B1F61">
        <w:t xml:space="preserve">Table </w:t>
      </w:r>
      <w:r w:rsidR="00E6157A">
        <w:rPr>
          <w:noProof/>
        </w:rPr>
        <w:t>4.2</w:t>
      </w:r>
      <w:r w:rsidRPr="00A30159">
        <w:fldChar w:fldCharType="end"/>
      </w:r>
      <w:r w:rsidRPr="00A30159">
        <w:t>.</w:t>
      </w:r>
    </w:p>
    <w:p w14:paraId="643A8831" w14:textId="152EC625" w:rsidR="008C76AB" w:rsidRDefault="008C76AB" w:rsidP="00C0659D"/>
    <w:p w14:paraId="3E743FB9" w14:textId="05D2A2EF" w:rsidR="008C76AB" w:rsidRDefault="008C76AB" w:rsidP="00C0659D"/>
    <w:p w14:paraId="7CC16A49" w14:textId="77777777" w:rsidR="008C76AB" w:rsidRDefault="008C76AB" w:rsidP="00C0659D"/>
    <w:p w14:paraId="32C127A5" w14:textId="25DC8CE5" w:rsidR="00C0659D" w:rsidRPr="005D2C0B" w:rsidRDefault="00C0659D" w:rsidP="00C0659D">
      <w:pPr>
        <w:pStyle w:val="Caption"/>
        <w:keepNext/>
        <w:jc w:val="center"/>
        <w:rPr>
          <w:b w:val="0"/>
        </w:rPr>
      </w:pPr>
      <w:bookmarkStart w:id="237" w:name="_Ref521075646"/>
      <w:r w:rsidRPr="001B1F61">
        <w:lastRenderedPageBreak/>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2</w:t>
      </w:r>
      <w:r w:rsidR="00BE21E4">
        <w:rPr>
          <w:noProof/>
        </w:rPr>
        <w:fldChar w:fldCharType="end"/>
      </w:r>
      <w:bookmarkEnd w:id="237"/>
      <w:r w:rsidRPr="001B1F61">
        <w:t xml:space="preserve">. </w:t>
      </w:r>
      <w:r w:rsidRPr="005D2C0B">
        <w:rPr>
          <w:b w:val="0"/>
        </w:rPr>
        <w:t>Solutions and timings for haematoxylin and eosin staining procedure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9"/>
        <w:gridCol w:w="3701"/>
      </w:tblGrid>
      <w:tr w:rsidR="00C0659D" w:rsidRPr="00D11876" w14:paraId="64FD78F6" w14:textId="77777777" w:rsidTr="0081379E">
        <w:trPr>
          <w:jc w:val="center"/>
        </w:trPr>
        <w:tc>
          <w:tcPr>
            <w:tcW w:w="2679" w:type="dxa"/>
            <w:tcBorders>
              <w:top w:val="single" w:sz="4" w:space="0" w:color="auto"/>
              <w:bottom w:val="single" w:sz="4" w:space="0" w:color="auto"/>
            </w:tcBorders>
          </w:tcPr>
          <w:p w14:paraId="371AB318" w14:textId="77777777" w:rsidR="00C0659D" w:rsidRPr="00D11876" w:rsidRDefault="00C0659D" w:rsidP="0081379E">
            <w:pPr>
              <w:spacing w:line="276" w:lineRule="auto"/>
              <w:jc w:val="center"/>
              <w:rPr>
                <w:b/>
                <w:color w:val="000000" w:themeColor="text1"/>
              </w:rPr>
            </w:pPr>
            <w:r w:rsidRPr="00D11876">
              <w:rPr>
                <w:b/>
                <w:color w:val="000000" w:themeColor="text1"/>
              </w:rPr>
              <w:t>Treatment</w:t>
            </w:r>
          </w:p>
        </w:tc>
        <w:tc>
          <w:tcPr>
            <w:tcW w:w="3701" w:type="dxa"/>
            <w:tcBorders>
              <w:top w:val="single" w:sz="4" w:space="0" w:color="auto"/>
              <w:bottom w:val="single" w:sz="4" w:space="0" w:color="auto"/>
            </w:tcBorders>
          </w:tcPr>
          <w:p w14:paraId="16556481" w14:textId="77777777" w:rsidR="00C0659D" w:rsidRPr="00D11876" w:rsidRDefault="00C0659D" w:rsidP="0081379E">
            <w:pPr>
              <w:spacing w:line="276" w:lineRule="auto"/>
              <w:jc w:val="center"/>
              <w:rPr>
                <w:b/>
                <w:color w:val="000000" w:themeColor="text1"/>
              </w:rPr>
            </w:pPr>
            <w:r w:rsidRPr="00D11876">
              <w:rPr>
                <w:b/>
                <w:color w:val="000000" w:themeColor="text1"/>
              </w:rPr>
              <w:t xml:space="preserve">Time </w:t>
            </w:r>
            <w:r>
              <w:rPr>
                <w:b/>
                <w:color w:val="000000" w:themeColor="text1"/>
              </w:rPr>
              <w:t>exposed to solution</w:t>
            </w:r>
          </w:p>
        </w:tc>
      </w:tr>
      <w:tr w:rsidR="00C0659D" w:rsidRPr="00D11876" w14:paraId="5AD8AED4" w14:textId="77777777" w:rsidTr="0081379E">
        <w:trPr>
          <w:jc w:val="center"/>
        </w:trPr>
        <w:tc>
          <w:tcPr>
            <w:tcW w:w="2679" w:type="dxa"/>
            <w:tcBorders>
              <w:top w:val="single" w:sz="4" w:space="0" w:color="auto"/>
            </w:tcBorders>
            <w:vAlign w:val="center"/>
          </w:tcPr>
          <w:p w14:paraId="6B1655DF" w14:textId="77777777" w:rsidR="00C0659D" w:rsidRPr="00D11876" w:rsidRDefault="00C0659D" w:rsidP="0081379E">
            <w:pPr>
              <w:spacing w:line="276" w:lineRule="auto"/>
              <w:ind w:firstLine="326"/>
              <w:jc w:val="left"/>
              <w:rPr>
                <w:color w:val="000000" w:themeColor="text1"/>
              </w:rPr>
            </w:pPr>
            <w:r>
              <w:rPr>
                <w:color w:val="000000" w:themeColor="text1"/>
              </w:rPr>
              <w:t>Xylene</w:t>
            </w:r>
          </w:p>
        </w:tc>
        <w:tc>
          <w:tcPr>
            <w:tcW w:w="3701" w:type="dxa"/>
            <w:tcBorders>
              <w:top w:val="single" w:sz="4" w:space="0" w:color="auto"/>
            </w:tcBorders>
            <w:vAlign w:val="center"/>
          </w:tcPr>
          <w:p w14:paraId="52E94A6A" w14:textId="77777777" w:rsidR="00C0659D" w:rsidRPr="00D11876" w:rsidRDefault="00C0659D" w:rsidP="0081379E">
            <w:pPr>
              <w:spacing w:line="276" w:lineRule="auto"/>
              <w:ind w:firstLine="1048"/>
              <w:jc w:val="left"/>
              <w:rPr>
                <w:color w:val="000000" w:themeColor="text1"/>
              </w:rPr>
            </w:pPr>
            <w:r>
              <w:rPr>
                <w:color w:val="000000" w:themeColor="text1"/>
              </w:rPr>
              <w:t>3 minutes</w:t>
            </w:r>
          </w:p>
        </w:tc>
      </w:tr>
      <w:tr w:rsidR="00C0659D" w:rsidRPr="00D11876" w14:paraId="5D0DC7F2" w14:textId="77777777" w:rsidTr="0081379E">
        <w:trPr>
          <w:jc w:val="center"/>
        </w:trPr>
        <w:tc>
          <w:tcPr>
            <w:tcW w:w="2679" w:type="dxa"/>
            <w:vAlign w:val="center"/>
          </w:tcPr>
          <w:p w14:paraId="45B7F18D" w14:textId="77777777" w:rsidR="00C0659D" w:rsidRPr="00D11876" w:rsidRDefault="00C0659D" w:rsidP="0081379E">
            <w:pPr>
              <w:spacing w:line="276" w:lineRule="auto"/>
              <w:ind w:firstLine="326"/>
              <w:jc w:val="left"/>
              <w:rPr>
                <w:color w:val="000000" w:themeColor="text1"/>
              </w:rPr>
            </w:pPr>
            <w:r>
              <w:rPr>
                <w:color w:val="000000" w:themeColor="text1"/>
              </w:rPr>
              <w:t>Xylene</w:t>
            </w:r>
          </w:p>
        </w:tc>
        <w:tc>
          <w:tcPr>
            <w:tcW w:w="3701" w:type="dxa"/>
            <w:vAlign w:val="center"/>
          </w:tcPr>
          <w:p w14:paraId="3CBA95B3" w14:textId="77777777" w:rsidR="00C0659D" w:rsidRPr="00D11876" w:rsidRDefault="00C0659D" w:rsidP="0081379E">
            <w:pPr>
              <w:spacing w:line="276" w:lineRule="auto"/>
              <w:ind w:firstLine="1048"/>
              <w:jc w:val="left"/>
              <w:rPr>
                <w:color w:val="000000" w:themeColor="text1"/>
              </w:rPr>
            </w:pPr>
            <w:r>
              <w:rPr>
                <w:color w:val="000000" w:themeColor="text1"/>
              </w:rPr>
              <w:t>3 minutes</w:t>
            </w:r>
          </w:p>
        </w:tc>
      </w:tr>
      <w:tr w:rsidR="00C0659D" w:rsidRPr="00D11876" w14:paraId="01B4F112" w14:textId="77777777" w:rsidTr="0081379E">
        <w:trPr>
          <w:jc w:val="center"/>
        </w:trPr>
        <w:tc>
          <w:tcPr>
            <w:tcW w:w="2679" w:type="dxa"/>
            <w:vAlign w:val="center"/>
          </w:tcPr>
          <w:p w14:paraId="74BC7989" w14:textId="77777777" w:rsidR="00C0659D" w:rsidRPr="00D11876" w:rsidRDefault="00C0659D" w:rsidP="0081379E">
            <w:pPr>
              <w:spacing w:line="276" w:lineRule="auto"/>
              <w:ind w:firstLine="326"/>
              <w:jc w:val="left"/>
              <w:rPr>
                <w:color w:val="000000" w:themeColor="text1"/>
              </w:rPr>
            </w:pPr>
            <w:r>
              <w:rPr>
                <w:color w:val="000000" w:themeColor="text1"/>
              </w:rPr>
              <w:t>100 % IMS</w:t>
            </w:r>
          </w:p>
        </w:tc>
        <w:tc>
          <w:tcPr>
            <w:tcW w:w="3701" w:type="dxa"/>
            <w:vAlign w:val="center"/>
          </w:tcPr>
          <w:p w14:paraId="7D8F68D0" w14:textId="77777777" w:rsidR="00C0659D" w:rsidRPr="00D11876" w:rsidRDefault="00C0659D" w:rsidP="0081379E">
            <w:pPr>
              <w:spacing w:line="276" w:lineRule="auto"/>
              <w:ind w:firstLine="1048"/>
              <w:jc w:val="left"/>
              <w:rPr>
                <w:color w:val="000000" w:themeColor="text1"/>
              </w:rPr>
            </w:pPr>
            <w:r>
              <w:rPr>
                <w:color w:val="000000" w:themeColor="text1"/>
              </w:rPr>
              <w:t>1 minute</w:t>
            </w:r>
          </w:p>
        </w:tc>
      </w:tr>
      <w:tr w:rsidR="00C0659D" w:rsidRPr="00D11876" w14:paraId="4F3E5806" w14:textId="77777777" w:rsidTr="0081379E">
        <w:trPr>
          <w:jc w:val="center"/>
        </w:trPr>
        <w:tc>
          <w:tcPr>
            <w:tcW w:w="2679" w:type="dxa"/>
            <w:vAlign w:val="center"/>
          </w:tcPr>
          <w:p w14:paraId="1590FC9C" w14:textId="77777777" w:rsidR="00C0659D" w:rsidRPr="00D11876" w:rsidRDefault="00C0659D" w:rsidP="0081379E">
            <w:pPr>
              <w:spacing w:line="276" w:lineRule="auto"/>
              <w:ind w:firstLine="326"/>
              <w:jc w:val="left"/>
              <w:rPr>
                <w:color w:val="000000" w:themeColor="text1"/>
              </w:rPr>
            </w:pPr>
            <w:r>
              <w:rPr>
                <w:color w:val="000000" w:themeColor="text1"/>
              </w:rPr>
              <w:t>70 % IMS</w:t>
            </w:r>
          </w:p>
        </w:tc>
        <w:tc>
          <w:tcPr>
            <w:tcW w:w="3701" w:type="dxa"/>
            <w:vAlign w:val="center"/>
          </w:tcPr>
          <w:p w14:paraId="7637A192" w14:textId="77777777" w:rsidR="00C0659D" w:rsidRPr="00D11876" w:rsidRDefault="00C0659D" w:rsidP="0081379E">
            <w:pPr>
              <w:spacing w:line="276" w:lineRule="auto"/>
              <w:ind w:firstLine="1048"/>
              <w:jc w:val="left"/>
              <w:rPr>
                <w:color w:val="000000" w:themeColor="text1"/>
              </w:rPr>
            </w:pPr>
            <w:r>
              <w:rPr>
                <w:color w:val="000000" w:themeColor="text1"/>
              </w:rPr>
              <w:t>30 seconds</w:t>
            </w:r>
          </w:p>
        </w:tc>
      </w:tr>
      <w:tr w:rsidR="00C0659D" w:rsidRPr="00D11876" w14:paraId="1F6181FC" w14:textId="77777777" w:rsidTr="0081379E">
        <w:trPr>
          <w:jc w:val="center"/>
        </w:trPr>
        <w:tc>
          <w:tcPr>
            <w:tcW w:w="2679" w:type="dxa"/>
            <w:vAlign w:val="center"/>
          </w:tcPr>
          <w:p w14:paraId="25C3ACEE" w14:textId="77777777" w:rsidR="00C0659D" w:rsidRPr="00D11876" w:rsidRDefault="00C0659D" w:rsidP="0081379E">
            <w:pPr>
              <w:spacing w:line="276" w:lineRule="auto"/>
              <w:ind w:firstLine="326"/>
              <w:jc w:val="left"/>
              <w:rPr>
                <w:color w:val="000000" w:themeColor="text1"/>
              </w:rPr>
            </w:pPr>
            <w:r>
              <w:rPr>
                <w:color w:val="000000" w:themeColor="text1"/>
              </w:rPr>
              <w:t>Distilled water</w:t>
            </w:r>
          </w:p>
        </w:tc>
        <w:tc>
          <w:tcPr>
            <w:tcW w:w="3701" w:type="dxa"/>
            <w:vAlign w:val="center"/>
          </w:tcPr>
          <w:p w14:paraId="5ECDFCA0" w14:textId="77777777" w:rsidR="00C0659D" w:rsidRPr="00D11876" w:rsidRDefault="00C0659D" w:rsidP="0081379E">
            <w:pPr>
              <w:spacing w:line="276" w:lineRule="auto"/>
              <w:ind w:firstLine="1048"/>
              <w:jc w:val="left"/>
              <w:rPr>
                <w:color w:val="000000" w:themeColor="text1"/>
              </w:rPr>
            </w:pPr>
            <w:r>
              <w:rPr>
                <w:color w:val="000000" w:themeColor="text1"/>
              </w:rPr>
              <w:t>1 minute</w:t>
            </w:r>
          </w:p>
        </w:tc>
      </w:tr>
      <w:tr w:rsidR="00C0659D" w:rsidRPr="00D11876" w14:paraId="0BF84F8F" w14:textId="77777777" w:rsidTr="0081379E">
        <w:trPr>
          <w:jc w:val="center"/>
        </w:trPr>
        <w:tc>
          <w:tcPr>
            <w:tcW w:w="2679" w:type="dxa"/>
            <w:vAlign w:val="center"/>
          </w:tcPr>
          <w:p w14:paraId="7AC45DAF" w14:textId="77777777" w:rsidR="00C0659D" w:rsidRPr="00D11876" w:rsidRDefault="00C0659D" w:rsidP="0081379E">
            <w:pPr>
              <w:spacing w:line="276" w:lineRule="auto"/>
              <w:ind w:firstLine="326"/>
              <w:jc w:val="left"/>
              <w:rPr>
                <w:color w:val="000000" w:themeColor="text1"/>
              </w:rPr>
            </w:pPr>
            <w:r>
              <w:rPr>
                <w:color w:val="000000" w:themeColor="text1"/>
              </w:rPr>
              <w:t>Haematoxylin</w:t>
            </w:r>
          </w:p>
        </w:tc>
        <w:tc>
          <w:tcPr>
            <w:tcW w:w="3701" w:type="dxa"/>
            <w:vAlign w:val="center"/>
          </w:tcPr>
          <w:p w14:paraId="5A4B0B2B" w14:textId="77777777" w:rsidR="00C0659D" w:rsidRPr="00D11876" w:rsidRDefault="00C0659D" w:rsidP="0081379E">
            <w:pPr>
              <w:spacing w:line="276" w:lineRule="auto"/>
              <w:ind w:firstLine="1048"/>
              <w:jc w:val="left"/>
              <w:rPr>
                <w:color w:val="000000" w:themeColor="text1"/>
              </w:rPr>
            </w:pPr>
            <w:r>
              <w:rPr>
                <w:color w:val="000000" w:themeColor="text1"/>
              </w:rPr>
              <w:t>1 minute 30 secs</w:t>
            </w:r>
          </w:p>
        </w:tc>
      </w:tr>
      <w:tr w:rsidR="00C0659D" w:rsidRPr="00D11876" w14:paraId="53BA2DB1" w14:textId="77777777" w:rsidTr="0081379E">
        <w:trPr>
          <w:jc w:val="center"/>
        </w:trPr>
        <w:tc>
          <w:tcPr>
            <w:tcW w:w="2679" w:type="dxa"/>
            <w:vAlign w:val="center"/>
          </w:tcPr>
          <w:p w14:paraId="5010D9BF" w14:textId="77777777" w:rsidR="00C0659D" w:rsidRPr="00D11876" w:rsidRDefault="00C0659D" w:rsidP="0081379E">
            <w:pPr>
              <w:spacing w:line="276" w:lineRule="auto"/>
              <w:ind w:firstLine="326"/>
              <w:jc w:val="left"/>
              <w:rPr>
                <w:color w:val="000000" w:themeColor="text1"/>
              </w:rPr>
            </w:pPr>
            <w:r>
              <w:rPr>
                <w:color w:val="000000" w:themeColor="text1"/>
              </w:rPr>
              <w:t>Tap water (running)</w:t>
            </w:r>
          </w:p>
        </w:tc>
        <w:tc>
          <w:tcPr>
            <w:tcW w:w="3701" w:type="dxa"/>
            <w:vAlign w:val="center"/>
          </w:tcPr>
          <w:p w14:paraId="317E4217" w14:textId="77777777" w:rsidR="00C0659D" w:rsidRPr="00D11876" w:rsidRDefault="00C0659D" w:rsidP="0081379E">
            <w:pPr>
              <w:spacing w:line="276" w:lineRule="auto"/>
              <w:ind w:firstLine="1048"/>
              <w:jc w:val="left"/>
              <w:rPr>
                <w:color w:val="000000" w:themeColor="text1"/>
              </w:rPr>
            </w:pPr>
            <w:r>
              <w:rPr>
                <w:color w:val="000000" w:themeColor="text1"/>
              </w:rPr>
              <w:t>4 minutes</w:t>
            </w:r>
          </w:p>
        </w:tc>
      </w:tr>
      <w:tr w:rsidR="00C0659D" w:rsidRPr="00D11876" w14:paraId="7C633845" w14:textId="77777777" w:rsidTr="0081379E">
        <w:trPr>
          <w:jc w:val="center"/>
        </w:trPr>
        <w:tc>
          <w:tcPr>
            <w:tcW w:w="2679" w:type="dxa"/>
            <w:vAlign w:val="center"/>
          </w:tcPr>
          <w:p w14:paraId="2877C821" w14:textId="77777777" w:rsidR="00C0659D" w:rsidRPr="00D11876" w:rsidRDefault="00C0659D" w:rsidP="0081379E">
            <w:pPr>
              <w:spacing w:line="276" w:lineRule="auto"/>
              <w:ind w:firstLine="326"/>
              <w:jc w:val="left"/>
              <w:rPr>
                <w:color w:val="000000" w:themeColor="text1"/>
              </w:rPr>
            </w:pPr>
            <w:r>
              <w:rPr>
                <w:color w:val="000000" w:themeColor="text1"/>
              </w:rPr>
              <w:t>Eosin</w:t>
            </w:r>
          </w:p>
        </w:tc>
        <w:tc>
          <w:tcPr>
            <w:tcW w:w="3701" w:type="dxa"/>
            <w:vAlign w:val="center"/>
          </w:tcPr>
          <w:p w14:paraId="164551E3" w14:textId="77777777" w:rsidR="00C0659D" w:rsidRPr="00D11876" w:rsidRDefault="00C0659D" w:rsidP="0081379E">
            <w:pPr>
              <w:spacing w:line="276" w:lineRule="auto"/>
              <w:ind w:firstLine="1048"/>
              <w:jc w:val="left"/>
              <w:rPr>
                <w:color w:val="000000" w:themeColor="text1"/>
              </w:rPr>
            </w:pPr>
            <w:r>
              <w:rPr>
                <w:color w:val="000000" w:themeColor="text1"/>
              </w:rPr>
              <w:t>5 minutes</w:t>
            </w:r>
          </w:p>
        </w:tc>
      </w:tr>
      <w:tr w:rsidR="00C0659D" w:rsidRPr="00D11876" w14:paraId="4A85109F" w14:textId="77777777" w:rsidTr="0081379E">
        <w:trPr>
          <w:jc w:val="center"/>
        </w:trPr>
        <w:tc>
          <w:tcPr>
            <w:tcW w:w="2679" w:type="dxa"/>
            <w:vAlign w:val="center"/>
          </w:tcPr>
          <w:p w14:paraId="0572A1DC" w14:textId="77777777" w:rsidR="00C0659D" w:rsidRPr="00D11876" w:rsidRDefault="00C0659D" w:rsidP="0081379E">
            <w:pPr>
              <w:spacing w:line="276" w:lineRule="auto"/>
              <w:ind w:firstLine="326"/>
              <w:jc w:val="left"/>
              <w:rPr>
                <w:color w:val="000000" w:themeColor="text1"/>
              </w:rPr>
            </w:pPr>
            <w:r>
              <w:rPr>
                <w:color w:val="000000" w:themeColor="text1"/>
              </w:rPr>
              <w:t>Deionised water</w:t>
            </w:r>
          </w:p>
        </w:tc>
        <w:tc>
          <w:tcPr>
            <w:tcW w:w="3701" w:type="dxa"/>
            <w:vAlign w:val="center"/>
          </w:tcPr>
          <w:p w14:paraId="19B832E4" w14:textId="77777777" w:rsidR="00C0659D" w:rsidRPr="00D11876" w:rsidRDefault="00C0659D" w:rsidP="0081379E">
            <w:pPr>
              <w:spacing w:line="276" w:lineRule="auto"/>
              <w:ind w:firstLine="1048"/>
              <w:jc w:val="left"/>
              <w:rPr>
                <w:color w:val="000000" w:themeColor="text1"/>
              </w:rPr>
            </w:pPr>
            <w:r>
              <w:rPr>
                <w:color w:val="000000" w:themeColor="text1"/>
              </w:rPr>
              <w:t>Dunk</w:t>
            </w:r>
          </w:p>
        </w:tc>
      </w:tr>
      <w:tr w:rsidR="00C0659D" w:rsidRPr="00D11876" w14:paraId="27A41BA2" w14:textId="77777777" w:rsidTr="0081379E">
        <w:trPr>
          <w:jc w:val="center"/>
        </w:trPr>
        <w:tc>
          <w:tcPr>
            <w:tcW w:w="2679" w:type="dxa"/>
            <w:vAlign w:val="center"/>
          </w:tcPr>
          <w:p w14:paraId="6DDB7BA6" w14:textId="77777777" w:rsidR="00C0659D" w:rsidRPr="00D11876" w:rsidRDefault="00C0659D" w:rsidP="0081379E">
            <w:pPr>
              <w:spacing w:line="276" w:lineRule="auto"/>
              <w:ind w:firstLine="326"/>
              <w:jc w:val="left"/>
              <w:rPr>
                <w:color w:val="000000" w:themeColor="text1"/>
              </w:rPr>
            </w:pPr>
            <w:r>
              <w:rPr>
                <w:color w:val="000000" w:themeColor="text1"/>
              </w:rPr>
              <w:t>Deionised water</w:t>
            </w:r>
          </w:p>
        </w:tc>
        <w:tc>
          <w:tcPr>
            <w:tcW w:w="3701" w:type="dxa"/>
            <w:vAlign w:val="center"/>
          </w:tcPr>
          <w:p w14:paraId="182391FB" w14:textId="77777777" w:rsidR="00C0659D" w:rsidRPr="00D11876" w:rsidRDefault="00C0659D" w:rsidP="0081379E">
            <w:pPr>
              <w:spacing w:line="276" w:lineRule="auto"/>
              <w:ind w:firstLine="1048"/>
              <w:jc w:val="left"/>
              <w:rPr>
                <w:color w:val="000000" w:themeColor="text1"/>
              </w:rPr>
            </w:pPr>
            <w:r>
              <w:rPr>
                <w:color w:val="000000" w:themeColor="text1"/>
              </w:rPr>
              <w:t>Dunk</w:t>
            </w:r>
          </w:p>
        </w:tc>
      </w:tr>
      <w:tr w:rsidR="00C0659D" w:rsidRPr="00D11876" w14:paraId="60158901" w14:textId="77777777" w:rsidTr="0081379E">
        <w:trPr>
          <w:jc w:val="center"/>
        </w:trPr>
        <w:tc>
          <w:tcPr>
            <w:tcW w:w="2679" w:type="dxa"/>
            <w:vAlign w:val="center"/>
          </w:tcPr>
          <w:p w14:paraId="5DC4DA56" w14:textId="77777777" w:rsidR="00C0659D" w:rsidRPr="00D11876" w:rsidRDefault="00C0659D" w:rsidP="0081379E">
            <w:pPr>
              <w:spacing w:line="276" w:lineRule="auto"/>
              <w:ind w:firstLine="326"/>
              <w:jc w:val="left"/>
              <w:rPr>
                <w:color w:val="000000" w:themeColor="text1"/>
              </w:rPr>
            </w:pPr>
            <w:r>
              <w:rPr>
                <w:color w:val="000000" w:themeColor="text1"/>
              </w:rPr>
              <w:t>7</w:t>
            </w:r>
            <w:r w:rsidRPr="00D11876">
              <w:rPr>
                <w:color w:val="000000" w:themeColor="text1"/>
              </w:rPr>
              <w:t xml:space="preserve">0 % </w:t>
            </w:r>
            <w:r>
              <w:rPr>
                <w:color w:val="000000" w:themeColor="text1"/>
              </w:rPr>
              <w:t>IMS</w:t>
            </w:r>
          </w:p>
        </w:tc>
        <w:tc>
          <w:tcPr>
            <w:tcW w:w="3701" w:type="dxa"/>
            <w:vAlign w:val="center"/>
          </w:tcPr>
          <w:p w14:paraId="63F8EFD4" w14:textId="77777777" w:rsidR="00C0659D" w:rsidRPr="00D11876" w:rsidRDefault="00C0659D" w:rsidP="0081379E">
            <w:pPr>
              <w:spacing w:line="276" w:lineRule="auto"/>
              <w:ind w:firstLine="1048"/>
              <w:jc w:val="left"/>
              <w:rPr>
                <w:color w:val="000000" w:themeColor="text1"/>
              </w:rPr>
            </w:pPr>
            <w:r>
              <w:rPr>
                <w:color w:val="000000" w:themeColor="text1"/>
              </w:rPr>
              <w:t>Dunk</w:t>
            </w:r>
          </w:p>
        </w:tc>
      </w:tr>
      <w:tr w:rsidR="00C0659D" w:rsidRPr="00D11876" w14:paraId="0E295B89" w14:textId="77777777" w:rsidTr="0081379E">
        <w:trPr>
          <w:jc w:val="center"/>
        </w:trPr>
        <w:tc>
          <w:tcPr>
            <w:tcW w:w="2679" w:type="dxa"/>
            <w:vAlign w:val="center"/>
          </w:tcPr>
          <w:p w14:paraId="3535E845" w14:textId="77777777" w:rsidR="00C0659D" w:rsidRPr="00D11876" w:rsidRDefault="00C0659D" w:rsidP="0081379E">
            <w:pPr>
              <w:spacing w:line="276" w:lineRule="auto"/>
              <w:ind w:firstLine="326"/>
              <w:jc w:val="left"/>
              <w:rPr>
                <w:color w:val="000000" w:themeColor="text1"/>
              </w:rPr>
            </w:pPr>
            <w:r w:rsidRPr="00D11876">
              <w:rPr>
                <w:color w:val="000000" w:themeColor="text1"/>
              </w:rPr>
              <w:t xml:space="preserve">100 % </w:t>
            </w:r>
            <w:r>
              <w:rPr>
                <w:color w:val="000000" w:themeColor="text1"/>
              </w:rPr>
              <w:t>IMS</w:t>
            </w:r>
          </w:p>
        </w:tc>
        <w:tc>
          <w:tcPr>
            <w:tcW w:w="3701" w:type="dxa"/>
            <w:vAlign w:val="center"/>
          </w:tcPr>
          <w:p w14:paraId="701C7109" w14:textId="77777777" w:rsidR="00C0659D" w:rsidRPr="00D11876" w:rsidRDefault="00C0659D" w:rsidP="0081379E">
            <w:pPr>
              <w:spacing w:line="276" w:lineRule="auto"/>
              <w:ind w:firstLine="1048"/>
              <w:jc w:val="left"/>
              <w:rPr>
                <w:color w:val="000000" w:themeColor="text1"/>
              </w:rPr>
            </w:pPr>
            <w:r>
              <w:rPr>
                <w:color w:val="000000" w:themeColor="text1"/>
              </w:rPr>
              <w:t>30 seconds</w:t>
            </w:r>
          </w:p>
        </w:tc>
      </w:tr>
      <w:tr w:rsidR="00C0659D" w:rsidRPr="00D11876" w14:paraId="23867041" w14:textId="77777777" w:rsidTr="0081379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Borders>
              <w:top w:val="nil"/>
              <w:left w:val="nil"/>
              <w:bottom w:val="nil"/>
              <w:right w:val="nil"/>
            </w:tcBorders>
          </w:tcPr>
          <w:p w14:paraId="63A95495" w14:textId="77777777" w:rsidR="00C0659D" w:rsidRPr="00D11876" w:rsidRDefault="00C0659D" w:rsidP="0081379E">
            <w:pPr>
              <w:spacing w:line="276" w:lineRule="auto"/>
              <w:ind w:firstLine="326"/>
              <w:jc w:val="left"/>
              <w:rPr>
                <w:color w:val="000000" w:themeColor="text1"/>
              </w:rPr>
            </w:pPr>
            <w:r>
              <w:rPr>
                <w:color w:val="000000" w:themeColor="text1"/>
              </w:rPr>
              <w:t>Xylene</w:t>
            </w:r>
          </w:p>
        </w:tc>
        <w:tc>
          <w:tcPr>
            <w:tcW w:w="3701" w:type="dxa"/>
            <w:tcBorders>
              <w:top w:val="nil"/>
              <w:left w:val="nil"/>
              <w:bottom w:val="nil"/>
              <w:right w:val="nil"/>
            </w:tcBorders>
          </w:tcPr>
          <w:p w14:paraId="721ED2B5" w14:textId="77777777" w:rsidR="00C0659D" w:rsidRPr="00D11876" w:rsidRDefault="00C0659D" w:rsidP="0081379E">
            <w:pPr>
              <w:spacing w:line="276" w:lineRule="auto"/>
              <w:ind w:firstLine="1048"/>
              <w:jc w:val="left"/>
              <w:rPr>
                <w:color w:val="000000" w:themeColor="text1"/>
              </w:rPr>
            </w:pPr>
            <w:r>
              <w:rPr>
                <w:color w:val="000000" w:themeColor="text1"/>
              </w:rPr>
              <w:t>Dunk</w:t>
            </w:r>
          </w:p>
        </w:tc>
      </w:tr>
      <w:tr w:rsidR="00C0659D" w:rsidRPr="00D11876" w14:paraId="5ED47075" w14:textId="77777777" w:rsidTr="0081379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Borders>
              <w:top w:val="nil"/>
              <w:left w:val="nil"/>
              <w:bottom w:val="single" w:sz="4" w:space="0" w:color="auto"/>
              <w:right w:val="nil"/>
            </w:tcBorders>
          </w:tcPr>
          <w:p w14:paraId="778D22E2" w14:textId="77777777" w:rsidR="00C0659D" w:rsidRPr="00D11876" w:rsidRDefault="00C0659D" w:rsidP="0081379E">
            <w:pPr>
              <w:spacing w:line="276" w:lineRule="auto"/>
              <w:ind w:firstLine="326"/>
              <w:jc w:val="left"/>
              <w:rPr>
                <w:color w:val="000000" w:themeColor="text1"/>
              </w:rPr>
            </w:pPr>
            <w:r>
              <w:rPr>
                <w:color w:val="000000" w:themeColor="text1"/>
              </w:rPr>
              <w:t>Xylene</w:t>
            </w:r>
          </w:p>
        </w:tc>
        <w:tc>
          <w:tcPr>
            <w:tcW w:w="3701" w:type="dxa"/>
            <w:tcBorders>
              <w:top w:val="nil"/>
              <w:left w:val="nil"/>
              <w:bottom w:val="single" w:sz="4" w:space="0" w:color="auto"/>
              <w:right w:val="nil"/>
            </w:tcBorders>
          </w:tcPr>
          <w:p w14:paraId="7C803DEC" w14:textId="77777777" w:rsidR="00C0659D" w:rsidRPr="00D11876" w:rsidRDefault="00C0659D" w:rsidP="0081379E">
            <w:pPr>
              <w:spacing w:line="276" w:lineRule="auto"/>
              <w:ind w:firstLine="1048"/>
              <w:jc w:val="left"/>
              <w:rPr>
                <w:color w:val="000000" w:themeColor="text1"/>
              </w:rPr>
            </w:pPr>
            <w:r>
              <w:rPr>
                <w:color w:val="000000" w:themeColor="text1"/>
              </w:rPr>
              <w:t>Dunk</w:t>
            </w:r>
          </w:p>
        </w:tc>
      </w:tr>
    </w:tbl>
    <w:p w14:paraId="16EB1DBC" w14:textId="77777777" w:rsidR="00C0659D" w:rsidRDefault="00C0659D" w:rsidP="00C0659D"/>
    <w:p w14:paraId="54E077FB" w14:textId="77777777" w:rsidR="00C0659D" w:rsidRPr="00BC72BC" w:rsidRDefault="00C0659D" w:rsidP="00C0659D">
      <w:r>
        <w:t xml:space="preserve">After staining, a drop of DPX mounting </w:t>
      </w:r>
      <w:r w:rsidRPr="0084061F">
        <w:t>medium</w:t>
      </w:r>
      <w:r>
        <w:t xml:space="preserve"> was immediately applied to the sample and covered with a glass cover slip (Fisher Scientific). Slides were allowed to dry at room temperature for 24 hours before imaging </w:t>
      </w:r>
      <w:r w:rsidRPr="003B5431">
        <w:rPr>
          <w:color w:val="000000" w:themeColor="text1"/>
        </w:rPr>
        <w:t xml:space="preserve">using a Motic BS digital microscope. </w:t>
      </w:r>
    </w:p>
    <w:p w14:paraId="4267CB59" w14:textId="77777777" w:rsidR="00C0659D" w:rsidRDefault="00C0659D" w:rsidP="00AF52F5">
      <w:pPr>
        <w:pStyle w:val="Heading3"/>
      </w:pPr>
      <w:bookmarkStart w:id="238" w:name="_Toc2451053"/>
      <w:r>
        <w:t>Sodium hydroxide titration of collagen gels</w:t>
      </w:r>
      <w:bookmarkEnd w:id="238"/>
    </w:p>
    <w:p w14:paraId="22F0F624" w14:textId="77777777" w:rsidR="00C0659D" w:rsidRDefault="00C0659D" w:rsidP="00C0659D">
      <w:r>
        <w:t xml:space="preserve">A sodium hydroxide (NaOH) titration was performed with each new batch of collagen I to determine the optimum concentration required to neutralise the acidic collagen solution and set the gel. A 1 M solution of NaOH was prepared in deionised water and sterilised in an autoclave. 400 µL fibroblast cell culture media was added to a series of 1.5 mL sterile Eppendorf tubes. 200 µL of 3 mg/mL rat tail collagen I solution was added to an Eppendorf containing the fibroblast cell culture media and mixed 3 times with a 1000 µL pipette. Increasing volumes of 1 M NaOH from 2 µL to 8 µL were added to subsequent tubes following collagen addition. The solution was immediately mixed a further 3 times with a 1000 µL pipette and allowed to set at room temperature </w:t>
      </w:r>
      <w:r>
        <w:lastRenderedPageBreak/>
        <w:t xml:space="preserve">for 20 minutes. Collagen </w:t>
      </w:r>
      <w:r w:rsidRPr="00030511">
        <w:rPr>
          <w:color w:val="000000" w:themeColor="text1"/>
        </w:rPr>
        <w:t>gels were assessed for rigidity and colour. The pH of each gel was also measured using a HACH H160 pH probe.</w:t>
      </w:r>
      <w:r w:rsidRPr="00030511">
        <w:rPr>
          <w:color w:val="000000" w:themeColor="text1"/>
          <w:u w:val="single"/>
        </w:rPr>
        <w:t xml:space="preserve"> </w:t>
      </w:r>
    </w:p>
    <w:p w14:paraId="111F90A2" w14:textId="77777777" w:rsidR="00C0659D" w:rsidRDefault="00C0659D" w:rsidP="00AF52F5">
      <w:pPr>
        <w:pStyle w:val="Heading3"/>
      </w:pPr>
      <w:bookmarkStart w:id="239" w:name="_Ref522096454"/>
      <w:bookmarkStart w:id="240" w:name="_Toc2451054"/>
      <w:r>
        <w:t>Collagen gel cell density screen</w:t>
      </w:r>
      <w:bookmarkEnd w:id="239"/>
      <w:bookmarkEnd w:id="240"/>
    </w:p>
    <w:p w14:paraId="02FC4A42" w14:textId="48BE670E" w:rsidR="00C0659D" w:rsidRDefault="00C0659D" w:rsidP="00C0659D">
      <w:r>
        <w:t>To determine the optimum cell density for collagen gel contraction, HDF were prepared at concentrations of 5 </w:t>
      </w:r>
      <w:r>
        <w:sym w:font="Symbol" w:char="F0B4"/>
      </w:r>
      <w:r>
        <w:t> 10</w:t>
      </w:r>
      <w:r w:rsidRPr="00886345">
        <w:rPr>
          <w:vertAlign w:val="superscript"/>
        </w:rPr>
        <w:t>4</w:t>
      </w:r>
      <w:r>
        <w:t xml:space="preserve"> </w:t>
      </w:r>
      <w:r w:rsidR="00675D68">
        <w:t>to</w:t>
      </w:r>
      <w:r>
        <w:t xml:space="preserve"> 3 </w:t>
      </w:r>
      <w:r>
        <w:sym w:font="Symbol" w:char="F0B4"/>
      </w:r>
      <w:r>
        <w:t> 10</w:t>
      </w:r>
      <w:r>
        <w:rPr>
          <w:vertAlign w:val="superscript"/>
        </w:rPr>
        <w:t>5</w:t>
      </w:r>
      <w:r>
        <w:t xml:space="preserve"> cells/mL by serial dilution in Green’s media. Each cell suspension </w:t>
      </w:r>
      <w:r w:rsidRPr="00BE15F4">
        <w:rPr>
          <w:color w:val="000000" w:themeColor="text1"/>
        </w:rPr>
        <w:t xml:space="preserve">was mixed in a 2:1 ratio </w:t>
      </w:r>
      <w:r>
        <w:t>with 3 mg/mL rat tail collagen I solution in a sterile tube, providing a final collagen concentration of 1 mg/mL (final cell concentrations of 2.5 </w:t>
      </w:r>
      <w:r>
        <w:sym w:font="Symbol" w:char="F0B4"/>
      </w:r>
      <w:r>
        <w:t> 10</w:t>
      </w:r>
      <w:r w:rsidRPr="00886345">
        <w:rPr>
          <w:vertAlign w:val="superscript"/>
        </w:rPr>
        <w:t>4</w:t>
      </w:r>
      <w:r>
        <w:t xml:space="preserve"> </w:t>
      </w:r>
      <w:r w:rsidR="00E95570">
        <w:t>to</w:t>
      </w:r>
      <w:r>
        <w:t xml:space="preserve"> 2 </w:t>
      </w:r>
      <w:r>
        <w:sym w:font="Symbol" w:char="F0B4"/>
      </w:r>
      <w:r>
        <w:t> 10</w:t>
      </w:r>
      <w:r>
        <w:rPr>
          <w:vertAlign w:val="superscript"/>
        </w:rPr>
        <w:t>5</w:t>
      </w:r>
      <w:r>
        <w:t> cells/mL). Immediately, the appropriate volume of sodium hydroxide</w:t>
      </w:r>
      <w:r w:rsidRPr="0052392D">
        <w:t xml:space="preserve"> </w:t>
      </w:r>
      <w:r>
        <w:t xml:space="preserve">was added, as determined by the sodium hydroxide titration. The mixture was mixed 3 times with a 1000 µL pipette, then 500 µL was added to a 24 well plate in triplicate and allowed to set at room temperature for 20 minutes. After 20 minutes, 500 µL of greens media was added to each well to keep the collagen gels hydrated. A sterile 200 µL pipette tip was used to release gels from well edges by running the tip around the perimeter of each gel. Plates containing gels were placed in an incubator at </w:t>
      </w:r>
      <w:r>
        <w:rPr>
          <w:lang w:eastAsia="en-GB"/>
        </w:rPr>
        <w:t>37 </w:t>
      </w:r>
      <w:r>
        <w:rPr>
          <w:lang w:eastAsia="en-GB"/>
        </w:rPr>
        <w:sym w:font="Symbol" w:char="F0B0"/>
      </w:r>
      <w:r>
        <w:rPr>
          <w:lang w:eastAsia="en-GB"/>
        </w:rPr>
        <w:t>C, 5 % CO</w:t>
      </w:r>
      <w:r w:rsidRPr="001C734D">
        <w:rPr>
          <w:vertAlign w:val="subscript"/>
          <w:lang w:eastAsia="en-GB"/>
        </w:rPr>
        <w:t>2</w:t>
      </w:r>
      <w:r>
        <w:rPr>
          <w:lang w:eastAsia="en-GB"/>
        </w:rPr>
        <w:t xml:space="preserve"> and cultured for 7 days. Gels were photographed daily by placing the plate on a lightbox and imaging from above. The surface area of each gel was analysed using Image </w:t>
      </w:r>
      <w:r w:rsidRPr="00E47CA0">
        <w:rPr>
          <w:lang w:eastAsia="en-GB"/>
        </w:rPr>
        <w:t>J software, version 1.49.</w:t>
      </w:r>
    </w:p>
    <w:p w14:paraId="23B96A52" w14:textId="77777777" w:rsidR="00C0659D" w:rsidRDefault="00C0659D" w:rsidP="00AF52F5">
      <w:pPr>
        <w:pStyle w:val="Heading3"/>
      </w:pPr>
      <w:bookmarkStart w:id="241" w:name="_Toc2451055"/>
      <w:r>
        <w:t xml:space="preserve">Collagen gels dosed with </w:t>
      </w:r>
      <w:r>
        <w:sym w:font="Symbol" w:char="F062"/>
      </w:r>
      <w:r>
        <w:noBreakHyphen/>
        <w:t>APN</w:t>
      </w:r>
      <w:bookmarkEnd w:id="241"/>
    </w:p>
    <w:p w14:paraId="1B3082F1" w14:textId="5AE20BB3" w:rsidR="00C0659D" w:rsidRDefault="00C0659D" w:rsidP="00C0659D">
      <w:pPr>
        <w:rPr>
          <w:lang w:eastAsia="en-GB"/>
        </w:rPr>
      </w:pPr>
      <w:r>
        <w:t xml:space="preserve">A 6 mg/mL stock solution of </w:t>
      </w:r>
      <w:r>
        <w:sym w:font="Symbol" w:char="F062"/>
      </w:r>
      <w:r>
        <w:noBreakHyphen/>
        <w:t xml:space="preserve">APN was prepared in fibroblast cell culture media and sterile-filtered </w:t>
      </w:r>
      <w:r>
        <w:rPr>
          <w:lang w:eastAsia="en-GB"/>
        </w:rPr>
        <w:t xml:space="preserve">through a </w:t>
      </w:r>
      <w:r w:rsidRPr="00643D5F">
        <w:rPr>
          <w:lang w:eastAsia="en-GB"/>
        </w:rPr>
        <w:t>0.2 µm polyether sulfone</w:t>
      </w:r>
      <w:r>
        <w:rPr>
          <w:lang w:eastAsia="en-GB"/>
        </w:rPr>
        <w:t xml:space="preserve"> (PES) filter. This stock solution was diluted 1 in 10 in </w:t>
      </w:r>
      <w:r>
        <w:t xml:space="preserve">fibroblast cell culture media to produce a 600 µg/mL solution of </w:t>
      </w:r>
      <w:r>
        <w:sym w:font="Symbol" w:char="F062"/>
      </w:r>
      <w:r>
        <w:noBreakHyphen/>
        <w:t xml:space="preserve">APN. From this, </w:t>
      </w:r>
      <w:r>
        <w:sym w:font="Symbol" w:char="F062"/>
      </w:r>
      <w:r>
        <w:noBreakHyphen/>
        <w:t>APN concentrations from 75 to 600 µg/mL were prepared by serial dilution. HDF were prepared at 7.5 </w:t>
      </w:r>
      <w:r>
        <w:sym w:font="Symbol" w:char="F0B4"/>
      </w:r>
      <w:r>
        <w:t> 10</w:t>
      </w:r>
      <w:r w:rsidRPr="002E5B1A">
        <w:rPr>
          <w:vertAlign w:val="superscript"/>
        </w:rPr>
        <w:t>4</w:t>
      </w:r>
      <w:r>
        <w:t xml:space="preserve"> cells/mL and diluted 1:1 in each dosed solution. Collagen gels were then prepared as described in section </w:t>
      </w:r>
      <w:r>
        <w:fldChar w:fldCharType="begin"/>
      </w:r>
      <w:r>
        <w:instrText xml:space="preserve"> REF _Ref522096454 \r \h </w:instrText>
      </w:r>
      <w:r>
        <w:fldChar w:fldCharType="separate"/>
      </w:r>
      <w:r w:rsidR="00E6157A">
        <w:t>4.3.11</w:t>
      </w:r>
      <w:r>
        <w:fldChar w:fldCharType="end"/>
      </w:r>
      <w:r>
        <w:t xml:space="preserve">. For compound, cell and collagen concentrations, see </w:t>
      </w:r>
      <w:r>
        <w:fldChar w:fldCharType="begin"/>
      </w:r>
      <w:r>
        <w:instrText xml:space="preserve"> REF _Ref522097351 \h </w:instrText>
      </w:r>
      <w:r>
        <w:fldChar w:fldCharType="separate"/>
      </w:r>
      <w:r w:rsidR="00E6157A">
        <w:t xml:space="preserve">Table </w:t>
      </w:r>
      <w:r w:rsidR="00E6157A">
        <w:rPr>
          <w:noProof/>
        </w:rPr>
        <w:t>4</w:t>
      </w:r>
      <w:r w:rsidR="00E6157A">
        <w:t>.</w:t>
      </w:r>
      <w:r w:rsidR="00E6157A">
        <w:rPr>
          <w:noProof/>
        </w:rPr>
        <w:t>3</w:t>
      </w:r>
      <w:r>
        <w:fldChar w:fldCharType="end"/>
      </w:r>
      <w:r>
        <w:t>.</w:t>
      </w:r>
      <w:r w:rsidRPr="003D253F">
        <w:rPr>
          <w:lang w:eastAsia="en-GB"/>
        </w:rPr>
        <w:t xml:space="preserve"> </w:t>
      </w:r>
      <w:r w:rsidRPr="00193D40">
        <w:rPr>
          <w:lang w:eastAsia="en-GB"/>
        </w:rPr>
        <w:t>All samples were run in triplicate and experiments were repeated three times.</w:t>
      </w:r>
    </w:p>
    <w:p w14:paraId="085C8F94" w14:textId="0E22269C" w:rsidR="00C0659D" w:rsidRDefault="00C0659D" w:rsidP="00C0659D">
      <w:pPr>
        <w:rPr>
          <w:lang w:eastAsia="en-GB"/>
        </w:rPr>
      </w:pPr>
    </w:p>
    <w:p w14:paraId="4F2FF8DA" w14:textId="27C666AD" w:rsidR="00C0659D" w:rsidRDefault="00C0659D" w:rsidP="00C0659D">
      <w:pPr>
        <w:rPr>
          <w:lang w:eastAsia="en-GB"/>
        </w:rPr>
      </w:pPr>
    </w:p>
    <w:p w14:paraId="015DBB37" w14:textId="77777777" w:rsidR="00C0659D" w:rsidRDefault="00C0659D" w:rsidP="00C0659D"/>
    <w:p w14:paraId="2F1C160B" w14:textId="4F18B04B" w:rsidR="00C0659D" w:rsidRDefault="00C0659D" w:rsidP="00C0659D">
      <w:pPr>
        <w:pStyle w:val="Caption"/>
        <w:keepNext/>
        <w:jc w:val="center"/>
      </w:pPr>
      <w:bookmarkStart w:id="242" w:name="_Ref522097351"/>
      <w:r>
        <w:lastRenderedPageBreak/>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3</w:t>
      </w:r>
      <w:r w:rsidR="00BE21E4">
        <w:rPr>
          <w:noProof/>
        </w:rPr>
        <w:fldChar w:fldCharType="end"/>
      </w:r>
      <w:bookmarkEnd w:id="242"/>
      <w:r>
        <w:t xml:space="preserve">. </w:t>
      </w:r>
      <w:r w:rsidRPr="005D2C0B">
        <w:rPr>
          <w:b w:val="0"/>
        </w:rPr>
        <w:t xml:space="preserve">Concentrations of </w:t>
      </w:r>
      <w:r w:rsidRPr="005D2C0B">
        <w:rPr>
          <w:b w:val="0"/>
        </w:rPr>
        <w:sym w:font="Symbol" w:char="F062"/>
      </w:r>
      <w:r w:rsidRPr="005D2C0B">
        <w:rPr>
          <w:b w:val="0"/>
        </w:rPr>
        <w:t>-APN, HDF and collagen I used to prepare collagen gels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985"/>
        <w:gridCol w:w="1701"/>
        <w:gridCol w:w="1671"/>
      </w:tblGrid>
      <w:tr w:rsidR="00C0659D" w14:paraId="23EDCBA6" w14:textId="77777777" w:rsidTr="0081379E">
        <w:tc>
          <w:tcPr>
            <w:tcW w:w="2835" w:type="dxa"/>
            <w:tcBorders>
              <w:top w:val="single" w:sz="4" w:space="0" w:color="auto"/>
              <w:bottom w:val="single" w:sz="4" w:space="0" w:color="auto"/>
            </w:tcBorders>
          </w:tcPr>
          <w:p w14:paraId="63866A34" w14:textId="77777777" w:rsidR="00C0659D" w:rsidRDefault="00C0659D" w:rsidP="0081379E">
            <w:pPr>
              <w:spacing w:line="240" w:lineRule="auto"/>
              <w:jc w:val="center"/>
              <w:rPr>
                <w:b/>
                <w:sz w:val="22"/>
              </w:rPr>
            </w:pPr>
          </w:p>
          <w:p w14:paraId="36A52E4C" w14:textId="7ACC5BC9" w:rsidR="00C0659D" w:rsidRPr="002E5B1A" w:rsidRDefault="00441BFF" w:rsidP="0081379E">
            <w:pPr>
              <w:spacing w:line="240" w:lineRule="auto"/>
              <w:jc w:val="center"/>
              <w:rPr>
                <w:b/>
                <w:sz w:val="22"/>
              </w:rPr>
            </w:pPr>
            <w:r>
              <w:rPr>
                <w:b/>
                <w:sz w:val="22"/>
              </w:rPr>
              <w:t>Method</w:t>
            </w:r>
          </w:p>
        </w:tc>
        <w:tc>
          <w:tcPr>
            <w:tcW w:w="1985" w:type="dxa"/>
            <w:tcBorders>
              <w:top w:val="single" w:sz="4" w:space="0" w:color="auto"/>
              <w:bottom w:val="single" w:sz="4" w:space="0" w:color="auto"/>
            </w:tcBorders>
          </w:tcPr>
          <w:p w14:paraId="79EDF88A" w14:textId="77777777" w:rsidR="00C0659D" w:rsidRDefault="00C0659D" w:rsidP="0081379E">
            <w:pPr>
              <w:spacing w:line="240" w:lineRule="auto"/>
              <w:jc w:val="center"/>
              <w:rPr>
                <w:b/>
                <w:sz w:val="22"/>
              </w:rPr>
            </w:pPr>
            <w:r w:rsidRPr="002E5B1A">
              <w:rPr>
                <w:b/>
                <w:sz w:val="22"/>
              </w:rPr>
              <w:t>Compound concentration</w:t>
            </w:r>
          </w:p>
          <w:p w14:paraId="3964CBA8" w14:textId="77777777" w:rsidR="00C0659D" w:rsidRPr="002E5B1A" w:rsidRDefault="00C0659D" w:rsidP="0081379E">
            <w:pPr>
              <w:spacing w:line="240" w:lineRule="auto"/>
              <w:jc w:val="center"/>
              <w:rPr>
                <w:b/>
                <w:sz w:val="22"/>
              </w:rPr>
            </w:pPr>
            <w:r>
              <w:rPr>
                <w:b/>
                <w:sz w:val="22"/>
              </w:rPr>
              <w:t>(µg/mL)</w:t>
            </w:r>
          </w:p>
        </w:tc>
        <w:tc>
          <w:tcPr>
            <w:tcW w:w="1701" w:type="dxa"/>
            <w:tcBorders>
              <w:top w:val="single" w:sz="4" w:space="0" w:color="auto"/>
              <w:bottom w:val="single" w:sz="4" w:space="0" w:color="auto"/>
            </w:tcBorders>
            <w:vAlign w:val="bottom"/>
          </w:tcPr>
          <w:p w14:paraId="6AE5B9E1" w14:textId="77777777" w:rsidR="00C0659D" w:rsidRDefault="00C0659D" w:rsidP="0081379E">
            <w:pPr>
              <w:spacing w:line="240" w:lineRule="auto"/>
              <w:jc w:val="center"/>
              <w:rPr>
                <w:b/>
                <w:sz w:val="22"/>
              </w:rPr>
            </w:pPr>
            <w:r w:rsidRPr="002E5B1A">
              <w:rPr>
                <w:b/>
                <w:sz w:val="22"/>
              </w:rPr>
              <w:t>Cell number</w:t>
            </w:r>
          </w:p>
          <w:p w14:paraId="0A18E261" w14:textId="77777777" w:rsidR="00C0659D" w:rsidRPr="002E5B1A" w:rsidRDefault="00C0659D" w:rsidP="0081379E">
            <w:pPr>
              <w:spacing w:line="240" w:lineRule="auto"/>
              <w:jc w:val="center"/>
              <w:rPr>
                <w:b/>
                <w:sz w:val="22"/>
              </w:rPr>
            </w:pPr>
            <w:r>
              <w:rPr>
                <w:b/>
                <w:sz w:val="22"/>
              </w:rPr>
              <w:t>(cells/mL)</w:t>
            </w:r>
          </w:p>
        </w:tc>
        <w:tc>
          <w:tcPr>
            <w:tcW w:w="1671" w:type="dxa"/>
            <w:tcBorders>
              <w:top w:val="single" w:sz="4" w:space="0" w:color="auto"/>
              <w:bottom w:val="single" w:sz="4" w:space="0" w:color="auto"/>
            </w:tcBorders>
          </w:tcPr>
          <w:p w14:paraId="77B15D9B" w14:textId="77777777" w:rsidR="00C0659D" w:rsidRDefault="00C0659D" w:rsidP="0081379E">
            <w:pPr>
              <w:spacing w:line="240" w:lineRule="auto"/>
              <w:jc w:val="center"/>
              <w:rPr>
                <w:b/>
                <w:sz w:val="22"/>
              </w:rPr>
            </w:pPr>
            <w:r w:rsidRPr="002E5B1A">
              <w:rPr>
                <w:b/>
                <w:sz w:val="22"/>
              </w:rPr>
              <w:t>Collagen I concentration</w:t>
            </w:r>
          </w:p>
          <w:p w14:paraId="6A60F041" w14:textId="77777777" w:rsidR="00C0659D" w:rsidRPr="002E5B1A" w:rsidRDefault="00C0659D" w:rsidP="0081379E">
            <w:pPr>
              <w:spacing w:line="240" w:lineRule="auto"/>
              <w:jc w:val="center"/>
              <w:rPr>
                <w:b/>
                <w:sz w:val="22"/>
              </w:rPr>
            </w:pPr>
            <w:r>
              <w:rPr>
                <w:b/>
                <w:sz w:val="22"/>
              </w:rPr>
              <w:t>(mg/mL)</w:t>
            </w:r>
          </w:p>
        </w:tc>
      </w:tr>
      <w:tr w:rsidR="00C0659D" w14:paraId="0873D80D" w14:textId="77777777" w:rsidTr="0081379E">
        <w:tc>
          <w:tcPr>
            <w:tcW w:w="2835" w:type="dxa"/>
            <w:tcBorders>
              <w:top w:val="single" w:sz="4" w:space="0" w:color="auto"/>
            </w:tcBorders>
          </w:tcPr>
          <w:p w14:paraId="74AA7791" w14:textId="77777777" w:rsidR="00C0659D" w:rsidRPr="002E5B1A" w:rsidRDefault="00C0659D" w:rsidP="0081379E">
            <w:pPr>
              <w:spacing w:line="240" w:lineRule="auto"/>
              <w:jc w:val="left"/>
              <w:rPr>
                <w:sz w:val="22"/>
              </w:rPr>
            </w:pPr>
            <w:r w:rsidRPr="002E5B1A">
              <w:rPr>
                <w:sz w:val="22"/>
              </w:rPr>
              <w:t>Prepare compounds in cell culture media</w:t>
            </w:r>
          </w:p>
        </w:tc>
        <w:tc>
          <w:tcPr>
            <w:tcW w:w="1985" w:type="dxa"/>
            <w:tcBorders>
              <w:top w:val="single" w:sz="4" w:space="0" w:color="auto"/>
            </w:tcBorders>
            <w:vAlign w:val="center"/>
          </w:tcPr>
          <w:p w14:paraId="4AB9F4D4" w14:textId="77777777" w:rsidR="00C0659D" w:rsidRPr="002E5B1A" w:rsidRDefault="00C0659D" w:rsidP="0081379E">
            <w:pPr>
              <w:spacing w:line="240" w:lineRule="auto"/>
              <w:jc w:val="center"/>
              <w:rPr>
                <w:sz w:val="22"/>
              </w:rPr>
            </w:pPr>
            <w:r w:rsidRPr="002E5B1A">
              <w:rPr>
                <w:sz w:val="22"/>
              </w:rPr>
              <w:t>75 to 600</w:t>
            </w:r>
          </w:p>
        </w:tc>
        <w:tc>
          <w:tcPr>
            <w:tcW w:w="1701" w:type="dxa"/>
            <w:tcBorders>
              <w:top w:val="single" w:sz="4" w:space="0" w:color="auto"/>
            </w:tcBorders>
            <w:vAlign w:val="center"/>
          </w:tcPr>
          <w:p w14:paraId="5AF24C4B" w14:textId="77777777" w:rsidR="00C0659D" w:rsidRPr="002E5B1A" w:rsidRDefault="00C0659D" w:rsidP="0081379E">
            <w:pPr>
              <w:spacing w:line="240" w:lineRule="auto"/>
              <w:jc w:val="center"/>
              <w:rPr>
                <w:sz w:val="22"/>
              </w:rPr>
            </w:pPr>
            <w:r w:rsidRPr="002E5B1A">
              <w:rPr>
                <w:sz w:val="22"/>
              </w:rPr>
              <w:t>-</w:t>
            </w:r>
          </w:p>
        </w:tc>
        <w:tc>
          <w:tcPr>
            <w:tcW w:w="1671" w:type="dxa"/>
            <w:tcBorders>
              <w:top w:val="single" w:sz="4" w:space="0" w:color="auto"/>
            </w:tcBorders>
            <w:vAlign w:val="center"/>
          </w:tcPr>
          <w:p w14:paraId="1C65CCF0" w14:textId="77777777" w:rsidR="00C0659D" w:rsidRPr="002E5B1A" w:rsidRDefault="00C0659D" w:rsidP="0081379E">
            <w:pPr>
              <w:spacing w:line="240" w:lineRule="auto"/>
              <w:jc w:val="center"/>
              <w:rPr>
                <w:sz w:val="22"/>
              </w:rPr>
            </w:pPr>
            <w:r w:rsidRPr="002E5B1A">
              <w:rPr>
                <w:sz w:val="22"/>
              </w:rPr>
              <w:t>-</w:t>
            </w:r>
          </w:p>
        </w:tc>
      </w:tr>
      <w:tr w:rsidR="00C0659D" w14:paraId="04A85AB0" w14:textId="77777777" w:rsidTr="0081379E">
        <w:trPr>
          <w:trHeight w:val="77"/>
        </w:trPr>
        <w:tc>
          <w:tcPr>
            <w:tcW w:w="2835" w:type="dxa"/>
          </w:tcPr>
          <w:p w14:paraId="5F341B6D" w14:textId="77777777" w:rsidR="00C0659D" w:rsidRPr="002E5B1A" w:rsidRDefault="00C0659D" w:rsidP="0081379E">
            <w:pPr>
              <w:spacing w:line="240" w:lineRule="auto"/>
              <w:jc w:val="left"/>
              <w:rPr>
                <w:sz w:val="22"/>
              </w:rPr>
            </w:pPr>
            <w:r w:rsidRPr="002E5B1A">
              <w:rPr>
                <w:sz w:val="22"/>
              </w:rPr>
              <w:t xml:space="preserve">Dilute cells </w:t>
            </w:r>
            <w:r>
              <w:rPr>
                <w:sz w:val="22"/>
              </w:rPr>
              <w:t xml:space="preserve">1:1 </w:t>
            </w:r>
            <w:r w:rsidRPr="002E5B1A">
              <w:rPr>
                <w:sz w:val="22"/>
              </w:rPr>
              <w:t>into compound solutions</w:t>
            </w:r>
            <w:r>
              <w:rPr>
                <w:sz w:val="22"/>
              </w:rPr>
              <w:t xml:space="preserve"> </w:t>
            </w:r>
          </w:p>
        </w:tc>
        <w:tc>
          <w:tcPr>
            <w:tcW w:w="1985" w:type="dxa"/>
            <w:vAlign w:val="center"/>
          </w:tcPr>
          <w:p w14:paraId="6D0D00FB" w14:textId="77777777" w:rsidR="00C0659D" w:rsidRPr="007B1084" w:rsidRDefault="00C0659D" w:rsidP="0081379E">
            <w:pPr>
              <w:spacing w:line="240" w:lineRule="auto"/>
              <w:jc w:val="center"/>
              <w:rPr>
                <w:sz w:val="22"/>
                <w:szCs w:val="22"/>
              </w:rPr>
            </w:pPr>
            <w:r w:rsidRPr="007B1084">
              <w:rPr>
                <w:sz w:val="22"/>
                <w:szCs w:val="22"/>
              </w:rPr>
              <w:t>37.5 to 300</w:t>
            </w:r>
          </w:p>
        </w:tc>
        <w:tc>
          <w:tcPr>
            <w:tcW w:w="1701" w:type="dxa"/>
            <w:vAlign w:val="center"/>
          </w:tcPr>
          <w:p w14:paraId="26EB9BF7" w14:textId="77777777" w:rsidR="00C0659D" w:rsidRPr="007B1084" w:rsidRDefault="00C0659D" w:rsidP="0081379E">
            <w:pPr>
              <w:spacing w:line="240" w:lineRule="auto"/>
              <w:jc w:val="center"/>
              <w:rPr>
                <w:sz w:val="22"/>
                <w:szCs w:val="22"/>
              </w:rPr>
            </w:pPr>
            <w:r w:rsidRPr="007B1084">
              <w:rPr>
                <w:sz w:val="22"/>
                <w:szCs w:val="22"/>
              </w:rPr>
              <w:t>3.75 </w:t>
            </w:r>
            <w:r w:rsidRPr="007B1084">
              <w:rPr>
                <w:sz w:val="22"/>
                <w:szCs w:val="22"/>
              </w:rPr>
              <w:sym w:font="Symbol" w:char="F0B4"/>
            </w:r>
            <w:r w:rsidRPr="007B1084">
              <w:rPr>
                <w:sz w:val="22"/>
                <w:szCs w:val="22"/>
              </w:rPr>
              <w:t> 10</w:t>
            </w:r>
            <w:r w:rsidRPr="007B1084">
              <w:rPr>
                <w:sz w:val="22"/>
                <w:szCs w:val="22"/>
                <w:vertAlign w:val="superscript"/>
              </w:rPr>
              <w:t>4</w:t>
            </w:r>
            <w:r w:rsidRPr="007B1084">
              <w:rPr>
                <w:sz w:val="22"/>
                <w:szCs w:val="22"/>
              </w:rPr>
              <w:t> </w:t>
            </w:r>
          </w:p>
        </w:tc>
        <w:tc>
          <w:tcPr>
            <w:tcW w:w="1671" w:type="dxa"/>
            <w:vAlign w:val="center"/>
          </w:tcPr>
          <w:p w14:paraId="37CB1318" w14:textId="77777777" w:rsidR="00C0659D" w:rsidRPr="007B1084" w:rsidRDefault="00C0659D" w:rsidP="0081379E">
            <w:pPr>
              <w:spacing w:line="240" w:lineRule="auto"/>
              <w:jc w:val="center"/>
              <w:rPr>
                <w:sz w:val="22"/>
                <w:szCs w:val="22"/>
              </w:rPr>
            </w:pPr>
            <w:r w:rsidRPr="007B1084">
              <w:rPr>
                <w:sz w:val="22"/>
                <w:szCs w:val="22"/>
              </w:rPr>
              <w:t>-</w:t>
            </w:r>
          </w:p>
        </w:tc>
      </w:tr>
      <w:tr w:rsidR="00C0659D" w14:paraId="3B2BCDFD" w14:textId="77777777" w:rsidTr="0081379E">
        <w:trPr>
          <w:trHeight w:val="77"/>
        </w:trPr>
        <w:tc>
          <w:tcPr>
            <w:tcW w:w="2835" w:type="dxa"/>
            <w:tcBorders>
              <w:bottom w:val="single" w:sz="4" w:space="0" w:color="auto"/>
            </w:tcBorders>
          </w:tcPr>
          <w:p w14:paraId="49ABB2AE" w14:textId="77777777" w:rsidR="00C0659D" w:rsidRPr="002E5B1A" w:rsidRDefault="00C0659D" w:rsidP="0081379E">
            <w:pPr>
              <w:spacing w:line="240" w:lineRule="auto"/>
              <w:jc w:val="left"/>
              <w:rPr>
                <w:sz w:val="22"/>
              </w:rPr>
            </w:pPr>
            <w:r w:rsidRPr="002E5B1A">
              <w:rPr>
                <w:sz w:val="22"/>
              </w:rPr>
              <w:t>Mix cell-drug solution</w:t>
            </w:r>
            <w:r>
              <w:rPr>
                <w:sz w:val="22"/>
              </w:rPr>
              <w:t>s</w:t>
            </w:r>
            <w:r w:rsidRPr="002E5B1A">
              <w:rPr>
                <w:sz w:val="22"/>
              </w:rPr>
              <w:t xml:space="preserve"> with collagen I </w:t>
            </w:r>
            <w:r>
              <w:rPr>
                <w:sz w:val="22"/>
              </w:rPr>
              <w:t>in 2:1 ratio</w:t>
            </w:r>
          </w:p>
        </w:tc>
        <w:tc>
          <w:tcPr>
            <w:tcW w:w="1985" w:type="dxa"/>
            <w:tcBorders>
              <w:bottom w:val="single" w:sz="4" w:space="0" w:color="auto"/>
            </w:tcBorders>
            <w:vAlign w:val="center"/>
          </w:tcPr>
          <w:p w14:paraId="5AF2A583" w14:textId="77777777" w:rsidR="00C0659D" w:rsidRPr="007B1084" w:rsidRDefault="00C0659D" w:rsidP="0081379E">
            <w:pPr>
              <w:spacing w:line="240" w:lineRule="auto"/>
              <w:jc w:val="center"/>
              <w:rPr>
                <w:sz w:val="22"/>
                <w:szCs w:val="22"/>
              </w:rPr>
            </w:pPr>
            <w:r w:rsidRPr="007B1084">
              <w:rPr>
                <w:sz w:val="22"/>
                <w:szCs w:val="22"/>
              </w:rPr>
              <w:t>25 to 200</w:t>
            </w:r>
          </w:p>
        </w:tc>
        <w:tc>
          <w:tcPr>
            <w:tcW w:w="1701" w:type="dxa"/>
            <w:tcBorders>
              <w:bottom w:val="single" w:sz="4" w:space="0" w:color="auto"/>
            </w:tcBorders>
            <w:vAlign w:val="center"/>
          </w:tcPr>
          <w:p w14:paraId="29C46670" w14:textId="77777777" w:rsidR="00C0659D" w:rsidRPr="007B1084" w:rsidRDefault="00C0659D" w:rsidP="0081379E">
            <w:pPr>
              <w:spacing w:line="240" w:lineRule="auto"/>
              <w:jc w:val="center"/>
              <w:rPr>
                <w:sz w:val="22"/>
                <w:szCs w:val="22"/>
              </w:rPr>
            </w:pPr>
            <w:r w:rsidRPr="007B1084">
              <w:rPr>
                <w:sz w:val="22"/>
                <w:szCs w:val="22"/>
              </w:rPr>
              <w:t>2.5 </w:t>
            </w:r>
            <w:r w:rsidRPr="007B1084">
              <w:rPr>
                <w:sz w:val="22"/>
                <w:szCs w:val="22"/>
              </w:rPr>
              <w:sym w:font="Symbol" w:char="F0B4"/>
            </w:r>
            <w:r w:rsidRPr="007B1084">
              <w:rPr>
                <w:sz w:val="22"/>
                <w:szCs w:val="22"/>
              </w:rPr>
              <w:t> 10</w:t>
            </w:r>
            <w:r w:rsidRPr="007B1084">
              <w:rPr>
                <w:sz w:val="22"/>
                <w:szCs w:val="22"/>
                <w:vertAlign w:val="superscript"/>
              </w:rPr>
              <w:t>4</w:t>
            </w:r>
            <w:r w:rsidRPr="007B1084">
              <w:rPr>
                <w:sz w:val="22"/>
                <w:szCs w:val="22"/>
              </w:rPr>
              <w:t> </w:t>
            </w:r>
          </w:p>
        </w:tc>
        <w:tc>
          <w:tcPr>
            <w:tcW w:w="1671" w:type="dxa"/>
            <w:tcBorders>
              <w:bottom w:val="single" w:sz="4" w:space="0" w:color="auto"/>
            </w:tcBorders>
            <w:vAlign w:val="center"/>
          </w:tcPr>
          <w:p w14:paraId="6E9A93FA" w14:textId="77777777" w:rsidR="00C0659D" w:rsidRPr="007B1084" w:rsidRDefault="00C0659D" w:rsidP="0081379E">
            <w:pPr>
              <w:spacing w:line="240" w:lineRule="auto"/>
              <w:jc w:val="center"/>
              <w:rPr>
                <w:sz w:val="22"/>
                <w:szCs w:val="22"/>
              </w:rPr>
            </w:pPr>
            <w:r w:rsidRPr="007B1084">
              <w:rPr>
                <w:sz w:val="22"/>
                <w:szCs w:val="22"/>
              </w:rPr>
              <w:t>1</w:t>
            </w:r>
          </w:p>
        </w:tc>
      </w:tr>
    </w:tbl>
    <w:p w14:paraId="1A8A399B" w14:textId="77777777" w:rsidR="00C0659D" w:rsidRDefault="00C0659D" w:rsidP="00C0659D"/>
    <w:p w14:paraId="43D0A8DB" w14:textId="77777777" w:rsidR="00C0659D" w:rsidRPr="007B1084" w:rsidRDefault="00C0659D" w:rsidP="00AF52F5">
      <w:pPr>
        <w:pStyle w:val="Heading3"/>
        <w:rPr>
          <w:b/>
        </w:rPr>
      </w:pPr>
      <w:bookmarkStart w:id="243" w:name="_Toc2451056"/>
      <w:r>
        <w:t xml:space="preserve">Collagen gels dosed with compound </w:t>
      </w:r>
      <w:r w:rsidRPr="007B1084">
        <w:rPr>
          <w:b/>
        </w:rPr>
        <w:t>1b</w:t>
      </w:r>
      <w:bookmarkEnd w:id="243"/>
    </w:p>
    <w:p w14:paraId="36EAA038" w14:textId="5A2FE8C9" w:rsidR="00C0659D" w:rsidRDefault="00C0659D" w:rsidP="00C0659D">
      <w:pPr>
        <w:rPr>
          <w:lang w:eastAsia="en-GB"/>
        </w:rPr>
      </w:pPr>
      <w:r>
        <w:t xml:space="preserve">A 156 mM stock solution of compound </w:t>
      </w:r>
      <w:r w:rsidRPr="007B1084">
        <w:rPr>
          <w:b/>
        </w:rPr>
        <w:t>1b</w:t>
      </w:r>
      <w:r>
        <w:t xml:space="preserve"> was prepared in DMSO and sterile-filtered </w:t>
      </w:r>
      <w:r>
        <w:rPr>
          <w:lang w:eastAsia="en-GB"/>
        </w:rPr>
        <w:t xml:space="preserve">through a </w:t>
      </w:r>
      <w:r w:rsidRPr="00643D5F">
        <w:rPr>
          <w:lang w:eastAsia="en-GB"/>
        </w:rPr>
        <w:t>0.2 µm polyether sulfone</w:t>
      </w:r>
      <w:r>
        <w:rPr>
          <w:lang w:eastAsia="en-GB"/>
        </w:rPr>
        <w:t xml:space="preserve"> (PES) filter. </w:t>
      </w:r>
      <w:r>
        <w:t xml:space="preserve">From this, concentrations of </w:t>
      </w:r>
      <w:r w:rsidRPr="007B1084">
        <w:rPr>
          <w:b/>
        </w:rPr>
        <w:t>1b</w:t>
      </w:r>
      <w:r>
        <w:t xml:space="preserve"> from 19.5 to 156 mM were prepared in DMSO by serial dilution. </w:t>
      </w:r>
      <w:r>
        <w:rPr>
          <w:lang w:eastAsia="en-GB"/>
        </w:rPr>
        <w:t xml:space="preserve">Each solution was then diluted 1 in 33 in </w:t>
      </w:r>
      <w:r>
        <w:t xml:space="preserve">fibroblast cell culture media to produce solutions of </w:t>
      </w:r>
      <w:r w:rsidRPr="007B1084">
        <w:rPr>
          <w:b/>
        </w:rPr>
        <w:t>1b</w:t>
      </w:r>
      <w:r>
        <w:t xml:space="preserve"> from 0.59 to 4.73 mM (3 % DMSO). HDF were prepared at 7.5 </w:t>
      </w:r>
      <w:r>
        <w:sym w:font="Symbol" w:char="F0B4"/>
      </w:r>
      <w:r>
        <w:t> 10</w:t>
      </w:r>
      <w:r w:rsidRPr="002E5B1A">
        <w:rPr>
          <w:vertAlign w:val="superscript"/>
        </w:rPr>
        <w:t>4</w:t>
      </w:r>
      <w:r>
        <w:t xml:space="preserve"> cells/mL and diluted 1:1 in each dosed solution. Collagen gels were then prepared as described in section </w:t>
      </w:r>
      <w:r>
        <w:fldChar w:fldCharType="begin"/>
      </w:r>
      <w:r>
        <w:instrText xml:space="preserve"> REF _Ref522096454 \r \h </w:instrText>
      </w:r>
      <w:r>
        <w:fldChar w:fldCharType="separate"/>
      </w:r>
      <w:r w:rsidR="00E6157A">
        <w:t>4.3.11</w:t>
      </w:r>
      <w:r>
        <w:fldChar w:fldCharType="end"/>
      </w:r>
      <w:r>
        <w:t xml:space="preserve">. For compound, cell, collagen and DMSO concentrations, see </w:t>
      </w:r>
      <w:r>
        <w:fldChar w:fldCharType="begin"/>
      </w:r>
      <w:r>
        <w:instrText xml:space="preserve"> REF _Ref522097850 \h </w:instrText>
      </w:r>
      <w:r>
        <w:fldChar w:fldCharType="separate"/>
      </w:r>
      <w:r w:rsidR="00E6157A">
        <w:t xml:space="preserve">Table </w:t>
      </w:r>
      <w:r w:rsidR="00E6157A">
        <w:rPr>
          <w:noProof/>
        </w:rPr>
        <w:t>4</w:t>
      </w:r>
      <w:r w:rsidR="00E6157A">
        <w:t>.</w:t>
      </w:r>
      <w:r w:rsidR="00E6157A">
        <w:rPr>
          <w:noProof/>
        </w:rPr>
        <w:t>4</w:t>
      </w:r>
      <w:r>
        <w:fldChar w:fldCharType="end"/>
      </w:r>
      <w:r>
        <w:t>.</w:t>
      </w:r>
      <w:r w:rsidRPr="003D253F">
        <w:rPr>
          <w:lang w:eastAsia="en-GB"/>
        </w:rPr>
        <w:t xml:space="preserve"> </w:t>
      </w:r>
      <w:r w:rsidRPr="00193D40">
        <w:rPr>
          <w:lang w:eastAsia="en-GB"/>
        </w:rPr>
        <w:t>All samples were run in triplicate and experiments were repeated three times.</w:t>
      </w:r>
    </w:p>
    <w:p w14:paraId="621142D5" w14:textId="3FFAFB28" w:rsidR="00C0659D" w:rsidRDefault="00C0659D" w:rsidP="00C0659D">
      <w:pPr>
        <w:pStyle w:val="Caption"/>
        <w:keepNext/>
        <w:jc w:val="center"/>
      </w:pPr>
      <w:bookmarkStart w:id="244" w:name="_Ref522097850"/>
      <w:r>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4</w:t>
      </w:r>
      <w:r w:rsidR="00BE21E4">
        <w:rPr>
          <w:noProof/>
        </w:rPr>
        <w:fldChar w:fldCharType="end"/>
      </w:r>
      <w:bookmarkEnd w:id="244"/>
      <w:r>
        <w:t xml:space="preserve">. </w:t>
      </w:r>
      <w:r w:rsidRPr="005D2C0B">
        <w:rPr>
          <w:b w:val="0"/>
        </w:rPr>
        <w:t xml:space="preserve">Concentrations of compound </w:t>
      </w:r>
      <w:r w:rsidRPr="008C76AB">
        <w:t>1b</w:t>
      </w:r>
      <w:r w:rsidRPr="005D2C0B">
        <w:rPr>
          <w:b w:val="0"/>
        </w:rPr>
        <w:t>, HDF, collagen I and DMSO used to prepare collagen gels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701"/>
        <w:gridCol w:w="1380"/>
        <w:gridCol w:w="1857"/>
        <w:gridCol w:w="1127"/>
      </w:tblGrid>
      <w:tr w:rsidR="00C0659D" w14:paraId="4A48FF0E" w14:textId="77777777" w:rsidTr="0081379E">
        <w:trPr>
          <w:jc w:val="center"/>
        </w:trPr>
        <w:tc>
          <w:tcPr>
            <w:tcW w:w="2127" w:type="dxa"/>
            <w:tcBorders>
              <w:top w:val="single" w:sz="4" w:space="0" w:color="auto"/>
              <w:bottom w:val="single" w:sz="4" w:space="0" w:color="auto"/>
            </w:tcBorders>
          </w:tcPr>
          <w:p w14:paraId="4B3DD1F3" w14:textId="77777777" w:rsidR="00C0659D" w:rsidRDefault="00C0659D" w:rsidP="0081379E">
            <w:pPr>
              <w:spacing w:line="240" w:lineRule="auto"/>
              <w:jc w:val="center"/>
              <w:rPr>
                <w:b/>
                <w:sz w:val="22"/>
              </w:rPr>
            </w:pPr>
          </w:p>
          <w:p w14:paraId="1DAC38B0" w14:textId="4528A505" w:rsidR="00C0659D" w:rsidRPr="002E5B1A" w:rsidRDefault="00441BFF" w:rsidP="0081379E">
            <w:pPr>
              <w:spacing w:line="240" w:lineRule="auto"/>
              <w:jc w:val="center"/>
              <w:rPr>
                <w:b/>
                <w:sz w:val="22"/>
              </w:rPr>
            </w:pPr>
            <w:r>
              <w:rPr>
                <w:b/>
                <w:sz w:val="22"/>
              </w:rPr>
              <w:t>Method</w:t>
            </w:r>
          </w:p>
        </w:tc>
        <w:tc>
          <w:tcPr>
            <w:tcW w:w="1701" w:type="dxa"/>
            <w:tcBorders>
              <w:top w:val="single" w:sz="4" w:space="0" w:color="auto"/>
              <w:bottom w:val="single" w:sz="4" w:space="0" w:color="auto"/>
            </w:tcBorders>
          </w:tcPr>
          <w:p w14:paraId="73077081" w14:textId="77777777" w:rsidR="00C0659D" w:rsidRDefault="00C0659D" w:rsidP="0081379E">
            <w:pPr>
              <w:spacing w:line="240" w:lineRule="auto"/>
              <w:jc w:val="center"/>
              <w:rPr>
                <w:b/>
                <w:sz w:val="22"/>
              </w:rPr>
            </w:pPr>
            <w:r w:rsidRPr="002E5B1A">
              <w:rPr>
                <w:b/>
                <w:sz w:val="22"/>
              </w:rPr>
              <w:t>Compound concentration</w:t>
            </w:r>
          </w:p>
          <w:p w14:paraId="7F740A62" w14:textId="77777777" w:rsidR="00C0659D" w:rsidRPr="002E5B1A" w:rsidRDefault="00C0659D" w:rsidP="0081379E">
            <w:pPr>
              <w:spacing w:line="240" w:lineRule="auto"/>
              <w:jc w:val="center"/>
              <w:rPr>
                <w:b/>
                <w:sz w:val="22"/>
              </w:rPr>
            </w:pPr>
            <w:r>
              <w:rPr>
                <w:b/>
                <w:sz w:val="22"/>
              </w:rPr>
              <w:t>(mM)</w:t>
            </w:r>
          </w:p>
        </w:tc>
        <w:tc>
          <w:tcPr>
            <w:tcW w:w="1380" w:type="dxa"/>
            <w:tcBorders>
              <w:top w:val="single" w:sz="4" w:space="0" w:color="auto"/>
              <w:bottom w:val="single" w:sz="4" w:space="0" w:color="auto"/>
            </w:tcBorders>
            <w:vAlign w:val="bottom"/>
          </w:tcPr>
          <w:p w14:paraId="21BF45D1" w14:textId="77777777" w:rsidR="00C0659D" w:rsidRDefault="00C0659D" w:rsidP="0081379E">
            <w:pPr>
              <w:spacing w:line="240" w:lineRule="auto"/>
              <w:jc w:val="center"/>
              <w:rPr>
                <w:b/>
                <w:sz w:val="22"/>
              </w:rPr>
            </w:pPr>
            <w:r w:rsidRPr="002E5B1A">
              <w:rPr>
                <w:b/>
                <w:sz w:val="22"/>
              </w:rPr>
              <w:t>Cell number</w:t>
            </w:r>
          </w:p>
          <w:p w14:paraId="41E63246" w14:textId="77777777" w:rsidR="00C0659D" w:rsidRPr="002E5B1A" w:rsidRDefault="00C0659D" w:rsidP="0081379E">
            <w:pPr>
              <w:spacing w:line="240" w:lineRule="auto"/>
              <w:jc w:val="center"/>
              <w:rPr>
                <w:b/>
                <w:sz w:val="22"/>
              </w:rPr>
            </w:pPr>
            <w:r>
              <w:rPr>
                <w:b/>
                <w:sz w:val="22"/>
              </w:rPr>
              <w:t>(cells/mL)</w:t>
            </w:r>
          </w:p>
        </w:tc>
        <w:tc>
          <w:tcPr>
            <w:tcW w:w="1857" w:type="dxa"/>
            <w:tcBorders>
              <w:top w:val="single" w:sz="4" w:space="0" w:color="auto"/>
              <w:bottom w:val="single" w:sz="4" w:space="0" w:color="auto"/>
            </w:tcBorders>
          </w:tcPr>
          <w:p w14:paraId="37238EFB" w14:textId="77777777" w:rsidR="00C0659D" w:rsidRDefault="00C0659D" w:rsidP="0081379E">
            <w:pPr>
              <w:spacing w:line="240" w:lineRule="auto"/>
              <w:jc w:val="center"/>
              <w:rPr>
                <w:b/>
                <w:sz w:val="22"/>
              </w:rPr>
            </w:pPr>
            <w:r w:rsidRPr="002E5B1A">
              <w:rPr>
                <w:b/>
                <w:sz w:val="22"/>
              </w:rPr>
              <w:t>Collagen I concentration</w:t>
            </w:r>
          </w:p>
          <w:p w14:paraId="6A310E12" w14:textId="77777777" w:rsidR="00C0659D" w:rsidRPr="002E5B1A" w:rsidRDefault="00C0659D" w:rsidP="0081379E">
            <w:pPr>
              <w:spacing w:line="240" w:lineRule="auto"/>
              <w:jc w:val="center"/>
              <w:rPr>
                <w:b/>
                <w:sz w:val="22"/>
              </w:rPr>
            </w:pPr>
            <w:r>
              <w:rPr>
                <w:b/>
                <w:sz w:val="22"/>
              </w:rPr>
              <w:t>(mg/mL)</w:t>
            </w:r>
          </w:p>
        </w:tc>
        <w:tc>
          <w:tcPr>
            <w:tcW w:w="1127" w:type="dxa"/>
            <w:tcBorders>
              <w:top w:val="single" w:sz="4" w:space="0" w:color="auto"/>
              <w:bottom w:val="single" w:sz="4" w:space="0" w:color="auto"/>
            </w:tcBorders>
            <w:vAlign w:val="bottom"/>
          </w:tcPr>
          <w:p w14:paraId="76F5AF0A" w14:textId="77777777" w:rsidR="00C0659D" w:rsidRPr="002E5B1A" w:rsidRDefault="00C0659D" w:rsidP="0081379E">
            <w:pPr>
              <w:spacing w:line="240" w:lineRule="auto"/>
              <w:jc w:val="center"/>
              <w:rPr>
                <w:b/>
                <w:sz w:val="22"/>
              </w:rPr>
            </w:pPr>
            <w:r>
              <w:rPr>
                <w:b/>
                <w:sz w:val="22"/>
              </w:rPr>
              <w:t>DMSO (%)</w:t>
            </w:r>
          </w:p>
        </w:tc>
      </w:tr>
      <w:tr w:rsidR="00C0659D" w14:paraId="7F10396B" w14:textId="77777777" w:rsidTr="0081379E">
        <w:trPr>
          <w:jc w:val="center"/>
        </w:trPr>
        <w:tc>
          <w:tcPr>
            <w:tcW w:w="2127" w:type="dxa"/>
            <w:tcBorders>
              <w:top w:val="single" w:sz="4" w:space="0" w:color="auto"/>
            </w:tcBorders>
          </w:tcPr>
          <w:p w14:paraId="6D6D8FA1" w14:textId="77777777" w:rsidR="00C0659D" w:rsidRPr="002E5B1A" w:rsidRDefault="00C0659D" w:rsidP="0081379E">
            <w:pPr>
              <w:spacing w:line="240" w:lineRule="auto"/>
              <w:jc w:val="left"/>
              <w:rPr>
                <w:sz w:val="22"/>
              </w:rPr>
            </w:pPr>
            <w:r w:rsidRPr="002E5B1A">
              <w:rPr>
                <w:sz w:val="22"/>
              </w:rPr>
              <w:t xml:space="preserve">Prepare compounds in </w:t>
            </w:r>
            <w:r>
              <w:rPr>
                <w:sz w:val="22"/>
              </w:rPr>
              <w:t>sterile DMSO</w:t>
            </w:r>
          </w:p>
        </w:tc>
        <w:tc>
          <w:tcPr>
            <w:tcW w:w="1701" w:type="dxa"/>
            <w:tcBorders>
              <w:top w:val="single" w:sz="4" w:space="0" w:color="auto"/>
            </w:tcBorders>
            <w:vAlign w:val="center"/>
          </w:tcPr>
          <w:p w14:paraId="1F2C01A3" w14:textId="77777777" w:rsidR="00C0659D" w:rsidRPr="008B4124" w:rsidRDefault="00C0659D" w:rsidP="0081379E">
            <w:pPr>
              <w:spacing w:line="240" w:lineRule="auto"/>
              <w:jc w:val="center"/>
              <w:rPr>
                <w:color w:val="000000" w:themeColor="text1"/>
                <w:sz w:val="22"/>
              </w:rPr>
            </w:pPr>
            <w:r w:rsidRPr="008B4124">
              <w:rPr>
                <w:color w:val="000000" w:themeColor="text1"/>
                <w:sz w:val="22"/>
              </w:rPr>
              <w:t>19.5</w:t>
            </w:r>
            <w:r>
              <w:rPr>
                <w:color w:val="000000" w:themeColor="text1"/>
                <w:sz w:val="22"/>
              </w:rPr>
              <w:t>0</w:t>
            </w:r>
            <w:r w:rsidRPr="008B4124">
              <w:rPr>
                <w:color w:val="000000" w:themeColor="text1"/>
                <w:sz w:val="22"/>
              </w:rPr>
              <w:t xml:space="preserve"> to 156</w:t>
            </w:r>
          </w:p>
        </w:tc>
        <w:tc>
          <w:tcPr>
            <w:tcW w:w="1380" w:type="dxa"/>
            <w:tcBorders>
              <w:top w:val="single" w:sz="4" w:space="0" w:color="auto"/>
            </w:tcBorders>
            <w:vAlign w:val="center"/>
          </w:tcPr>
          <w:p w14:paraId="76477E49" w14:textId="77777777" w:rsidR="00C0659D" w:rsidRPr="002E5B1A" w:rsidRDefault="00C0659D" w:rsidP="0081379E">
            <w:pPr>
              <w:spacing w:line="240" w:lineRule="auto"/>
              <w:jc w:val="center"/>
              <w:rPr>
                <w:sz w:val="22"/>
              </w:rPr>
            </w:pPr>
            <w:r w:rsidRPr="002E5B1A">
              <w:rPr>
                <w:sz w:val="22"/>
              </w:rPr>
              <w:t>-</w:t>
            </w:r>
          </w:p>
        </w:tc>
        <w:tc>
          <w:tcPr>
            <w:tcW w:w="1857" w:type="dxa"/>
            <w:tcBorders>
              <w:top w:val="single" w:sz="4" w:space="0" w:color="auto"/>
            </w:tcBorders>
            <w:vAlign w:val="center"/>
          </w:tcPr>
          <w:p w14:paraId="2FC4BFF0" w14:textId="77777777" w:rsidR="00C0659D" w:rsidRPr="002E5B1A" w:rsidRDefault="00C0659D" w:rsidP="0081379E">
            <w:pPr>
              <w:spacing w:line="240" w:lineRule="auto"/>
              <w:jc w:val="center"/>
              <w:rPr>
                <w:sz w:val="22"/>
              </w:rPr>
            </w:pPr>
            <w:r w:rsidRPr="002E5B1A">
              <w:rPr>
                <w:sz w:val="22"/>
              </w:rPr>
              <w:t>-</w:t>
            </w:r>
          </w:p>
        </w:tc>
        <w:tc>
          <w:tcPr>
            <w:tcW w:w="1127" w:type="dxa"/>
            <w:tcBorders>
              <w:top w:val="single" w:sz="4" w:space="0" w:color="auto"/>
            </w:tcBorders>
            <w:vAlign w:val="center"/>
          </w:tcPr>
          <w:p w14:paraId="2A043920" w14:textId="77777777" w:rsidR="00C0659D" w:rsidRPr="002E5B1A" w:rsidRDefault="00C0659D" w:rsidP="0081379E">
            <w:pPr>
              <w:spacing w:line="240" w:lineRule="auto"/>
              <w:jc w:val="center"/>
              <w:rPr>
                <w:sz w:val="22"/>
              </w:rPr>
            </w:pPr>
            <w:r>
              <w:rPr>
                <w:sz w:val="22"/>
              </w:rPr>
              <w:t>100</w:t>
            </w:r>
          </w:p>
        </w:tc>
      </w:tr>
      <w:tr w:rsidR="00C0659D" w14:paraId="31A1611F" w14:textId="77777777" w:rsidTr="0081379E">
        <w:trPr>
          <w:jc w:val="center"/>
        </w:trPr>
        <w:tc>
          <w:tcPr>
            <w:tcW w:w="2127" w:type="dxa"/>
          </w:tcPr>
          <w:p w14:paraId="2C77B1F0" w14:textId="77777777" w:rsidR="00C0659D" w:rsidRPr="002E5B1A" w:rsidRDefault="00C0659D" w:rsidP="0081379E">
            <w:pPr>
              <w:spacing w:line="240" w:lineRule="auto"/>
              <w:jc w:val="left"/>
              <w:rPr>
                <w:sz w:val="22"/>
              </w:rPr>
            </w:pPr>
            <w:r>
              <w:rPr>
                <w:sz w:val="22"/>
              </w:rPr>
              <w:t>Dilute compound solutions 1:32 in cell culture media</w:t>
            </w:r>
          </w:p>
        </w:tc>
        <w:tc>
          <w:tcPr>
            <w:tcW w:w="1701" w:type="dxa"/>
            <w:vAlign w:val="center"/>
          </w:tcPr>
          <w:p w14:paraId="06F2059B" w14:textId="77777777" w:rsidR="00C0659D" w:rsidRPr="008B4124" w:rsidRDefault="00C0659D" w:rsidP="0081379E">
            <w:pPr>
              <w:spacing w:line="240" w:lineRule="auto"/>
              <w:jc w:val="center"/>
              <w:rPr>
                <w:color w:val="000000" w:themeColor="text1"/>
                <w:sz w:val="22"/>
              </w:rPr>
            </w:pPr>
            <w:r>
              <w:rPr>
                <w:color w:val="000000" w:themeColor="text1"/>
                <w:sz w:val="22"/>
              </w:rPr>
              <w:t>0.59</w:t>
            </w:r>
            <w:r w:rsidRPr="008B4124">
              <w:rPr>
                <w:color w:val="000000" w:themeColor="text1"/>
                <w:sz w:val="22"/>
              </w:rPr>
              <w:t xml:space="preserve"> to 4.73</w:t>
            </w:r>
          </w:p>
        </w:tc>
        <w:tc>
          <w:tcPr>
            <w:tcW w:w="1380" w:type="dxa"/>
            <w:vAlign w:val="center"/>
          </w:tcPr>
          <w:p w14:paraId="0DCDAE61" w14:textId="77777777" w:rsidR="00C0659D" w:rsidRPr="002E5B1A" w:rsidRDefault="00C0659D" w:rsidP="0081379E">
            <w:pPr>
              <w:spacing w:line="240" w:lineRule="auto"/>
              <w:jc w:val="center"/>
              <w:rPr>
                <w:sz w:val="22"/>
              </w:rPr>
            </w:pPr>
            <w:r>
              <w:rPr>
                <w:sz w:val="22"/>
              </w:rPr>
              <w:t>-</w:t>
            </w:r>
          </w:p>
        </w:tc>
        <w:tc>
          <w:tcPr>
            <w:tcW w:w="1857" w:type="dxa"/>
            <w:vAlign w:val="center"/>
          </w:tcPr>
          <w:p w14:paraId="26A77304" w14:textId="77777777" w:rsidR="00C0659D" w:rsidRPr="002E5B1A" w:rsidRDefault="00C0659D" w:rsidP="0081379E">
            <w:pPr>
              <w:spacing w:line="240" w:lineRule="auto"/>
              <w:jc w:val="center"/>
              <w:rPr>
                <w:sz w:val="22"/>
              </w:rPr>
            </w:pPr>
            <w:r>
              <w:rPr>
                <w:sz w:val="22"/>
              </w:rPr>
              <w:t>-</w:t>
            </w:r>
          </w:p>
        </w:tc>
        <w:tc>
          <w:tcPr>
            <w:tcW w:w="1127" w:type="dxa"/>
            <w:vAlign w:val="center"/>
          </w:tcPr>
          <w:p w14:paraId="00F427A4" w14:textId="77777777" w:rsidR="00C0659D" w:rsidRPr="002E5B1A" w:rsidRDefault="00C0659D" w:rsidP="0081379E">
            <w:pPr>
              <w:spacing w:line="240" w:lineRule="auto"/>
              <w:jc w:val="center"/>
              <w:rPr>
                <w:sz w:val="22"/>
              </w:rPr>
            </w:pPr>
            <w:r>
              <w:rPr>
                <w:sz w:val="22"/>
              </w:rPr>
              <w:t>3</w:t>
            </w:r>
          </w:p>
        </w:tc>
      </w:tr>
      <w:tr w:rsidR="00C0659D" w14:paraId="6F1A8441" w14:textId="77777777" w:rsidTr="0081379E">
        <w:trPr>
          <w:trHeight w:val="77"/>
          <w:jc w:val="center"/>
        </w:trPr>
        <w:tc>
          <w:tcPr>
            <w:tcW w:w="2127" w:type="dxa"/>
          </w:tcPr>
          <w:p w14:paraId="1717B1FD" w14:textId="77777777" w:rsidR="00C0659D" w:rsidRPr="002E5B1A" w:rsidRDefault="00C0659D" w:rsidP="0081379E">
            <w:pPr>
              <w:spacing w:line="240" w:lineRule="auto"/>
              <w:jc w:val="left"/>
              <w:rPr>
                <w:sz w:val="22"/>
              </w:rPr>
            </w:pPr>
            <w:r w:rsidRPr="002E5B1A">
              <w:rPr>
                <w:sz w:val="22"/>
              </w:rPr>
              <w:t xml:space="preserve">Dilute cells </w:t>
            </w:r>
            <w:r>
              <w:rPr>
                <w:sz w:val="22"/>
              </w:rPr>
              <w:t xml:space="preserve">1:1 </w:t>
            </w:r>
            <w:r w:rsidRPr="002E5B1A">
              <w:rPr>
                <w:sz w:val="22"/>
              </w:rPr>
              <w:t>into compound solutions</w:t>
            </w:r>
            <w:r>
              <w:rPr>
                <w:sz w:val="22"/>
              </w:rPr>
              <w:t xml:space="preserve"> </w:t>
            </w:r>
          </w:p>
        </w:tc>
        <w:tc>
          <w:tcPr>
            <w:tcW w:w="1701" w:type="dxa"/>
            <w:vAlign w:val="center"/>
          </w:tcPr>
          <w:p w14:paraId="03140015" w14:textId="77777777" w:rsidR="00C0659D" w:rsidRPr="007B1084" w:rsidRDefault="00C0659D" w:rsidP="0081379E">
            <w:pPr>
              <w:spacing w:line="240" w:lineRule="auto"/>
              <w:jc w:val="center"/>
              <w:rPr>
                <w:sz w:val="22"/>
                <w:szCs w:val="22"/>
              </w:rPr>
            </w:pPr>
            <w:r>
              <w:rPr>
                <w:sz w:val="22"/>
                <w:szCs w:val="22"/>
              </w:rPr>
              <w:t>0.30</w:t>
            </w:r>
            <w:r w:rsidRPr="007B1084">
              <w:rPr>
                <w:sz w:val="22"/>
                <w:szCs w:val="22"/>
              </w:rPr>
              <w:t xml:space="preserve"> to </w:t>
            </w:r>
            <w:r>
              <w:rPr>
                <w:sz w:val="22"/>
                <w:szCs w:val="22"/>
              </w:rPr>
              <w:t>2.36</w:t>
            </w:r>
          </w:p>
        </w:tc>
        <w:tc>
          <w:tcPr>
            <w:tcW w:w="1380" w:type="dxa"/>
            <w:vAlign w:val="center"/>
          </w:tcPr>
          <w:p w14:paraId="3153D433" w14:textId="77777777" w:rsidR="00C0659D" w:rsidRPr="007B1084" w:rsidRDefault="00C0659D" w:rsidP="0081379E">
            <w:pPr>
              <w:spacing w:line="240" w:lineRule="auto"/>
              <w:jc w:val="center"/>
              <w:rPr>
                <w:sz w:val="22"/>
                <w:szCs w:val="22"/>
              </w:rPr>
            </w:pPr>
            <w:r w:rsidRPr="007B1084">
              <w:rPr>
                <w:sz w:val="22"/>
                <w:szCs w:val="22"/>
              </w:rPr>
              <w:t>3.75 </w:t>
            </w:r>
            <w:r w:rsidRPr="007B1084">
              <w:rPr>
                <w:sz w:val="22"/>
                <w:szCs w:val="22"/>
              </w:rPr>
              <w:sym w:font="Symbol" w:char="F0B4"/>
            </w:r>
            <w:r w:rsidRPr="007B1084">
              <w:rPr>
                <w:sz w:val="22"/>
                <w:szCs w:val="22"/>
              </w:rPr>
              <w:t> 10</w:t>
            </w:r>
            <w:r w:rsidRPr="007B1084">
              <w:rPr>
                <w:sz w:val="22"/>
                <w:szCs w:val="22"/>
                <w:vertAlign w:val="superscript"/>
              </w:rPr>
              <w:t>4</w:t>
            </w:r>
            <w:r w:rsidRPr="007B1084">
              <w:rPr>
                <w:sz w:val="22"/>
                <w:szCs w:val="22"/>
              </w:rPr>
              <w:t> </w:t>
            </w:r>
          </w:p>
        </w:tc>
        <w:tc>
          <w:tcPr>
            <w:tcW w:w="1857" w:type="dxa"/>
            <w:vAlign w:val="center"/>
          </w:tcPr>
          <w:p w14:paraId="78006AF3" w14:textId="77777777" w:rsidR="00C0659D" w:rsidRPr="007B1084" w:rsidRDefault="00C0659D" w:rsidP="0081379E">
            <w:pPr>
              <w:spacing w:line="240" w:lineRule="auto"/>
              <w:jc w:val="center"/>
              <w:rPr>
                <w:sz w:val="22"/>
                <w:szCs w:val="22"/>
              </w:rPr>
            </w:pPr>
            <w:r w:rsidRPr="007B1084">
              <w:rPr>
                <w:sz w:val="22"/>
                <w:szCs w:val="22"/>
              </w:rPr>
              <w:t>-</w:t>
            </w:r>
          </w:p>
        </w:tc>
        <w:tc>
          <w:tcPr>
            <w:tcW w:w="1127" w:type="dxa"/>
            <w:vAlign w:val="center"/>
          </w:tcPr>
          <w:p w14:paraId="4313F13D" w14:textId="77777777" w:rsidR="00C0659D" w:rsidRPr="007B1084" w:rsidRDefault="00C0659D" w:rsidP="0081379E">
            <w:pPr>
              <w:spacing w:line="240" w:lineRule="auto"/>
              <w:jc w:val="center"/>
              <w:rPr>
                <w:sz w:val="22"/>
                <w:szCs w:val="22"/>
              </w:rPr>
            </w:pPr>
            <w:r>
              <w:rPr>
                <w:sz w:val="22"/>
                <w:szCs w:val="22"/>
              </w:rPr>
              <w:t>1.5</w:t>
            </w:r>
          </w:p>
        </w:tc>
      </w:tr>
      <w:tr w:rsidR="00C0659D" w14:paraId="080F0D59" w14:textId="77777777" w:rsidTr="0081379E">
        <w:trPr>
          <w:trHeight w:val="77"/>
          <w:jc w:val="center"/>
        </w:trPr>
        <w:tc>
          <w:tcPr>
            <w:tcW w:w="2127" w:type="dxa"/>
            <w:tcBorders>
              <w:bottom w:val="single" w:sz="4" w:space="0" w:color="auto"/>
            </w:tcBorders>
          </w:tcPr>
          <w:p w14:paraId="67509C4F" w14:textId="77777777" w:rsidR="00C0659D" w:rsidRPr="002E5B1A" w:rsidRDefault="00C0659D" w:rsidP="0081379E">
            <w:pPr>
              <w:spacing w:line="240" w:lineRule="auto"/>
              <w:jc w:val="left"/>
              <w:rPr>
                <w:sz w:val="22"/>
              </w:rPr>
            </w:pPr>
            <w:r w:rsidRPr="002E5B1A">
              <w:rPr>
                <w:sz w:val="22"/>
              </w:rPr>
              <w:t>Mix cell-drug solution</w:t>
            </w:r>
            <w:r>
              <w:rPr>
                <w:sz w:val="22"/>
              </w:rPr>
              <w:t>s</w:t>
            </w:r>
            <w:r w:rsidRPr="002E5B1A">
              <w:rPr>
                <w:sz w:val="22"/>
              </w:rPr>
              <w:t xml:space="preserve"> with collagen I </w:t>
            </w:r>
            <w:r>
              <w:rPr>
                <w:sz w:val="22"/>
              </w:rPr>
              <w:t>in 2:1 ratio</w:t>
            </w:r>
          </w:p>
        </w:tc>
        <w:tc>
          <w:tcPr>
            <w:tcW w:w="1701" w:type="dxa"/>
            <w:tcBorders>
              <w:bottom w:val="single" w:sz="4" w:space="0" w:color="auto"/>
            </w:tcBorders>
            <w:vAlign w:val="center"/>
          </w:tcPr>
          <w:p w14:paraId="1A8975B7" w14:textId="77777777" w:rsidR="00C0659D" w:rsidRPr="007B1084" w:rsidRDefault="00C0659D" w:rsidP="0081379E">
            <w:pPr>
              <w:spacing w:line="240" w:lineRule="auto"/>
              <w:jc w:val="center"/>
              <w:rPr>
                <w:sz w:val="22"/>
                <w:szCs w:val="22"/>
              </w:rPr>
            </w:pPr>
            <w:r>
              <w:rPr>
                <w:sz w:val="22"/>
                <w:szCs w:val="22"/>
              </w:rPr>
              <w:t>0.20 to 1.56</w:t>
            </w:r>
          </w:p>
        </w:tc>
        <w:tc>
          <w:tcPr>
            <w:tcW w:w="1380" w:type="dxa"/>
            <w:tcBorders>
              <w:bottom w:val="single" w:sz="4" w:space="0" w:color="auto"/>
            </w:tcBorders>
            <w:vAlign w:val="center"/>
          </w:tcPr>
          <w:p w14:paraId="2675C05A" w14:textId="77777777" w:rsidR="00C0659D" w:rsidRPr="007B1084" w:rsidRDefault="00C0659D" w:rsidP="0081379E">
            <w:pPr>
              <w:spacing w:line="240" w:lineRule="auto"/>
              <w:jc w:val="center"/>
              <w:rPr>
                <w:sz w:val="22"/>
                <w:szCs w:val="22"/>
              </w:rPr>
            </w:pPr>
            <w:r w:rsidRPr="007B1084">
              <w:rPr>
                <w:sz w:val="22"/>
                <w:szCs w:val="22"/>
              </w:rPr>
              <w:t>2.5 </w:t>
            </w:r>
            <w:r w:rsidRPr="007B1084">
              <w:rPr>
                <w:sz w:val="22"/>
                <w:szCs w:val="22"/>
              </w:rPr>
              <w:sym w:font="Symbol" w:char="F0B4"/>
            </w:r>
            <w:r w:rsidRPr="007B1084">
              <w:rPr>
                <w:sz w:val="22"/>
                <w:szCs w:val="22"/>
              </w:rPr>
              <w:t> 10</w:t>
            </w:r>
            <w:r w:rsidRPr="007B1084">
              <w:rPr>
                <w:sz w:val="22"/>
                <w:szCs w:val="22"/>
                <w:vertAlign w:val="superscript"/>
              </w:rPr>
              <w:t>4</w:t>
            </w:r>
            <w:r w:rsidRPr="007B1084">
              <w:rPr>
                <w:sz w:val="22"/>
                <w:szCs w:val="22"/>
              </w:rPr>
              <w:t> </w:t>
            </w:r>
          </w:p>
        </w:tc>
        <w:tc>
          <w:tcPr>
            <w:tcW w:w="1857" w:type="dxa"/>
            <w:tcBorders>
              <w:bottom w:val="single" w:sz="4" w:space="0" w:color="auto"/>
            </w:tcBorders>
            <w:vAlign w:val="center"/>
          </w:tcPr>
          <w:p w14:paraId="0E61127E" w14:textId="77777777" w:rsidR="00C0659D" w:rsidRPr="007B1084" w:rsidRDefault="00C0659D" w:rsidP="0081379E">
            <w:pPr>
              <w:spacing w:line="240" w:lineRule="auto"/>
              <w:jc w:val="center"/>
              <w:rPr>
                <w:sz w:val="22"/>
                <w:szCs w:val="22"/>
              </w:rPr>
            </w:pPr>
            <w:r w:rsidRPr="007B1084">
              <w:rPr>
                <w:sz w:val="22"/>
                <w:szCs w:val="22"/>
              </w:rPr>
              <w:t>1</w:t>
            </w:r>
          </w:p>
        </w:tc>
        <w:tc>
          <w:tcPr>
            <w:tcW w:w="1127" w:type="dxa"/>
            <w:tcBorders>
              <w:bottom w:val="single" w:sz="4" w:space="0" w:color="auto"/>
            </w:tcBorders>
            <w:vAlign w:val="center"/>
          </w:tcPr>
          <w:p w14:paraId="3D0F1E6D" w14:textId="77777777" w:rsidR="00C0659D" w:rsidRPr="007B1084" w:rsidRDefault="00C0659D" w:rsidP="0081379E">
            <w:pPr>
              <w:spacing w:line="240" w:lineRule="auto"/>
              <w:jc w:val="center"/>
              <w:rPr>
                <w:sz w:val="22"/>
                <w:szCs w:val="22"/>
              </w:rPr>
            </w:pPr>
            <w:r>
              <w:rPr>
                <w:sz w:val="22"/>
                <w:szCs w:val="22"/>
              </w:rPr>
              <w:t>1</w:t>
            </w:r>
          </w:p>
        </w:tc>
      </w:tr>
    </w:tbl>
    <w:p w14:paraId="447FC954" w14:textId="77777777" w:rsidR="00C0659D" w:rsidRDefault="00C0659D" w:rsidP="00C0659D"/>
    <w:p w14:paraId="755B659E" w14:textId="77777777" w:rsidR="00C0659D" w:rsidRDefault="00C0659D" w:rsidP="00AF52F5">
      <w:pPr>
        <w:pStyle w:val="Heading3"/>
      </w:pPr>
      <w:bookmarkStart w:id="245" w:name="_Toc2451057"/>
      <w:r>
        <w:t>Resazurin assay of metabolic activity on collagen I gels</w:t>
      </w:r>
      <w:bookmarkEnd w:id="245"/>
    </w:p>
    <w:p w14:paraId="4E5650E3" w14:textId="2CDEC7B9" w:rsidR="00C0659D" w:rsidRPr="00E95570" w:rsidRDefault="00C0659D" w:rsidP="00C0659D">
      <w:pPr>
        <w:rPr>
          <w:sz w:val="15"/>
          <w:szCs w:val="15"/>
        </w:rPr>
      </w:pPr>
      <w:r>
        <w:t xml:space="preserve">After the final timepoint for the collagen-gel contraction assay, a resazurin sodium salt assay was performed to monitor the metabolic activity of cells in each gel. Media from </w:t>
      </w:r>
      <w:r>
        <w:lastRenderedPageBreak/>
        <w:t xml:space="preserve">each well was discarded and gels were washed with 500 µL sterile PBS. </w:t>
      </w:r>
      <w:r w:rsidRPr="00193D40">
        <w:rPr>
          <w:lang w:eastAsia="en-GB"/>
        </w:rPr>
        <w:t>A 1 mM solutio</w:t>
      </w:r>
      <w:r>
        <w:rPr>
          <w:lang w:eastAsia="en-GB"/>
        </w:rPr>
        <w:t>n of r</w:t>
      </w:r>
      <w:r w:rsidRPr="00193D40">
        <w:rPr>
          <w:lang w:eastAsia="en-GB"/>
        </w:rPr>
        <w:t xml:space="preserve">esazurin </w:t>
      </w:r>
      <w:r>
        <w:rPr>
          <w:lang w:eastAsia="en-GB"/>
        </w:rPr>
        <w:t>s</w:t>
      </w:r>
      <w:r w:rsidRPr="00193D40">
        <w:rPr>
          <w:lang w:eastAsia="en-GB"/>
        </w:rPr>
        <w:t xml:space="preserve">odium </w:t>
      </w:r>
      <w:r>
        <w:rPr>
          <w:lang w:eastAsia="en-GB"/>
        </w:rPr>
        <w:t>s</w:t>
      </w:r>
      <w:r w:rsidRPr="00193D40">
        <w:rPr>
          <w:lang w:eastAsia="en-GB"/>
        </w:rPr>
        <w:t xml:space="preserve">alt was prepared in </w:t>
      </w:r>
      <w:r>
        <w:rPr>
          <w:lang w:eastAsia="en-GB"/>
        </w:rPr>
        <w:t xml:space="preserve">HDF </w:t>
      </w:r>
      <w:r w:rsidRPr="00193D40">
        <w:rPr>
          <w:lang w:eastAsia="en-GB"/>
        </w:rPr>
        <w:t>cell culture media</w:t>
      </w:r>
      <w:r>
        <w:t xml:space="preserve">. 500 µL of the resazurin solution was added to each well and plates were incubated at </w:t>
      </w:r>
      <w:r>
        <w:rPr>
          <w:lang w:eastAsia="en-GB"/>
        </w:rPr>
        <w:t>37 </w:t>
      </w:r>
      <w:r>
        <w:rPr>
          <w:lang w:eastAsia="en-GB"/>
        </w:rPr>
        <w:sym w:font="Symbol" w:char="F0B0"/>
      </w:r>
      <w:r>
        <w:rPr>
          <w:lang w:eastAsia="en-GB"/>
        </w:rPr>
        <w:t>C, 5 % CO</w:t>
      </w:r>
      <w:r w:rsidRPr="001C734D">
        <w:rPr>
          <w:vertAlign w:val="subscript"/>
          <w:lang w:eastAsia="en-GB"/>
        </w:rPr>
        <w:t>2</w:t>
      </w:r>
      <w:r>
        <w:rPr>
          <w:lang w:eastAsia="en-GB"/>
        </w:rPr>
        <w:t xml:space="preserve"> for 4 hours. Triplicate wells containing resazurin alone were used as the blank control. After 4 hours, 100 µL of each solution was removed and added to a clear-bottom 96 well plate. F</w:t>
      </w:r>
      <w:r w:rsidRPr="00193D40">
        <w:rPr>
          <w:lang w:eastAsia="en-GB"/>
        </w:rPr>
        <w:t xml:space="preserve">luorescence was </w:t>
      </w:r>
      <w:r>
        <w:rPr>
          <w:lang w:eastAsia="en-GB"/>
        </w:rPr>
        <w:t>measured</w:t>
      </w:r>
      <w:r w:rsidRPr="00193D40">
        <w:rPr>
          <w:lang w:eastAsia="en-GB"/>
        </w:rPr>
        <w:t xml:space="preserve"> using a </w:t>
      </w:r>
      <w:r>
        <w:rPr>
          <w:lang w:eastAsia="en-GB"/>
        </w:rPr>
        <w:t>BIO-TEK Flx800 fluorescence microplate reader</w:t>
      </w:r>
      <w:r w:rsidRPr="00193D40">
        <w:rPr>
          <w:lang w:eastAsia="en-GB"/>
        </w:rPr>
        <w:t xml:space="preserve"> at </w:t>
      </w:r>
      <w:r>
        <w:rPr>
          <w:lang w:eastAsia="en-GB"/>
        </w:rPr>
        <w:t>excitation 540 nm, emission 635 </w:t>
      </w:r>
      <w:r w:rsidRPr="00193D40">
        <w:rPr>
          <w:lang w:eastAsia="en-GB"/>
        </w:rPr>
        <w:t xml:space="preserve">nm. All samples were run in </w:t>
      </w:r>
      <w:r w:rsidRPr="00E95570">
        <w:rPr>
          <w:lang w:eastAsia="en-GB"/>
        </w:rPr>
        <w:t xml:space="preserve">triplicate and experiments were repeated three times. </w:t>
      </w:r>
      <w:r w:rsidRPr="00E95570">
        <w:rPr>
          <w:color w:val="000000" w:themeColor="text1"/>
          <w:lang w:eastAsia="en-GB"/>
        </w:rPr>
        <w:t xml:space="preserve">Cell metabolism was expressed </w:t>
      </w:r>
      <w:r w:rsidRPr="00E95570">
        <w:rPr>
          <w:lang w:eastAsia="en-GB"/>
        </w:rPr>
        <w:t xml:space="preserve">using </w:t>
      </w:r>
      <w:r w:rsidR="008C76AB">
        <w:rPr>
          <w:lang w:eastAsia="en-GB"/>
        </w:rPr>
        <w:t>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11"/>
      </w:tblGrid>
      <w:tr w:rsidR="00C0659D" w14:paraId="765CCDB1" w14:textId="77777777" w:rsidTr="00B868B6">
        <w:trPr>
          <w:trHeight w:val="1304"/>
        </w:trPr>
        <w:tc>
          <w:tcPr>
            <w:tcW w:w="7371" w:type="dxa"/>
          </w:tcPr>
          <w:p w14:paraId="606A0348" w14:textId="77777777" w:rsidR="00C0659D" w:rsidRPr="00203799" w:rsidRDefault="00C0659D" w:rsidP="0081379E">
            <w:pPr>
              <w:rPr>
                <w:i/>
                <w:color w:val="000000" w:themeColor="text1"/>
                <w:sz w:val="10"/>
                <w:szCs w:val="10"/>
                <w:lang w:eastAsia="en-GB"/>
              </w:rPr>
            </w:pPr>
          </w:p>
          <w:p w14:paraId="5E0CD3CC" w14:textId="77777777" w:rsidR="00C0659D" w:rsidRDefault="00C0659D" w:rsidP="0081379E">
            <w:pPr>
              <w:rPr>
                <w:color w:val="000000" w:themeColor="text1"/>
                <w:lang w:eastAsia="en-GB"/>
              </w:rPr>
            </w:pPr>
            <m:oMathPara>
              <m:oMath>
                <m:r>
                  <w:rPr>
                    <w:rFonts w:ascii="Cambria Math" w:hAnsi="Cambria Math"/>
                    <w:color w:val="000000" w:themeColor="text1"/>
                    <w:lang w:eastAsia="en-GB"/>
                  </w:rPr>
                  <m:t xml:space="preserve">Cell metabolism </m:t>
                </m:r>
                <m:d>
                  <m:dPr>
                    <m:ctrlPr>
                      <w:rPr>
                        <w:rFonts w:ascii="Cambria Math" w:hAnsi="Cambria Math"/>
                        <w:i/>
                        <w:color w:val="000000" w:themeColor="text1"/>
                        <w:lang w:eastAsia="en-GB"/>
                      </w:rPr>
                    </m:ctrlPr>
                  </m:dPr>
                  <m:e>
                    <m:r>
                      <w:rPr>
                        <w:rFonts w:ascii="Cambria Math" w:hAnsi="Cambria Math"/>
                        <w:color w:val="000000" w:themeColor="text1"/>
                        <w:lang w:eastAsia="en-GB"/>
                      </w:rPr>
                      <m:t>%</m:t>
                    </m:r>
                  </m:e>
                </m:d>
                <m:r>
                  <w:rPr>
                    <w:rFonts w:ascii="Cambria Math" w:hAnsi="Cambria Math"/>
                    <w:color w:val="000000" w:themeColor="text1"/>
                    <w:lang w:eastAsia="en-GB"/>
                  </w:rPr>
                  <m:t>=</m:t>
                </m:r>
                <m:d>
                  <m:dPr>
                    <m:ctrlPr>
                      <w:rPr>
                        <w:rFonts w:ascii="Cambria Math" w:hAnsi="Cambria Math"/>
                        <w:i/>
                        <w:color w:val="000000" w:themeColor="text1"/>
                        <w:lang w:eastAsia="en-GB"/>
                      </w:rPr>
                    </m:ctrlPr>
                  </m:dPr>
                  <m:e>
                    <m:f>
                      <m:fPr>
                        <m:ctrlPr>
                          <w:rPr>
                            <w:rFonts w:ascii="Cambria Math" w:hAnsi="Cambria Math"/>
                            <w:i/>
                            <w:color w:val="000000" w:themeColor="text1"/>
                            <w:lang w:eastAsia="en-GB"/>
                          </w:rPr>
                        </m:ctrlPr>
                      </m:fPr>
                      <m:num>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exp</m:t>
                            </m:r>
                          </m:sub>
                        </m:sSub>
                        <m:r>
                          <w:rPr>
                            <w:rFonts w:ascii="Cambria Math" w:hAnsi="Cambria Math"/>
                            <w:color w:val="000000" w:themeColor="text1"/>
                            <w:lang w:eastAsia="en-GB"/>
                          </w:rPr>
                          <m:t xml:space="preserve">- </m:t>
                        </m:r>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blank</m:t>
                            </m:r>
                          </m:sub>
                        </m:sSub>
                      </m:num>
                      <m:den>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control</m:t>
                            </m:r>
                          </m:sub>
                        </m:sSub>
                        <m:r>
                          <w:rPr>
                            <w:rFonts w:ascii="Cambria Math" w:hAnsi="Cambria Math"/>
                            <w:color w:val="000000" w:themeColor="text1"/>
                            <w:lang w:eastAsia="en-GB"/>
                          </w:rPr>
                          <m:t>-</m:t>
                        </m:r>
                        <m:sSub>
                          <m:sSubPr>
                            <m:ctrlPr>
                              <w:rPr>
                                <w:rFonts w:ascii="Cambria Math" w:hAnsi="Cambria Math"/>
                                <w:i/>
                                <w:color w:val="000000" w:themeColor="text1"/>
                                <w:lang w:eastAsia="en-GB"/>
                              </w:rPr>
                            </m:ctrlPr>
                          </m:sSubPr>
                          <m:e>
                            <m:r>
                              <w:rPr>
                                <w:rFonts w:ascii="Cambria Math" w:hAnsi="Cambria Math"/>
                                <w:color w:val="000000" w:themeColor="text1"/>
                                <w:lang w:eastAsia="en-GB"/>
                              </w:rPr>
                              <m:t>Fluor</m:t>
                            </m:r>
                          </m:e>
                          <m:sub>
                            <m:r>
                              <w:rPr>
                                <w:rFonts w:ascii="Cambria Math" w:hAnsi="Cambria Math"/>
                                <w:color w:val="000000" w:themeColor="text1"/>
                                <w:lang w:eastAsia="en-GB"/>
                              </w:rPr>
                              <m:t>blank</m:t>
                            </m:r>
                          </m:sub>
                        </m:sSub>
                      </m:den>
                    </m:f>
                  </m:e>
                </m:d>
                <m:r>
                  <w:rPr>
                    <w:rFonts w:ascii="Cambria Math" w:hAnsi="Cambria Math"/>
                    <w:color w:val="000000" w:themeColor="text1"/>
                    <w:lang w:eastAsia="en-GB"/>
                  </w:rPr>
                  <m:t>×100</m:t>
                </m:r>
              </m:oMath>
            </m:oMathPara>
          </w:p>
        </w:tc>
        <w:tc>
          <w:tcPr>
            <w:tcW w:w="811" w:type="dxa"/>
          </w:tcPr>
          <w:p w14:paraId="2D260F81" w14:textId="77777777" w:rsidR="00C0659D" w:rsidRPr="00203799" w:rsidRDefault="00C0659D" w:rsidP="0081379E">
            <w:pPr>
              <w:rPr>
                <w:sz w:val="15"/>
                <w:szCs w:val="15"/>
              </w:rPr>
            </w:pPr>
          </w:p>
          <w:p w14:paraId="282D8BE6" w14:textId="722A12A9" w:rsidR="00C0659D" w:rsidRPr="00B868B6" w:rsidRDefault="00C0659D" w:rsidP="0081379E">
            <w:pPr>
              <w:pStyle w:val="Caption"/>
              <w:rPr>
                <w:b w:val="0"/>
              </w:rPr>
            </w:pPr>
            <w:bookmarkStart w:id="246" w:name="_Ref522609762"/>
            <w:r w:rsidRPr="00B868B6">
              <w:rPr>
                <w:b w:val="0"/>
                <w:sz w:val="21"/>
              </w:rPr>
              <w:t>(</w:t>
            </w:r>
            <w:r w:rsidR="00B868B6" w:rsidRPr="00B868B6">
              <w:rPr>
                <w:b w:val="0"/>
                <w:sz w:val="21"/>
              </w:rPr>
              <w:t>4.</w:t>
            </w:r>
            <w:r w:rsidRPr="00B868B6">
              <w:rPr>
                <w:b w:val="0"/>
                <w:sz w:val="21"/>
              </w:rPr>
              <w:fldChar w:fldCharType="begin"/>
            </w:r>
            <w:r w:rsidRPr="00B868B6">
              <w:rPr>
                <w:b w:val="0"/>
                <w:sz w:val="21"/>
              </w:rPr>
              <w:instrText xml:space="preserve"> SEQ ( \* ARABIC </w:instrText>
            </w:r>
            <w:r w:rsidRPr="00B868B6">
              <w:rPr>
                <w:b w:val="0"/>
                <w:sz w:val="21"/>
              </w:rPr>
              <w:fldChar w:fldCharType="separate"/>
            </w:r>
            <w:r w:rsidR="00E6157A">
              <w:rPr>
                <w:b w:val="0"/>
                <w:noProof/>
                <w:sz w:val="21"/>
              </w:rPr>
              <w:t>2</w:t>
            </w:r>
            <w:r w:rsidRPr="00B868B6">
              <w:rPr>
                <w:b w:val="0"/>
                <w:sz w:val="21"/>
              </w:rPr>
              <w:fldChar w:fldCharType="end"/>
            </w:r>
            <w:r w:rsidRPr="00B868B6">
              <w:rPr>
                <w:b w:val="0"/>
                <w:sz w:val="21"/>
              </w:rPr>
              <w:t>)</w:t>
            </w:r>
            <w:bookmarkEnd w:id="246"/>
          </w:p>
        </w:tc>
      </w:tr>
    </w:tbl>
    <w:p w14:paraId="614C0904" w14:textId="77777777" w:rsidR="00C0659D" w:rsidRDefault="00C0659D" w:rsidP="00C0659D">
      <w:pPr>
        <w:rPr>
          <w:lang w:eastAsia="en-GB"/>
        </w:rPr>
      </w:pPr>
      <w:r>
        <w:rPr>
          <w:lang w:eastAsia="en-GB"/>
        </w:rPr>
        <w:t>where Fluor</w:t>
      </w:r>
      <w:r w:rsidRPr="003B6C2B">
        <w:rPr>
          <w:vertAlign w:val="subscript"/>
          <w:lang w:eastAsia="en-GB"/>
        </w:rPr>
        <w:t>exp</w:t>
      </w:r>
      <w:r>
        <w:rPr>
          <w:lang w:eastAsia="en-GB"/>
        </w:rPr>
        <w:t xml:space="preserve"> and Fluor</w:t>
      </w:r>
      <w:r w:rsidRPr="003B6C2B">
        <w:rPr>
          <w:vertAlign w:val="subscript"/>
          <w:lang w:eastAsia="en-GB"/>
        </w:rPr>
        <w:t>control</w:t>
      </w:r>
      <w:r>
        <w:rPr>
          <w:lang w:eastAsia="en-GB"/>
        </w:rPr>
        <w:t xml:space="preserve"> represent the amount of fluorescence produced by cells in the collagen gel and 1 % DMSO, respectively. Fluor</w:t>
      </w:r>
      <w:r w:rsidRPr="00203799">
        <w:rPr>
          <w:vertAlign w:val="subscript"/>
          <w:lang w:eastAsia="en-GB"/>
        </w:rPr>
        <w:t>blank</w:t>
      </w:r>
      <w:r>
        <w:rPr>
          <w:vertAlign w:val="subscript"/>
          <w:lang w:eastAsia="en-GB"/>
        </w:rPr>
        <w:t xml:space="preserve"> </w:t>
      </w:r>
      <w:r w:rsidRPr="00203799">
        <w:rPr>
          <w:lang w:eastAsia="en-GB"/>
        </w:rPr>
        <w:t>is the fluorescence</w:t>
      </w:r>
      <w:r>
        <w:rPr>
          <w:lang w:eastAsia="en-GB"/>
        </w:rPr>
        <w:t xml:space="preserve"> for the resazurin solution on collagen gels containing no cells. The results are expressed as mean values ± standard deviation. </w:t>
      </w:r>
    </w:p>
    <w:p w14:paraId="3D02D943" w14:textId="77777777" w:rsidR="00C0659D" w:rsidRDefault="00C0659D" w:rsidP="00C0659D">
      <w:pPr>
        <w:pStyle w:val="Heading2"/>
      </w:pPr>
      <w:bookmarkStart w:id="247" w:name="_Toc520463564"/>
      <w:bookmarkStart w:id="248" w:name="_Toc2451058"/>
      <w:r>
        <w:t>Results and Discussion</w:t>
      </w:r>
      <w:bookmarkEnd w:id="247"/>
      <w:bookmarkEnd w:id="248"/>
    </w:p>
    <w:p w14:paraId="3155AE04" w14:textId="243D4463" w:rsidR="00C0659D" w:rsidRPr="001E6680" w:rsidRDefault="00C0659D" w:rsidP="00C0659D">
      <w:pPr>
        <w:rPr>
          <w:color w:val="000000" w:themeColor="text1"/>
        </w:rPr>
      </w:pPr>
      <w:r w:rsidRPr="00C77491">
        <w:t>In chapter 3</w:t>
      </w:r>
      <w:r>
        <w:t xml:space="preserve"> it was shown that the synthesised prodrugs were able to inhibit </w:t>
      </w:r>
      <w:r w:rsidR="00A0623A">
        <w:t xml:space="preserve">LOXL2 </w:t>
      </w:r>
      <w:r>
        <w:t>in a biochemical assay</w:t>
      </w:r>
      <w:r w:rsidRPr="000A06B4">
        <w:rPr>
          <w:color w:val="000000" w:themeColor="text1"/>
        </w:rPr>
        <w:t xml:space="preserve">. </w:t>
      </w:r>
      <w:r>
        <w:rPr>
          <w:color w:val="000000" w:themeColor="text1"/>
        </w:rPr>
        <w:t>The next step was to understand whether the prodrugs were able to inhibit</w:t>
      </w:r>
      <w:r w:rsidRPr="000A06B4">
        <w:rPr>
          <w:color w:val="000000" w:themeColor="text1"/>
        </w:rPr>
        <w:t xml:space="preserve"> the physical phenomenon of contraction. </w:t>
      </w:r>
      <w:r>
        <w:t>Therefore, the aim of this chapter was to</w:t>
      </w:r>
      <w:r w:rsidR="00441BFF">
        <w:t xml:space="preserve"> test the synthesised prodrugs i</w:t>
      </w:r>
      <w:r>
        <w:t>n 3D tissue</w:t>
      </w:r>
      <w:r w:rsidR="009352BF">
        <w:t>-</w:t>
      </w:r>
      <w:r>
        <w:t xml:space="preserve">engineered skin (TES) composites, which have previously been shown to be a good </w:t>
      </w:r>
      <w:r w:rsidRPr="00FC54AA">
        <w:rPr>
          <w:i/>
        </w:rPr>
        <w:t>in vitro</w:t>
      </w:r>
      <w:r>
        <w:t xml:space="preserve"> model of skin contraction.</w:t>
      </w:r>
    </w:p>
    <w:p w14:paraId="3F019EA7" w14:textId="4CF24BF5" w:rsidR="00C0659D" w:rsidRPr="00441824" w:rsidRDefault="00C0659D" w:rsidP="00C0659D">
      <w:r>
        <w:t xml:space="preserve">The TES composites use </w:t>
      </w:r>
      <w:r w:rsidRPr="00945547">
        <w:rPr>
          <w:i/>
        </w:rPr>
        <w:t>ex vivo</w:t>
      </w:r>
      <w:r>
        <w:t xml:space="preserve"> human skin, obtained from patients undergoing elective surgery at the Sheffield Hallamshire hospital. The skin was de-cellularised and the epidermis was removed by treatment with 1 M NaCl, producing de-epidermised dermis (DED). To prepare the TES composite, a 2 </w:t>
      </w:r>
      <w:r>
        <w:sym w:font="Symbol" w:char="F0B4"/>
      </w:r>
      <w:r>
        <w:t xml:space="preserve"> 2 </w:t>
      </w:r>
      <w:r w:rsidRPr="00D017E9">
        <w:t>cm</w:t>
      </w:r>
      <w:r>
        <w:t xml:space="preserve"> sample of DED was cut out and placed in a 6-well plate. A sterilised surgical steel ring with a 1 cm diameter hole was placed on top of the DED. </w:t>
      </w:r>
      <w:r w:rsidRPr="00D017E9">
        <w:t>The</w:t>
      </w:r>
      <w:r>
        <w:t xml:space="preserve"> DED was seeded with 1 </w:t>
      </w:r>
      <w:r>
        <w:sym w:font="Symbol" w:char="F0B4"/>
      </w:r>
      <w:r>
        <w:t> 10</w:t>
      </w:r>
      <w:r w:rsidRPr="00D017E9">
        <w:rPr>
          <w:vertAlign w:val="superscript"/>
        </w:rPr>
        <w:t>5</w:t>
      </w:r>
      <w:r>
        <w:t xml:space="preserve"> human dermal fibroblasts (HDF) and 3 </w:t>
      </w:r>
      <w:r>
        <w:sym w:font="Symbol" w:char="F0B4"/>
      </w:r>
      <w:r>
        <w:t> 10</w:t>
      </w:r>
      <w:r w:rsidRPr="00D017E9">
        <w:rPr>
          <w:vertAlign w:val="superscript"/>
        </w:rPr>
        <w:t>5</w:t>
      </w:r>
      <w:r>
        <w:t xml:space="preserve"> human epidermal keratinocytes (HEK), raised to an air-liquid interface (ALI) and cultured for 28 days. The preparation steps are </w:t>
      </w:r>
      <w:r>
        <w:lastRenderedPageBreak/>
        <w:t xml:space="preserve">outlined in </w:t>
      </w:r>
      <w:r>
        <w:fldChar w:fldCharType="begin"/>
      </w:r>
      <w:r>
        <w:instrText xml:space="preserve"> REF _Ref522470962 \h </w:instrText>
      </w:r>
      <w:r>
        <w:fldChar w:fldCharType="separate"/>
      </w:r>
      <w:r w:rsidR="00E6157A">
        <w:t xml:space="preserve">Figure </w:t>
      </w:r>
      <w:r w:rsidR="00E6157A">
        <w:rPr>
          <w:noProof/>
        </w:rPr>
        <w:t>4</w:t>
      </w:r>
      <w:r w:rsidR="00E6157A">
        <w:t>.</w:t>
      </w:r>
      <w:r w:rsidR="00E6157A">
        <w:rPr>
          <w:noProof/>
        </w:rPr>
        <w:t>2</w:t>
      </w:r>
      <w:r>
        <w:fldChar w:fldCharType="end"/>
      </w:r>
      <w:r>
        <w:t>. Over the course of the 28 days the TES composites contract</w:t>
      </w:r>
      <w:r w:rsidR="008C76AB">
        <w:t>ed</w:t>
      </w:r>
      <w:r>
        <w:t>, and this contraction was monitored by measuring the surface area of the composites.</w:t>
      </w:r>
    </w:p>
    <w:p w14:paraId="3C304648" w14:textId="3714FC82" w:rsidR="00C0659D" w:rsidRDefault="00A0623A" w:rsidP="00C0659D">
      <w:pPr>
        <w:keepNext/>
        <w:jc w:val="center"/>
      </w:pPr>
      <w:r>
        <w:rPr>
          <w:noProof/>
        </w:rPr>
        <w:drawing>
          <wp:inline distT="0" distB="0" distL="0" distR="0" wp14:anchorId="3B27E6FC" wp14:editId="02140A43">
            <wp:extent cx="5201920" cy="5418455"/>
            <wp:effectExtent l="0" t="0" r="508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ractionmodel_changed.png"/>
                    <pic:cNvPicPr/>
                  </pic:nvPicPr>
                  <pic:blipFill>
                    <a:blip r:embed="rId47">
                      <a:extLst>
                        <a:ext uri="{28A0092B-C50C-407E-A947-70E740481C1C}">
                          <a14:useLocalDpi xmlns:a14="http://schemas.microsoft.com/office/drawing/2010/main" val="0"/>
                        </a:ext>
                      </a:extLst>
                    </a:blip>
                    <a:stretch>
                      <a:fillRect/>
                    </a:stretch>
                  </pic:blipFill>
                  <pic:spPr>
                    <a:xfrm>
                      <a:off x="0" y="0"/>
                      <a:ext cx="5201920" cy="5418455"/>
                    </a:xfrm>
                    <a:prstGeom prst="rect">
                      <a:avLst/>
                    </a:prstGeom>
                  </pic:spPr>
                </pic:pic>
              </a:graphicData>
            </a:graphic>
          </wp:inline>
        </w:drawing>
      </w:r>
    </w:p>
    <w:p w14:paraId="23051B4A" w14:textId="24FBB2E3" w:rsidR="00C0659D" w:rsidRPr="00E7383A" w:rsidRDefault="00C0659D" w:rsidP="00C0659D">
      <w:pPr>
        <w:pStyle w:val="Caption"/>
        <w:jc w:val="both"/>
        <w:rPr>
          <w:color w:val="FF0000"/>
        </w:rPr>
      </w:pPr>
      <w:bookmarkStart w:id="249" w:name="_Ref522470962"/>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2</w:t>
      </w:r>
      <w:r w:rsidR="00BE21E4">
        <w:rPr>
          <w:noProof/>
        </w:rPr>
        <w:fldChar w:fldCharType="end"/>
      </w:r>
      <w:bookmarkEnd w:id="249"/>
      <w:r>
        <w:t xml:space="preserve">. </w:t>
      </w:r>
      <w:r w:rsidRPr="005D2C0B">
        <w:rPr>
          <w:b w:val="0"/>
        </w:rPr>
        <w:t>Preparation of tissue</w:t>
      </w:r>
      <w:r w:rsidR="009352BF">
        <w:rPr>
          <w:b w:val="0"/>
        </w:rPr>
        <w:t>-</w:t>
      </w:r>
      <w:r w:rsidRPr="005D2C0B">
        <w:rPr>
          <w:b w:val="0"/>
        </w:rPr>
        <w:t xml:space="preserve">engineered skin (TES) composites as an </w:t>
      </w:r>
      <w:r w:rsidRPr="005D2C0B">
        <w:rPr>
          <w:b w:val="0"/>
          <w:i/>
        </w:rPr>
        <w:t>in vitro</w:t>
      </w:r>
      <w:r w:rsidRPr="005D2C0B">
        <w:rPr>
          <w:b w:val="0"/>
        </w:rPr>
        <w:t xml:space="preserve"> model of contraction. A) 2 </w:t>
      </w:r>
      <w:r w:rsidRPr="005D2C0B">
        <w:rPr>
          <w:b w:val="0"/>
        </w:rPr>
        <w:sym w:font="Symbol" w:char="F0B4"/>
      </w:r>
      <w:r w:rsidRPr="005D2C0B">
        <w:rPr>
          <w:b w:val="0"/>
        </w:rPr>
        <w:t> 2 cm sample of de-epidermised dermis (DED) is cut out, B) a sterile steel ring is placed on the DED in a 6 well plate. C) human dermal fibroblasts (HDF) and human epidermal keratinocytes (HEK) are seeded into the inner hole of the steel ring and media is added to cover the outer DED, D) after 24 hours, the media is changed to completely cover the DED and the ring, E) media is removed, leaving DED with a 1 cm diameter area seeded with cells, F) the 1 cm diameter area seeded with cells is cut out, G) the 1 cm diameter area seeded with cells is raised to an air-liquid interface (ALI) on a sterile steel grid and cultured for 28 days.</w:t>
      </w:r>
      <w:r>
        <w:t xml:space="preserve"> </w:t>
      </w:r>
    </w:p>
    <w:p w14:paraId="15F4A546" w14:textId="05B882D0" w:rsidR="00C0659D" w:rsidRPr="00C0659D" w:rsidRDefault="00C0659D" w:rsidP="00C0659D">
      <w:pPr>
        <w:pStyle w:val="Heading3"/>
      </w:pPr>
      <w:bookmarkStart w:id="250" w:name="_Toc2451059"/>
      <w:r w:rsidRPr="00C0659D">
        <w:t>Contraction of tissue</w:t>
      </w:r>
      <w:r w:rsidR="009352BF">
        <w:t>-</w:t>
      </w:r>
      <w:r w:rsidRPr="00C0659D">
        <w:t>engineered skin (TES) composites</w:t>
      </w:r>
      <w:bookmarkEnd w:id="250"/>
    </w:p>
    <w:p w14:paraId="65753B87" w14:textId="3E3541E6" w:rsidR="00C0659D" w:rsidRDefault="00C0659D" w:rsidP="00C0659D">
      <w:r>
        <w:t>An initial experiment compared DED with no cells to DED seeded with 10</w:t>
      </w:r>
      <w:r w:rsidRPr="00E848DB">
        <w:rPr>
          <w:vertAlign w:val="superscript"/>
        </w:rPr>
        <w:t>5</w:t>
      </w:r>
      <w:r>
        <w:t xml:space="preserve"> HDF and 3 </w:t>
      </w:r>
      <w:r>
        <w:sym w:font="Symbol" w:char="F0B4"/>
      </w:r>
      <w:r>
        <w:t> 10</w:t>
      </w:r>
      <w:r w:rsidRPr="00E848DB">
        <w:rPr>
          <w:vertAlign w:val="superscript"/>
        </w:rPr>
        <w:t>5</w:t>
      </w:r>
      <w:r>
        <w:t xml:space="preserve"> HEK (</w:t>
      </w:r>
      <w:r>
        <w:fldChar w:fldCharType="begin"/>
      </w:r>
      <w:r>
        <w:instrText xml:space="preserve"> REF _Ref520729422 \h </w:instrText>
      </w:r>
      <w:r>
        <w:fldChar w:fldCharType="separate"/>
      </w:r>
      <w:r w:rsidR="00E6157A" w:rsidRPr="001B1F61">
        <w:t xml:space="preserve">Figure </w:t>
      </w:r>
      <w:r w:rsidR="00E6157A">
        <w:rPr>
          <w:noProof/>
        </w:rPr>
        <w:t>4</w:t>
      </w:r>
      <w:r w:rsidR="00E6157A">
        <w:t>.</w:t>
      </w:r>
      <w:r w:rsidR="00E6157A">
        <w:rPr>
          <w:noProof/>
        </w:rPr>
        <w:t>3</w:t>
      </w:r>
      <w:r>
        <w:fldChar w:fldCharType="end"/>
      </w:r>
      <w:r>
        <w:t>). After 28 days, DED cultured in the absence of any cells had a surface area similar to that at day 0, indicating no contraction had taken place. In contrast, DED seeded with HDF and HEK demonstrated a large degree of contraction, with the composite contracting by approximately 60 % after 28 days.</w:t>
      </w:r>
    </w:p>
    <w:p w14:paraId="5D79A6B9" w14:textId="77777777" w:rsidR="00C0659D" w:rsidRDefault="00C0659D" w:rsidP="00C0659D">
      <w:pPr>
        <w:keepNext/>
        <w:jc w:val="center"/>
      </w:pPr>
      <w:r w:rsidRPr="003431B5">
        <w:rPr>
          <w:noProof/>
          <w:lang w:val="en-US"/>
        </w:rPr>
        <w:lastRenderedPageBreak/>
        <w:drawing>
          <wp:inline distT="0" distB="0" distL="0" distR="0" wp14:anchorId="773E25ED" wp14:editId="2641F4A5">
            <wp:extent cx="3078866" cy="2587103"/>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94676" cy="2600388"/>
                    </a:xfrm>
                    <a:prstGeom prst="rect">
                      <a:avLst/>
                    </a:prstGeom>
                  </pic:spPr>
                </pic:pic>
              </a:graphicData>
            </a:graphic>
          </wp:inline>
        </w:drawing>
      </w:r>
    </w:p>
    <w:p w14:paraId="1EFDEAA4" w14:textId="3E9442A6" w:rsidR="00C0659D" w:rsidRDefault="00C0659D" w:rsidP="005D2C0B">
      <w:pPr>
        <w:pStyle w:val="Caption"/>
        <w:jc w:val="both"/>
      </w:pPr>
      <w:bookmarkStart w:id="251" w:name="_Ref520729422"/>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3</w:t>
      </w:r>
      <w:r w:rsidR="00BE21E4">
        <w:rPr>
          <w:noProof/>
        </w:rPr>
        <w:fldChar w:fldCharType="end"/>
      </w:r>
      <w:bookmarkEnd w:id="251"/>
      <w:r w:rsidRPr="001B1F61">
        <w:t xml:space="preserve">. </w:t>
      </w:r>
      <w:r w:rsidRPr="005D2C0B">
        <w:rPr>
          <w:b w:val="0"/>
        </w:rPr>
        <w:t>Effect of the addition of human dermal fibroblasts (HDF) and human epidermal keratinocytes (HEK) on the contraction of tissue</w:t>
      </w:r>
      <w:r w:rsidR="009352BF">
        <w:rPr>
          <w:b w:val="0"/>
        </w:rPr>
        <w:t>-</w:t>
      </w:r>
      <w:r w:rsidRPr="005D2C0B">
        <w:rPr>
          <w:b w:val="0"/>
        </w:rPr>
        <w:t>engineered composites of human skin using de-epidermised dermis (DED). Samples were prepared in triplicate. Results are expressed as mean ± standard deviation.</w:t>
      </w:r>
      <w:r>
        <w:t xml:space="preserve"> </w:t>
      </w:r>
    </w:p>
    <w:p w14:paraId="0E1F4A7B" w14:textId="6158F8A9" w:rsidR="00C0659D" w:rsidRDefault="00C0659D" w:rsidP="00C0659D">
      <w:r>
        <w:t>This data is consistent with the literature that the cells are causing the contraction of the tissue</w:t>
      </w:r>
      <w:r w:rsidR="009352BF">
        <w:t>-</w:t>
      </w:r>
      <w:r>
        <w:t>engineered skin composites,</w:t>
      </w:r>
      <w:r>
        <w:fldChar w:fldCharType="begin" w:fldLock="1"/>
      </w:r>
      <w:r w:rsidR="0085447D">
        <w:instrText>ADDIN CSL_CITATION {"citationItems":[{"id":"ITEM-1","itemData":{"DOI":"10.1016/S0007-1226(97)90327-1","ISSN":"00071226","PMID":"9326143","abstract":"Composites of human de-epidermised acellular dermis and normal adult human keratinocytes and fibroblasts were examined for the ability of cells to contract these composites. Image analysis of the outline or the composites showed that, in this model, keratinocytes alone or in the presence of fibroblasts caused highly significant contraction (of the order of 25% by day 12). There was no significant contraction of the dermis with fibroblasts alone or in the absence of cells. The presence or absence of basement membrane antigens did not influence the effect of keratinocytes on dermal contraction. Analysis of the conditioned media from these composites showed that the greatest fibronectin production was seen with fibroblasts alone in the presence of basement membrane. Keratinocytes alone produced little fibronectin irrespective of the presence of the basement membrane. If keratinocytes were present with fibroblasts, however, then fibronectin production was significantly reduced both in the presence and absence of the basement membrane, indicating that keratinocytes modify dermal fibroblast extracellular matrix production. This study shows that while keratinocytes and fibroblasts are clearly influencing each other's activity in this human skin composite model, under the circumstances we describe it is the keratinocyte and not the fibroblast which causes contraction of the human de-epidermised acellular dermis.","author":[{"dropping-particle":"","family":"Ralston","given":"D R","non-dropping-particle":"","parse-names":false,"suffix":""},{"dropping-particle":"","family":"Layton","given":"C","non-dropping-particle":"","parse-names":false,"suffix":""},{"dropping-particle":"","family":"Dalley","given":"A. J.","non-dropping-particle":"","parse-names":false,"suffix":""},{"dropping-particle":"","family":"Boyce","given":"S G","non-dropping-particle":"","parse-names":false,"suffix":""},{"dropping-particle":"","family":"Freedlander","given":"E","non-dropping-particle":"","parse-names":false,"suffix":""},{"dropping-particle":"","family":"MacNeil","given":"S.","non-dropping-particle":"","parse-names":false,"suffix":""}],"container-title":"British Journal of Plastic Surgery","id":"ITEM-1","issue":"6","issued":{"date-parts":[["1997"]]},"page":"408-415","title":"Keratinocytes contract human dermal extracellular matrix and reduce soluble fibronectin production by fibroblasts in a skin composite model","type":"article-journal","volume":"50"},"uris":["http://www.mendeley.com/documents/?uuid=5f5a3ae6-cca5-474d-8b36-cfde6f337a1a"]}],"mendeley":{"formattedCitation":"&lt;sup&gt;73&lt;/sup&gt;","plainTextFormattedCitation":"73","previouslyFormattedCitation":"&lt;sup&gt;73&lt;/sup&gt;"},"properties":{"noteIndex":0},"schema":"https://github.com/citation-style-language/schema/raw/master/csl-citation.json"}</w:instrText>
      </w:r>
      <w:r>
        <w:fldChar w:fldCharType="separate"/>
      </w:r>
      <w:r w:rsidR="00B02713" w:rsidRPr="00B02713">
        <w:rPr>
          <w:noProof/>
          <w:vertAlign w:val="superscript"/>
        </w:rPr>
        <w:t>73</w:t>
      </w:r>
      <w:r>
        <w:fldChar w:fldCharType="end"/>
      </w:r>
      <w:r>
        <w:t xml:space="preserve"> rather than a cell-independent mechanism such as the recoil of elastin fibres.</w:t>
      </w:r>
      <w:r>
        <w:fldChar w:fldCharType="begin" w:fldLock="1"/>
      </w:r>
      <w:r w:rsidR="00DB1BCE">
        <w:instrText>ADDIN CSL_CITATION {"citationItems":[{"id":"ITEM-1","itemData":{"ISSN":"0272-5533","abstract":"We have often noticed that there is a definite shrinkage in the size of free skin grafts immediately after being cut; this fact has also been recorded in the literature by other observers, but so far as we have been able to ascertain, no one has attempted to measure the exact amount of shrinkage or to compare this shrinkage in the different types of grafts. This report is the result of an investigation to determine the amount of contracture and to explain the probable cause.In cutting grafts of different thicknesses we found that the shrinkage seemed to vary with the depth at which they were cut. For this reason we selected for measurement areas of skin of different thicknesses: whole thickness, half thickness, thick Ollier-Thiersch and thin or true Ollier-Thiersch grafts.The whole thickness grafts included the whole thickness of the skin, excluding the hypoderm. The half thickness grafts","author":[{"dropping-particle":"","family":"Davis","given":"John Staige","non-dropping-particle":"","parse-names":false,"suffix":""},{"dropping-particle":"","family":"Kitlowski","given":"Edward","non-dropping-particle":"","parse-names":false,"suffix":""}],"container-title":"Archives of Surgery","id":"ITEM-1","issue":"6","issued":{"date-parts":[["1931","12","1"]]},"note":"From Duplicate 1 (The immediate contraction of cutaneous grafts and its cause - DAVIS, J; EA, KITLOWSKI)\n\n10.1001/archsurg.1931.01160120068004","page":"954-965","title":"The immediate contraction of cutaneous grafts and its cause","type":"article-journal","volume":"23"},"uris":["http://www.mendeley.com/documents/?uuid=e6ff104c-7837-4a79-b00e-53272e468c0b"]}],"mendeley":{"formattedCitation":"&lt;sup&gt;248&lt;/sup&gt;","plainTextFormattedCitation":"248","previouslyFormattedCitation":"&lt;sup&gt;247&lt;/sup&gt;"},"properties":{"noteIndex":0},"schema":"https://github.com/citation-style-language/schema/raw/master/csl-citation.json"}</w:instrText>
      </w:r>
      <w:r>
        <w:fldChar w:fldCharType="separate"/>
      </w:r>
      <w:r w:rsidR="00DB1BCE" w:rsidRPr="00DB1BCE">
        <w:rPr>
          <w:noProof/>
          <w:vertAlign w:val="superscript"/>
        </w:rPr>
        <w:t>248</w:t>
      </w:r>
      <w:r>
        <w:fldChar w:fldCharType="end"/>
      </w:r>
    </w:p>
    <w:p w14:paraId="61790D4D" w14:textId="77777777" w:rsidR="00C0659D" w:rsidRDefault="00C0659D" w:rsidP="00C0659D">
      <w:pPr>
        <w:keepNext/>
        <w:jc w:val="center"/>
      </w:pPr>
      <w:r>
        <w:rPr>
          <w:noProof/>
          <w:lang w:val="en-US"/>
        </w:rPr>
        <w:drawing>
          <wp:inline distT="0" distB="0" distL="0" distR="0" wp14:anchorId="4B5335D5" wp14:editId="524508B1">
            <wp:extent cx="4784651" cy="2611934"/>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ive v TES histology_black.png"/>
                    <pic:cNvPicPr/>
                  </pic:nvPicPr>
                  <pic:blipFill>
                    <a:blip r:embed="rId49">
                      <a:extLst>
                        <a:ext uri="{28A0092B-C50C-407E-A947-70E740481C1C}">
                          <a14:useLocalDpi xmlns:a14="http://schemas.microsoft.com/office/drawing/2010/main" val="0"/>
                        </a:ext>
                      </a:extLst>
                    </a:blip>
                    <a:stretch>
                      <a:fillRect/>
                    </a:stretch>
                  </pic:blipFill>
                  <pic:spPr>
                    <a:xfrm>
                      <a:off x="0" y="0"/>
                      <a:ext cx="4794457" cy="2617287"/>
                    </a:xfrm>
                    <a:prstGeom prst="rect">
                      <a:avLst/>
                    </a:prstGeom>
                  </pic:spPr>
                </pic:pic>
              </a:graphicData>
            </a:graphic>
          </wp:inline>
        </w:drawing>
      </w:r>
    </w:p>
    <w:p w14:paraId="7C001AC9" w14:textId="265C7834" w:rsidR="00C0659D" w:rsidRDefault="00C0659D" w:rsidP="005D2C0B">
      <w:pPr>
        <w:pStyle w:val="Caption"/>
        <w:jc w:val="both"/>
      </w:pPr>
      <w:bookmarkStart w:id="252" w:name="_Ref522647900"/>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4</w:t>
      </w:r>
      <w:r w:rsidR="00BE21E4">
        <w:rPr>
          <w:noProof/>
        </w:rPr>
        <w:fldChar w:fldCharType="end"/>
      </w:r>
      <w:bookmarkEnd w:id="252"/>
      <w:r>
        <w:t xml:space="preserve">. </w:t>
      </w:r>
      <w:r w:rsidRPr="005D2C0B">
        <w:rPr>
          <w:b w:val="0"/>
        </w:rPr>
        <w:t>Histology of A) fresh split-thickness skin and B) a tissue</w:t>
      </w:r>
      <w:r w:rsidR="009352BF">
        <w:rPr>
          <w:b w:val="0"/>
        </w:rPr>
        <w:t>-e</w:t>
      </w:r>
      <w:r w:rsidRPr="005D2C0B">
        <w:rPr>
          <w:b w:val="0"/>
        </w:rPr>
        <w:t>ngineered skin (TES) composites after 28 days in culture. Features labelled: a) stratified epithelium, b) keratinocytes in the epidermis, c) papillary dermis, d) reticular dermis. H&amp;E staining, scale bar 0.1 mm.</w:t>
      </w:r>
    </w:p>
    <w:p w14:paraId="2B108CBA" w14:textId="2F8F5D99" w:rsidR="00C0659D" w:rsidRPr="008F6469" w:rsidRDefault="00C0659D" w:rsidP="00C0659D">
      <w:r>
        <w:t>Histological analysis of the TES composite seeded with HDF and HEK displayed similar features to native skin (</w:t>
      </w:r>
      <w:r>
        <w:fldChar w:fldCharType="begin"/>
      </w:r>
      <w:r>
        <w:instrText xml:space="preserve"> REF _Ref522647900 \h </w:instrText>
      </w:r>
      <w:r>
        <w:fldChar w:fldCharType="separate"/>
      </w:r>
      <w:r w:rsidR="00E6157A">
        <w:t xml:space="preserve">Figure </w:t>
      </w:r>
      <w:r w:rsidR="00E6157A">
        <w:rPr>
          <w:noProof/>
        </w:rPr>
        <w:t>4</w:t>
      </w:r>
      <w:r w:rsidR="00E6157A">
        <w:t>.</w:t>
      </w:r>
      <w:r w:rsidR="00E6157A">
        <w:rPr>
          <w:noProof/>
        </w:rPr>
        <w:t>4</w:t>
      </w:r>
      <w:r>
        <w:fldChar w:fldCharType="end"/>
      </w:r>
      <w:r>
        <w:t xml:space="preserve">) including a stratified epidermis, a layer of proliferating keratinocytes and fibroblasts distributed through the dermis. In both samples the epithelium appears well-attached to the underlying dermis, although some </w:t>
      </w:r>
      <w:r>
        <w:lastRenderedPageBreak/>
        <w:t>separation has occurred in the stratified layer, likely due to mechanical stress during tissue processing.</w:t>
      </w:r>
    </w:p>
    <w:p w14:paraId="34F39137" w14:textId="5F8AFA00" w:rsidR="00C0659D" w:rsidRPr="006A4788" w:rsidRDefault="00C0659D" w:rsidP="00C0659D">
      <w:pPr>
        <w:rPr>
          <w:color w:val="000000" w:themeColor="text1"/>
        </w:rPr>
      </w:pPr>
      <w:r>
        <w:rPr>
          <w:color w:val="000000" w:themeColor="text1"/>
        </w:rPr>
        <w:t>To optimise the inhibition of contraction in the tissue</w:t>
      </w:r>
      <w:r w:rsidR="009352BF">
        <w:rPr>
          <w:color w:val="000000" w:themeColor="text1"/>
        </w:rPr>
        <w:t>-</w:t>
      </w:r>
      <w:r>
        <w:rPr>
          <w:color w:val="000000" w:themeColor="text1"/>
        </w:rPr>
        <w:t xml:space="preserve">engineered models of human skin, models were first tested with </w:t>
      </w:r>
      <w:r>
        <w:sym w:font="Symbol" w:char="F062"/>
      </w:r>
      <w:r>
        <w:t>-</w:t>
      </w:r>
      <w:r w:rsidRPr="004416E6">
        <w:rPr>
          <w:color w:val="000000" w:themeColor="text1"/>
        </w:rPr>
        <w:t>AP</w:t>
      </w:r>
      <w:r>
        <w:rPr>
          <w:color w:val="000000" w:themeColor="text1"/>
        </w:rPr>
        <w:t xml:space="preserve">N before progressing to testing </w:t>
      </w:r>
      <w:r w:rsidRPr="004416E6">
        <w:rPr>
          <w:color w:val="000000" w:themeColor="text1"/>
        </w:rPr>
        <w:t>the synthesised prodrug(s). Multiple issues arose during mod</w:t>
      </w:r>
      <w:r>
        <w:rPr>
          <w:color w:val="000000" w:themeColor="text1"/>
        </w:rPr>
        <w:t>el optimisation, o</w:t>
      </w:r>
      <w:r w:rsidRPr="004416E6">
        <w:rPr>
          <w:color w:val="000000" w:themeColor="text1"/>
        </w:rPr>
        <w:t>utlined in</w:t>
      </w:r>
      <w:r>
        <w:rPr>
          <w:color w:val="000000" w:themeColor="text1"/>
        </w:rPr>
        <w:t xml:space="preserve"> </w:t>
      </w:r>
      <w:r>
        <w:rPr>
          <w:color w:val="000000" w:themeColor="text1"/>
        </w:rPr>
        <w:fldChar w:fldCharType="begin"/>
      </w:r>
      <w:r>
        <w:rPr>
          <w:color w:val="000000" w:themeColor="text1"/>
        </w:rPr>
        <w:instrText xml:space="preserve"> REF _Ref521154164 \h </w:instrText>
      </w:r>
      <w:r>
        <w:rPr>
          <w:color w:val="000000" w:themeColor="text1"/>
        </w:rPr>
      </w:r>
      <w:r>
        <w:rPr>
          <w:color w:val="000000" w:themeColor="text1"/>
        </w:rPr>
        <w:fldChar w:fldCharType="separate"/>
      </w:r>
      <w:r w:rsidR="00E6157A" w:rsidRPr="001B1F61">
        <w:t xml:space="preserve">Figure </w:t>
      </w:r>
      <w:r w:rsidR="00E6157A">
        <w:rPr>
          <w:noProof/>
        </w:rPr>
        <w:t>4</w:t>
      </w:r>
      <w:r w:rsidR="00E6157A">
        <w:t>.</w:t>
      </w:r>
      <w:r w:rsidR="00E6157A">
        <w:rPr>
          <w:noProof/>
        </w:rPr>
        <w:t>5</w:t>
      </w:r>
      <w:r>
        <w:rPr>
          <w:color w:val="000000" w:themeColor="text1"/>
        </w:rPr>
        <w:fldChar w:fldCharType="end"/>
      </w:r>
      <w:r w:rsidRPr="004416E6">
        <w:rPr>
          <w:color w:val="000000" w:themeColor="text1"/>
        </w:rPr>
        <w:t xml:space="preserve">. The first part of this chapter will discuss the issues that arose, and the actions taken to try and circumvent them. </w:t>
      </w:r>
    </w:p>
    <w:p w14:paraId="7F16B60E" w14:textId="313B031D" w:rsidR="00C0659D" w:rsidRDefault="0095492F" w:rsidP="00C0659D">
      <w:pPr>
        <w:keepNext/>
        <w:jc w:val="center"/>
      </w:pPr>
      <w:r w:rsidRPr="0095492F">
        <w:rPr>
          <w:noProof/>
        </w:rPr>
        <w:drawing>
          <wp:inline distT="0" distB="0" distL="0" distR="0" wp14:anchorId="3FF3337F" wp14:editId="668AC218">
            <wp:extent cx="4279307" cy="2523600"/>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79307" cy="2523600"/>
                    </a:xfrm>
                    <a:prstGeom prst="rect">
                      <a:avLst/>
                    </a:prstGeom>
                  </pic:spPr>
                </pic:pic>
              </a:graphicData>
            </a:graphic>
          </wp:inline>
        </w:drawing>
      </w:r>
    </w:p>
    <w:p w14:paraId="25533771" w14:textId="2E8B1C1A" w:rsidR="00C0659D" w:rsidRPr="00DD0540" w:rsidRDefault="00C0659D" w:rsidP="005D2C0B">
      <w:pPr>
        <w:pStyle w:val="Caption"/>
        <w:jc w:val="both"/>
      </w:pPr>
      <w:bookmarkStart w:id="253" w:name="_Ref521154164"/>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5</w:t>
      </w:r>
      <w:r w:rsidR="00BE21E4">
        <w:rPr>
          <w:noProof/>
        </w:rPr>
        <w:fldChar w:fldCharType="end"/>
      </w:r>
      <w:bookmarkEnd w:id="253"/>
      <w:r w:rsidRPr="001B1F61">
        <w:t xml:space="preserve">. </w:t>
      </w:r>
      <w:r w:rsidRPr="005D2C0B">
        <w:rPr>
          <w:b w:val="0"/>
        </w:rPr>
        <w:t>Problems encountered with the tissue</w:t>
      </w:r>
      <w:r w:rsidR="009352BF">
        <w:rPr>
          <w:b w:val="0"/>
        </w:rPr>
        <w:t>-</w:t>
      </w:r>
      <w:r w:rsidRPr="005D2C0B">
        <w:rPr>
          <w:b w:val="0"/>
        </w:rPr>
        <w:t>engineered skin composite contraction assay and suggested causes.</w:t>
      </w:r>
    </w:p>
    <w:p w14:paraId="0482A360" w14:textId="77777777" w:rsidR="00C0659D" w:rsidRDefault="00C0659D" w:rsidP="006D5170">
      <w:pPr>
        <w:pStyle w:val="Heading4"/>
      </w:pPr>
      <w:r>
        <w:t xml:space="preserve">Initial TES composite model of contraction dosed with </w:t>
      </w:r>
      <w:r>
        <w:sym w:font="Symbol" w:char="F062"/>
      </w:r>
      <w:r>
        <w:t>-APN</w:t>
      </w:r>
    </w:p>
    <w:p w14:paraId="22C24BA1" w14:textId="20C18B31" w:rsidR="00C0659D" w:rsidRDefault="00C0659D" w:rsidP="00C0659D">
      <w:pPr>
        <w:rPr>
          <w:color w:val="000000" w:themeColor="text1"/>
        </w:rPr>
      </w:pPr>
      <w:r>
        <w:t>Tissue</w:t>
      </w:r>
      <w:r w:rsidR="009352BF">
        <w:t>-</w:t>
      </w:r>
      <w:r>
        <w:t xml:space="preserve">engineered composite models of human skin were prepared as described in section </w:t>
      </w:r>
      <w:r>
        <w:fldChar w:fldCharType="begin"/>
      </w:r>
      <w:r>
        <w:instrText xml:space="preserve"> REF _Ref521154332 \r \h </w:instrText>
      </w:r>
      <w:r>
        <w:fldChar w:fldCharType="separate"/>
      </w:r>
      <w:r w:rsidR="00E6157A">
        <w:t>4.3.7</w:t>
      </w:r>
      <w:r>
        <w:fldChar w:fldCharType="end"/>
      </w:r>
      <w:r>
        <w:t xml:space="preserve">. Composites dosed with 200 µg/mL </w:t>
      </w:r>
      <w:r>
        <w:sym w:font="Symbol" w:char="F062"/>
      </w:r>
      <w:r>
        <w:t>-</w:t>
      </w:r>
      <w:r w:rsidRPr="004416E6">
        <w:rPr>
          <w:color w:val="000000" w:themeColor="text1"/>
        </w:rPr>
        <w:t>APN</w:t>
      </w:r>
      <w:r>
        <w:rPr>
          <w:color w:val="000000" w:themeColor="text1"/>
        </w:rPr>
        <w:t xml:space="preserve"> were cultured alongside untreated controls, and the extent of contraction was </w:t>
      </w:r>
      <w:r w:rsidRPr="001B1F61">
        <w:rPr>
          <w:color w:val="000000" w:themeColor="text1"/>
        </w:rPr>
        <w:t xml:space="preserve">monitored </w:t>
      </w:r>
      <w:r>
        <w:rPr>
          <w:color w:val="000000" w:themeColor="text1"/>
        </w:rPr>
        <w:t>(</w:t>
      </w:r>
      <w:r w:rsidRPr="001B1F61">
        <w:rPr>
          <w:color w:val="000000" w:themeColor="text1"/>
        </w:rPr>
        <w:fldChar w:fldCharType="begin"/>
      </w:r>
      <w:r w:rsidRPr="001B1F61">
        <w:rPr>
          <w:color w:val="000000" w:themeColor="text1"/>
        </w:rPr>
        <w:instrText xml:space="preserve"> REF _Ref520908054 \h  \* MERGEFORMAT </w:instrText>
      </w:r>
      <w:r w:rsidRPr="001B1F61">
        <w:rPr>
          <w:color w:val="000000" w:themeColor="text1"/>
        </w:rPr>
      </w:r>
      <w:r w:rsidRPr="001B1F61">
        <w:rPr>
          <w:color w:val="000000" w:themeColor="text1"/>
        </w:rPr>
        <w:fldChar w:fldCharType="separate"/>
      </w:r>
      <w:r w:rsidR="00E6157A" w:rsidRPr="001B1F61">
        <w:t xml:space="preserve">Figure </w:t>
      </w:r>
      <w:r w:rsidR="00E6157A">
        <w:rPr>
          <w:noProof/>
        </w:rPr>
        <w:t>4.6</w:t>
      </w:r>
      <w:r w:rsidRPr="001B1F61">
        <w:rPr>
          <w:color w:val="000000" w:themeColor="text1"/>
        </w:rPr>
        <w:fldChar w:fldCharType="end"/>
      </w:r>
      <w:r>
        <w:rPr>
          <w:color w:val="000000" w:themeColor="text1"/>
        </w:rPr>
        <w:t>)</w:t>
      </w:r>
      <w:r w:rsidRPr="001B1F61">
        <w:rPr>
          <w:color w:val="000000" w:themeColor="text1"/>
        </w:rPr>
        <w:t xml:space="preserve">. </w:t>
      </w:r>
    </w:p>
    <w:p w14:paraId="12DC2A58" w14:textId="77777777" w:rsidR="00C0659D" w:rsidRDefault="00C0659D" w:rsidP="00C0659D">
      <w:pPr>
        <w:rPr>
          <w:color w:val="000000" w:themeColor="text1"/>
        </w:rPr>
      </w:pPr>
    </w:p>
    <w:p w14:paraId="2351370E" w14:textId="77777777" w:rsidR="00C0659D" w:rsidRPr="001765D1" w:rsidRDefault="00C0659D" w:rsidP="00C0659D">
      <w:pPr>
        <w:rPr>
          <w:color w:val="000000" w:themeColor="text1"/>
        </w:rPr>
      </w:pPr>
      <w:r w:rsidRPr="008F1AB1">
        <w:rPr>
          <w:noProof/>
          <w:lang w:val="en-US"/>
        </w:rPr>
        <w:lastRenderedPageBreak/>
        <w:drawing>
          <wp:inline distT="0" distB="0" distL="0" distR="0" wp14:anchorId="0B607164" wp14:editId="0DEAAD99">
            <wp:extent cx="5201920" cy="2513330"/>
            <wp:effectExtent l="0" t="0" r="508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01920" cy="2513330"/>
                    </a:xfrm>
                    <a:prstGeom prst="rect">
                      <a:avLst/>
                    </a:prstGeom>
                  </pic:spPr>
                </pic:pic>
              </a:graphicData>
            </a:graphic>
          </wp:inline>
        </w:drawing>
      </w:r>
    </w:p>
    <w:p w14:paraId="7DB9D9B1" w14:textId="65D56FEC" w:rsidR="00C0659D" w:rsidRDefault="00C0659D" w:rsidP="005D2C0B">
      <w:pPr>
        <w:pStyle w:val="Caption"/>
        <w:jc w:val="both"/>
      </w:pPr>
      <w:bookmarkStart w:id="254" w:name="_Ref520908054"/>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6</w:t>
      </w:r>
      <w:r w:rsidR="00BE21E4">
        <w:rPr>
          <w:noProof/>
        </w:rPr>
        <w:fldChar w:fldCharType="end"/>
      </w:r>
      <w:bookmarkEnd w:id="254"/>
      <w:r w:rsidRPr="001B1F61">
        <w:t xml:space="preserve">. A) </w:t>
      </w:r>
      <w:r w:rsidRPr="005D2C0B">
        <w:rPr>
          <w:b w:val="0"/>
        </w:rPr>
        <w:t>Surface area, expressed as a percentage of surface area at day 0, of tissue</w:t>
      </w:r>
      <w:r w:rsidR="009352BF">
        <w:rPr>
          <w:b w:val="0"/>
        </w:rPr>
        <w:t>-</w:t>
      </w:r>
      <w:r w:rsidRPr="005D2C0B">
        <w:rPr>
          <w:b w:val="0"/>
        </w:rPr>
        <w:t xml:space="preserve">engineered skin (TES) composites, cultured at an air-liquid interface (ALI) for 28 days. Samples were prepared in triplicate. Results are expressed as mean ± standard deviation.  </w:t>
      </w:r>
      <w:r w:rsidRPr="005D2C0B">
        <w:t>B)</w:t>
      </w:r>
      <w:r w:rsidRPr="005D2C0B">
        <w:rPr>
          <w:b w:val="0"/>
        </w:rPr>
        <w:t xml:space="preserve"> Images of untreated composite and composite treated with 200 µg/mL </w:t>
      </w:r>
      <w:r w:rsidRPr="005D2C0B">
        <w:rPr>
          <w:b w:val="0"/>
        </w:rPr>
        <w:sym w:font="Symbol" w:char="F062"/>
      </w:r>
      <w:r w:rsidRPr="005D2C0B">
        <w:rPr>
          <w:b w:val="0"/>
        </w:rPr>
        <w:t>-APN on day 0 and day 28. Scale bar 10 mm.</w:t>
      </w:r>
    </w:p>
    <w:p w14:paraId="5DE151B0" w14:textId="02483B2B" w:rsidR="00C0659D" w:rsidRPr="00F36879" w:rsidRDefault="00C0659D" w:rsidP="00C0659D">
      <w:pPr>
        <w:rPr>
          <w:color w:val="FF0000"/>
        </w:rPr>
      </w:pPr>
      <w:r w:rsidRPr="001B1F61">
        <w:rPr>
          <w:color w:val="000000" w:themeColor="text1"/>
        </w:rPr>
        <w:t>In this</w:t>
      </w:r>
      <w:r>
        <w:rPr>
          <w:color w:val="000000" w:themeColor="text1"/>
        </w:rPr>
        <w:t xml:space="preserve"> experiment it was noted that both the treated and untreated composites contracted by a total of only ~ 30 %. This was a much lower extent of contraction than has previously been seen in both the literature and the initial scoping experiment</w:t>
      </w:r>
      <w:r w:rsidR="00A0623A">
        <w:rPr>
          <w:color w:val="000000" w:themeColor="text1"/>
        </w:rPr>
        <w:t xml:space="preserve"> (</w:t>
      </w:r>
      <w:r w:rsidR="00A0623A">
        <w:rPr>
          <w:color w:val="000000" w:themeColor="text1"/>
        </w:rPr>
        <w:fldChar w:fldCharType="begin"/>
      </w:r>
      <w:r w:rsidR="00A0623A">
        <w:rPr>
          <w:color w:val="000000" w:themeColor="text1"/>
        </w:rPr>
        <w:instrText xml:space="preserve"> REF _Ref520729422 \h </w:instrText>
      </w:r>
      <w:r w:rsidR="00A0623A">
        <w:rPr>
          <w:color w:val="000000" w:themeColor="text1"/>
        </w:rPr>
      </w:r>
      <w:r w:rsidR="00A0623A">
        <w:rPr>
          <w:color w:val="000000" w:themeColor="text1"/>
        </w:rPr>
        <w:fldChar w:fldCharType="separate"/>
      </w:r>
      <w:r w:rsidR="00E6157A" w:rsidRPr="001B1F61">
        <w:t xml:space="preserve">Figure </w:t>
      </w:r>
      <w:r w:rsidR="00E6157A">
        <w:rPr>
          <w:noProof/>
        </w:rPr>
        <w:t>4</w:t>
      </w:r>
      <w:r w:rsidR="00E6157A">
        <w:t>.</w:t>
      </w:r>
      <w:r w:rsidR="00E6157A">
        <w:rPr>
          <w:noProof/>
        </w:rPr>
        <w:t>3</w:t>
      </w:r>
      <w:r w:rsidR="00A0623A">
        <w:rPr>
          <w:color w:val="000000" w:themeColor="text1"/>
        </w:rPr>
        <w:fldChar w:fldCharType="end"/>
      </w:r>
      <w:r w:rsidR="00A0623A">
        <w:rPr>
          <w:color w:val="000000" w:themeColor="text1"/>
        </w:rPr>
        <w:t>)</w:t>
      </w:r>
      <w:r>
        <w:rPr>
          <w:color w:val="000000" w:themeColor="text1"/>
        </w:rPr>
        <w:t xml:space="preserve">. There was also negligible difference between the untreated and treated composites at each time point. </w:t>
      </w:r>
      <w:r w:rsidRPr="00916335">
        <w:rPr>
          <w:color w:val="000000" w:themeColor="text1"/>
        </w:rPr>
        <w:t xml:space="preserve">The thickness of the DED </w:t>
      </w:r>
      <w:r w:rsidRPr="00B76AAE">
        <w:rPr>
          <w:color w:val="000000" w:themeColor="text1"/>
        </w:rPr>
        <w:t xml:space="preserve">used to construct these composites was measured and found to be 1.2 mm thick. This is much thicker than </w:t>
      </w:r>
      <w:r>
        <w:rPr>
          <w:color w:val="000000" w:themeColor="text1"/>
        </w:rPr>
        <w:t xml:space="preserve">a typical skin graft </w:t>
      </w:r>
      <w:r w:rsidRPr="00B76AAE">
        <w:rPr>
          <w:color w:val="000000" w:themeColor="text1"/>
        </w:rPr>
        <w:t>for clinical applications (usually 0.3 – 0.45 mm).</w:t>
      </w:r>
      <w:r w:rsidRPr="00B76AAE">
        <w:rPr>
          <w:color w:val="000000" w:themeColor="text1"/>
        </w:rPr>
        <w:fldChar w:fldCharType="begin" w:fldLock="1"/>
      </w:r>
      <w:r w:rsidR="00DB1BCE">
        <w:rPr>
          <w:color w:val="000000" w:themeColor="text1"/>
        </w:rPr>
        <w:instrText>ADDIN CSL_CITATION {"citationItems":[{"id":"ITEM-1","itemData":{"ISBN":"978-953-307-509-9,","author":[{"dropping-particle":"","family":"Seyhan","given":"Tamer","non-dropping-particle":"","parse-names":false,"suffix":""}],"container-title":"Skin Grafts - Indications, Applications and Current Research","id":"ITEM-1","issued":{"date-parts":[["2011"]]},"page":"3-17","title":"Split-Thickness Skin Grafts","type":"article-journal"},"uris":["http://www.mendeley.com/documents/?uuid=a323a339-a82a-4c6b-b5eb-aac69fdd24ea"]}],"mendeley":{"formattedCitation":"&lt;sup&gt;249&lt;/sup&gt;","plainTextFormattedCitation":"249","previouslyFormattedCitation":"&lt;sup&gt;248&lt;/sup&gt;"},"properties":{"noteIndex":0},"schema":"https://github.com/citation-style-language/schema/raw/master/csl-citation.json"}</w:instrText>
      </w:r>
      <w:r w:rsidRPr="00B76AAE">
        <w:rPr>
          <w:color w:val="000000" w:themeColor="text1"/>
        </w:rPr>
        <w:fldChar w:fldCharType="separate"/>
      </w:r>
      <w:r w:rsidR="00DB1BCE" w:rsidRPr="00DB1BCE">
        <w:rPr>
          <w:noProof/>
          <w:color w:val="000000" w:themeColor="text1"/>
          <w:vertAlign w:val="superscript"/>
        </w:rPr>
        <w:t>249</w:t>
      </w:r>
      <w:r w:rsidRPr="00B76AAE">
        <w:rPr>
          <w:color w:val="000000" w:themeColor="text1"/>
        </w:rPr>
        <w:fldChar w:fldCharType="end"/>
      </w:r>
      <w:r w:rsidRPr="00B76AAE">
        <w:rPr>
          <w:color w:val="000000" w:themeColor="text1"/>
        </w:rPr>
        <w:t xml:space="preserve"> Previous </w:t>
      </w:r>
      <w:r>
        <w:t>work in the MacNeil group found that the thickness of the composite has a large influence on the degree of contraction.</w:t>
      </w:r>
      <w:r>
        <w:fldChar w:fldCharType="begin" w:fldLock="1"/>
      </w:r>
      <w:r w:rsidR="0085447D">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fldChar w:fldCharType="separate"/>
      </w:r>
      <w:r w:rsidR="00B02713" w:rsidRPr="00B02713">
        <w:rPr>
          <w:noProof/>
          <w:vertAlign w:val="superscript"/>
        </w:rPr>
        <w:t>74</w:t>
      </w:r>
      <w:r>
        <w:fldChar w:fldCharType="end"/>
      </w:r>
      <w:r>
        <w:rPr>
          <w:color w:val="FF0000"/>
        </w:rPr>
        <w:t xml:space="preserve"> </w:t>
      </w:r>
      <w:r w:rsidRPr="00251784">
        <w:rPr>
          <w:color w:val="000000" w:themeColor="text1"/>
        </w:rPr>
        <w:t>Taking this into consideration, it is likely that substantial contraction did not occur in this experiment due to</w:t>
      </w:r>
      <w:r>
        <w:rPr>
          <w:color w:val="000000" w:themeColor="text1"/>
        </w:rPr>
        <w:t xml:space="preserve"> the use of thick (1.2 mm) DED. Therefore</w:t>
      </w:r>
      <w:r w:rsidRPr="00251784">
        <w:rPr>
          <w:color w:val="000000" w:themeColor="text1"/>
        </w:rPr>
        <w:t xml:space="preserve">, it was difficult to ascertain whether treatment with </w:t>
      </w:r>
      <w:r w:rsidRPr="00251784">
        <w:rPr>
          <w:color w:val="000000" w:themeColor="text1"/>
        </w:rPr>
        <w:sym w:font="Symbol" w:char="F062"/>
      </w:r>
      <w:r w:rsidRPr="00251784">
        <w:rPr>
          <w:color w:val="000000" w:themeColor="text1"/>
        </w:rPr>
        <w:noBreakHyphen/>
        <w:t xml:space="preserve">APN </w:t>
      </w:r>
      <w:r w:rsidRPr="000742A7">
        <w:rPr>
          <w:color w:val="000000" w:themeColor="text1"/>
        </w:rPr>
        <w:t xml:space="preserve">had </w:t>
      </w:r>
      <w:r w:rsidRPr="00073376">
        <w:rPr>
          <w:color w:val="000000" w:themeColor="text1"/>
        </w:rPr>
        <w:t>any effect on the degree of contraction, compared to the untreated controls. As a result, thinner sections of DED were prepared and the experiment was repeated.</w:t>
      </w:r>
    </w:p>
    <w:p w14:paraId="2807A67B" w14:textId="77777777" w:rsidR="00C0659D" w:rsidRDefault="00C0659D" w:rsidP="006D5170">
      <w:pPr>
        <w:pStyle w:val="Heading4"/>
      </w:pPr>
      <w:r>
        <w:t>Reducing the thickness of de-epidermised dermis (DED)</w:t>
      </w:r>
    </w:p>
    <w:p w14:paraId="488A727B" w14:textId="55DA7610" w:rsidR="00C0659D" w:rsidRPr="000A32F1" w:rsidRDefault="00C0659D" w:rsidP="00C0659D">
      <w:pPr>
        <w:rPr>
          <w:color w:val="000000" w:themeColor="text1"/>
        </w:rPr>
      </w:pPr>
      <w:r>
        <w:t xml:space="preserve">DED was prepared by taking a thinner layer from the upper surface of the full thickness donated skin, carried out by a laboratory technician. After de-cellularisation, the new DED was measured to be 156 µm thick. TES composites were prepared using this new, thinner DED. The effect of treatment with 200 µg/mL </w:t>
      </w:r>
      <w:r>
        <w:sym w:font="Symbol" w:char="F062"/>
      </w:r>
      <w:r>
        <w:noBreakHyphen/>
      </w:r>
      <w:r w:rsidRPr="004416E6">
        <w:rPr>
          <w:color w:val="000000" w:themeColor="text1"/>
        </w:rPr>
        <w:t>APN</w:t>
      </w:r>
      <w:r>
        <w:rPr>
          <w:color w:val="000000" w:themeColor="text1"/>
        </w:rPr>
        <w:t xml:space="preserve"> on composite contraction was investigated. A large degree of contraction was observed in all samples after 28 days</w:t>
      </w:r>
      <w:r w:rsidR="00441BFF">
        <w:rPr>
          <w:color w:val="000000" w:themeColor="text1"/>
        </w:rPr>
        <w:t xml:space="preserve"> (</w:t>
      </w:r>
      <w:r>
        <w:rPr>
          <w:color w:val="000000" w:themeColor="text1"/>
        </w:rPr>
        <w:fldChar w:fldCharType="begin"/>
      </w:r>
      <w:r>
        <w:rPr>
          <w:color w:val="000000" w:themeColor="text1"/>
        </w:rPr>
        <w:instrText xml:space="preserve"> REF _Ref522477034 \h </w:instrText>
      </w:r>
      <w:r>
        <w:rPr>
          <w:color w:val="000000" w:themeColor="text1"/>
        </w:rPr>
      </w:r>
      <w:r>
        <w:rPr>
          <w:color w:val="000000" w:themeColor="text1"/>
        </w:rPr>
        <w:fldChar w:fldCharType="separate"/>
      </w:r>
      <w:r w:rsidR="00E6157A">
        <w:t xml:space="preserve">Figure </w:t>
      </w:r>
      <w:r w:rsidR="00E6157A">
        <w:rPr>
          <w:noProof/>
        </w:rPr>
        <w:t>4</w:t>
      </w:r>
      <w:r w:rsidR="00E6157A">
        <w:t>.</w:t>
      </w:r>
      <w:r w:rsidR="00E6157A">
        <w:rPr>
          <w:noProof/>
        </w:rPr>
        <w:t>7</w:t>
      </w:r>
      <w:r>
        <w:rPr>
          <w:color w:val="000000" w:themeColor="text1"/>
        </w:rPr>
        <w:fldChar w:fldCharType="end"/>
      </w:r>
      <w:r w:rsidR="00441BFF">
        <w:rPr>
          <w:color w:val="000000" w:themeColor="text1"/>
        </w:rPr>
        <w:t>)</w:t>
      </w:r>
      <w:r>
        <w:rPr>
          <w:color w:val="000000" w:themeColor="text1"/>
        </w:rPr>
        <w:t xml:space="preserve">. This increase in contraction, compared to the data </w:t>
      </w:r>
      <w:r>
        <w:rPr>
          <w:color w:val="000000" w:themeColor="text1"/>
        </w:rPr>
        <w:lastRenderedPageBreak/>
        <w:t xml:space="preserve">presented in </w:t>
      </w:r>
      <w:r>
        <w:rPr>
          <w:color w:val="000000" w:themeColor="text1"/>
        </w:rPr>
        <w:fldChar w:fldCharType="begin"/>
      </w:r>
      <w:r>
        <w:rPr>
          <w:color w:val="000000" w:themeColor="text1"/>
        </w:rPr>
        <w:instrText xml:space="preserve"> REF _Ref520908054 \h </w:instrText>
      </w:r>
      <w:r>
        <w:rPr>
          <w:color w:val="000000" w:themeColor="text1"/>
        </w:rPr>
      </w:r>
      <w:r>
        <w:rPr>
          <w:color w:val="000000" w:themeColor="text1"/>
        </w:rPr>
        <w:fldChar w:fldCharType="separate"/>
      </w:r>
      <w:r w:rsidR="00E6157A" w:rsidRPr="001B1F61">
        <w:t xml:space="preserve">Figure </w:t>
      </w:r>
      <w:r w:rsidR="00E6157A">
        <w:rPr>
          <w:noProof/>
        </w:rPr>
        <w:t>4</w:t>
      </w:r>
      <w:r w:rsidR="00E6157A">
        <w:t>.</w:t>
      </w:r>
      <w:r w:rsidR="00E6157A">
        <w:rPr>
          <w:noProof/>
        </w:rPr>
        <w:t>6</w:t>
      </w:r>
      <w:r>
        <w:rPr>
          <w:color w:val="000000" w:themeColor="text1"/>
        </w:rPr>
        <w:fldChar w:fldCharType="end"/>
      </w:r>
      <w:r>
        <w:rPr>
          <w:color w:val="000000" w:themeColor="text1"/>
        </w:rPr>
        <w:t xml:space="preserve">, supports the theory that DED thickness has a large influence on the ability of the TES composites to contract. </w:t>
      </w:r>
    </w:p>
    <w:p w14:paraId="0256C290" w14:textId="77777777" w:rsidR="00C0659D" w:rsidRDefault="00C0659D" w:rsidP="00C0659D">
      <w:pPr>
        <w:keepNext/>
      </w:pPr>
      <w:r w:rsidRPr="00DC3BEA">
        <w:rPr>
          <w:noProof/>
          <w:color w:val="000000" w:themeColor="text1"/>
          <w:lang w:val="en-US"/>
        </w:rPr>
        <w:drawing>
          <wp:inline distT="0" distB="0" distL="0" distR="0" wp14:anchorId="7F1276C2" wp14:editId="0262E8D1">
            <wp:extent cx="5201920" cy="258254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01920" cy="2582545"/>
                    </a:xfrm>
                    <a:prstGeom prst="rect">
                      <a:avLst/>
                    </a:prstGeom>
                  </pic:spPr>
                </pic:pic>
              </a:graphicData>
            </a:graphic>
          </wp:inline>
        </w:drawing>
      </w:r>
    </w:p>
    <w:p w14:paraId="5572B4AD" w14:textId="2A461668" w:rsidR="00C0659D" w:rsidRDefault="00C0659D" w:rsidP="00C0659D">
      <w:pPr>
        <w:pStyle w:val="Caption"/>
        <w:jc w:val="both"/>
      </w:pPr>
      <w:bookmarkStart w:id="255" w:name="_Ref522477034"/>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7</w:t>
      </w:r>
      <w:r w:rsidR="00BE21E4">
        <w:rPr>
          <w:noProof/>
        </w:rPr>
        <w:fldChar w:fldCharType="end"/>
      </w:r>
      <w:bookmarkEnd w:id="255"/>
      <w:r>
        <w:t xml:space="preserve">. </w:t>
      </w:r>
      <w:r w:rsidR="005D2C0B">
        <w:t xml:space="preserve">A) </w:t>
      </w:r>
      <w:r w:rsidRPr="005D2C0B">
        <w:rPr>
          <w:b w:val="0"/>
        </w:rPr>
        <w:t>Surface area, expressed as a percentage of surface area at day 0, of tissue</w:t>
      </w:r>
      <w:r w:rsidR="009352BF">
        <w:rPr>
          <w:b w:val="0"/>
        </w:rPr>
        <w:t>-</w:t>
      </w:r>
      <w:r w:rsidRPr="005D2C0B">
        <w:rPr>
          <w:b w:val="0"/>
        </w:rPr>
        <w:t xml:space="preserve">engineered skin (TES) composites, cultured at an air-liquid interface (ALI) for 28 days. Samples were prepared in triplicate. Results are expressed as mean ± standard deviation. </w:t>
      </w:r>
      <w:r w:rsidRPr="005D2C0B">
        <w:t>B)</w:t>
      </w:r>
      <w:r w:rsidRPr="005D2C0B">
        <w:rPr>
          <w:b w:val="0"/>
        </w:rPr>
        <w:t xml:space="preserve"> Images of untreated composite and composite treated with 200 µg/mL </w:t>
      </w:r>
      <w:r w:rsidRPr="005D2C0B">
        <w:rPr>
          <w:b w:val="0"/>
        </w:rPr>
        <w:sym w:font="Symbol" w:char="F062"/>
      </w:r>
      <w:r w:rsidRPr="005D2C0B">
        <w:rPr>
          <w:b w:val="0"/>
        </w:rPr>
        <w:t>-APN on day 0 and day 28. Scale bar 10 mm.</w:t>
      </w:r>
    </w:p>
    <w:p w14:paraId="2C8A2AB1" w14:textId="34FC4390" w:rsidR="00C0659D" w:rsidRPr="002B4006" w:rsidRDefault="00C0659D" w:rsidP="00C0659D">
      <w:pPr>
        <w:rPr>
          <w:color w:val="000000" w:themeColor="text1"/>
        </w:rPr>
      </w:pPr>
      <w:r>
        <w:rPr>
          <w:color w:val="000000" w:themeColor="text1"/>
        </w:rPr>
        <w:t>However</w:t>
      </w:r>
      <w:r w:rsidRPr="00E63390">
        <w:rPr>
          <w:color w:val="000000" w:themeColor="text1"/>
        </w:rPr>
        <w:t xml:space="preserve">, treatment with 200 µg/mL </w:t>
      </w:r>
      <w:r w:rsidRPr="00E63390">
        <w:rPr>
          <w:color w:val="000000" w:themeColor="text1"/>
        </w:rPr>
        <w:sym w:font="Symbol" w:char="F062"/>
      </w:r>
      <w:r w:rsidRPr="00E63390">
        <w:rPr>
          <w:color w:val="000000" w:themeColor="text1"/>
        </w:rPr>
        <w:t xml:space="preserve">-APN had no effect on </w:t>
      </w:r>
      <w:r>
        <w:rPr>
          <w:color w:val="000000" w:themeColor="text1"/>
        </w:rPr>
        <w:t xml:space="preserve">the degree of </w:t>
      </w:r>
      <w:r w:rsidRPr="00E63390">
        <w:rPr>
          <w:color w:val="000000" w:themeColor="text1"/>
        </w:rPr>
        <w:t>contraction. These results contradict those s</w:t>
      </w:r>
      <w:r>
        <w:rPr>
          <w:color w:val="000000" w:themeColor="text1"/>
        </w:rPr>
        <w:t>een previously</w:t>
      </w:r>
      <w:r w:rsidRPr="00E63390">
        <w:rPr>
          <w:color w:val="000000" w:themeColor="text1"/>
        </w:rPr>
        <w:t xml:space="preserve"> in the literature. For example, Patterson</w:t>
      </w:r>
      <w:r>
        <w:rPr>
          <w:color w:val="000000" w:themeColor="text1"/>
        </w:rPr>
        <w:t> </w:t>
      </w:r>
      <w:r w:rsidRPr="00E63390">
        <w:rPr>
          <w:i/>
          <w:color w:val="000000" w:themeColor="text1"/>
        </w:rPr>
        <w:t>et al</w:t>
      </w:r>
      <w:r w:rsidRPr="00E63390">
        <w:rPr>
          <w:color w:val="000000" w:themeColor="text1"/>
        </w:rPr>
        <w:t>. demonstrated that under the same conditions, untre</w:t>
      </w:r>
      <w:r>
        <w:rPr>
          <w:color w:val="000000" w:themeColor="text1"/>
        </w:rPr>
        <w:t>ated controls reduced by 45.5 %</w:t>
      </w:r>
      <w:r w:rsidRPr="001B0AE4">
        <w:rPr>
          <w:color w:val="000000" w:themeColor="text1"/>
        </w:rPr>
        <w:t xml:space="preserve"> </w:t>
      </w:r>
      <w:r w:rsidRPr="00E63390">
        <w:rPr>
          <w:color w:val="000000" w:themeColor="text1"/>
        </w:rPr>
        <w:t>of their original surface area, whilst</w:t>
      </w:r>
      <w:r>
        <w:rPr>
          <w:color w:val="000000" w:themeColor="text1"/>
        </w:rPr>
        <w:t xml:space="preserve"> </w:t>
      </w:r>
      <w:r w:rsidRPr="00E63390">
        <w:rPr>
          <w:color w:val="000000" w:themeColor="text1"/>
        </w:rPr>
        <w:sym w:font="Symbol" w:char="F062"/>
      </w:r>
      <w:r w:rsidRPr="00E63390">
        <w:rPr>
          <w:color w:val="000000" w:themeColor="text1"/>
        </w:rPr>
        <w:noBreakHyphen/>
        <w:t>APN-treated composites contracted  by 28.7 %</w:t>
      </w:r>
      <w:r>
        <w:rPr>
          <w:color w:val="000000" w:themeColor="text1"/>
        </w:rPr>
        <w:t>.</w:t>
      </w:r>
      <w:r w:rsidRPr="00E63390">
        <w:rPr>
          <w:color w:val="000000" w:themeColor="text1"/>
        </w:rPr>
        <w:fldChar w:fldCharType="begin" w:fldLock="1"/>
      </w:r>
      <w:r w:rsidR="00DB1BCE">
        <w:rPr>
          <w:color w:val="000000" w:themeColor="text1"/>
        </w:rPr>
        <w:instrText>ADDIN CSL_CITATION {"citationItems":[{"id":"ITEM-1","itemData":{"DOI":"10.1016/j.eururo.2011.07.045","ISBN":"1873-7560 (Electronic)\\r0302-2838 (Linking)","ISSN":"03022838","PMID":"21803482","abstract":"Background: We previously described the production and clinical outcomes of tissue-engineered buccal mucosa (TEBM) used to treat recurrent urethral strictures. In this study, two patients developed a recurrent stricture and there was also evidence of graft contraction. Objective: Assess possible preclinical methods to reduce contraction of TEBM. Design, setting and participants: Using the model of TEBM in use clinically (ie, oral keratinocytes and fibroblasts cultured on de-epidermised acellular dermal scaffold), three methods of reducing TEBM contraction were investigated in vitro. Interventions: The techniques assessed were pretreatment of de-epidermised dermis (DED) with glutaraldehyde, culture with ??-aminopropionitrile (??-APN; a lysyl oxidase inhibitor), and physical restraint of TEBM grafts during culture. Measurements: Contraction was assessed using serial digital image analysis. The cytotoxicity of the pharmacologic manipulations was assessed using monolayer cultures of oral mucosa cells. Results and limitations: Control TEBM lost a mean of 45.4% of its original surface area over 28 d of culture. Treating TEBM with glutaraldehyde, ??-APN, or mechanical restraint during culture all significantly inhibited graft contraction. Glutaraldehyde treatment was most effective (only 5.5% loss of area with 0.1% glutaraldehyde), followed by mechanical restraint for at least 7 d (21.4% loss of area), and then ??-APN (28.7% loss of area). None of the treatments had any significant effect on cell viability. This in vitro study identifies solutions for graft contracture to explore in the clinic. Conclusions: Glutaraldehyde pretreatment and restraint of TEBM grafts during culture both reduce graft contraction. ?? 2011 European Association of Urology.","author":[{"dropping-particle":"","family":"Patterson","given":"Jacob M.","non-dropping-particle":"","parse-names":false,"suffix":""},{"dropping-particle":"","family":"Bullock","given":"Anthony J.","non-dropping-particle":"","parse-names":false,"suffix":""},{"dropping-particle":"","family":"MacNeil","given":"Sheila","non-dropping-particle":"","parse-names":false,"suffix":""},{"dropping-particle":"","family":"Chapple","given":"Christopher R.","non-dropping-particle":"","parse-names":false,"suffix":""}],"container-title":"European Urology","id":"ITEM-1","issue":"4","issued":{"date-parts":[["2011"]]},"page":"856-861","title":"Methods to reduce the contraction of tissue-engineered buccal mucosa for use in substitution urethroplasty","type":"article-journal","volume":"60"},"uris":["http://www.mendeley.com/documents/?uuid=8269e957-a7b8-4ccc-9547-012ba8c77692"]}],"mendeley":{"formattedCitation":"&lt;sup&gt;250&lt;/sup&gt;","plainTextFormattedCitation":"250","previouslyFormattedCitation":"&lt;sup&gt;249&lt;/sup&gt;"},"properties":{"noteIndex":0},"schema":"https://github.com/citation-style-language/schema/raw/master/csl-citation.json"}</w:instrText>
      </w:r>
      <w:r w:rsidRPr="00E63390">
        <w:rPr>
          <w:color w:val="000000" w:themeColor="text1"/>
        </w:rPr>
        <w:fldChar w:fldCharType="separate"/>
      </w:r>
      <w:r w:rsidR="00DB1BCE" w:rsidRPr="00DB1BCE">
        <w:rPr>
          <w:noProof/>
          <w:color w:val="000000" w:themeColor="text1"/>
          <w:vertAlign w:val="superscript"/>
        </w:rPr>
        <w:t>250</w:t>
      </w:r>
      <w:r w:rsidRPr="00E63390">
        <w:rPr>
          <w:color w:val="000000" w:themeColor="text1"/>
        </w:rPr>
        <w:fldChar w:fldCharType="end"/>
      </w:r>
      <w:r w:rsidRPr="00E63390">
        <w:rPr>
          <w:color w:val="000000" w:themeColor="text1"/>
        </w:rPr>
        <w:t xml:space="preserve"> Harrison </w:t>
      </w:r>
      <w:r w:rsidRPr="00E63390">
        <w:rPr>
          <w:i/>
          <w:color w:val="000000" w:themeColor="text1"/>
        </w:rPr>
        <w:t>et al.</w:t>
      </w:r>
      <w:r w:rsidRPr="00E63390">
        <w:rPr>
          <w:color w:val="000000" w:themeColor="text1"/>
        </w:rPr>
        <w:t xml:space="preserve"> were also able to inhibit contraction in this model following treatment with </w:t>
      </w:r>
      <w:r w:rsidRPr="00E63390">
        <w:rPr>
          <w:color w:val="000000" w:themeColor="text1"/>
        </w:rPr>
        <w:sym w:font="Symbol" w:char="F062"/>
      </w:r>
      <w:r w:rsidRPr="00E63390">
        <w:rPr>
          <w:color w:val="000000" w:themeColor="text1"/>
        </w:rPr>
        <w:t>-APN.</w:t>
      </w:r>
      <w:r w:rsidRPr="00E63390">
        <w:rPr>
          <w:color w:val="000000" w:themeColor="text1"/>
        </w:rPr>
        <w:fldChar w:fldCharType="begin" w:fldLock="1"/>
      </w:r>
      <w:r w:rsidR="0085447D">
        <w:rPr>
          <w:color w:val="000000" w:themeColor="text1"/>
        </w:rPr>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rsidRPr="00E63390">
        <w:rPr>
          <w:color w:val="000000" w:themeColor="text1"/>
        </w:rPr>
        <w:fldChar w:fldCharType="separate"/>
      </w:r>
      <w:r w:rsidR="00B02713" w:rsidRPr="00B02713">
        <w:rPr>
          <w:noProof/>
          <w:color w:val="000000" w:themeColor="text1"/>
          <w:vertAlign w:val="superscript"/>
        </w:rPr>
        <w:t>78</w:t>
      </w:r>
      <w:r w:rsidRPr="00E63390">
        <w:rPr>
          <w:color w:val="000000" w:themeColor="text1"/>
        </w:rPr>
        <w:fldChar w:fldCharType="end"/>
      </w:r>
      <w:r w:rsidRPr="00E63390">
        <w:rPr>
          <w:color w:val="000000" w:themeColor="text1"/>
        </w:rPr>
        <w:t xml:space="preserve"> They found that whilst treatment with 50 a</w:t>
      </w:r>
      <w:r>
        <w:rPr>
          <w:color w:val="000000" w:themeColor="text1"/>
        </w:rPr>
        <w:t>nd 100 </w:t>
      </w:r>
      <w:r w:rsidRPr="00E63390">
        <w:rPr>
          <w:color w:val="000000" w:themeColor="text1"/>
        </w:rPr>
        <w:t xml:space="preserve">µg/mL </w:t>
      </w:r>
      <w:r w:rsidRPr="00E63390">
        <w:rPr>
          <w:color w:val="000000" w:themeColor="text1"/>
        </w:rPr>
        <w:sym w:font="Symbol" w:char="F062"/>
      </w:r>
      <w:r w:rsidRPr="00E63390">
        <w:rPr>
          <w:color w:val="000000" w:themeColor="text1"/>
        </w:rPr>
        <w:t>-APN had no significant effect on contraction</w:t>
      </w:r>
      <w:r>
        <w:rPr>
          <w:color w:val="000000" w:themeColor="text1"/>
        </w:rPr>
        <w:t xml:space="preserve">, composites treated with </w:t>
      </w:r>
      <w:r w:rsidRPr="00E63390">
        <w:rPr>
          <w:color w:val="000000" w:themeColor="text1"/>
        </w:rPr>
        <w:t xml:space="preserve">200 µg/mL </w:t>
      </w:r>
      <w:r w:rsidRPr="00E63390">
        <w:rPr>
          <w:color w:val="000000" w:themeColor="text1"/>
        </w:rPr>
        <w:sym w:font="Symbol" w:char="F062"/>
      </w:r>
      <w:r>
        <w:rPr>
          <w:color w:val="000000" w:themeColor="text1"/>
        </w:rPr>
        <w:t xml:space="preserve">-APN showed a statistically significant reduction in </w:t>
      </w:r>
      <w:r w:rsidRPr="002B4006">
        <w:rPr>
          <w:color w:val="000000" w:themeColor="text1"/>
        </w:rPr>
        <w:t>contraction after 28 days.</w:t>
      </w:r>
    </w:p>
    <w:p w14:paraId="4B948A9D" w14:textId="60A78FCD" w:rsidR="00C0659D" w:rsidRPr="002B4006" w:rsidRDefault="00C0659D" w:rsidP="00C0659D">
      <w:pPr>
        <w:rPr>
          <w:color w:val="000000" w:themeColor="text1"/>
        </w:rPr>
      </w:pPr>
      <w:r w:rsidRPr="002B4006">
        <w:rPr>
          <w:color w:val="000000" w:themeColor="text1"/>
        </w:rPr>
        <w:t xml:space="preserve">From this experiment, it has been shown that contraction of human skin composites can be successfully replicated </w:t>
      </w:r>
      <w:r w:rsidRPr="002B4006">
        <w:rPr>
          <w:i/>
          <w:color w:val="000000" w:themeColor="text1"/>
        </w:rPr>
        <w:t>in vitro</w:t>
      </w:r>
      <w:r w:rsidRPr="002B4006">
        <w:rPr>
          <w:color w:val="000000" w:themeColor="text1"/>
        </w:rPr>
        <w:t xml:space="preserve">. However, the lack of efficacy of treatment with </w:t>
      </w:r>
      <w:r w:rsidRPr="002B4006">
        <w:rPr>
          <w:color w:val="000000" w:themeColor="text1"/>
        </w:rPr>
        <w:sym w:font="Symbol" w:char="F062"/>
      </w:r>
      <w:r w:rsidRPr="002B4006">
        <w:rPr>
          <w:color w:val="000000" w:themeColor="text1"/>
        </w:rPr>
        <w:t xml:space="preserve">-APN suggests that the </w:t>
      </w:r>
      <w:r>
        <w:rPr>
          <w:color w:val="000000" w:themeColor="text1"/>
        </w:rPr>
        <w:t xml:space="preserve">drug or the </w:t>
      </w:r>
      <w:r w:rsidRPr="002B4006">
        <w:rPr>
          <w:color w:val="000000" w:themeColor="text1"/>
        </w:rPr>
        <w:t>model is not working as it had previously.</w:t>
      </w:r>
      <w:r w:rsidRPr="002B4006">
        <w:rPr>
          <w:color w:val="000000" w:themeColor="text1"/>
        </w:rPr>
        <w:fldChar w:fldCharType="begin" w:fldLock="1"/>
      </w:r>
      <w:r w:rsidR="00DB1BCE">
        <w:rPr>
          <w:color w:val="000000" w:themeColor="text1"/>
        </w:rPr>
        <w:instrText>ADDIN CSL_CITATION {"citationItems":[{"id":"ITEM-1","itemData":{"DOI":"10.1111/j.1743-6109.2006.00111.x","ISBN":"1067-1927 (Print)\\r1067-1927 (Linking)","ISSN":"10671927","PMID":"16630110","abstract":"To produce a stable epidermis, keratinocytes need to be firmly attached to the basement membrane. However, following wounding, keratinocytes are required to develop a migratory phenotype in order to reepithelialize the wound. To investigate some of the issues underlying reepithelialization, we have developed a three-dimensional in vitro model of tissue-engineered skin, comprising sterilized human dermis seeded with human keratinocytes and dermal fibroblasts. Using this model, we have shown that the inclusion of fibroblasts within the model increases the stability of keratinocyte attachment. We have also demonstrated that keratinocyte migration occurs most effectively in the absence of a basement membrane and following the inclusion of fibroblasts in the model. In addition, subjecting the keratinocyte layer to mechanical trauma induces a migratory phenotype. We conclude that this three-dimensional in vitro wound model can be used to increase our understanding of the factors that enhance keratinocyte migration and hence wound healing in vivo.","author":[{"dropping-particle":"","family":"Harrison","given":"Caroline A.","non-dropping-particle":"","parse-names":false,"suffix":""},{"dropping-particle":"","family":"Heaton","given":"Martin J.","non-dropping-particle":"","parse-names":false,"suffix":""},{"dropping-particle":"","family":"Layton","given":"Christopher M.","non-dropping-particle":"","parse-names":false,"suffix":""},{"dropping-particle":"","family":"Neil","given":"Sheila","non-dropping-particle":"Mac","parse-names":false,"suffix":""}],"container-title":"Wound Repair and Regeneration","id":"ITEM-1","issue":"2","issued":{"date-parts":[["2006"]]},"page":"203-209","title":"Use of an in vitro model of tissue-engineered human skin to study keratinocyte attachment and migration in the process of reepithelialization","type":"article-journal","volume":"14"},"uris":["http://www.mendeley.com/documents/?uuid=88f682fb-7d44-4dd2-974a-09a6fe2caae1"]}],"mendeley":{"formattedCitation":"&lt;sup&gt;243&lt;/sup&gt;","plainTextFormattedCitation":"243","previouslyFormattedCitation":"&lt;sup&gt;242&lt;/sup&gt;"},"properties":{"noteIndex":0},"schema":"https://github.com/citation-style-language/schema/raw/master/csl-citation.json"}</w:instrText>
      </w:r>
      <w:r w:rsidRPr="002B4006">
        <w:rPr>
          <w:color w:val="000000" w:themeColor="text1"/>
        </w:rPr>
        <w:fldChar w:fldCharType="separate"/>
      </w:r>
      <w:r w:rsidR="00DB1BCE" w:rsidRPr="00DB1BCE">
        <w:rPr>
          <w:noProof/>
          <w:color w:val="000000" w:themeColor="text1"/>
          <w:vertAlign w:val="superscript"/>
        </w:rPr>
        <w:t>243</w:t>
      </w:r>
      <w:r w:rsidRPr="002B4006">
        <w:rPr>
          <w:color w:val="000000" w:themeColor="text1"/>
        </w:rPr>
        <w:fldChar w:fldCharType="end"/>
      </w:r>
      <w:r w:rsidRPr="002B4006">
        <w:rPr>
          <w:color w:val="000000" w:themeColor="text1"/>
        </w:rPr>
        <w:t xml:space="preserve"> This could be due to numerous factors. O</w:t>
      </w:r>
      <w:r>
        <w:rPr>
          <w:color w:val="000000" w:themeColor="text1"/>
        </w:rPr>
        <w:t>ne area that warranted</w:t>
      </w:r>
      <w:r w:rsidRPr="002B4006">
        <w:rPr>
          <w:color w:val="000000" w:themeColor="text1"/>
        </w:rPr>
        <w:t xml:space="preserve"> investigation was the </w:t>
      </w:r>
      <w:r>
        <w:rPr>
          <w:color w:val="000000" w:themeColor="text1"/>
        </w:rPr>
        <w:t>stability of the</w:t>
      </w:r>
      <w:r w:rsidRPr="002B4006">
        <w:rPr>
          <w:color w:val="000000" w:themeColor="text1"/>
        </w:rPr>
        <w:t xml:space="preserve"> </w:t>
      </w:r>
      <w:r w:rsidRPr="002B4006">
        <w:rPr>
          <w:color w:val="000000" w:themeColor="text1"/>
        </w:rPr>
        <w:sym w:font="Symbol" w:char="F062"/>
      </w:r>
      <w:r w:rsidRPr="002B4006">
        <w:rPr>
          <w:color w:val="000000" w:themeColor="text1"/>
        </w:rPr>
        <w:t>-</w:t>
      </w:r>
      <w:r w:rsidRPr="003A2AE0">
        <w:rPr>
          <w:color w:val="000000" w:themeColor="text1"/>
        </w:rPr>
        <w:t xml:space="preserve">APN stock. </w:t>
      </w:r>
      <w:r>
        <w:rPr>
          <w:color w:val="000000" w:themeColor="text1"/>
        </w:rPr>
        <w:t>In previous experiments</w:t>
      </w:r>
      <w:r>
        <w:rPr>
          <w:b/>
          <w:color w:val="000000" w:themeColor="text1"/>
        </w:rPr>
        <w:t xml:space="preserve"> </w:t>
      </w:r>
      <w:r>
        <w:rPr>
          <w:color w:val="000000" w:themeColor="text1"/>
        </w:rPr>
        <w:t>a</w:t>
      </w:r>
      <w:r w:rsidRPr="002B4006">
        <w:rPr>
          <w:color w:val="000000" w:themeColor="text1"/>
        </w:rPr>
        <w:t xml:space="preserve"> 20 mg/mL stock of </w:t>
      </w:r>
      <w:r w:rsidRPr="002B4006">
        <w:rPr>
          <w:color w:val="000000" w:themeColor="text1"/>
        </w:rPr>
        <w:sym w:font="Symbol" w:char="F062"/>
      </w:r>
      <w:r w:rsidRPr="002B4006">
        <w:rPr>
          <w:color w:val="000000" w:themeColor="text1"/>
        </w:rPr>
        <w:noBreakHyphen/>
        <w:t xml:space="preserve">APN was prepared </w:t>
      </w:r>
      <w:r>
        <w:rPr>
          <w:color w:val="000000" w:themeColor="text1"/>
        </w:rPr>
        <w:t>in Green’s media</w:t>
      </w:r>
      <w:r w:rsidRPr="002B4006">
        <w:rPr>
          <w:color w:val="000000" w:themeColor="text1"/>
        </w:rPr>
        <w:t xml:space="preserve">, which was subsequently diluted 1 in 100 in Green’s media at each timepoint to obtain a 200 µg/mL solution of </w:t>
      </w:r>
      <w:r w:rsidRPr="002B4006">
        <w:rPr>
          <w:color w:val="000000" w:themeColor="text1"/>
        </w:rPr>
        <w:sym w:font="Symbol" w:char="F062"/>
      </w:r>
      <w:r w:rsidRPr="002B4006">
        <w:rPr>
          <w:color w:val="000000" w:themeColor="text1"/>
        </w:rPr>
        <w:t xml:space="preserve">-APN. This was to reduce </w:t>
      </w:r>
      <w:r>
        <w:rPr>
          <w:color w:val="000000" w:themeColor="text1"/>
        </w:rPr>
        <w:t>variation</w:t>
      </w:r>
      <w:r w:rsidRPr="002B4006">
        <w:rPr>
          <w:color w:val="000000" w:themeColor="text1"/>
        </w:rPr>
        <w:t xml:space="preserve"> between the different time points. However, it was theorised that the </w:t>
      </w:r>
      <w:r w:rsidRPr="002B4006">
        <w:rPr>
          <w:color w:val="000000" w:themeColor="text1"/>
        </w:rPr>
        <w:sym w:font="Symbol" w:char="F062"/>
      </w:r>
      <w:r w:rsidRPr="002B4006">
        <w:rPr>
          <w:color w:val="000000" w:themeColor="text1"/>
        </w:rPr>
        <w:t xml:space="preserve">-APN </w:t>
      </w:r>
      <w:r w:rsidRPr="002B4006">
        <w:rPr>
          <w:color w:val="000000" w:themeColor="text1"/>
        </w:rPr>
        <w:lastRenderedPageBreak/>
        <w:t>stock</w:t>
      </w:r>
      <w:r>
        <w:rPr>
          <w:color w:val="000000" w:themeColor="text1"/>
        </w:rPr>
        <w:t xml:space="preserve"> may be unstable in the cell culture media, leading to degradation over time. </w:t>
      </w:r>
      <w:r w:rsidRPr="002B4006">
        <w:rPr>
          <w:color w:val="000000" w:themeColor="text1"/>
        </w:rPr>
        <w:t xml:space="preserve">As a result, a simple experiment was conducted to understand whether the preparation of the </w:t>
      </w:r>
      <w:r w:rsidRPr="002B4006">
        <w:rPr>
          <w:color w:val="000000" w:themeColor="text1"/>
        </w:rPr>
        <w:sym w:font="Symbol" w:char="F062"/>
      </w:r>
      <w:r>
        <w:rPr>
          <w:color w:val="000000" w:themeColor="text1"/>
        </w:rPr>
        <w:noBreakHyphen/>
      </w:r>
      <w:r w:rsidRPr="002B4006">
        <w:rPr>
          <w:color w:val="000000" w:themeColor="text1"/>
        </w:rPr>
        <w:t>APN stock had an effect on its ability to inhibit contraction in the TES composite model.</w:t>
      </w:r>
    </w:p>
    <w:p w14:paraId="1C96795C" w14:textId="77777777" w:rsidR="00C0659D" w:rsidRDefault="00C0659D" w:rsidP="006D5170">
      <w:pPr>
        <w:pStyle w:val="Heading4"/>
      </w:pPr>
      <w:r>
        <w:t xml:space="preserve">Effect of </w:t>
      </w:r>
      <w:r w:rsidRPr="002B4006">
        <w:sym w:font="Symbol" w:char="F062"/>
      </w:r>
      <w:r>
        <w:noBreakHyphen/>
      </w:r>
      <w:r w:rsidRPr="002B4006">
        <w:t>APN</w:t>
      </w:r>
      <w:r>
        <w:t xml:space="preserve"> stock preparation</w:t>
      </w:r>
    </w:p>
    <w:p w14:paraId="53BA8D78" w14:textId="3DCE1A4D" w:rsidR="00C0659D" w:rsidRDefault="00C0659D" w:rsidP="00C0659D">
      <w:pPr>
        <w:rPr>
          <w:color w:val="000000" w:themeColor="text1"/>
        </w:rPr>
      </w:pPr>
      <w:r>
        <w:t xml:space="preserve">To investigate how the preparation method for the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stock solution may affect its efficacy in the model, two experiments were run in parallel. The first used a single 20 mg/mL stock solution of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in Green’s media, which was used to prepare 200 µg/mL solutions of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at each time point. The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stock was stored at 4 </w:t>
      </w:r>
      <w:r w:rsidR="0095492F">
        <w:rPr>
          <w:color w:val="000000" w:themeColor="text1"/>
        </w:rPr>
        <w:sym w:font="Symbol" w:char="F0B0"/>
      </w:r>
      <w:r>
        <w:rPr>
          <w:color w:val="000000" w:themeColor="text1"/>
        </w:rPr>
        <w:t xml:space="preserve">C for the duration of the experiment. The second experiment prepared a fresh 20 mg/mL stock of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at each timepoint and diluted it to a concentration of 200 µg/mL. It was hypothesised that if the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stock was becoming unstable over the 28 day period, no inhibition in contraction would be observed for the single stock experiment. In contrast, it was theorised that freshly-prepared </w:t>
      </w:r>
      <w:r w:rsidRPr="002B4006">
        <w:rPr>
          <w:color w:val="000000" w:themeColor="text1"/>
        </w:rPr>
        <w:sym w:font="Symbol" w:char="F062"/>
      </w:r>
      <w:r>
        <w:rPr>
          <w:color w:val="000000" w:themeColor="text1"/>
        </w:rPr>
        <w:noBreakHyphen/>
      </w:r>
      <w:r w:rsidRPr="002B4006">
        <w:rPr>
          <w:color w:val="000000" w:themeColor="text1"/>
        </w:rPr>
        <w:t>APN</w:t>
      </w:r>
      <w:r>
        <w:rPr>
          <w:color w:val="000000" w:themeColor="text1"/>
        </w:rPr>
        <w:t xml:space="preserve"> would be more stable and therefore would inhibit contraction in the TES composite model. </w:t>
      </w:r>
    </w:p>
    <w:p w14:paraId="36D226A3" w14:textId="77777777" w:rsidR="00C0659D" w:rsidRDefault="00C0659D" w:rsidP="00C0659D">
      <w:pPr>
        <w:keepNext/>
        <w:jc w:val="center"/>
      </w:pPr>
      <w:r>
        <w:rPr>
          <w:noProof/>
          <w:lang w:val="en-US"/>
        </w:rPr>
        <w:drawing>
          <wp:inline distT="0" distB="0" distL="0" distR="0" wp14:anchorId="278A429D" wp14:editId="7E2A4CB6">
            <wp:extent cx="5201920" cy="2394585"/>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M K2 072 073 figure.png"/>
                    <pic:cNvPicPr/>
                  </pic:nvPicPr>
                  <pic:blipFill>
                    <a:blip r:embed="rId53">
                      <a:extLst>
                        <a:ext uri="{28A0092B-C50C-407E-A947-70E740481C1C}">
                          <a14:useLocalDpi xmlns:a14="http://schemas.microsoft.com/office/drawing/2010/main" val="0"/>
                        </a:ext>
                      </a:extLst>
                    </a:blip>
                    <a:stretch>
                      <a:fillRect/>
                    </a:stretch>
                  </pic:blipFill>
                  <pic:spPr>
                    <a:xfrm>
                      <a:off x="0" y="0"/>
                      <a:ext cx="5201920" cy="2394585"/>
                    </a:xfrm>
                    <a:prstGeom prst="rect">
                      <a:avLst/>
                    </a:prstGeom>
                  </pic:spPr>
                </pic:pic>
              </a:graphicData>
            </a:graphic>
          </wp:inline>
        </w:drawing>
      </w:r>
    </w:p>
    <w:p w14:paraId="3721003A" w14:textId="709ECDCF" w:rsidR="00C0659D" w:rsidRPr="005D2C0B" w:rsidRDefault="00C0659D" w:rsidP="005D2C0B">
      <w:pPr>
        <w:pStyle w:val="Caption"/>
        <w:jc w:val="both"/>
        <w:rPr>
          <w:b w:val="0"/>
        </w:rPr>
      </w:pPr>
      <w:bookmarkStart w:id="256" w:name="_Ref522480717"/>
      <w:r w:rsidRPr="006653F2">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8</w:t>
      </w:r>
      <w:r w:rsidR="00BE21E4">
        <w:rPr>
          <w:noProof/>
        </w:rPr>
        <w:fldChar w:fldCharType="end"/>
      </w:r>
      <w:bookmarkEnd w:id="256"/>
      <w:r w:rsidRPr="006653F2">
        <w:t xml:space="preserve">. </w:t>
      </w:r>
      <w:r w:rsidRPr="005D2C0B">
        <w:rPr>
          <w:b w:val="0"/>
        </w:rPr>
        <w:t>Surface area, expressed as a percentage of surface area at day 0, of tissue</w:t>
      </w:r>
      <w:r w:rsidR="009352BF">
        <w:rPr>
          <w:b w:val="0"/>
        </w:rPr>
        <w:t>-</w:t>
      </w:r>
      <w:r w:rsidRPr="005D2C0B">
        <w:rPr>
          <w:b w:val="0"/>
        </w:rPr>
        <w:t xml:space="preserve">engineered composites prepared using surgical DED, cultured at an air-liquid interface for 28 days. Untreated samples were cultured alongside samples treated with 200 µg/mL </w:t>
      </w:r>
      <w:r w:rsidRPr="005D2C0B">
        <w:rPr>
          <w:b w:val="0"/>
        </w:rPr>
        <w:sym w:font="Symbol" w:char="F062"/>
      </w:r>
      <w:r w:rsidRPr="005D2C0B">
        <w:rPr>
          <w:b w:val="0"/>
        </w:rPr>
        <w:noBreakHyphen/>
        <w:t>APN</w:t>
      </w:r>
      <w:r w:rsidR="005D2C0B">
        <w:rPr>
          <w:b w:val="0"/>
        </w:rPr>
        <w:t xml:space="preserve">, prepared by: </w:t>
      </w:r>
      <w:r w:rsidRPr="005D2C0B">
        <w:t>A)</w:t>
      </w:r>
      <w:r w:rsidRPr="005D2C0B">
        <w:rPr>
          <w:b w:val="0"/>
        </w:rPr>
        <w:t xml:space="preserve"> a single 20 mg/mL stock of </w:t>
      </w:r>
      <w:r w:rsidRPr="005D2C0B">
        <w:rPr>
          <w:b w:val="0"/>
        </w:rPr>
        <w:sym w:font="Symbol" w:char="F062"/>
      </w:r>
      <w:r w:rsidRPr="005D2C0B">
        <w:rPr>
          <w:b w:val="0"/>
        </w:rPr>
        <w:noBreakHyphen/>
        <w:t xml:space="preserve">APN and, </w:t>
      </w:r>
      <w:r w:rsidRPr="005D2C0B">
        <w:t>B)</w:t>
      </w:r>
      <w:r w:rsidRPr="005D2C0B">
        <w:rPr>
          <w:b w:val="0"/>
        </w:rPr>
        <w:t xml:space="preserve"> freshly-prepared stocks of </w:t>
      </w:r>
      <w:r w:rsidRPr="005D2C0B">
        <w:rPr>
          <w:b w:val="0"/>
        </w:rPr>
        <w:sym w:font="Symbol" w:char="F062"/>
      </w:r>
      <w:r w:rsidRPr="005D2C0B">
        <w:rPr>
          <w:b w:val="0"/>
        </w:rPr>
        <w:noBreakHyphen/>
        <w:t>APN at each timepoint.</w:t>
      </w:r>
    </w:p>
    <w:p w14:paraId="08126FB7" w14:textId="5A2FC928" w:rsidR="00C0659D" w:rsidRPr="00CB5D05" w:rsidRDefault="00C0659D" w:rsidP="00C0659D">
      <w:pPr>
        <w:rPr>
          <w:color w:val="000000" w:themeColor="text1"/>
        </w:rPr>
      </w:pPr>
      <w:r>
        <w:t xml:space="preserve">For the two experiments, a large degree of contraction was observed for both the control </w:t>
      </w:r>
      <w:r w:rsidRPr="006653F2">
        <w:rPr>
          <w:color w:val="000000" w:themeColor="text1"/>
        </w:rPr>
        <w:t>and treated composites</w:t>
      </w:r>
      <w:r w:rsidR="00C375DB">
        <w:rPr>
          <w:color w:val="000000" w:themeColor="text1"/>
        </w:rPr>
        <w:t xml:space="preserve"> (</w:t>
      </w:r>
      <w:r w:rsidRPr="006653F2">
        <w:rPr>
          <w:color w:val="000000" w:themeColor="text1"/>
        </w:rPr>
        <w:fldChar w:fldCharType="begin"/>
      </w:r>
      <w:r w:rsidRPr="006653F2">
        <w:rPr>
          <w:color w:val="000000" w:themeColor="text1"/>
        </w:rPr>
        <w:instrText xml:space="preserve"> REF _Ref522480717 \h </w:instrText>
      </w:r>
      <w:r w:rsidRPr="006653F2">
        <w:rPr>
          <w:color w:val="000000" w:themeColor="text1"/>
        </w:rPr>
      </w:r>
      <w:r w:rsidRPr="006653F2">
        <w:rPr>
          <w:color w:val="000000" w:themeColor="text1"/>
        </w:rPr>
        <w:fldChar w:fldCharType="separate"/>
      </w:r>
      <w:r w:rsidR="00E6157A" w:rsidRPr="006653F2">
        <w:t xml:space="preserve">Figure </w:t>
      </w:r>
      <w:r w:rsidR="00E6157A">
        <w:rPr>
          <w:noProof/>
        </w:rPr>
        <w:t>4</w:t>
      </w:r>
      <w:r w:rsidR="00E6157A">
        <w:t>.</w:t>
      </w:r>
      <w:r w:rsidR="00E6157A">
        <w:rPr>
          <w:noProof/>
        </w:rPr>
        <w:t>8</w:t>
      </w:r>
      <w:r w:rsidRPr="006653F2">
        <w:rPr>
          <w:color w:val="000000" w:themeColor="text1"/>
        </w:rPr>
        <w:fldChar w:fldCharType="end"/>
      </w:r>
      <w:r w:rsidR="00C375DB">
        <w:rPr>
          <w:color w:val="000000" w:themeColor="text1"/>
        </w:rPr>
        <w:t>)</w:t>
      </w:r>
      <w:r w:rsidRPr="006653F2">
        <w:rPr>
          <w:color w:val="000000" w:themeColor="text1"/>
        </w:rPr>
        <w:t xml:space="preserve">. Both the ‘single stock’ and the ‘fresh stock’ experiments contracted by approximately 70 %. However, no decrease in contraction was observed following treatment with </w:t>
      </w:r>
      <w:r w:rsidRPr="006653F2">
        <w:rPr>
          <w:color w:val="000000" w:themeColor="text1"/>
        </w:rPr>
        <w:sym w:font="Symbol" w:char="F062"/>
      </w:r>
      <w:r w:rsidRPr="006653F2">
        <w:rPr>
          <w:color w:val="000000" w:themeColor="text1"/>
        </w:rPr>
        <w:noBreakHyphen/>
        <w:t>APN for either</w:t>
      </w:r>
      <w:r>
        <w:rPr>
          <w:color w:val="000000" w:themeColor="text1"/>
        </w:rPr>
        <w:t xml:space="preserve"> preparation </w:t>
      </w:r>
      <w:r>
        <w:rPr>
          <w:color w:val="000000" w:themeColor="text1"/>
        </w:rPr>
        <w:lastRenderedPageBreak/>
        <w:t xml:space="preserve">method. </w:t>
      </w:r>
      <w:r w:rsidRPr="005E2BEA">
        <w:rPr>
          <w:color w:val="000000" w:themeColor="text1"/>
        </w:rPr>
        <w:t xml:space="preserve">This suggests that the lack of efficacy for </w:t>
      </w:r>
      <w:r w:rsidRPr="005E2BEA">
        <w:rPr>
          <w:color w:val="000000" w:themeColor="text1"/>
        </w:rPr>
        <w:sym w:font="Symbol" w:char="F062"/>
      </w:r>
      <w:r>
        <w:rPr>
          <w:color w:val="000000" w:themeColor="text1"/>
        </w:rPr>
        <w:noBreakHyphen/>
        <w:t xml:space="preserve">APN in </w:t>
      </w:r>
      <w:r w:rsidRPr="00CB5D05">
        <w:rPr>
          <w:color w:val="000000" w:themeColor="text1"/>
        </w:rPr>
        <w:t>the model was not due to</w:t>
      </w:r>
      <w:r>
        <w:rPr>
          <w:color w:val="000000" w:themeColor="text1"/>
        </w:rPr>
        <w:t xml:space="preserve"> the preparation method of the compound.</w:t>
      </w:r>
    </w:p>
    <w:p w14:paraId="46546D43" w14:textId="2B357481" w:rsidR="00C0659D" w:rsidRPr="004E0CC1" w:rsidRDefault="00C0659D" w:rsidP="00C0659D">
      <w:pPr>
        <w:rPr>
          <w:color w:val="000000" w:themeColor="text1"/>
        </w:rPr>
      </w:pPr>
      <w:r w:rsidRPr="00CB5D05">
        <w:rPr>
          <w:color w:val="000000" w:themeColor="text1"/>
        </w:rPr>
        <w:t>During the course of this work, a reduction was seen in the number of elective surgeries for breast reductions and abdominoplasties</w:t>
      </w:r>
      <w:r>
        <w:rPr>
          <w:color w:val="000000" w:themeColor="text1"/>
        </w:rPr>
        <w:t>, as a consequence of NHS funding cuts</w:t>
      </w:r>
      <w:r w:rsidRPr="00CB5D05">
        <w:rPr>
          <w:color w:val="000000" w:themeColor="text1"/>
        </w:rPr>
        <w:t xml:space="preserve">. As a result, the frequency and quantity of donor skin available to prepare TES composites was greatly reduced. </w:t>
      </w:r>
      <w:r w:rsidRPr="00B419C9">
        <w:rPr>
          <w:color w:val="000000" w:themeColor="text1"/>
        </w:rPr>
        <w:t>Previous work in the MacNeil group demonstrated that an allodermis equivalent, Euroskin, could be used to prepare TES composites.</w:t>
      </w:r>
      <w:r w:rsidRPr="00B419C9">
        <w:rPr>
          <w:color w:val="000000" w:themeColor="text1"/>
        </w:rPr>
        <w:fldChar w:fldCharType="begin" w:fldLock="1"/>
      </w:r>
      <w:r w:rsidR="00DB1BCE">
        <w:rPr>
          <w:color w:val="000000" w:themeColor="text1"/>
        </w:rPr>
        <w:instrText>ADDIN CSL_CITATION {"citationItems":[{"id":"ITEM-1","itemData":{"DOI":"10.1016/j.burns.2013.02.011","ISSN":"03054179","PMID":"23597846","abstract":"Over the past two decades a range of 3D models for human skin have been described. Some include native collagen and intrinsic basement membrane proteins and fibroblasts, others are based on xenogeneic collagen or synthetic supports often without fibroblasts. The aim of this study was to look at the influence of media calcium, basement membrane and fibroblasts on the quality of 3D tissue engineered skin produced using human de-epidermized acellular dermis. In this study we deliberately used Euro skin as the source of the donor dermis to examine to what extent this could provide an effective dermal substrate for producing 3D skin for clinical use. Keratinocytes were cultured in the presence and absence of fibroblasts and both with and without basement membrane on decellularized dermis at calcium concentrations ranging from 250 μM to 1.6 mM over a period of 14 days. Results showed the formation of a well attached epithelium with many of the features of normal skin in the presence of a basement membrane. This was largely independent of the presence of fibroblasts and not greatly influenced by the concentration of calcium in the media. However there was a clear requirement for physiological levels of calcium in the formation of a stratified epithelium in the absence of a basement membrane. © 2013 Elsevier Ltd and ISBI. All rights reserved.","author":[{"dropping-particle":"","family":"Deshpande","given":"P.","non-dropping-particle":"","parse-names":false,"suffix":""},{"dropping-particle":"","family":"Ralston","given":"D. R.","non-dropping-particle":"","parse-names":false,"suffix":""},{"dropping-particle":"","family":"Macneil","given":"S.","non-dropping-particle":"","parse-names":false,"suffix":""}],"container-title":"Burns","id":"ITEM-1","issue":"6","issued":{"date-parts":[["2013"]]},"page":"1170-1177","publisher":"Elsevier Ltd and International Society of Burns Injuries","title":"The use of allodermis prepared from Euro skin bank to prepare autologous tissue engineered skin for clinical use","type":"article-journal","volume":"39"},"uris":["http://www.mendeley.com/documents/?uuid=053b4aa9-4a56-43e9-b862-067936f4504c"]}],"mendeley":{"formattedCitation":"&lt;sup&gt;251&lt;/sup&gt;","plainTextFormattedCitation":"251","previouslyFormattedCitation":"&lt;sup&gt;250&lt;/sup&gt;"},"properties":{"noteIndex":0},"schema":"https://github.com/citation-style-language/schema/raw/master/csl-citation.json"}</w:instrText>
      </w:r>
      <w:r w:rsidRPr="00B419C9">
        <w:rPr>
          <w:color w:val="000000" w:themeColor="text1"/>
        </w:rPr>
        <w:fldChar w:fldCharType="separate"/>
      </w:r>
      <w:r w:rsidR="00DB1BCE" w:rsidRPr="00DB1BCE">
        <w:rPr>
          <w:noProof/>
          <w:color w:val="000000" w:themeColor="text1"/>
          <w:vertAlign w:val="superscript"/>
        </w:rPr>
        <w:t>251</w:t>
      </w:r>
      <w:r w:rsidRPr="00B419C9">
        <w:rPr>
          <w:color w:val="000000" w:themeColor="text1"/>
        </w:rPr>
        <w:fldChar w:fldCharType="end"/>
      </w:r>
      <w:r w:rsidRPr="00B419C9">
        <w:rPr>
          <w:color w:val="000000" w:themeColor="text1"/>
        </w:rPr>
        <w:t xml:space="preserve"> </w:t>
      </w:r>
      <w:r>
        <w:t xml:space="preserve">Euroskin samples are allograft STSG, prepared from cadavers for clinical use. After reaching its clinical expiry date, Euroskin can be purchased and used for medical research. </w:t>
      </w:r>
      <w:r>
        <w:rPr>
          <w:color w:val="000000" w:themeColor="text1"/>
        </w:rPr>
        <w:t xml:space="preserve">Euroskin is purchased from a tissue bank, therefore it can be supplied more regularly than donor skin from elective surgeries. As a result, Euroskin was used to prepare DED for TES composites as an </w:t>
      </w:r>
      <w:r w:rsidRPr="004E0CC1">
        <w:rPr>
          <w:i/>
          <w:color w:val="000000" w:themeColor="text1"/>
        </w:rPr>
        <w:t>in vitro</w:t>
      </w:r>
      <w:r>
        <w:rPr>
          <w:color w:val="000000" w:themeColor="text1"/>
        </w:rPr>
        <w:t xml:space="preserve"> contraction model.</w:t>
      </w:r>
    </w:p>
    <w:p w14:paraId="2FF07C81" w14:textId="4B5B727A" w:rsidR="00C0659D" w:rsidRDefault="00C0659D" w:rsidP="006D5170">
      <w:pPr>
        <w:pStyle w:val="Heading4"/>
      </w:pPr>
      <w:r>
        <w:t>Tissue</w:t>
      </w:r>
      <w:r w:rsidR="009352BF">
        <w:t>-</w:t>
      </w:r>
      <w:r>
        <w:t>engineered skin model using Euroskin</w:t>
      </w:r>
    </w:p>
    <w:p w14:paraId="37E5408C" w14:textId="0E24A2F8" w:rsidR="00C0659D" w:rsidRDefault="00C0659D" w:rsidP="00C0659D">
      <w:pPr>
        <w:rPr>
          <w:color w:val="000000" w:themeColor="text1"/>
        </w:rPr>
      </w:pPr>
      <w:r>
        <w:rPr>
          <w:color w:val="000000" w:themeColor="text1"/>
        </w:rPr>
        <w:t xml:space="preserve">An initial experiment using Euroskin compared control composites to those treated with 200 µg/mL </w:t>
      </w:r>
      <w:r>
        <w:sym w:font="Symbol" w:char="F062"/>
      </w:r>
      <w:r>
        <w:noBreakHyphen/>
      </w:r>
      <w:r w:rsidR="00C375DB">
        <w:rPr>
          <w:color w:val="000000" w:themeColor="text1"/>
        </w:rPr>
        <w:t>APN</w:t>
      </w:r>
      <w:r w:rsidRPr="000742A7">
        <w:rPr>
          <w:color w:val="000000" w:themeColor="text1"/>
        </w:rPr>
        <w:t xml:space="preserve"> </w:t>
      </w:r>
      <w:r w:rsidR="00C375DB">
        <w:rPr>
          <w:color w:val="000000" w:themeColor="text1"/>
        </w:rPr>
        <w:t>(</w:t>
      </w:r>
      <w:r w:rsidRPr="000742A7">
        <w:rPr>
          <w:color w:val="000000" w:themeColor="text1"/>
        </w:rPr>
        <w:fldChar w:fldCharType="begin"/>
      </w:r>
      <w:r w:rsidRPr="000742A7">
        <w:rPr>
          <w:color w:val="000000" w:themeColor="text1"/>
        </w:rPr>
        <w:instrText xml:space="preserve"> REF _Ref521072854 \h  \* MERGEFORMAT </w:instrText>
      </w:r>
      <w:r w:rsidRPr="000742A7">
        <w:rPr>
          <w:color w:val="000000" w:themeColor="text1"/>
        </w:rPr>
      </w:r>
      <w:r w:rsidRPr="000742A7">
        <w:rPr>
          <w:color w:val="000000" w:themeColor="text1"/>
        </w:rPr>
        <w:fldChar w:fldCharType="separate"/>
      </w:r>
      <w:r w:rsidR="00E6157A" w:rsidRPr="001B1F61">
        <w:t xml:space="preserve">Figure </w:t>
      </w:r>
      <w:r w:rsidR="00E6157A">
        <w:rPr>
          <w:noProof/>
        </w:rPr>
        <w:t>4.9</w:t>
      </w:r>
      <w:r w:rsidRPr="000742A7">
        <w:rPr>
          <w:color w:val="000000" w:themeColor="text1"/>
        </w:rPr>
        <w:fldChar w:fldCharType="end"/>
      </w:r>
      <w:r w:rsidR="00C375DB">
        <w:rPr>
          <w:color w:val="000000" w:themeColor="text1"/>
        </w:rPr>
        <w:t>)</w:t>
      </w:r>
      <w:r w:rsidRPr="000742A7">
        <w:rPr>
          <w:color w:val="000000" w:themeColor="text1"/>
        </w:rPr>
        <w:t xml:space="preserve">. Prior to preparing the composites, the </w:t>
      </w:r>
      <w:r>
        <w:rPr>
          <w:color w:val="000000" w:themeColor="text1"/>
        </w:rPr>
        <w:t xml:space="preserve">thickness of the Euroskin was measured and found to be 250 µm thick. </w:t>
      </w:r>
    </w:p>
    <w:p w14:paraId="5EE6CBAC" w14:textId="47F79EAE" w:rsidR="00C0659D" w:rsidRPr="000A0ABB" w:rsidRDefault="00C0659D" w:rsidP="00C0659D">
      <w:pPr>
        <w:rPr>
          <w:color w:val="000000" w:themeColor="text1"/>
        </w:rPr>
      </w:pPr>
    </w:p>
    <w:p w14:paraId="57207101" w14:textId="77777777" w:rsidR="00C0659D" w:rsidRDefault="00C0659D" w:rsidP="00C0659D">
      <w:pPr>
        <w:keepNext/>
      </w:pPr>
      <w:r w:rsidRPr="008F1AB1">
        <w:rPr>
          <w:noProof/>
          <w:lang w:val="en-US"/>
        </w:rPr>
        <w:drawing>
          <wp:inline distT="0" distB="0" distL="0" distR="0" wp14:anchorId="37CDE47E" wp14:editId="70C391B5">
            <wp:extent cx="5201920" cy="240601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01920" cy="2406015"/>
                    </a:xfrm>
                    <a:prstGeom prst="rect">
                      <a:avLst/>
                    </a:prstGeom>
                  </pic:spPr>
                </pic:pic>
              </a:graphicData>
            </a:graphic>
          </wp:inline>
        </w:drawing>
      </w:r>
    </w:p>
    <w:p w14:paraId="129C264E" w14:textId="26F602F0" w:rsidR="00C0659D" w:rsidRDefault="00C0659D" w:rsidP="005D2C0B">
      <w:pPr>
        <w:pStyle w:val="Caption"/>
        <w:jc w:val="both"/>
      </w:pPr>
      <w:bookmarkStart w:id="257" w:name="_Ref521072854"/>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9</w:t>
      </w:r>
      <w:r w:rsidR="00BE21E4">
        <w:rPr>
          <w:noProof/>
        </w:rPr>
        <w:fldChar w:fldCharType="end"/>
      </w:r>
      <w:bookmarkEnd w:id="257"/>
      <w:r w:rsidRPr="001B1F61">
        <w:t xml:space="preserve">. A) </w:t>
      </w:r>
      <w:r w:rsidRPr="005D2C0B">
        <w:rPr>
          <w:b w:val="0"/>
        </w:rPr>
        <w:t>Surface area, expressed as a percentage of surface area at day 0, of tissue</w:t>
      </w:r>
      <w:r w:rsidR="009352BF">
        <w:rPr>
          <w:b w:val="0"/>
        </w:rPr>
        <w:t>-</w:t>
      </w:r>
      <w:r w:rsidRPr="005D2C0B">
        <w:rPr>
          <w:b w:val="0"/>
        </w:rPr>
        <w:t xml:space="preserve">engineered composites of Euroskin, cultured at an air-liquid interface for 28 days. Samples were prepared in triplicate. Results are expressed as mean ± standard deviation. Analysis by two-way ANOVA with Bonferroni correction for multiple analyses. *** = p &lt; 0.0002, ** = p &lt; 0.0021, </w:t>
      </w:r>
      <w:r w:rsidRPr="005D2C0B">
        <w:t>B)</w:t>
      </w:r>
      <w:r w:rsidRPr="005D2C0B">
        <w:rPr>
          <w:b w:val="0"/>
        </w:rPr>
        <w:t xml:space="preserve"> Images of untreated composite and composite treated with 200 µg/mL </w:t>
      </w:r>
      <w:r w:rsidRPr="005D2C0B">
        <w:rPr>
          <w:b w:val="0"/>
        </w:rPr>
        <w:sym w:font="Symbol" w:char="F062"/>
      </w:r>
      <w:r w:rsidRPr="005D2C0B">
        <w:rPr>
          <w:b w:val="0"/>
        </w:rPr>
        <w:t>-APN on day 0 and day 28. Scale bar 10 mm.</w:t>
      </w:r>
    </w:p>
    <w:p w14:paraId="0B764A3E" w14:textId="42A8DC65" w:rsidR="00C0659D" w:rsidRPr="006F25FF" w:rsidRDefault="00C0659D" w:rsidP="00C0659D">
      <w:pPr>
        <w:rPr>
          <w:color w:val="000000" w:themeColor="text1"/>
        </w:rPr>
      </w:pPr>
      <w:r>
        <w:lastRenderedPageBreak/>
        <w:t>The composites prepared with Euroskin demonstrated contraction consistent with that observed in the literature for this model.</w:t>
      </w:r>
      <w:r>
        <w:fldChar w:fldCharType="begin" w:fldLock="1"/>
      </w:r>
      <w:r w:rsidR="0085447D">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mendeley":{"formattedCitation":"&lt;sup&gt;78&lt;/sup&gt;","plainTextFormattedCitation":"78","previouslyFormattedCitation":"&lt;sup&gt;78&lt;/sup&gt;"},"properties":{"noteIndex":0},"schema":"https://github.com/citation-style-language/schema/raw/master/csl-citation.json"}</w:instrText>
      </w:r>
      <w:r>
        <w:fldChar w:fldCharType="separate"/>
      </w:r>
      <w:r w:rsidR="00B02713" w:rsidRPr="00B02713">
        <w:rPr>
          <w:noProof/>
          <w:vertAlign w:val="superscript"/>
        </w:rPr>
        <w:t>78</w:t>
      </w:r>
      <w:r>
        <w:fldChar w:fldCharType="end"/>
      </w:r>
      <w:r>
        <w:t xml:space="preserve"> Untreated composites contracted by 45 % after 28 days, whilst composites treated with 200 µg/mL </w:t>
      </w:r>
      <w:r>
        <w:sym w:font="Symbol" w:char="F062"/>
      </w:r>
      <w:r>
        <w:t>-</w:t>
      </w:r>
      <w:r w:rsidRPr="004416E6">
        <w:rPr>
          <w:color w:val="000000" w:themeColor="text1"/>
        </w:rPr>
        <w:t>APN</w:t>
      </w:r>
      <w:r>
        <w:rPr>
          <w:color w:val="000000" w:themeColor="text1"/>
        </w:rPr>
        <w:t xml:space="preserve"> contracted by only 25 %. Analysis by two-way ANOVA with Bonferroni correction found these results to be statistically significant after 2 weeks in culture. This data suggested that the use of Euroskin provided the correct conditions to successfully replicate the process of contraction </w:t>
      </w:r>
      <w:r w:rsidRPr="009525E3">
        <w:rPr>
          <w:i/>
          <w:color w:val="000000" w:themeColor="text1"/>
        </w:rPr>
        <w:t>in vitro</w:t>
      </w:r>
      <w:r>
        <w:rPr>
          <w:color w:val="000000" w:themeColor="text1"/>
        </w:rPr>
        <w:t>. The experiment was therefore repeated using a new batch of Euroskin, to confirm the findings could be consistently replicated. Surprisingly, the new batch of Euroskin provided very different results</w:t>
      </w:r>
      <w:r w:rsidRPr="00784EC6">
        <w:rPr>
          <w:color w:val="000000" w:themeColor="text1"/>
        </w:rPr>
        <w:t xml:space="preserve"> </w:t>
      </w:r>
      <w:r w:rsidR="00EE5C67">
        <w:rPr>
          <w:color w:val="000000" w:themeColor="text1"/>
        </w:rPr>
        <w:t>(</w:t>
      </w:r>
      <w:r w:rsidRPr="00784EC6">
        <w:rPr>
          <w:color w:val="000000" w:themeColor="text1"/>
        </w:rPr>
        <w:fldChar w:fldCharType="begin"/>
      </w:r>
      <w:r w:rsidRPr="00784EC6">
        <w:rPr>
          <w:color w:val="000000" w:themeColor="text1"/>
        </w:rPr>
        <w:instrText xml:space="preserve"> REF _Ref521072554 \h  \* MERGEFORMAT </w:instrText>
      </w:r>
      <w:r w:rsidRPr="00784EC6">
        <w:rPr>
          <w:color w:val="000000" w:themeColor="text1"/>
        </w:rPr>
      </w:r>
      <w:r w:rsidRPr="00784EC6">
        <w:rPr>
          <w:color w:val="000000" w:themeColor="text1"/>
        </w:rPr>
        <w:fldChar w:fldCharType="separate"/>
      </w:r>
      <w:r w:rsidR="00E6157A" w:rsidRPr="001B1F61">
        <w:t xml:space="preserve">Figure </w:t>
      </w:r>
      <w:r w:rsidR="00E6157A">
        <w:rPr>
          <w:noProof/>
        </w:rPr>
        <w:t>4.10</w:t>
      </w:r>
      <w:r w:rsidRPr="00784EC6">
        <w:rPr>
          <w:color w:val="000000" w:themeColor="text1"/>
        </w:rPr>
        <w:fldChar w:fldCharType="end"/>
      </w:r>
      <w:r w:rsidR="00EE5C67">
        <w:rPr>
          <w:color w:val="000000" w:themeColor="text1"/>
        </w:rPr>
        <w:t>)</w:t>
      </w:r>
      <w:r w:rsidRPr="00784EC6">
        <w:rPr>
          <w:color w:val="000000" w:themeColor="text1"/>
        </w:rPr>
        <w:t>. Control</w:t>
      </w:r>
      <w:r w:rsidRPr="00E63390">
        <w:rPr>
          <w:color w:val="000000" w:themeColor="text1"/>
        </w:rPr>
        <w:t xml:space="preserve"> and treated composites contracted at a similar rate, with both groups contracting by approximately 35 % after 28 days. </w:t>
      </w:r>
      <w:r>
        <w:rPr>
          <w:color w:val="000000" w:themeColor="text1"/>
        </w:rPr>
        <w:t xml:space="preserve">A key point to highlight for the </w:t>
      </w:r>
      <w:r w:rsidRPr="00857730">
        <w:rPr>
          <w:color w:val="000000" w:themeColor="text1"/>
        </w:rPr>
        <w:t xml:space="preserve">data in </w:t>
      </w:r>
      <w:r w:rsidRPr="00857730">
        <w:rPr>
          <w:color w:val="000000" w:themeColor="text1"/>
        </w:rPr>
        <w:fldChar w:fldCharType="begin"/>
      </w:r>
      <w:r w:rsidRPr="00857730">
        <w:rPr>
          <w:color w:val="000000" w:themeColor="text1"/>
        </w:rPr>
        <w:instrText xml:space="preserve"> REF _Ref521072554 \h  \* MERGEFORMAT </w:instrText>
      </w:r>
      <w:r w:rsidRPr="00857730">
        <w:rPr>
          <w:color w:val="000000" w:themeColor="text1"/>
        </w:rPr>
      </w:r>
      <w:r w:rsidRPr="00857730">
        <w:rPr>
          <w:color w:val="000000" w:themeColor="text1"/>
        </w:rPr>
        <w:fldChar w:fldCharType="separate"/>
      </w:r>
      <w:r w:rsidR="00E6157A" w:rsidRPr="001B1F61">
        <w:t xml:space="preserve">Figure </w:t>
      </w:r>
      <w:r w:rsidR="00E6157A">
        <w:rPr>
          <w:noProof/>
        </w:rPr>
        <w:t>4.10</w:t>
      </w:r>
      <w:r w:rsidRPr="00857730">
        <w:rPr>
          <w:color w:val="000000" w:themeColor="text1"/>
        </w:rPr>
        <w:fldChar w:fldCharType="end"/>
      </w:r>
      <w:r>
        <w:rPr>
          <w:color w:val="000000" w:themeColor="text1"/>
        </w:rPr>
        <w:t xml:space="preserve"> is that the thickness of the new batch of Euroskin was very similar to that </w:t>
      </w:r>
      <w:r w:rsidRPr="00784EC6">
        <w:rPr>
          <w:color w:val="000000" w:themeColor="text1"/>
        </w:rPr>
        <w:t xml:space="preserve">used in </w:t>
      </w:r>
      <w:r w:rsidRPr="00784EC6">
        <w:rPr>
          <w:color w:val="000000" w:themeColor="text1"/>
        </w:rPr>
        <w:fldChar w:fldCharType="begin"/>
      </w:r>
      <w:r w:rsidRPr="00784EC6">
        <w:rPr>
          <w:color w:val="000000" w:themeColor="text1"/>
        </w:rPr>
        <w:instrText xml:space="preserve"> REF _Ref521072854 \h  \* MERGEFORMAT </w:instrText>
      </w:r>
      <w:r w:rsidRPr="00784EC6">
        <w:rPr>
          <w:color w:val="000000" w:themeColor="text1"/>
        </w:rPr>
      </w:r>
      <w:r w:rsidRPr="00784EC6">
        <w:rPr>
          <w:color w:val="000000" w:themeColor="text1"/>
        </w:rPr>
        <w:fldChar w:fldCharType="separate"/>
      </w:r>
      <w:r w:rsidR="00E6157A" w:rsidRPr="001B1F61">
        <w:t xml:space="preserve">Figure </w:t>
      </w:r>
      <w:r w:rsidR="00E6157A">
        <w:rPr>
          <w:noProof/>
        </w:rPr>
        <w:t>4.9</w:t>
      </w:r>
      <w:r w:rsidRPr="00784EC6">
        <w:rPr>
          <w:color w:val="000000" w:themeColor="text1"/>
        </w:rPr>
        <w:fldChar w:fldCharType="end"/>
      </w:r>
      <w:r w:rsidRPr="00784EC6">
        <w:rPr>
          <w:color w:val="000000" w:themeColor="text1"/>
        </w:rPr>
        <w:t>, (</w:t>
      </w:r>
      <w:r>
        <w:rPr>
          <w:color w:val="000000" w:themeColor="text1"/>
        </w:rPr>
        <w:t xml:space="preserve">260 µm compared to 250 µm, respectively). Therefore, it is unlikely that differences in the degree of contraction between </w:t>
      </w:r>
      <w:r w:rsidRPr="008045D4">
        <w:rPr>
          <w:color w:val="000000" w:themeColor="text1"/>
        </w:rPr>
        <w:t xml:space="preserve">these two experiments </w:t>
      </w:r>
      <w:r>
        <w:rPr>
          <w:color w:val="000000" w:themeColor="text1"/>
        </w:rPr>
        <w:t>were</w:t>
      </w:r>
      <w:r w:rsidRPr="008045D4">
        <w:rPr>
          <w:color w:val="000000" w:themeColor="text1"/>
        </w:rPr>
        <w:t xml:space="preserve"> due to the thickness of the </w:t>
      </w:r>
      <w:r>
        <w:rPr>
          <w:color w:val="000000" w:themeColor="text1"/>
        </w:rPr>
        <w:t xml:space="preserve">TES </w:t>
      </w:r>
      <w:r w:rsidRPr="008045D4">
        <w:rPr>
          <w:color w:val="000000" w:themeColor="text1"/>
        </w:rPr>
        <w:t xml:space="preserve">composite. </w:t>
      </w:r>
    </w:p>
    <w:p w14:paraId="540AE013" w14:textId="77777777" w:rsidR="00C0659D" w:rsidRPr="00857730" w:rsidRDefault="00C0659D" w:rsidP="00C0659D">
      <w:pPr>
        <w:rPr>
          <w:color w:val="000000" w:themeColor="text1"/>
        </w:rPr>
      </w:pPr>
    </w:p>
    <w:p w14:paraId="4043118B" w14:textId="77777777" w:rsidR="00C0659D" w:rsidRDefault="00C0659D" w:rsidP="00C0659D">
      <w:pPr>
        <w:keepNext/>
      </w:pPr>
      <w:r w:rsidRPr="00E54518">
        <w:rPr>
          <w:noProof/>
          <w:lang w:val="en-US"/>
        </w:rPr>
        <w:drawing>
          <wp:inline distT="0" distB="0" distL="0" distR="0" wp14:anchorId="19B9C817" wp14:editId="073DCD3C">
            <wp:extent cx="5201920" cy="2383155"/>
            <wp:effectExtent l="0" t="0" r="508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01920" cy="2383155"/>
                    </a:xfrm>
                    <a:prstGeom prst="rect">
                      <a:avLst/>
                    </a:prstGeom>
                  </pic:spPr>
                </pic:pic>
              </a:graphicData>
            </a:graphic>
          </wp:inline>
        </w:drawing>
      </w:r>
    </w:p>
    <w:p w14:paraId="6804D6C3" w14:textId="66F097ED" w:rsidR="00C0659D" w:rsidRPr="005D2C0B" w:rsidRDefault="00C0659D" w:rsidP="005D2C0B">
      <w:pPr>
        <w:pStyle w:val="Caption"/>
        <w:jc w:val="both"/>
        <w:rPr>
          <w:b w:val="0"/>
        </w:rPr>
      </w:pPr>
      <w:bookmarkStart w:id="258" w:name="_Ref521072554"/>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10</w:t>
      </w:r>
      <w:r w:rsidR="00BE21E4">
        <w:rPr>
          <w:noProof/>
        </w:rPr>
        <w:fldChar w:fldCharType="end"/>
      </w:r>
      <w:bookmarkEnd w:id="258"/>
      <w:r w:rsidRPr="001B1F61">
        <w:t xml:space="preserve">. A) </w:t>
      </w:r>
      <w:r w:rsidRPr="005D2C0B">
        <w:rPr>
          <w:b w:val="0"/>
        </w:rPr>
        <w:t>Surface area, expressed as a percentage of surface area at day 0, of tissue</w:t>
      </w:r>
      <w:r w:rsidR="009352BF">
        <w:rPr>
          <w:b w:val="0"/>
        </w:rPr>
        <w:t>-</w:t>
      </w:r>
      <w:r w:rsidRPr="005D2C0B">
        <w:rPr>
          <w:b w:val="0"/>
        </w:rPr>
        <w:t xml:space="preserve">engineered skin (TES) composites of Euroskin, cultured at an air-liquid interface (ALI) for 28 days. Samples were prepared in triplicate. Results are expressed as mean ± standard deviation. </w:t>
      </w:r>
      <w:r w:rsidRPr="005D2C0B">
        <w:t>B)</w:t>
      </w:r>
      <w:r w:rsidRPr="005D2C0B">
        <w:rPr>
          <w:b w:val="0"/>
        </w:rPr>
        <w:t xml:space="preserve"> Images of untreated composite and composite treated with 200 µg/mL </w:t>
      </w:r>
      <w:r w:rsidRPr="005D2C0B">
        <w:rPr>
          <w:b w:val="0"/>
        </w:rPr>
        <w:sym w:font="Symbol" w:char="F062"/>
      </w:r>
      <w:r w:rsidRPr="005D2C0B">
        <w:rPr>
          <w:b w:val="0"/>
        </w:rPr>
        <w:t>-APN on day 0 and day 28. Scale bar 10 mm.</w:t>
      </w:r>
    </w:p>
    <w:p w14:paraId="1CAFEBCE" w14:textId="479E28CB" w:rsidR="00C0659D" w:rsidRDefault="00C0659D" w:rsidP="00C0659D">
      <w:pPr>
        <w:rPr>
          <w:color w:val="FF0000"/>
        </w:rPr>
      </w:pPr>
      <w:r>
        <w:t xml:space="preserve">To try and gain an understanding as to why treatment with </w:t>
      </w:r>
      <w:r>
        <w:sym w:font="Symbol" w:char="F062"/>
      </w:r>
      <w:r>
        <w:t>-</w:t>
      </w:r>
      <w:r w:rsidRPr="004416E6">
        <w:rPr>
          <w:color w:val="000000" w:themeColor="text1"/>
        </w:rPr>
        <w:t>APN</w:t>
      </w:r>
      <w:r>
        <w:rPr>
          <w:color w:val="000000" w:themeColor="text1"/>
        </w:rPr>
        <w:t xml:space="preserve"> had no effect on contraction using this new batch of Euroskin, </w:t>
      </w:r>
      <w:r>
        <w:t xml:space="preserve">histological analysis was used to investigate the cellular distribution in the composites </w:t>
      </w:r>
      <w:r w:rsidR="00A0623A">
        <w:t>(</w:t>
      </w:r>
      <w:r>
        <w:fldChar w:fldCharType="begin"/>
      </w:r>
      <w:r>
        <w:instrText xml:space="preserve"> REF _Ref522363808 \h </w:instrText>
      </w:r>
      <w:r>
        <w:fldChar w:fldCharType="separate"/>
      </w:r>
      <w:r w:rsidR="00E6157A">
        <w:t xml:space="preserve">Figure </w:t>
      </w:r>
      <w:r w:rsidR="00E6157A">
        <w:rPr>
          <w:noProof/>
        </w:rPr>
        <w:t>4</w:t>
      </w:r>
      <w:r w:rsidR="00E6157A">
        <w:t>.</w:t>
      </w:r>
      <w:r w:rsidR="00E6157A">
        <w:rPr>
          <w:noProof/>
        </w:rPr>
        <w:t>11</w:t>
      </w:r>
      <w:r>
        <w:fldChar w:fldCharType="end"/>
      </w:r>
      <w:r w:rsidR="00A0623A">
        <w:t>)</w:t>
      </w:r>
      <w:r>
        <w:t>.</w:t>
      </w:r>
    </w:p>
    <w:p w14:paraId="23F60612" w14:textId="77777777" w:rsidR="00C0659D" w:rsidRDefault="00C0659D" w:rsidP="00C0659D">
      <w:pPr>
        <w:keepNext/>
        <w:jc w:val="center"/>
      </w:pPr>
      <w:r>
        <w:rPr>
          <w:noProof/>
          <w:lang w:val="en-US"/>
        </w:rPr>
        <w:lastRenderedPageBreak/>
        <w:drawing>
          <wp:inline distT="0" distB="0" distL="0" distR="0" wp14:anchorId="68F73715" wp14:editId="6F091AFC">
            <wp:extent cx="4582633" cy="2947497"/>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48_Histology.png"/>
                    <pic:cNvPicPr/>
                  </pic:nvPicPr>
                  <pic:blipFill>
                    <a:blip r:embed="rId56">
                      <a:extLst>
                        <a:ext uri="{28A0092B-C50C-407E-A947-70E740481C1C}">
                          <a14:useLocalDpi xmlns:a14="http://schemas.microsoft.com/office/drawing/2010/main" val="0"/>
                        </a:ext>
                      </a:extLst>
                    </a:blip>
                    <a:stretch>
                      <a:fillRect/>
                    </a:stretch>
                  </pic:blipFill>
                  <pic:spPr>
                    <a:xfrm>
                      <a:off x="0" y="0"/>
                      <a:ext cx="4591608" cy="2953270"/>
                    </a:xfrm>
                    <a:prstGeom prst="rect">
                      <a:avLst/>
                    </a:prstGeom>
                  </pic:spPr>
                </pic:pic>
              </a:graphicData>
            </a:graphic>
          </wp:inline>
        </w:drawing>
      </w:r>
    </w:p>
    <w:p w14:paraId="305397EA" w14:textId="74506FD6" w:rsidR="00C0659D" w:rsidRDefault="00C0659D" w:rsidP="005D2C0B">
      <w:pPr>
        <w:pStyle w:val="Caption"/>
        <w:jc w:val="both"/>
        <w:rPr>
          <w:color w:val="FF0000"/>
        </w:rPr>
      </w:pPr>
      <w:bookmarkStart w:id="259" w:name="_Ref522363808"/>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11</w:t>
      </w:r>
      <w:r w:rsidR="00BE21E4">
        <w:rPr>
          <w:noProof/>
        </w:rPr>
        <w:fldChar w:fldCharType="end"/>
      </w:r>
      <w:bookmarkEnd w:id="259"/>
      <w:r>
        <w:t xml:space="preserve">. </w:t>
      </w:r>
      <w:r w:rsidRPr="005D2C0B">
        <w:rPr>
          <w:b w:val="0"/>
        </w:rPr>
        <w:t>Histology of tissue</w:t>
      </w:r>
      <w:r w:rsidR="009352BF">
        <w:rPr>
          <w:b w:val="0"/>
        </w:rPr>
        <w:t>-</w:t>
      </w:r>
      <w:r w:rsidRPr="005D2C0B">
        <w:rPr>
          <w:b w:val="0"/>
        </w:rPr>
        <w:t xml:space="preserve">engineered skin (TES) composites after 28 days in culture. </w:t>
      </w:r>
      <w:r w:rsidRPr="005D2C0B">
        <w:t>A)</w:t>
      </w:r>
      <w:r w:rsidRPr="005D2C0B">
        <w:rPr>
          <w:b w:val="0"/>
        </w:rPr>
        <w:t xml:space="preserve"> Untreated TES composite cultured in Green’s media and </w:t>
      </w:r>
      <w:r w:rsidRPr="005D2C0B">
        <w:t xml:space="preserve">B) </w:t>
      </w:r>
      <w:r w:rsidRPr="005D2C0B">
        <w:rPr>
          <w:b w:val="0"/>
        </w:rPr>
        <w:t xml:space="preserve">composite treated with 200 µg/mL </w:t>
      </w:r>
      <w:r w:rsidRPr="005D2C0B">
        <w:rPr>
          <w:b w:val="0"/>
        </w:rPr>
        <w:sym w:font="Symbol" w:char="F062"/>
      </w:r>
      <w:r w:rsidRPr="005D2C0B">
        <w:rPr>
          <w:b w:val="0"/>
        </w:rPr>
        <w:noBreakHyphen/>
        <w:t>APN. H&amp;E staining, scale bar 0.1 mm.</w:t>
      </w:r>
      <w:r>
        <w:t xml:space="preserve"> </w:t>
      </w:r>
    </w:p>
    <w:p w14:paraId="11F7A867" w14:textId="26FDE0C3" w:rsidR="00C0659D" w:rsidRPr="0080286A" w:rsidRDefault="00C0659D" w:rsidP="00C0659D">
      <w:pPr>
        <w:rPr>
          <w:color w:val="000000" w:themeColor="text1"/>
        </w:rPr>
      </w:pPr>
      <w:r>
        <w:t>Histological analysis of the tissue displa</w:t>
      </w:r>
      <w:r w:rsidRPr="009F10FC">
        <w:rPr>
          <w:color w:val="000000" w:themeColor="text1"/>
        </w:rPr>
        <w:t xml:space="preserve">yed an obvious separation between the newly formed epithelium and the dermis, suggesting poor attachment of the keratinocytes </w:t>
      </w:r>
      <w:r w:rsidRPr="00661A8E">
        <w:rPr>
          <w:color w:val="000000" w:themeColor="text1"/>
        </w:rPr>
        <w:t>to the basement membrane</w:t>
      </w:r>
      <w:r>
        <w:rPr>
          <w:color w:val="000000" w:themeColor="text1"/>
        </w:rPr>
        <w:t xml:space="preserve"> (BM)</w:t>
      </w:r>
      <w:r w:rsidRPr="00661A8E">
        <w:rPr>
          <w:color w:val="000000" w:themeColor="text1"/>
        </w:rPr>
        <w:t xml:space="preserve">. This was evident for both the control and treated samples, indicating that the lack of cell attachment was not due to treatment with </w:t>
      </w:r>
      <w:r w:rsidRPr="00661A8E">
        <w:rPr>
          <w:color w:val="000000" w:themeColor="text1"/>
        </w:rPr>
        <w:sym w:font="Symbol" w:char="F062"/>
      </w:r>
      <w:r w:rsidRPr="00661A8E">
        <w:rPr>
          <w:color w:val="000000" w:themeColor="text1"/>
        </w:rPr>
        <w:noBreakHyphen/>
        <w:t>APN.</w:t>
      </w:r>
      <w:r w:rsidRPr="006F25FF">
        <w:rPr>
          <w:color w:val="000000" w:themeColor="text1"/>
        </w:rPr>
        <w:t xml:space="preserve"> </w:t>
      </w:r>
      <w:r w:rsidRPr="00661A8E">
        <w:rPr>
          <w:color w:val="000000" w:themeColor="text1"/>
        </w:rPr>
        <w:t xml:space="preserve">It is possible that this </w:t>
      </w:r>
      <w:r>
        <w:rPr>
          <w:color w:val="000000" w:themeColor="text1"/>
        </w:rPr>
        <w:t>separation between the epidermal</w:t>
      </w:r>
      <w:r w:rsidRPr="00661A8E">
        <w:rPr>
          <w:color w:val="000000" w:themeColor="text1"/>
        </w:rPr>
        <w:t xml:space="preserve"> and dermal layer</w:t>
      </w:r>
      <w:r>
        <w:rPr>
          <w:color w:val="000000" w:themeColor="text1"/>
        </w:rPr>
        <w:t>s</w:t>
      </w:r>
      <w:r w:rsidRPr="00661A8E">
        <w:rPr>
          <w:color w:val="000000" w:themeColor="text1"/>
        </w:rPr>
        <w:t xml:space="preserve"> </w:t>
      </w:r>
      <w:r>
        <w:rPr>
          <w:color w:val="000000" w:themeColor="text1"/>
        </w:rPr>
        <w:t xml:space="preserve">was due to the tissue </w:t>
      </w:r>
      <w:r w:rsidRPr="00661A8E">
        <w:rPr>
          <w:color w:val="000000" w:themeColor="text1"/>
        </w:rPr>
        <w:t>processing for histological analysis, however it implies that the two layers were not well attached</w:t>
      </w:r>
      <w:r>
        <w:rPr>
          <w:color w:val="000000" w:themeColor="text1"/>
        </w:rPr>
        <w:t xml:space="preserve"> initially</w:t>
      </w:r>
      <w:r w:rsidRPr="00661A8E">
        <w:rPr>
          <w:color w:val="000000" w:themeColor="text1"/>
        </w:rPr>
        <w:t>.</w:t>
      </w:r>
      <w:r>
        <w:rPr>
          <w:color w:val="000000" w:themeColor="text1"/>
        </w:rPr>
        <w:t xml:space="preserve"> Previous work has suggested that the ability of the epithelial layer to adhere to the underlying dermis in reconstructed skin relies on the presence of an intact BM.</w:t>
      </w:r>
      <w:r>
        <w:rPr>
          <w:color w:val="000000" w:themeColor="text1"/>
        </w:rPr>
        <w:fldChar w:fldCharType="begin" w:fldLock="1"/>
      </w:r>
      <w:r w:rsidR="00DB1BCE">
        <w:rPr>
          <w:color w:val="000000" w:themeColor="text1"/>
        </w:rPr>
        <w:instrText>ADDIN CSL_CITATION {"citationItems":[{"id":"ITEM-1","itemData":{"ISSN":"0022-202X","PMID":"2475548","abstract":"To test the role of basement membrane in differentiation of human epidermis reconstituted on human dermis, we prepared dermis with and without basement membrane and cultured epidermal cells on these two dermal substrata. The absence of basement membrane components was confirmed by immunofluorescence staining for laminin and type IV collagen and by electron microscopy. A high degree of differentiation of reconstituted epidermis did not require basement membrane as shown by the development of basal, spinous, and granular cell layers, and synthesis of 58 and 65-67 kDa keratins when epidermis was attached directly to dermis. On the other hand, we found that the basement membrane regulated the adhesive interaction between the epidermis and dermis. On dermis with basement membrane, attached epidermal cells formed hemidesmosomes and mechanically stable bonding. In the absence of basement membrane, the epidermal cells did not form hemidesmosomes, and bonding between the epidermis and dermis was unstable. Moreover, dermis from which the basement membrane was removed was reorganized by the epidermal cell layer.","author":[{"dropping-particle":"","family":"Guo","given":"M","non-dropping-particle":"","parse-names":false,"suffix":""},{"dropping-particle":"","family":"Grinnell","given":"F","non-dropping-particle":"","parse-names":false,"suffix":""}],"container-title":"The Journal of investigative dermatology","id":"ITEM-1","issue":"3","issued":{"date-parts":[["1989"]]},"page":"372-8","title":"Basement membrane and human epidermal differentiation in vitro.","type":"article-journal","volume":"93"},"uris":["http://www.mendeley.com/documents/?uuid=3b9b8104-4c7b-4411-aa51-2f3c64d02bf2"]}],"mendeley":{"formattedCitation":"&lt;sup&gt;252&lt;/sup&gt;","plainTextFormattedCitation":"252","previouslyFormattedCitation":"&lt;sup&gt;251&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252</w:t>
      </w:r>
      <w:r>
        <w:rPr>
          <w:color w:val="000000" w:themeColor="text1"/>
        </w:rPr>
        <w:fldChar w:fldCharType="end"/>
      </w:r>
      <w:r>
        <w:rPr>
          <w:color w:val="000000" w:themeColor="text1"/>
        </w:rPr>
        <w:t xml:space="preserve"> Similar findings were reported by Ralston </w:t>
      </w:r>
      <w:r>
        <w:rPr>
          <w:i/>
          <w:color w:val="000000" w:themeColor="text1"/>
        </w:rPr>
        <w:t>et </w:t>
      </w:r>
      <w:r w:rsidRPr="003F196B">
        <w:rPr>
          <w:i/>
          <w:color w:val="000000" w:themeColor="text1"/>
        </w:rPr>
        <w:t>al</w:t>
      </w:r>
      <w:r>
        <w:rPr>
          <w:color w:val="000000" w:themeColor="text1"/>
        </w:rPr>
        <w:t>., who demonstrated that epithelial cell attachment increased when BM antigens (such as collagen IV and laminin) were present in the dermal component used to construct the tissue</w:t>
      </w:r>
      <w:r w:rsidR="009352BF">
        <w:rPr>
          <w:color w:val="000000" w:themeColor="text1"/>
        </w:rPr>
        <w:t>-</w:t>
      </w:r>
      <w:r>
        <w:rPr>
          <w:color w:val="000000" w:themeColor="text1"/>
        </w:rPr>
        <w:t>engineered skin.</w:t>
      </w:r>
      <w:r>
        <w:rPr>
          <w:color w:val="000000" w:themeColor="text1"/>
        </w:rPr>
        <w:fldChar w:fldCharType="begin" w:fldLock="1"/>
      </w:r>
      <w:r w:rsidR="00DB1BCE">
        <w:rPr>
          <w:color w:val="000000" w:themeColor="text1"/>
        </w:rPr>
        <w:instrText>ADDIN CSL_CITATION {"citationItems":[{"id":"ITEM-1","itemData":{"author":[{"dropping-particle":"","family":"Ralston","given":"D R","non-dropping-particle":"","parse-names":false,"suffix":""},{"dropping-particle":"","family":"Layton","given":"C","non-dropping-particle":"","parse-names":false,"suffix":""},{"dropping-particle":"","family":"Dalley","given":"A J","non-dropping-particle":"","parse-names":false,"suffix":""},{"dropping-particle":"","family":"Boyce","given":"S G","non-dropping-particle":"","parse-names":false,"suffix":""},{"dropping-particle":"","family":"Freedlander","given":"E","non-dropping-particle":"","parse-names":false,"suffix":""},{"dropping-particle":"","family":"Neil","given":"S M A C","non-dropping-particle":"","parse-names":false,"suffix":""}],"container-title":"British Journal of Dermatology","id":"ITEM-1","issued":{"date-parts":[["1999"]]},"page":"605-615","title":"The requirement for basement membrane antigens in the production of human epidermal / dermal composites in vitro","type":"article-journal","volume":"140"},"uris":["http://www.mendeley.com/documents/?uuid=ec0dadbd-86e5-4d38-ac4d-ebdc9af9ccd4"]}],"mendeley":{"formattedCitation":"&lt;sup&gt;253&lt;/sup&gt;","plainTextFormattedCitation":"253","previouslyFormattedCitation":"&lt;sup&gt;252&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253</w:t>
      </w:r>
      <w:r>
        <w:rPr>
          <w:color w:val="000000" w:themeColor="text1"/>
        </w:rPr>
        <w:fldChar w:fldCharType="end"/>
      </w:r>
      <w:r>
        <w:rPr>
          <w:color w:val="000000" w:themeColor="text1"/>
        </w:rPr>
        <w:t xml:space="preserve"> In this work they noted that in the absence of BM antigens, 70 % of TES samples became detached at the epidermal/dermal junction during tissue processing, compared to 30 % of samples with an intact BM. Deshpande </w:t>
      </w:r>
      <w:r w:rsidRPr="003F196B">
        <w:rPr>
          <w:i/>
          <w:color w:val="000000" w:themeColor="text1"/>
        </w:rPr>
        <w:t>et al</w:t>
      </w:r>
      <w:r>
        <w:rPr>
          <w:color w:val="000000" w:themeColor="text1"/>
        </w:rPr>
        <w:t>. analysed how the quality of TES,</w:t>
      </w:r>
      <w:r w:rsidRPr="0080286A">
        <w:rPr>
          <w:color w:val="000000" w:themeColor="text1"/>
        </w:rPr>
        <w:t xml:space="preserve"> </w:t>
      </w:r>
      <w:r>
        <w:rPr>
          <w:color w:val="000000" w:themeColor="text1"/>
        </w:rPr>
        <w:t>specifically constructed using Euroskin, was altered when combinations of fibroblasts, keratinocytes and BM antigens were present.</w:t>
      </w:r>
      <w:r>
        <w:rPr>
          <w:color w:val="000000" w:themeColor="text1"/>
        </w:rPr>
        <w:fldChar w:fldCharType="begin" w:fldLock="1"/>
      </w:r>
      <w:r w:rsidR="00DB1BCE">
        <w:rPr>
          <w:color w:val="000000" w:themeColor="text1"/>
        </w:rPr>
        <w:instrText>ADDIN CSL_CITATION {"citationItems":[{"id":"ITEM-1","itemData":{"DOI":"10.1016/j.burns.2013.02.011","ISSN":"03054179","PMID":"23597846","abstract":"Over the past two decades a range of 3D models for human skin have been described. Some include native collagen and intrinsic basement membrane proteins and fibroblasts, others are based on xenogeneic collagen or synthetic supports often without fibroblasts. The aim of this study was to look at the influence of media calcium, basement membrane and fibroblasts on the quality of 3D tissue engineered skin produced using human de-epidermized acellular dermis. In this study we deliberately used Euro skin as the source of the donor dermis to examine to what extent this could provide an effective dermal substrate for producing 3D skin for clinical use. Keratinocytes were cultured in the presence and absence of fibroblasts and both with and without basement membrane on decellularized dermis at calcium concentrations ranging from 250 μM to 1.6 mM over a period of 14 days. Results showed the formation of a well attached epithelium with many of the features of normal skin in the presence of a basement membrane. This was largely independent of the presence of fibroblasts and not greatly influenced by the concentration of calcium in the media. However there was a clear requirement for physiological levels of calcium in the formation of a stratified epithelium in the absence of a basement membrane. © 2013 Elsevier Ltd and ISBI. All rights reserved.","author":[{"dropping-particle":"","family":"Deshpande","given":"P.","non-dropping-particle":"","parse-names":false,"suffix":""},{"dropping-particle":"","family":"Ralston","given":"D. R.","non-dropping-particle":"","parse-names":false,"suffix":""},{"dropping-particle":"","family":"Macneil","given":"S.","non-dropping-particle":"","parse-names":false,"suffix":""}],"container-title":"Burns","id":"ITEM-1","issue":"6","issued":{"date-parts":[["2013"]]},"page":"1170-1177","publisher":"Elsevier Ltd and International Society of Burns Injuries","title":"The use of allodermis prepared from Euro skin bank to prepare autologous tissue engineered skin for clinical use","type":"article-journal","volume":"39"},"uris":["http://www.mendeley.com/documents/?uuid=053b4aa9-4a56-43e9-b862-067936f4504c"]}],"mendeley":{"formattedCitation":"&lt;sup&gt;251&lt;/sup&gt;","plainTextFormattedCitation":"251","previouslyFormattedCitation":"&lt;sup&gt;250&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251</w:t>
      </w:r>
      <w:r>
        <w:rPr>
          <w:color w:val="000000" w:themeColor="text1"/>
        </w:rPr>
        <w:fldChar w:fldCharType="end"/>
      </w:r>
      <w:r>
        <w:rPr>
          <w:color w:val="000000" w:themeColor="text1"/>
        </w:rPr>
        <w:t xml:space="preserve"> They concluded that all three components (fibroblasts, keratinocytes and BM antigens) were </w:t>
      </w:r>
      <w:r w:rsidRPr="0080286A">
        <w:rPr>
          <w:color w:val="000000" w:themeColor="text1"/>
        </w:rPr>
        <w:t xml:space="preserve">required to obtain high-quality TES, with a well-attached epithelial layer. </w:t>
      </w:r>
    </w:p>
    <w:p w14:paraId="65043A54" w14:textId="77777777" w:rsidR="00C0659D" w:rsidRPr="0080286A" w:rsidRDefault="00C0659D" w:rsidP="00C0659D">
      <w:pPr>
        <w:rPr>
          <w:color w:val="000000" w:themeColor="text1"/>
        </w:rPr>
      </w:pPr>
      <w:r w:rsidRPr="0080286A">
        <w:rPr>
          <w:color w:val="000000" w:themeColor="text1"/>
        </w:rPr>
        <w:lastRenderedPageBreak/>
        <w:t>Taken together, it is likely that the separation observed between the epidermal and dermal layers of the TES composites in this work was due to lack of epithelial cell adhesion, resulting from a poor basement membrane. To investigate this further, immunohistochemical staining should be carried out to detect the presence, or absence, of key BM antigens such as collagen IV and laminin.</w:t>
      </w:r>
    </w:p>
    <w:p w14:paraId="6E3E8A38" w14:textId="77777777" w:rsidR="00C0659D" w:rsidRPr="00CE4D08" w:rsidRDefault="00C0659D" w:rsidP="00C0659D">
      <w:pPr>
        <w:rPr>
          <w:color w:val="000000" w:themeColor="text1"/>
        </w:rPr>
      </w:pPr>
      <w:r w:rsidRPr="00CE4D08">
        <w:rPr>
          <w:color w:val="000000" w:themeColor="text1"/>
        </w:rPr>
        <w:t xml:space="preserve">Whilst the poor attachment of the epidermis to the dermal layer of the composites is a concern, it doesn’t fully explain why treatment with </w:t>
      </w:r>
      <w:r w:rsidRPr="00CE4D08">
        <w:rPr>
          <w:color w:val="000000" w:themeColor="text1"/>
        </w:rPr>
        <w:sym w:font="Symbol" w:char="F062"/>
      </w:r>
      <w:r w:rsidRPr="00CE4D08">
        <w:rPr>
          <w:color w:val="000000" w:themeColor="text1"/>
        </w:rPr>
        <w:noBreakHyphen/>
        <w:t xml:space="preserve">APN was unable to inhibit contraction. This clearly warrants further investigation. </w:t>
      </w:r>
    </w:p>
    <w:p w14:paraId="70498126" w14:textId="77777777" w:rsidR="00C0659D" w:rsidRPr="00C0659D" w:rsidRDefault="00C0659D" w:rsidP="00C0659D">
      <w:pPr>
        <w:pStyle w:val="Heading3"/>
      </w:pPr>
      <w:bookmarkStart w:id="260" w:name="_Toc2451060"/>
      <w:r w:rsidRPr="00C0659D">
        <w:t>Discussion of TES composite model of contraction</w:t>
      </w:r>
      <w:bookmarkEnd w:id="260"/>
    </w:p>
    <w:p w14:paraId="4EEC83EB" w14:textId="285B6864" w:rsidR="00C0659D" w:rsidRDefault="00C0659D" w:rsidP="00C0659D">
      <w:pPr>
        <w:rPr>
          <w:color w:val="000000" w:themeColor="text1"/>
        </w:rPr>
      </w:pPr>
      <w:r>
        <w:rPr>
          <w:color w:val="000000" w:themeColor="text1"/>
        </w:rPr>
        <w:t xml:space="preserve">The initial aim of this work was to test the synthesised prodrugs in an </w:t>
      </w:r>
      <w:r w:rsidRPr="000E4062">
        <w:rPr>
          <w:i/>
          <w:color w:val="000000" w:themeColor="text1"/>
        </w:rPr>
        <w:t>in vitro</w:t>
      </w:r>
      <w:r>
        <w:rPr>
          <w:color w:val="000000" w:themeColor="text1"/>
        </w:rPr>
        <w:t xml:space="preserve"> model of contraction using TES composites. The model was first constructed and tested with </w:t>
      </w:r>
      <w:r w:rsidRPr="000742A7">
        <w:rPr>
          <w:color w:val="000000" w:themeColor="text1"/>
        </w:rPr>
        <w:sym w:font="Symbol" w:char="F062"/>
      </w:r>
      <w:r w:rsidRPr="000742A7">
        <w:rPr>
          <w:color w:val="000000" w:themeColor="text1"/>
        </w:rPr>
        <w:noBreakHyphen/>
        <w:t>APN</w:t>
      </w:r>
      <w:r>
        <w:rPr>
          <w:color w:val="000000" w:themeColor="text1"/>
        </w:rPr>
        <w:t xml:space="preserve">, a compound known to reduce collagen cross-linking by inhibition of LOX. However, inhibition of TES composite contraction by treatment with </w:t>
      </w:r>
      <w:r>
        <w:rPr>
          <w:color w:val="000000" w:themeColor="text1"/>
        </w:rPr>
        <w:sym w:font="Symbol" w:char="F062"/>
      </w:r>
      <w:r>
        <w:rPr>
          <w:color w:val="000000" w:themeColor="text1"/>
        </w:rPr>
        <w:noBreakHyphen/>
        <w:t>APN was not found to be successfully reproducible using this model, despite previous literature supporting this hypothesis.</w:t>
      </w:r>
      <w:r>
        <w:rPr>
          <w:color w:val="000000" w:themeColor="text1"/>
        </w:rPr>
        <w:fldChar w:fldCharType="begin" w:fldLock="1"/>
      </w:r>
      <w:r w:rsidR="00DB1BCE">
        <w:rPr>
          <w:color w:val="000000" w:themeColor="text1"/>
        </w:rPr>
        <w:instrText>ADDIN CSL_CITATION {"citationItems":[{"id":"ITEM-1","itemData":{"DOI":"10.1111/j.1743-6109.2006.00111.x","ISBN":"1067-1927 (Print)\\r1067-1927 (Linking)","ISSN":"10671927","PMID":"16630110","abstract":"To produce a stable epidermis, keratinocytes need to be firmly attached to the basement membrane. However, following wounding, keratinocytes are required to develop a migratory phenotype in order to reepithelialize the wound. To investigate some of the issues underlying reepithelialization, we have developed a three-dimensional in vitro model of tissue-engineered skin, comprising sterilized human dermis seeded with human keratinocytes and dermal fibroblasts. Using this model, we have shown that the inclusion of fibroblasts within the model increases the stability of keratinocyte attachment. We have also demonstrated that keratinocyte migration occurs most effectively in the absence of a basement membrane and following the inclusion of fibroblasts in the model. In addition, subjecting the keratinocyte layer to mechanical trauma induces a migratory phenotype. We conclude that this three-dimensional in vitro wound model can be used to increase our understanding of the factors that enhance keratinocyte migration and hence wound healing in vivo.","author":[{"dropping-particle":"","family":"Harrison","given":"Caroline A.","non-dropping-particle":"","parse-names":false,"suffix":""},{"dropping-particle":"","family":"Heaton","given":"Martin J.","non-dropping-particle":"","parse-names":false,"suffix":""},{"dropping-particle":"","family":"Layton","given":"Christopher M.","non-dropping-particle":"","parse-names":false,"suffix":""},{"dropping-particle":"","family":"Neil","given":"Sheila","non-dropping-particle":"Mac","parse-names":false,"suffix":""}],"container-title":"Wound Repair and Regeneration","id":"ITEM-1","issue":"2","issued":{"date-parts":[["2006"]]},"page":"203-209","title":"Use of an in vitro model of tissue-engineered human skin to study keratinocyte attachment and migration in the process of reepithelialization","type":"article-journal","volume":"14"},"uris":["http://www.mendeley.com/documents/?uuid=88f682fb-7d44-4dd2-974a-09a6fe2caae1"]},{"id":"ITEM-2","itemData":{"DOI":"10.1016/j.eururo.2011.07.045","ISBN":"1873-7560 (Electronic)\\r0302-2838 (Linking)","ISSN":"03022838","PMID":"21803482","abstract":"Background: We previously described the production and clinical outcomes of tissue-engineered buccal mucosa (TEBM) used to treat recurrent urethral strictures. In this study, two patients developed a recurrent stricture and there was also evidence of graft contraction. Objective: Assess possible preclinical methods to reduce contraction of TEBM. Design, setting and participants: Using the model of TEBM in use clinically (ie, oral keratinocytes and fibroblasts cultured on de-epidermised acellular dermal scaffold), three methods of reducing TEBM contraction were investigated in vitro. Interventions: The techniques assessed were pretreatment of de-epidermised dermis (DED) with glutaraldehyde, culture with ??-aminopropionitrile (??-APN; a lysyl oxidase inhibitor), and physical restraint of TEBM grafts during culture. Measurements: Contraction was assessed using serial digital image analysis. The cytotoxicity of the pharmacologic manipulations was assessed using monolayer cultures of oral mucosa cells. Results and limitations: Control TEBM lost a mean of 45.4% of its original surface area over 28 d of culture. Treating TEBM with glutaraldehyde, ??-APN, or mechanical restraint during culture all significantly inhibited graft contraction. Glutaraldehyde treatment was most effective (only 5.5% loss of area with 0.1% glutaraldehyde), followed by mechanical restraint for at least 7 d (21.4% loss of area), and then ??-APN (28.7% loss of area). None of the treatments had any significant effect on cell viability. This in vitro study identifies solutions for graft contracture to explore in the clinic. Conclusions: Glutaraldehyde pretreatment and restraint of TEBM grafts during culture both reduce graft contraction. ?? 2011 European Association of Urology.","author":[{"dropping-particle":"","family":"Patterson","given":"Jacob M.","non-dropping-particle":"","parse-names":false,"suffix":""},{"dropping-particle":"","family":"Bullock","given":"Anthony J.","non-dropping-particle":"","parse-names":false,"suffix":""},{"dropping-particle":"","family":"MacNeil","given":"Sheila","non-dropping-particle":"","parse-names":false,"suffix":""},{"dropping-particle":"","family":"Chapple","given":"Christopher R.","non-dropping-particle":"","parse-names":false,"suffix":""}],"container-title":"European Urology","id":"ITEM-2","issue":"4","issued":{"date-parts":[["2011"]]},"page":"856-861","title":"Methods to reduce the contraction of tissue-engineered buccal mucosa for use in substitution urethroplasty","type":"article-journal","volume":"60"},"uris":["http://www.mendeley.com/documents/?uuid=8269e957-a7b8-4ccc-9547-012ba8c77692"]}],"mendeley":{"formattedCitation":"&lt;sup&gt;243,250&lt;/sup&gt;","plainTextFormattedCitation":"243,250","previouslyFormattedCitation":"&lt;sup&gt;242,249&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243,250</w:t>
      </w:r>
      <w:r>
        <w:rPr>
          <w:color w:val="000000" w:themeColor="text1"/>
        </w:rPr>
        <w:fldChar w:fldCharType="end"/>
      </w:r>
      <w:r>
        <w:rPr>
          <w:color w:val="000000" w:themeColor="text1"/>
        </w:rPr>
        <w:t xml:space="preserve"> Changing the thickness of the DED, the preparation of the compound and the source of DED did not alter this outcome. </w:t>
      </w:r>
    </w:p>
    <w:p w14:paraId="628DA49D" w14:textId="7F83A5FE" w:rsidR="00C0659D" w:rsidRDefault="00C0659D" w:rsidP="00C0659D">
      <w:pPr>
        <w:rPr>
          <w:color w:val="000000" w:themeColor="text1"/>
        </w:rPr>
      </w:pPr>
      <w:r>
        <w:rPr>
          <w:color w:val="000000" w:themeColor="text1"/>
        </w:rPr>
        <w:t>P</w:t>
      </w:r>
      <w:r w:rsidRPr="00426E05">
        <w:rPr>
          <w:color w:val="000000" w:themeColor="text1"/>
        </w:rPr>
        <w:t xml:space="preserve">revious </w:t>
      </w:r>
      <w:r>
        <w:t>work using this model was carried out over a decade ago,</w:t>
      </w:r>
      <w:r>
        <w:fldChar w:fldCharType="begin" w:fldLock="1"/>
      </w:r>
      <w:r w:rsidR="00DB1BCE">
        <w:instrText>ADDIN CSL_CITATION {"citationItems":[{"id":"ITEM-1","itemData":{"DOI":"10.1111/j.1743-6109.2006.00111.x","ISBN":"1067-1927 (Print)\\r1067-1927 (Linking)","ISSN":"10671927","PMID":"16630110","abstract":"To produce a stable epidermis, keratinocytes need to be firmly attached to the basement membrane. However, following wounding, keratinocytes are required to develop a migratory phenotype in order to reepithelialize the wound. To investigate some of the issues underlying reepithelialization, we have developed a three-dimensional in vitro model of tissue-engineered skin, comprising sterilized human dermis seeded with human keratinocytes and dermal fibroblasts. Using this model, we have shown that the inclusion of fibroblasts within the model increases the stability of keratinocyte attachment. We have also demonstrated that keratinocyte migration occurs most effectively in the absence of a basement membrane and following the inclusion of fibroblasts in the model. In addition, subjecting the keratinocyte layer to mechanical trauma induces a migratory phenotype. We conclude that this three-dimensional in vitro wound model can be used to increase our understanding of the factors that enhance keratinocyte migration and hence wound healing in vivo.","author":[{"dropping-particle":"","family":"Harrison","given":"Caroline A.","non-dropping-particle":"","parse-names":false,"suffix":""},{"dropping-particle":"","family":"Heaton","given":"Martin J.","non-dropping-particle":"","parse-names":false,"suffix":""},{"dropping-particle":"","family":"Layton","given":"Christopher M.","non-dropping-particle":"","parse-names":false,"suffix":""},{"dropping-particle":"","family":"Neil","given":"Sheila","non-dropping-particle":"Mac","parse-names":false,"suffix":""}],"container-title":"Wound Repair and Regeneration","id":"ITEM-1","issue":"2","issued":{"date-parts":[["2006"]]},"page":"203-209","title":"Use of an in vitro model of tissue-engineered human skin to study keratinocyte attachment and migration in the process of reepithelialization","type":"article-journal","volume":"14"},"uris":["http://www.mendeley.com/documents/?uuid=88f682fb-7d44-4dd2-974a-09a6fe2caae1"]}],"mendeley":{"formattedCitation":"&lt;sup&gt;243&lt;/sup&gt;","plainTextFormattedCitation":"243","previouslyFormattedCitation":"&lt;sup&gt;242&lt;/sup&gt;"},"properties":{"noteIndex":0},"schema":"https://github.com/citation-style-language/schema/raw/master/csl-citation.json"}</w:instrText>
      </w:r>
      <w:r>
        <w:fldChar w:fldCharType="separate"/>
      </w:r>
      <w:r w:rsidR="00DB1BCE" w:rsidRPr="00DB1BCE">
        <w:rPr>
          <w:noProof/>
          <w:vertAlign w:val="superscript"/>
        </w:rPr>
        <w:t>243</w:t>
      </w:r>
      <w:r>
        <w:fldChar w:fldCharType="end"/>
      </w:r>
      <w:r>
        <w:t xml:space="preserve"> where supply of donor skin was more plentiful, and a skilled plastic surgeon carried out the isolation and preparation of the tissue. As a result, there are likely multiple variables which are outside the control of these </w:t>
      </w:r>
      <w:r w:rsidRPr="0000596F">
        <w:rPr>
          <w:color w:val="000000" w:themeColor="text1"/>
        </w:rPr>
        <w:t>experiments</w:t>
      </w:r>
      <w:r>
        <w:rPr>
          <w:color w:val="000000" w:themeColor="text1"/>
        </w:rPr>
        <w:t>,</w:t>
      </w:r>
      <w:r w:rsidRPr="0000596F">
        <w:rPr>
          <w:color w:val="000000" w:themeColor="text1"/>
        </w:rPr>
        <w:t xml:space="preserve"> </w:t>
      </w:r>
      <w:r>
        <w:rPr>
          <w:color w:val="000000" w:themeColor="text1"/>
        </w:rPr>
        <w:t>that</w:t>
      </w:r>
      <w:r w:rsidRPr="0000596F">
        <w:rPr>
          <w:color w:val="000000" w:themeColor="text1"/>
        </w:rPr>
        <w:t xml:space="preserve"> could have been critical to model success. </w:t>
      </w:r>
      <w:r>
        <w:rPr>
          <w:color w:val="000000" w:themeColor="text1"/>
        </w:rPr>
        <w:t>For example,</w:t>
      </w:r>
      <w:r w:rsidRPr="0000596F">
        <w:rPr>
          <w:color w:val="000000" w:themeColor="text1"/>
        </w:rPr>
        <w:t xml:space="preserve"> the use of primary cells </w:t>
      </w:r>
      <w:r>
        <w:rPr>
          <w:color w:val="000000" w:themeColor="text1"/>
        </w:rPr>
        <w:t xml:space="preserve">and tissue </w:t>
      </w:r>
      <w:r w:rsidRPr="0000596F">
        <w:rPr>
          <w:color w:val="000000" w:themeColor="text1"/>
        </w:rPr>
        <w:t>introduces patient-to-patient variability</w:t>
      </w:r>
      <w:r>
        <w:rPr>
          <w:color w:val="000000" w:themeColor="text1"/>
        </w:rPr>
        <w:t>, with batches of f</w:t>
      </w:r>
      <w:r w:rsidRPr="004E10B4">
        <w:rPr>
          <w:color w:val="000000" w:themeColor="text1"/>
        </w:rPr>
        <w:t>ibroblasts, keratinocytes and primary tissue</w:t>
      </w:r>
      <w:r>
        <w:rPr>
          <w:color w:val="000000" w:themeColor="text1"/>
        </w:rPr>
        <w:t xml:space="preserve"> varying between the experiments</w:t>
      </w:r>
      <w:r w:rsidRPr="0000596F">
        <w:rPr>
          <w:color w:val="000000" w:themeColor="text1"/>
        </w:rPr>
        <w:t xml:space="preserve">. </w:t>
      </w:r>
      <w:r>
        <w:rPr>
          <w:color w:val="000000" w:themeColor="text1"/>
        </w:rPr>
        <w:t>Furthermore, tissue thickness and the donation site of the tissue differed between donors.</w:t>
      </w:r>
      <w:r w:rsidRPr="004E10B4">
        <w:rPr>
          <w:color w:val="000000" w:themeColor="text1"/>
        </w:rPr>
        <w:t xml:space="preserve"> </w:t>
      </w:r>
      <w:r>
        <w:rPr>
          <w:color w:val="000000" w:themeColor="text1"/>
        </w:rPr>
        <w:t>Often only small sections of skin were available, due</w:t>
      </w:r>
      <w:r w:rsidRPr="00A57DDD">
        <w:rPr>
          <w:color w:val="000000" w:themeColor="text1"/>
        </w:rPr>
        <w:t xml:space="preserve"> </w:t>
      </w:r>
      <w:r w:rsidRPr="004E10B4">
        <w:rPr>
          <w:color w:val="000000" w:themeColor="text1"/>
        </w:rPr>
        <w:t>to the nature of the surgery that the donated skin was obtained from</w:t>
      </w:r>
      <w:r>
        <w:rPr>
          <w:color w:val="000000" w:themeColor="text1"/>
        </w:rPr>
        <w:t xml:space="preserve">, </w:t>
      </w:r>
      <w:r w:rsidRPr="004E10B4">
        <w:rPr>
          <w:color w:val="000000" w:themeColor="text1"/>
        </w:rPr>
        <w:t xml:space="preserve">providing enough DED for a single experiment (six </w:t>
      </w:r>
      <w:r w:rsidR="00A0623A">
        <w:rPr>
          <w:color w:val="000000" w:themeColor="text1"/>
        </w:rPr>
        <w:t>samples</w:t>
      </w:r>
      <w:r w:rsidRPr="004E10B4">
        <w:rPr>
          <w:color w:val="000000" w:themeColor="text1"/>
        </w:rPr>
        <w:t xml:space="preserve"> of 2 </w:t>
      </w:r>
      <w:r w:rsidRPr="004E10B4">
        <w:rPr>
          <w:color w:val="000000" w:themeColor="text1"/>
        </w:rPr>
        <w:sym w:font="Symbol" w:char="F0B4"/>
      </w:r>
      <w:r w:rsidRPr="004E10B4">
        <w:rPr>
          <w:color w:val="000000" w:themeColor="text1"/>
        </w:rPr>
        <w:t xml:space="preserve"> 2 cm). </w:t>
      </w:r>
      <w:r>
        <w:rPr>
          <w:color w:val="000000" w:themeColor="text1"/>
        </w:rPr>
        <w:t xml:space="preserve">Therefore, batches of donated DED could not be kept constant between experiments. </w:t>
      </w:r>
    </w:p>
    <w:p w14:paraId="6EF0F77E" w14:textId="6537B9EF" w:rsidR="00C0659D" w:rsidRDefault="00C0659D" w:rsidP="00C0659D">
      <w:pPr>
        <w:rPr>
          <w:color w:val="000000" w:themeColor="text1"/>
        </w:rPr>
      </w:pPr>
      <w:r w:rsidRPr="00BC1A0B">
        <w:rPr>
          <w:color w:val="000000" w:themeColor="text1"/>
        </w:rPr>
        <w:t xml:space="preserve">In retrospect, there are some key areas which could provide insight into how the </w:t>
      </w:r>
      <w:r>
        <w:rPr>
          <w:color w:val="000000" w:themeColor="text1"/>
        </w:rPr>
        <w:t xml:space="preserve">TES composites contract </w:t>
      </w:r>
      <w:r w:rsidRPr="00BC1A0B">
        <w:rPr>
          <w:color w:val="000000" w:themeColor="text1"/>
        </w:rPr>
        <w:t xml:space="preserve">and why treatment with </w:t>
      </w:r>
      <w:r w:rsidRPr="00BC1A0B">
        <w:rPr>
          <w:color w:val="000000" w:themeColor="text1"/>
        </w:rPr>
        <w:sym w:font="Symbol" w:char="F062"/>
      </w:r>
      <w:r w:rsidRPr="00BC1A0B">
        <w:rPr>
          <w:color w:val="000000" w:themeColor="text1"/>
        </w:rPr>
        <w:noBreakHyphen/>
        <w:t>APN</w:t>
      </w:r>
      <w:r>
        <w:rPr>
          <w:color w:val="000000" w:themeColor="text1"/>
        </w:rPr>
        <w:t xml:space="preserve"> had no effect on the degree of contraction. First,</w:t>
      </w:r>
      <w:r w:rsidRPr="0024256E">
        <w:t xml:space="preserve"> </w:t>
      </w:r>
      <w:r>
        <w:t xml:space="preserve">the use of </w:t>
      </w:r>
      <w:r>
        <w:rPr>
          <w:color w:val="000000" w:themeColor="text1"/>
        </w:rPr>
        <w:sym w:font="Symbol" w:char="F062"/>
      </w:r>
      <w:r>
        <w:rPr>
          <w:color w:val="000000" w:themeColor="text1"/>
        </w:rPr>
        <w:noBreakHyphen/>
        <w:t xml:space="preserve">APN to inhibit contraction relies on the hypothesis that </w:t>
      </w:r>
      <w:r w:rsidR="00A0623A">
        <w:rPr>
          <w:color w:val="000000" w:themeColor="text1"/>
        </w:rPr>
        <w:t>LOX</w:t>
      </w:r>
      <w:r>
        <w:rPr>
          <w:color w:val="000000" w:themeColor="text1"/>
        </w:rPr>
        <w:t xml:space="preserve"> is present in the composites and contributing to the irreversible contraction. Several studies have demonstrated the ability of </w:t>
      </w:r>
      <w:r>
        <w:rPr>
          <w:color w:val="000000" w:themeColor="text1"/>
        </w:rPr>
        <w:sym w:font="Symbol" w:char="F062"/>
      </w:r>
      <w:r>
        <w:rPr>
          <w:color w:val="000000" w:themeColor="text1"/>
        </w:rPr>
        <w:noBreakHyphen/>
        <w:t xml:space="preserve">APN to reduce contraction in </w:t>
      </w:r>
      <w:r w:rsidRPr="0024256E">
        <w:rPr>
          <w:i/>
          <w:color w:val="000000" w:themeColor="text1"/>
        </w:rPr>
        <w:t xml:space="preserve">in </w:t>
      </w:r>
      <w:r w:rsidRPr="0024256E">
        <w:rPr>
          <w:i/>
          <w:color w:val="000000" w:themeColor="text1"/>
        </w:rPr>
        <w:lastRenderedPageBreak/>
        <w:t>vitro</w:t>
      </w:r>
      <w:r>
        <w:rPr>
          <w:color w:val="000000" w:themeColor="text1"/>
        </w:rPr>
        <w:t xml:space="preserve"> models,</w:t>
      </w:r>
      <w:r>
        <w:rPr>
          <w:color w:val="000000" w:themeColor="text1"/>
        </w:rPr>
        <w:fldChar w:fldCharType="begin" w:fldLock="1"/>
      </w:r>
      <w:r w:rsidR="00DB1BCE">
        <w:rPr>
          <w:color w:val="000000" w:themeColor="text1"/>
        </w:rPr>
        <w:instrText>ADDIN CSL_CITATION {"citationItems":[{"id":"ITEM-1","itemData":{"DOI":"10.1034/j.1600-0846.2003.00023.x","ISBN":"0909-752X (Print)","ISSN":"0909-752X","PMID":"12877693","abstract":"BACKGROUND/PURPOSE: Fibroblasts are actively and dynamically involved in wound healing (dermal regeneration, wound contraction, and scar contracture) and fibrosis. Fibroblast-seeded collagen gels provide an in vitro model for these processes. Over time, fibroblasts will contract the gels, but the mechanisms are not completely understood. This research investigated the influence of cell density and collagen crosslinking on the contraction of fibroblast-populated gels by varying seeding density and blocking the catalyzing enzyme lysyl oxidase, respectively. METHODS: Collagen gels were seeded with fibroblasts at either 3 x 104 or 1 x 105 cells/mL and incubated with or without the lathyrogen beta-aminoproprionitrile (BAPN) for 8 days. In all, four experimental groups were analyzed: low cell density control, high cell density control, low density plus BAPN, and high density plus BAPN. Digital images were taken daily and gel area was calculated. RESULTS: Contraction was dependent on cell concentration, with higher density gels being contracted to a greater extent. BAPN had no effect until after day 2 when it inhibited (high density) or almost completely blocked (low density) the gel contraction. BAPN also reduced total long-term contraction. CONCLUSION: The results demonstrated a bimodal nature to fibroblast-mediated gel contraction: a cell density-dependent component, most likely mediated through cellular forces, and a delayed collagen crosslinking component that could be blocked by BAPN. In the long-term, similar contraction rates among the four experimental groups, particularly between the two BAPN groups, implies that the collagen crosslinking effect is discrete and independent of cell density.","author":[{"dropping-particle":"","family":"Redden","given":"Robert A","non-dropping-particle":"","parse-names":false,"suffix":""},{"dropping-particle":"","family":"Doolin","given":"Edward J","non-dropping-particle":"","parse-names":false,"suffix":""}],"container-title":"Skin research and technology","id":"ITEM-1","issue":"3","issued":{"date-parts":[["2003"]]},"page":"290-293","title":"Collagen crosslinking and cell density have distinct effects on fibroblast-mediated contraction of collagen gels.","type":"article-journal","volume":"9"},"uris":["http://www.mendeley.com/documents/?uuid=5e3c0ffd-1050-4010-9048-6ee2453708ef"]},{"id":"ITEM-2","itemData":{"DOI":"10.1089/ten.2006.12.ft-241","ISBN":"1076-3279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engineering","id":"ITEM-2","issue":"11","issued":{"date-parts":[["2006"]]},"page":"3119-3133","title":"Use of an in vitro model of tissue-engineered skin to investigate the mechanism of skin graft contraction.","type":"article-journal","volume":"12"},"uris":["http://www.mendeley.com/documents/?uuid=82c31567-d36c-47e7-ace5-41b4c29ae160"]},{"id":"ITEM-3","itemData":{"DOI":"10.1016/j.eururo.2011.07.045","ISBN":"1873-7560 (Electronic)\\r0302-2838 (Linking)","ISSN":"03022838","PMID":"21803482","abstract":"Background: We previously described the production and clinical outcomes of tissue-engineered buccal mucosa (TEBM) used to treat recurrent urethral strictures. In this study, two patients developed a recurrent stricture and there was also evidence of graft contraction. Objective: Assess possible preclinical methods to reduce contraction of TEBM. Design, setting and participants: Using the model of TEBM in use clinically (ie, oral keratinocytes and fibroblasts cultured on de-epidermised acellular dermal scaffold), three methods of reducing TEBM contraction were investigated in vitro. Interventions: The techniques assessed were pretreatment of de-epidermised dermis (DED) with glutaraldehyde, culture with ??-aminopropionitrile (??-APN; a lysyl oxidase inhibitor), and physical restraint of TEBM grafts during culture. Measurements: Contraction was assessed using serial digital image analysis. The cytotoxicity of the pharmacologic manipulations was assessed using monolayer cultures of oral mucosa cells. Results and limitations: Control TEBM lost a mean of 45.4% of its original surface area over 28 d of culture. Treating TEBM with glutaraldehyde, ??-APN, or mechanical restraint during culture all significantly inhibited graft contraction. Glutaraldehyde treatment was most effective (only 5.5% loss of area with 0.1% glutaraldehyde), followed by mechanical restraint for at least 7 d (21.4% loss of area), and then ??-APN (28.7% loss of area). None of the treatments had any significant effect on cell viability. This in vitro study identifies solutions for graft contracture to explore in the clinic. Conclusions: Glutaraldehyde pretreatment and restraint of TEBM grafts during culture both reduce graft contraction. ?? 2011 European Association of Urology.","author":[{"dropping-particle":"","family":"Patterson","given":"Jacob M.","non-dropping-particle":"","parse-names":false,"suffix":""},{"dropping-particle":"","family":"Bullock","given":"Anthony J.","non-dropping-particle":"","parse-names":false,"suffix":""},{"dropping-particle":"","family":"MacNeil","given":"Sheila","non-dropping-particle":"","parse-names":false,"suffix":""},{"dropping-particle":"","family":"Chapple","given":"Christopher R.","non-dropping-particle":"","parse-names":false,"suffix":""}],"container-title":"European Urology","id":"ITEM-3","issue":"4","issued":{"date-parts":[["2011"]]},"page":"856-861","title":"Methods to reduce the contraction of tissue-engineered buccal mucosa for use in substitution urethroplasty","type":"article-journal","volume":"60"},"uris":["http://www.mendeley.com/documents/?uuid=8269e957-a7b8-4ccc-9547-012ba8c77692"]}],"mendeley":{"formattedCitation":"&lt;sup&gt;78,79,250&lt;/sup&gt;","plainTextFormattedCitation":"78,79,250","previouslyFormattedCitation":"&lt;sup&gt;78,79,249&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78,79,250</w:t>
      </w:r>
      <w:r>
        <w:rPr>
          <w:color w:val="000000" w:themeColor="text1"/>
        </w:rPr>
        <w:fldChar w:fldCharType="end"/>
      </w:r>
      <w:r>
        <w:rPr>
          <w:color w:val="000000" w:themeColor="text1"/>
        </w:rPr>
        <w:t xml:space="preserve"> however these studies did not specifically identify the presence of LOX. It is already known that skin fibroblasts are able to produce LOX in 2D culture, demonstrated by the work by Layman </w:t>
      </w:r>
      <w:r w:rsidRPr="00284ACF">
        <w:rPr>
          <w:i/>
          <w:color w:val="000000" w:themeColor="text1"/>
        </w:rPr>
        <w:t>et al</w:t>
      </w:r>
      <w:r>
        <w:rPr>
          <w:color w:val="000000" w:themeColor="text1"/>
        </w:rPr>
        <w:t>.</w:t>
      </w:r>
      <w:r>
        <w:rPr>
          <w:color w:val="000000" w:themeColor="text1"/>
        </w:rPr>
        <w:fldChar w:fldCharType="begin" w:fldLock="1"/>
      </w:r>
      <w:r w:rsidR="0085447D">
        <w:rPr>
          <w:color w:val="000000" w:themeColor="text1"/>
        </w:rPr>
        <w:instrText>ADDIN CSL_CITATION {"citationItems":[{"id":"ITEM-1","itemData":{"author":[{"dropping-particle":"","family":"Layman","given":"Don. L","non-dropping-particle":"","parse-names":false,"suffix":""},{"dropping-particle":"","family":"Narayanan","given":"A S","non-dropping-particle":"","parse-names":false,"suffix":""},{"dropping-particle":"","family":"Martin","given":"George. R","non-dropping-particle":"","parse-names":false,"suffix":""}],"container-title":"Archives of Biochemistry and BioPhysics","id":"ITEM-1","issued":{"date-parts":[["1972"]]},"page":"97-101","title":"The Production of Lysyl Oxidase by Human Fibroblasts in Culture","type":"article-journal","volume":"149"},"uris":["http://www.mendeley.com/documents/?uuid=9f3756bc-bcdb-42e2-968c-18db9cc58128"]}],"mendeley":{"formattedCitation":"&lt;sup&gt;182&lt;/sup&gt;","plainTextFormattedCitation":"182","previouslyFormattedCitation":"&lt;sup&gt;182&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182</w:t>
      </w:r>
      <w:r>
        <w:rPr>
          <w:color w:val="000000" w:themeColor="text1"/>
        </w:rPr>
        <w:fldChar w:fldCharType="end"/>
      </w:r>
      <w:r>
        <w:rPr>
          <w:color w:val="000000" w:themeColor="text1"/>
        </w:rPr>
        <w:t xml:space="preserve"> Kobayashi </w:t>
      </w:r>
      <w:r w:rsidRPr="00DD485C">
        <w:rPr>
          <w:i/>
          <w:color w:val="000000" w:themeColor="text1"/>
        </w:rPr>
        <w:t>et al.</w:t>
      </w:r>
      <w:r>
        <w:rPr>
          <w:color w:val="000000" w:themeColor="text1"/>
        </w:rPr>
        <w:t xml:space="preserve"> identified LOX in the intracellular region of keratinocytes, suggesting that these cells also synthesise the LOX protein.</w:t>
      </w:r>
      <w:r>
        <w:rPr>
          <w:color w:val="000000" w:themeColor="text1"/>
        </w:rPr>
        <w:fldChar w:fldCharType="begin" w:fldLock="1"/>
      </w:r>
      <w:r w:rsidR="00DB1BCE">
        <w:rPr>
          <w:color w:val="000000" w:themeColor="text1"/>
        </w:rPr>
        <w:instrText>ADDIN CSL_CITATION {"citationItems":[{"id":"ITEM-1","itemData":{"author":[{"dropping-particle":"","family":"Kobayashi H, Ishii M, Chanoki M, Yashiro N, Fushida H, Fukai K, Kono T, Hamada T, Wakasaki H","given":"Ooshima A.","non-dropping-particle":"","parse-names":false,"suffix":""}],"container-title":"British Journal of Dermatology","id":"ITEM-1","issue":"3","issued":{"date-parts":[["1994"]]},"page":"325-330","title":"Immunohistochemical localization of lysyl oxidase in normal human skin.","type":"article-journal","volume":"131"},"uris":["http://www.mendeley.com/documents/?uuid=e6d11a7c-75ae-4959-ac46-6deedb3370c0"]}],"mendeley":{"formattedCitation":"&lt;sup&gt;254&lt;/sup&gt;","plainTextFormattedCitation":"254","previouslyFormattedCitation":"&lt;sup&gt;253&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254</w:t>
      </w:r>
      <w:r>
        <w:rPr>
          <w:color w:val="000000" w:themeColor="text1"/>
        </w:rPr>
        <w:fldChar w:fldCharType="end"/>
      </w:r>
      <w:r>
        <w:rPr>
          <w:color w:val="000000" w:themeColor="text1"/>
        </w:rPr>
        <w:t xml:space="preserve"> This was further supported by the work of Fujimoto and Tajima.</w:t>
      </w:r>
      <w:r>
        <w:rPr>
          <w:color w:val="000000" w:themeColor="text1"/>
        </w:rPr>
        <w:fldChar w:fldCharType="begin" w:fldLock="1"/>
      </w:r>
      <w:r w:rsidR="00DB1BCE">
        <w:rPr>
          <w:color w:val="000000" w:themeColor="text1"/>
        </w:rPr>
        <w:instrText>ADDIN CSL_CITATION {"citationItems":[{"id":"ITEM-1","itemData":{"DOI":"10.1016/j.jdermsci.2009.03.010","ISSN":"09231811","PMID":"19394199","abstract":"Background: Classical lysyl oxidase (LO) is involved in the stabilization and repair of extracellular matrix by the oxidization of lysine residues in collagen and elastin. Five genetically distinct species of LOs (LOX and LOXL1-4) have been identified, but their functions remain unclear. Objectives: To investigate the regulation of LOs during differentiation and cell adhesion of cultured keratinocytes. Methods: LO mRNA and polypeptides levels in the suspension and adhesive cultures were measured using real-time PCR, immunoblot and immunofluorescence assays. Localization of LOX, LOXL1 and LOXL2 gene transcripts in normal epidermis was assessed by in situ hybridization. Results: In the epidermis and cultured keratinocytes, LOX, LOXL1 and LOXL2 mRNA levels were predominant, and LOXL3 and LOXL4 were minor components. When cultured keratinocytes were induced to terminal differentiation, LOX expression increased 12-fold and LOXL2 expression decreased 0.1-fold, while LOXL1 mRNA level was essentially unchanged. When growth-arrested cells were allowed to adhere to extracellular matrices, LOXL2 mRNA level was stimulated 7-fold by fibronectin or type IV collagen substrate, whereas LOX mRNA level was decreased 0.1-fold by all substrates tested. Reciprocal regulation of LOX and LOXL2 expression during differentiation and adhesion was confirmed by immunoblot analysis and double immunofluorescent observation of cultured cells using anti-LOX and anti-LOXL2 antibodies. In situ hybridization analysis of normal epidermis revealed LOXL2 mRNA mainly in the lower epidermis, LOX mRNA in the upper layer of epidermis and LOXL1 throughout the epidermis. Conclusion: LOX expression in cultured keratinocytes is related to keratinization whereas LOXL2 expression is related to cell-matrix interaction. © 2009 Japanese Society for Investigative Dermatology.","author":[{"dropping-particle":"","family":"Fujimoto","given":"Eita","non-dropping-particle":"","parse-names":false,"suffix":""},{"dropping-particle":"","family":"Tajima","given":"Shingo","non-dropping-particle":"","parse-names":false,"suffix":""}],"container-title":"Journal of Dermatological Science","id":"ITEM-1","issue":"2","issued":{"date-parts":[["2009"]]},"page":"91-98","title":"Reciprocal regulation of LOX and LOXL2 expression during cell adhesion and terminal differentiation in epidermal keratinocytes","type":"article-journal","volume":"55"},"uris":["http://www.mendeley.com/documents/?uuid=2d5cdf70-e168-4616-9dc6-01db4d95a0ec"]}],"mendeley":{"formattedCitation":"&lt;sup&gt;255&lt;/sup&gt;","plainTextFormattedCitation":"255","previouslyFormattedCitation":"&lt;sup&gt;254&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255</w:t>
      </w:r>
      <w:r>
        <w:rPr>
          <w:color w:val="000000" w:themeColor="text1"/>
        </w:rPr>
        <w:fldChar w:fldCharType="end"/>
      </w:r>
      <w:r>
        <w:rPr>
          <w:color w:val="000000" w:themeColor="text1"/>
        </w:rPr>
        <w:t xml:space="preserve"> Specifically in skin, Noblesse and colleagues demonstrated that LOX and LOXL were present in the dermal and epidermal layers of both native skin and a skin equivalent.</w:t>
      </w:r>
      <w:r>
        <w:rPr>
          <w:color w:val="000000" w:themeColor="text1"/>
        </w:rPr>
        <w:fldChar w:fldCharType="begin" w:fldLock="1"/>
      </w:r>
      <w:r w:rsidR="00DB1BCE">
        <w:rPr>
          <w:color w:val="000000" w:themeColor="text1"/>
        </w:rPr>
        <w:instrText>ADDIN CSL_CITATION {"citationItems":[{"id":"ITEM-1","itemData":{"DOI":"10.1111/j.0022-202X.2004.22330.x","ISSN":"0022202X","PMID":"15086544","abstract":"Elastic fiber formation involves the secretion of tropoelastin which is converted to insoluble elastin by cross-linking, initiated by the oxidative deamination of lysine residues by lysyl oxidase. Five lysyl oxidase genes have been discovered. This study deals with the expression of two isoforms, LOX and LOX-like (LOXL), in human foreskin and in a human skin-equivalent (SE) model that allows the formation of elastic fibers. In this model, keratinocytes are added to a dermal equivalent made of fibroblasts grown on a chitosan-cross-linked collagen-GAG matrix. LOX and LOXL were detected by immunohistochemistry in the dermis and the epidermis of both normal skin and in a SE. This expression was confirmed by in situ hybridization on the SE. LOX and LOXL expression patterns were confirmed in human skin. The ultrastructural localization of LOXL was indicative of its association with elastin-positive materials within the SE and human skin, though interaction with collagen could not be discarded. LOX was found on collagen fibers and could be associated with elastin-positive materials in the SE and human skin. LOXL and LOX were detected in keratinocytes where LOX was mainly expressed by differentiating keratinocytes, in contrast to LOXL that can be found in both proliferating and differentiating fibroblasts. These data favor a role for LOXL in elastic fiber formation, together with LOX, and within the epidermis where both enzymes should play a role in post-translational modification of yet unknown substrates.","author":[{"dropping-particle":"","family":"Noblesse","given":"Emmanuelle","non-dropping-particle":"","parse-names":false,"suffix":""},{"dropping-particle":"","family":"Cenizo","given":"Valérie","non-dropping-particle":"","parse-names":false,"suffix":""},{"dropping-particle":"","family":"Bouez","given":"Charbel","non-dropping-particle":"","parse-names":false,"suffix":""},{"dropping-particle":"","family":"Borel","given":"Agnès","non-dropping-particle":"","parse-names":false,"suffix":""},{"dropping-particle":"","family":"Gleyzal","given":"Claudine","non-dropping-particle":"","parse-names":false,"suffix":""},{"dropping-particle":"","family":"Peyrol","given":"Simone","non-dropping-particle":"","parse-names":false,"suffix":""},{"dropping-particle":"","family":"Jacob","given":"Marie Paule","non-dropping-particle":"","parse-names":false,"suffix":""},{"dropping-particle":"","family":"Sommer","given":"Pascal","non-dropping-particle":"","parse-names":false,"suffix":""},{"dropping-particle":"","family":"Damour","given":"Odile","non-dropping-particle":"","parse-names":false,"suffix":""}],"container-title":"Journal of Investigative Dermatology","id":"ITEM-1","issue":"3","issued":{"date-parts":[["2004"]]},"page":"621-630","title":"Lysyl oxidase-like and lysyl oxidase are present in the dermis and epidermis of a skin equivalent and in human skin and are associated to elastic fibers","type":"article-journal","volume":"122"},"uris":["http://www.mendeley.com/documents/?uuid=f297d9af-3447-42f9-9eb2-9f81912b99ef"]}],"mendeley":{"formattedCitation":"&lt;sup&gt;256&lt;/sup&gt;","plainTextFormattedCitation":"256","previouslyFormattedCitation":"&lt;sup&gt;255&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256</w:t>
      </w:r>
      <w:r>
        <w:rPr>
          <w:color w:val="000000" w:themeColor="text1"/>
        </w:rPr>
        <w:fldChar w:fldCharType="end"/>
      </w:r>
      <w:r>
        <w:rPr>
          <w:color w:val="000000" w:themeColor="text1"/>
        </w:rPr>
        <w:t xml:space="preserve"> This strongly suggests that production of LOX by HDF and HEK is possible in this model. Therefore, the next logical step in this body of work would be to confirm the presence of LOX in the TES composites. </w:t>
      </w:r>
    </w:p>
    <w:p w14:paraId="2D53A286" w14:textId="1980DA2D" w:rsidR="00C0659D" w:rsidRDefault="00C0659D" w:rsidP="00C0659D">
      <w:pPr>
        <w:rPr>
          <w:color w:val="000000" w:themeColor="text1"/>
        </w:rPr>
      </w:pPr>
      <w:r>
        <w:rPr>
          <w:color w:val="000000" w:themeColor="text1"/>
        </w:rPr>
        <w:t>Second, if LOX can be identified in the TES composites, it would be beneficial to analyse its enzymatic activity, since detection of the LOX protein doesn’t guarantee that it is enzymatically active. As LOX is an extracellular enzyme, it may be possible to analyse the supernatant from composites using a fluorescent assay, similar to the assay used in chapter 3 of this work, to determine LOX activity. Alternatively, Langton and colleagues reported a technique to analyse both the location and activity of LOX in tissue sections using hydrogen peroxide (a by-product of LOX activity) coupled with luminol and horse radish peroxidase (HRP).</w:t>
      </w:r>
      <w:r>
        <w:rPr>
          <w:color w:val="000000" w:themeColor="text1"/>
        </w:rPr>
        <w:fldChar w:fldCharType="begin" w:fldLock="1"/>
      </w:r>
      <w:r w:rsidR="00DB1BCE">
        <w:rPr>
          <w:color w:val="000000" w:themeColor="text1"/>
        </w:rPr>
        <w:instrText>ADDIN CSL_CITATION {"citationItems":[{"id":"ITEM-1","itemData":{"DOI":"10.1007/s10522-012-9394-3","ISSN":"13895729","PMID":"22923173","abstract":"With increasing age, dynamic tissues such as lungs, blood vessels and skin lose their ability to both deform and recoil, culminating in tissue stiffening. This loss of tissue elasticity, which profoundly impacts tissue function and thus morbidity, may be due not only to changes in the relative abundance of key extracellular matrix proteins within tissues but also to their accumulation of post-translational modifications. Whilst to date attention has focussed primarily on the age-related non-enzymatic formation of advanced glycation end products, the accumulation of pathological enzyme-mediated cross-links may also lead to age-related tissue stiffening. The lysyl oxidase (LOX) family of enzymes are constitutively expressed in adult tissues and are known to drive the catalysis of cross-links in both fibrillar collagens and elastin. Although immunochemical approaches are commonly used to localise the inactive pro-enzyme of LOX, and biochemical methods are employed to quantify activity in homogenised tissue, they do not allow for the in situ localisation of the enzyme. Thus, we have developed a novel assay to both detect and localise LOX enzyme activity in situ. LOX family members are amine oxidases and this assay uses the principle that an amine substrate in the presence of this class of enzyme will be oxidised to an aldehyde and hydrogen peroxide (H2O2). In turn, H2O2, when combined with luminol and horseradish peroxidase, will produce a light-emitting reaction that can be detected by film autoradiography. The development of a technique to localise specific amine oxidase activity in tissue sections may provide crucial additional information on the exact role played by this class of enzymes in mediating age-related tissue stiffening.","author":[{"dropping-particle":"","family":"Langton","given":"Abigail K.","non-dropping-particle":"","parse-names":false,"suffix":""},{"dropping-particle":"","family":"Griffiths","given":"Christopher E M","non-dropping-particle":"","parse-names":false,"suffix":""},{"dropping-particle":"","family":"Sherratt","given":"Michael J.","non-dropping-particle":"","parse-names":false,"suffix":""},{"dropping-particle":"","family":"Watson","given":"Rachel E B","non-dropping-particle":"","parse-names":false,"suffix":""}],"container-title":"Biogerontology","id":"ITEM-1","issue":"1","issued":{"date-parts":[["2013"]]},"page":"89-97","title":"Cross-linking of structural proteins in ageing skin: An in situ assay for the detection of amine oxidase activity","type":"article-journal","volume":"14"},"uris":["http://www.mendeley.com/documents/?uuid=5a9eb11e-0af1-4cc0-92a5-489a28afbb50"]}],"mendeley":{"formattedCitation":"&lt;sup&gt;257&lt;/sup&gt;","plainTextFormattedCitation":"257","previouslyFormattedCitation":"&lt;sup&gt;256&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257</w:t>
      </w:r>
      <w:r>
        <w:rPr>
          <w:color w:val="000000" w:themeColor="text1"/>
        </w:rPr>
        <w:fldChar w:fldCharType="end"/>
      </w:r>
    </w:p>
    <w:p w14:paraId="7C8EAAFE" w14:textId="6C8CC4E3" w:rsidR="00C0659D" w:rsidRDefault="00C0659D" w:rsidP="00C0659D">
      <w:pPr>
        <w:rPr>
          <w:color w:val="000000" w:themeColor="text1"/>
        </w:rPr>
      </w:pPr>
      <w:r>
        <w:rPr>
          <w:color w:val="000000" w:themeColor="text1"/>
        </w:rPr>
        <w:t>Third, since this work was carried out using cells isolated from donor skin</w:t>
      </w:r>
      <w:r w:rsidRPr="00522203">
        <w:rPr>
          <w:color w:val="000000" w:themeColor="text1"/>
        </w:rPr>
        <w:t>,</w:t>
      </w:r>
      <w:r>
        <w:rPr>
          <w:color w:val="000000" w:themeColor="text1"/>
        </w:rPr>
        <w:t xml:space="preserve"> it would be useful to understand whether cells from different donors behaved the same in the TES composites. </w:t>
      </w:r>
      <w:r w:rsidRPr="00522203">
        <w:rPr>
          <w:color w:val="000000" w:themeColor="text1"/>
        </w:rPr>
        <w:t xml:space="preserve">Work by Irwin </w:t>
      </w:r>
      <w:r w:rsidRPr="00522203">
        <w:rPr>
          <w:i/>
          <w:color w:val="000000" w:themeColor="text1"/>
        </w:rPr>
        <w:t>et al</w:t>
      </w:r>
      <w:r w:rsidRPr="00522203">
        <w:rPr>
          <w:color w:val="000000" w:themeColor="text1"/>
        </w:rPr>
        <w:t xml:space="preserve">. found that different </w:t>
      </w:r>
      <w:r w:rsidRPr="004A14EC">
        <w:rPr>
          <w:color w:val="000000" w:themeColor="text1"/>
        </w:rPr>
        <w:t>strains of human dermal fibroblasts contracted collagen gels to varying extents, with multiple strains of HDF displaying decreased contractile abilities compared to foetal and oral (gingival) fibroblasts.</w:t>
      </w:r>
      <w:r w:rsidRPr="004A14EC">
        <w:rPr>
          <w:color w:val="000000" w:themeColor="text1"/>
        </w:rPr>
        <w:fldChar w:fldCharType="begin" w:fldLock="1"/>
      </w:r>
      <w:r w:rsidR="00DB1BCE">
        <w:rPr>
          <w:color w:val="000000" w:themeColor="text1"/>
        </w:rPr>
        <w:instrText>ADDIN CSL_CITATION {"citationItems":[{"id":"ITEM-1","itemData":{"ISBN":"0904-2512 (Print)\\r0904-2512 (Linking)","ISSN":"09042512","PMID":"9707277","abstract":"Fibroblasts incorporated within collagen gels induce a cell-mediated contraction of the gel to form a three-dimensional, tissue-like structure by a mechanism thought to mimic wound contraction in vivo. In this study a gel contraction model was used to investigate the ability of fibroblasts derived from adult gingiva, adult skin and fetal skin to organise a collagen matrix. In addition the effects of interleukin-1beta (IL-1beta) on the contraction process was also investigated. Over the concentration range 5-50 U/ml, IL-1beta induced a statistically significant inhibition of gel contraction in all fibroblast cell types (P&lt;0.05), although fetal fibroblasts appeared least responsive and gingival fibroblasts most responsive to the inhibitory effects of this cytokine. Comparison of gel contraction by the different fibroblast strains indicated that fetal and gingival fibroblasts shared similar contraction kinetics. For the adult skin fibroblasts, three of five strains studied showed significantly diminished levels of gel contraction compared to fetal and gingival cells. This apparent difference in fibroblast phenotype may, at least in part, explain the fetal-like wound healing pattern seen in the oral mucosa.","author":[{"dropping-particle":"","family":"Irwin","given":"C R","non-dropping-particle":"","parse-names":false,"suffix":""},{"dropping-particle":"","family":"Myrillas","given":"T","non-dropping-particle":"","parse-names":false,"suffix":""},{"dropping-particle":"","family":"Smyth","given":"M","non-dropping-particle":"","parse-names":false,"suffix":""},{"dropping-particle":"","family":"Doogan","given":"J","non-dropping-particle":"","parse-names":false,"suffix":""},{"dropping-particle":"","family":"Rice","given":"C","non-dropping-particle":"","parse-names":false,"suffix":""},{"dropping-particle":"","family":"Schor","given":"S L","non-dropping-particle":"","parse-names":false,"suffix":""}],"container-title":"Journal of Oral Pathology &amp; Medicine","id":"ITEM-1","issue":"6","issued":{"date-parts":[["1998"]]},"page":"255-259","title":"Regulation of fibroblast-induced collagen gel contraction by interleukin-1beta","type":"article-journal","volume":"27"},"uris":["http://www.mendeley.com/documents/?uuid=41299a58-c770-41a8-880b-852545b2f620"]}],"mendeley":{"formattedCitation":"&lt;sup&gt;258&lt;/sup&gt;","plainTextFormattedCitation":"258","previouslyFormattedCitation":"&lt;sup&gt;257&lt;/sup&gt;"},"properties":{"noteIndex":0},"schema":"https://github.com/citation-style-language/schema/raw/master/csl-citation.json"}</w:instrText>
      </w:r>
      <w:r w:rsidRPr="004A14EC">
        <w:rPr>
          <w:color w:val="000000" w:themeColor="text1"/>
        </w:rPr>
        <w:fldChar w:fldCharType="separate"/>
      </w:r>
      <w:r w:rsidR="00DB1BCE" w:rsidRPr="00DB1BCE">
        <w:rPr>
          <w:noProof/>
          <w:color w:val="000000" w:themeColor="text1"/>
          <w:vertAlign w:val="superscript"/>
        </w:rPr>
        <w:t>258</w:t>
      </w:r>
      <w:r w:rsidRPr="004A14EC">
        <w:rPr>
          <w:color w:val="000000" w:themeColor="text1"/>
        </w:rPr>
        <w:fldChar w:fldCharType="end"/>
      </w:r>
      <w:r w:rsidRPr="004A14EC">
        <w:rPr>
          <w:color w:val="000000" w:themeColor="text1"/>
        </w:rPr>
        <w:t xml:space="preserve"> This suggests that cells from different patients could behave </w:t>
      </w:r>
      <w:r>
        <w:rPr>
          <w:color w:val="000000" w:themeColor="text1"/>
        </w:rPr>
        <w:t xml:space="preserve">unpredictably </w:t>
      </w:r>
      <w:r w:rsidRPr="004A14EC">
        <w:rPr>
          <w:color w:val="000000" w:themeColor="text1"/>
        </w:rPr>
        <w:t>in the TES contraction model.</w:t>
      </w:r>
    </w:p>
    <w:p w14:paraId="0842DAF2" w14:textId="3AE67644" w:rsidR="00C0659D" w:rsidRDefault="00C0659D" w:rsidP="00C0659D">
      <w:pPr>
        <w:rPr>
          <w:color w:val="000000" w:themeColor="text1"/>
        </w:rPr>
      </w:pPr>
      <w:r>
        <w:rPr>
          <w:color w:val="000000" w:themeColor="text1"/>
        </w:rPr>
        <w:t xml:space="preserve">Inhibition of LOX has been a promising target, outlined by several studies where treatment with a LOX inhibitor has led to a reduction in contraction. However, it is possible that LOX is only partly responsible for facilitating contraction during wound healing. </w:t>
      </w:r>
      <w:r w:rsidRPr="00974372">
        <w:rPr>
          <w:color w:val="000000" w:themeColor="text1"/>
        </w:rPr>
        <w:t>Multiple studies have demonstrated that keratinocytes are key to wound contraction</w:t>
      </w:r>
      <w:r>
        <w:rPr>
          <w:color w:val="000000" w:themeColor="text1"/>
        </w:rPr>
        <w:t>, driven by their differentiation.</w:t>
      </w:r>
      <w:r>
        <w:rPr>
          <w:color w:val="000000" w:themeColor="text1"/>
        </w:rPr>
        <w:fldChar w:fldCharType="begin" w:fldLock="1"/>
      </w:r>
      <w:r w:rsidR="0085447D">
        <w:rPr>
          <w:color w:val="000000" w:themeColor="text1"/>
        </w:rPr>
        <w:instrText>ADDIN CSL_CITATION {"citationItems":[{"id":"ITEM-1","itemData":{"DOI":"10.1016/S0007-1226(97)90327-1","ISSN":"00071226","PMID":"9326143","abstract":"Composites of human de-epidermised acellular dermis and normal adult human keratinocytes and fibroblasts were examined for the ability of cells to contract these composites. Image analysis of the outline or the composites showed that, in this model, keratinocytes alone or in the presence of fibroblasts caused highly significant contraction (of the order of 25% by day 12). There was no significant contraction of the dermis with fibroblasts alone or in the absence of cells. The presence or absence of basement membrane antigens did not influence the effect of keratinocytes on dermal contraction. Analysis of the conditioned media from these composites showed that the greatest fibronectin production was seen with fibroblasts alone in the presence of basement membrane. Keratinocytes alone produced little fibronectin irrespective of the presence of the basement membrane. If keratinocytes were present with fibroblasts, however, then fibronectin production was significantly reduced both in the presence and absence of the basement membrane, indicating that keratinocytes modify dermal fibroblast extracellular matrix production. This study shows that while keratinocytes and fibroblasts are clearly influencing each other's activity in this human skin composite model, under the circumstances we describe it is the keratinocyte and not the fibroblast which causes contraction of the human de-epidermised acellular dermis.","author":[{"dropping-particle":"","family":"Ralston","given":"D R","non-dropping-particle":"","parse-names":false,"suffix":""},{"dropping-particle":"","family":"Layton","given":"C","non-dropping-particle":"","parse-names":false,"suffix":""},{"dropping-particle":"","family":"Dalley","given":"A. J.","non-dropping-particle":"","parse-names":false,"suffix":""},{"dropping-particle":"","family":"Boyce","given":"S G","non-dropping-particle":"","parse-names":false,"suffix":""},{"dropping-particle":"","family":"Freedlander","given":"E","non-dropping-particle":"","parse-names":false,"suffix":""},{"dropping-particle":"","family":"MacNeil","given":"S.","non-dropping-particle":"","parse-names":false,"suffix":""}],"container-title":"British Journal of Plastic Surgery","id":"ITEM-1","issue":"6","issued":{"date-parts":[["1997"]]},"page":"408-415","title":"Keratinocytes contract human dermal extracellular matrix and reduce soluble fibronectin production by fibroblasts in a skin composite model","type":"article-journal","volume":"50"},"uris":["http://www.mendeley.com/documents/?uuid=5f5a3ae6-cca5-474d-8b36-cfde6f337a1a"]}],"mendeley":{"formattedCitation":"&lt;sup&gt;73&lt;/sup&gt;","plainTextFormattedCitation":"73","previouslyFormattedCitation":"&lt;sup&gt;73&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73</w:t>
      </w:r>
      <w:r>
        <w:rPr>
          <w:color w:val="000000" w:themeColor="text1"/>
        </w:rPr>
        <w:fldChar w:fldCharType="end"/>
      </w:r>
      <w:r w:rsidRPr="00FC2430">
        <w:rPr>
          <w:color w:val="000000" w:themeColor="text1"/>
          <w:vertAlign w:val="superscript"/>
        </w:rPr>
        <w:t>,</w:t>
      </w:r>
      <w:r>
        <w:rPr>
          <w:color w:val="000000" w:themeColor="text1"/>
        </w:rPr>
        <w:fldChar w:fldCharType="begin" w:fldLock="1"/>
      </w:r>
      <w:r w:rsidR="00DB1BCE">
        <w:rPr>
          <w:color w:val="000000" w:themeColor="text1"/>
        </w:rPr>
        <w:instrText>ADDIN CSL_CITATION {"citationItems":[{"id":"ITEM-1","itemData":{"DOI":"10.1016/j.burns.2003.12.007","ISBN":"1617371491","ISSN":"03054179","PMID":"15145189","abstract":"Background: This study investigated the impact of adding human fibroblasts to a cultured composite skin substitute model of cultured human keratinocytes and acellular human dermis. Methods: Skin substitutes were prepared by seeding human keratinocytes on the papillary side of acellular dermis with or without seeding fibroblasts on the reticular side. Performance of the grafts was compared both in vitro by histology and in vivo on surgically created full-thickness wounds on athymic mice. Graft size and contraction were measured and immunohistochemical stains were done to reveal vascularization. Results: Skin substitutes with fibroblasts formed thicker epidermis than skin substitutes without fibroblasts. When transplanted onto athymic mice, skin substitutes with fibroblasts maintained their original size with only 2% contraction. In contrast, skin substitutes without fibroblasts showed 29% contraction. Vascular basement membrane specific mouse CD31staining and endothelial cell specific mouse collagen type IV staining revealed vascularization as early as 1 week posttransplant in grafts with fibroblasts, and was significantly higher than grafts without fibroblasts at 2 weeks. Conclusions: Addition of fibroblasts to keratinocyte based composite skin substitutes improves epidermis formation, enhances vascularization and reduces contraction. © 2003 Elsevier Ltd and ISBI. All rights reserved.","author":[{"dropping-particle":"","family":"Erdag","given":"Gulsun","non-dropping-particle":"","parse-names":false,"suffix":""},{"dropping-particle":"","family":"Sheridan","given":"Robert L.","non-dropping-particle":"","parse-names":false,"suffix":""}],"container-title":"Burns","id":"ITEM-1","issue":"4","issued":{"date-parts":[["2004"]]},"page":"322-328","title":"Fibroblasts improve performance of cultured composite skin substitutes on athymic mice","type":"article-journal","volume":"30"},"uris":["http://www.mendeley.com/documents/?uuid=8c81545c-8f49-486e-a326-fe3ff2823432"]}],"mendeley":{"formattedCitation":"&lt;sup&gt;259&lt;/sup&gt;","plainTextFormattedCitation":"259","previouslyFormattedCitation":"&lt;sup&gt;258&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259</w:t>
      </w:r>
      <w:r>
        <w:rPr>
          <w:color w:val="000000" w:themeColor="text1"/>
        </w:rPr>
        <w:fldChar w:fldCharType="end"/>
      </w:r>
      <w:r>
        <w:rPr>
          <w:color w:val="000000" w:themeColor="text1"/>
        </w:rPr>
        <w:t xml:space="preserve"> Interestingly, Chakrabarty </w:t>
      </w:r>
      <w:r w:rsidRPr="00190565">
        <w:rPr>
          <w:i/>
          <w:color w:val="000000" w:themeColor="text1"/>
        </w:rPr>
        <w:t>et al</w:t>
      </w:r>
      <w:r>
        <w:rPr>
          <w:color w:val="000000" w:themeColor="text1"/>
        </w:rPr>
        <w:t>. reported that contraction of TES composites could be easily reversed by removal of the epithelial layer from the dermis,</w:t>
      </w:r>
      <w:r>
        <w:rPr>
          <w:color w:val="000000" w:themeColor="text1"/>
        </w:rPr>
        <w:fldChar w:fldCharType="begin" w:fldLock="1"/>
      </w:r>
      <w:r w:rsidR="0085447D">
        <w:rPr>
          <w:color w:val="000000" w:themeColor="text1"/>
        </w:rPr>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74</w:t>
      </w:r>
      <w:r>
        <w:rPr>
          <w:color w:val="000000" w:themeColor="text1"/>
        </w:rPr>
        <w:fldChar w:fldCharType="end"/>
      </w:r>
      <w:r>
        <w:rPr>
          <w:color w:val="000000" w:themeColor="text1"/>
        </w:rPr>
        <w:t xml:space="preserve"> whereby after 24 hours the dermis had relaxed back to its original area. This finding was replicated by Thornton </w:t>
      </w:r>
      <w:r w:rsidRPr="00FD5D0B">
        <w:rPr>
          <w:i/>
          <w:color w:val="000000" w:themeColor="text1"/>
        </w:rPr>
        <w:t>et al</w:t>
      </w:r>
      <w:r>
        <w:rPr>
          <w:color w:val="000000" w:themeColor="text1"/>
        </w:rPr>
        <w:t>.</w:t>
      </w:r>
      <w:r>
        <w:rPr>
          <w:color w:val="000000" w:themeColor="text1"/>
        </w:rPr>
        <w:fldChar w:fldCharType="begin" w:fldLock="1"/>
      </w:r>
      <w:r w:rsidR="00DB1BCE">
        <w:rPr>
          <w:color w:val="000000" w:themeColor="text1"/>
        </w:rPr>
        <w:instrText>ADDIN CSL_CITATION {"citationItems":[{"id":"ITEM-1","itemData":{"DOI":"10.1097/BCR.0b013e318166da8c","ISBN":"1559-047X","ISSN":"1559047X","PMID":"18354296","abstract":"Skin graft contracture remains a significant cause of patient morbidity with reduction in joint mobility and cosmetic deformity. Despite recent advances, its mechanism is largely unknown. The authors have previously demonstrated the importance of the keratinocyte in the contraction of tissue-engineered skin in vitro. In this study, they investigate the effect of reducing keratinocyte differentiation on contraction by adding 0.8 mM ethylene glycol-bis(2-aminoethylether)-N,N,N',N'-tetra acetic acid (EGTA) to the culture medium and by culturing tissue-engineered skin submerged in medium rather than at air-liquid interface. They also simulate the effect of early mechanical splinting in vitro to study its effect on contraction. Here the study shows that removal of the epidermis after 16 days culture at air-liquid interface results in immediate dermal relaxation with a return to the original dermal surface area. Lowering extracellular calcium concentration with EGTA reduces keratinocyte differentiation and reduces the rate of contraction. Submerged culture does not significantly reduce differentiation of tissue-engineered skin and does not reduce contraction. However, following an initial short period of mechanical constraint, the rate of contraction of tissue-engineered skin is reduced. Reducing keratinocyte differentiation by lowering extracellular calcium with EGTA, reduces contraction. However, submerged culture of tissue-engineered skin is ineffective. A short period of splinting of meshed skin grafts during the initial phase of epithelialization and keratinocyte differentiation may be most effective in the prevention of subsequent contractures in vivo but additional studies are needed to establish this.","author":[{"dropping-particle":"","family":"Thornton","given":"Daniel J.A.","non-dropping-particle":"","parse-names":false,"suffix":""},{"dropping-particle":"","family":"Harrison","given":"Caroline A.","non-dropping-particle":"","parse-names":false,"suffix":""},{"dropping-particle":"","family":"Heaton","given":"Martin J.","non-dropping-particle":"","parse-names":false,"suffix":""},{"dropping-particle":"","family":"Bullock","given":"Anthony J.","non-dropping-particle":"","parse-names":false,"suffix":""},{"dropping-particle":"","family":"MacNeil","given":"Sheila","non-dropping-particle":"","parse-names":false,"suffix":""}],"container-title":"Journal of Burn Care and Research","id":"ITEM-1","issue":"2","issued":{"date-parts":[["2008"]]},"page":"369-377","title":"Inhibition of keratinocyte-driven contraction of tissue-engineered skin in vitro by calcium chelation and early restraint but not submerged culture","type":"article-journal","volume":"29"},"uris":["http://www.mendeley.com/documents/?uuid=c06259f3-3070-49ac-8b09-60f8e0001cd5"]}],"mendeley":{"formattedCitation":"&lt;sup&gt;260&lt;/sup&gt;","plainTextFormattedCitation":"260","previouslyFormattedCitation":"&lt;sup&gt;259&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260</w:t>
      </w:r>
      <w:r>
        <w:rPr>
          <w:color w:val="000000" w:themeColor="text1"/>
        </w:rPr>
        <w:fldChar w:fldCharType="end"/>
      </w:r>
      <w:r>
        <w:rPr>
          <w:color w:val="000000" w:themeColor="text1"/>
        </w:rPr>
        <w:t xml:space="preserve"> These studies </w:t>
      </w:r>
      <w:r>
        <w:rPr>
          <w:color w:val="000000" w:themeColor="text1"/>
        </w:rPr>
        <w:lastRenderedPageBreak/>
        <w:t xml:space="preserve">suggest that if LOX is contributing to irreversible contraction by cross-linking gathered collagen fibrils, it is likely doing so at the dermal/epidermal junction, rather than through the bulk of the dermis. In order to probe the mechanism of contraction further, it would be constructive to study different pharmacological agents targeting areas of keratinocyte proliferation, migration and differentiation. </w:t>
      </w:r>
    </w:p>
    <w:p w14:paraId="07D63562" w14:textId="77777777" w:rsidR="00C0659D" w:rsidRPr="00764184" w:rsidRDefault="00C0659D" w:rsidP="00C0659D">
      <w:pPr>
        <w:rPr>
          <w:color w:val="000000" w:themeColor="text1"/>
        </w:rPr>
      </w:pPr>
      <w:r>
        <w:rPr>
          <w:color w:val="000000" w:themeColor="text1"/>
        </w:rPr>
        <w:t xml:space="preserve">Overall, it is clear that the mode of contraction in the TES composites requires further understanding. </w:t>
      </w:r>
      <w:r>
        <w:t xml:space="preserve">The data presented so far shows it was not possible to reliably inhibit contraction by treatment with </w:t>
      </w:r>
      <w:r>
        <w:sym w:font="Symbol" w:char="F062"/>
      </w:r>
      <w:r>
        <w:noBreakHyphen/>
        <w:t xml:space="preserve">APN in the TES composite model. As a result, the model was deemed unsuitable to test the ability of the synthesised prodrugs to inhibit contraction. </w:t>
      </w:r>
    </w:p>
    <w:p w14:paraId="3FCA9E4F" w14:textId="77777777" w:rsidR="00C0659D" w:rsidRDefault="00C0659D" w:rsidP="00C0659D">
      <w:pPr>
        <w:pStyle w:val="Heading3"/>
      </w:pPr>
      <w:bookmarkStart w:id="261" w:name="_Toc2451061"/>
      <w:r>
        <w:t>Collagen gels as a model of contraction</w:t>
      </w:r>
      <w:bookmarkEnd w:id="261"/>
    </w:p>
    <w:p w14:paraId="5B280EE5" w14:textId="7839B550" w:rsidR="00C0659D" w:rsidRPr="00712C96" w:rsidRDefault="00C0659D" w:rsidP="00C0659D">
      <w:pPr>
        <w:rPr>
          <w:color w:val="000000" w:themeColor="text1"/>
        </w:rPr>
      </w:pPr>
      <w:r w:rsidRPr="00712C96">
        <w:rPr>
          <w:color w:val="000000" w:themeColor="text1"/>
        </w:rPr>
        <w:t>An alternative contraction model to TES composites is the use of collagen gels. As discussed in the introduction to this chapter, collagen gels provide a more simplified model of contraction compared to TES composites. However, collagen gels have been shown to reliably and reproducibly contract,</w:t>
      </w:r>
      <w:r>
        <w:rPr>
          <w:color w:val="000000" w:themeColor="text1"/>
        </w:rPr>
        <w:fldChar w:fldCharType="begin" w:fldLock="1"/>
      </w:r>
      <w:r w:rsidR="00DB1BCE">
        <w:rPr>
          <w:color w:val="000000" w:themeColor="text1"/>
        </w:rPr>
        <w:instrText>ADDIN CSL_CITATION {"citationItems":[{"id":"ITEM-1","itemData":{"DOI":"10.1177/0885328215597818","ISSN":"15308022","PMID":"26245460","abstract":"Engineered anisotropic tissue constructs containing aligned cell and extracellular matrix structures are useful as in vitro models and for regenerative medicine. They are of particular interest for nervous system modelling and regeneration, where tracts of aligned neurons and glia are required. The self-alignment of cells and matrix due to tension within tethered collagen gels is a useful tool for generating anisotropic tissues, but requires an optimal balance between cell density, matrix concentration and time to be achieved for each specific cell type. The aim of this study was to develop an assay system based on contraction of free-floating cellular gels in 96-well plates that could be used to investigate cell-matrix interactions and to establish optimal parameters for subsequent self-alignment of cells in tethered gels. Using C6 glioma cells, the relationship between contraction and alignment was established, with 60-80% contraction in the 96-well plate assay corresponding to alignment throughout tethered gels made using the same parameters. The assay system was used to investigate the effect of C6 cell density, collagen concentration and time. It was also used to show that blocking α1 integrin reduced the contraction and self-alignment of these cells, whereas blocking α2 integrin had little effect. The approach was validated by using primary astrocytes in the assay system under culture conditions that modified their ability to contract collagen gels. This detailed investigation describes a robust assay for optimising cellular self-alignment and provides a useful reference framework for future development of self-aligned artificial tissue.","author":[{"dropping-particle":"","family":"O'Rourke","given":"Caitriona","non-dropping-particle":"","parse-names":false,"suffix":""},{"dropping-particle":"","family":"Drake","given":"Rosemary A.L.","non-dropping-particle":"","parse-names":false,"suffix":""},{"dropping-particle":"","family":"Cameron","given":"Grant W.W.","non-dropping-particle":"","parse-names":false,"suffix":""},{"dropping-particle":"","family":"Loughlin","given":"A. Jane","non-dropping-particle":"","parse-names":false,"suffix":""},{"dropping-particle":"","family":"Phillips","given":"James B.","non-dropping-particle":"","parse-names":false,"suffix":""}],"container-title":"Journal of Biomaterials Applications","id":"ITEM-1","issue":"5","issued":{"date-parts":[["2015"]]},"page":"599-607","title":"Optimising contraction and alignment of cellular collagen hydrogels to achieve reliable and consistent engineered anisotropic tissue","type":"article-journal","volume":"30"},"uris":["http://www.mendeley.com/documents/?uuid=8fe53c02-16e6-47af-a0d6-49aca27435e2"]}],"mendeley":{"formattedCitation":"&lt;sup&gt;261&lt;/sup&gt;","plainTextFormattedCitation":"261","previouslyFormattedCitation":"&lt;sup&gt;260&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261</w:t>
      </w:r>
      <w:r>
        <w:rPr>
          <w:color w:val="000000" w:themeColor="text1"/>
        </w:rPr>
        <w:fldChar w:fldCharType="end"/>
      </w:r>
      <w:r w:rsidRPr="00712C96">
        <w:rPr>
          <w:color w:val="000000" w:themeColor="text1"/>
        </w:rPr>
        <w:t xml:space="preserve"> and still serve as a beneficial tool for probing the mechanism of contraction. As a result, collagen gels were prepared</w:t>
      </w:r>
      <w:r>
        <w:rPr>
          <w:color w:val="000000" w:themeColor="text1"/>
        </w:rPr>
        <w:t>,</w:t>
      </w:r>
      <w:r w:rsidRPr="00712C96">
        <w:rPr>
          <w:color w:val="000000" w:themeColor="text1"/>
        </w:rPr>
        <w:t xml:space="preserve"> and their rate of contraction was evaluated following treatment with </w:t>
      </w:r>
      <w:r w:rsidRPr="00712C96">
        <w:rPr>
          <w:color w:val="000000" w:themeColor="text1"/>
        </w:rPr>
        <w:sym w:font="Symbol" w:char="F062"/>
      </w:r>
      <w:r>
        <w:rPr>
          <w:color w:val="000000" w:themeColor="text1"/>
        </w:rPr>
        <w:noBreakHyphen/>
        <w:t>APN and a synthesised prodrug</w:t>
      </w:r>
      <w:r w:rsidRPr="00712C96">
        <w:rPr>
          <w:color w:val="000000" w:themeColor="text1"/>
        </w:rPr>
        <w:t>.</w:t>
      </w:r>
    </w:p>
    <w:p w14:paraId="2AD04AFF" w14:textId="77777777" w:rsidR="00C0659D" w:rsidRDefault="00C0659D" w:rsidP="006D5170">
      <w:pPr>
        <w:pStyle w:val="Heading4"/>
      </w:pPr>
      <w:r>
        <w:t>Preparation of collagen I gels as a model of contraction</w:t>
      </w:r>
    </w:p>
    <w:p w14:paraId="13D9F061" w14:textId="7893F833" w:rsidR="00C0659D" w:rsidRPr="00015A29" w:rsidRDefault="00C0659D" w:rsidP="00C0659D">
      <w:pPr>
        <w:rPr>
          <w:color w:val="000000" w:themeColor="text1"/>
        </w:rPr>
      </w:pPr>
      <w:r>
        <w:t xml:space="preserve">An initial sodium hydroxide (NaOH) titration was performed to determine the </w:t>
      </w:r>
      <w:r>
        <w:rPr>
          <w:color w:val="000000" w:themeColor="text1"/>
        </w:rPr>
        <w:t xml:space="preserve">optimum </w:t>
      </w:r>
      <w:r w:rsidRPr="00091C47">
        <w:rPr>
          <w:color w:val="000000" w:themeColor="text1"/>
        </w:rPr>
        <w:t xml:space="preserve">concentration of NaOH to add </w:t>
      </w:r>
      <w:r>
        <w:t xml:space="preserve">to the acidic collagen solution to set the collagen gels. This was completed with every new batch of collagen to account for any batch-to-batch </w:t>
      </w:r>
      <w:r w:rsidRPr="001E3F36">
        <w:rPr>
          <w:color w:val="000000" w:themeColor="text1"/>
        </w:rPr>
        <w:t xml:space="preserve">variation. Gels were inspected for rigidity and colour, which gave an indication of the pH due to the presence of phenol red in the cell culture media </w:t>
      </w:r>
      <w:r>
        <w:rPr>
          <w:color w:val="000000" w:themeColor="text1"/>
        </w:rPr>
        <w:t>(</w:t>
      </w:r>
      <w:r w:rsidRPr="001E3F36">
        <w:rPr>
          <w:color w:val="000000" w:themeColor="text1"/>
        </w:rPr>
        <w:fldChar w:fldCharType="begin"/>
      </w:r>
      <w:r w:rsidRPr="001E3F36">
        <w:rPr>
          <w:color w:val="000000" w:themeColor="text1"/>
        </w:rPr>
        <w:instrText xml:space="preserve"> REF _Ref522127747 \h </w:instrText>
      </w:r>
      <w:r w:rsidRPr="001E3F36">
        <w:rPr>
          <w:color w:val="000000" w:themeColor="text1"/>
        </w:rPr>
      </w:r>
      <w:r w:rsidRPr="001E3F36">
        <w:rPr>
          <w:color w:val="000000" w:themeColor="text1"/>
        </w:rPr>
        <w:fldChar w:fldCharType="separate"/>
      </w:r>
      <w:r w:rsidR="00E6157A">
        <w:t xml:space="preserve">Figure </w:t>
      </w:r>
      <w:r w:rsidR="00E6157A">
        <w:rPr>
          <w:noProof/>
        </w:rPr>
        <w:t>4</w:t>
      </w:r>
      <w:r w:rsidR="00E6157A">
        <w:t>.</w:t>
      </w:r>
      <w:r w:rsidR="00E6157A">
        <w:rPr>
          <w:noProof/>
        </w:rPr>
        <w:t>12</w:t>
      </w:r>
      <w:r w:rsidRPr="001E3F36">
        <w:rPr>
          <w:color w:val="000000" w:themeColor="text1"/>
        </w:rPr>
        <w:fldChar w:fldCharType="end"/>
      </w:r>
      <w:r>
        <w:rPr>
          <w:color w:val="000000" w:themeColor="text1"/>
        </w:rPr>
        <w:t>)</w:t>
      </w:r>
      <w:r w:rsidRPr="001E3F36">
        <w:rPr>
          <w:color w:val="000000" w:themeColor="text1"/>
        </w:rPr>
        <w:t xml:space="preserve">. In addition, the pH of each gel was measured with a pH probe </w:t>
      </w:r>
      <w:r>
        <w:rPr>
          <w:color w:val="000000" w:themeColor="text1"/>
        </w:rPr>
        <w:t>(</w:t>
      </w:r>
      <w:r w:rsidRPr="001E3F36">
        <w:rPr>
          <w:color w:val="000000" w:themeColor="text1"/>
        </w:rPr>
        <w:fldChar w:fldCharType="begin"/>
      </w:r>
      <w:r w:rsidRPr="001E3F36">
        <w:rPr>
          <w:color w:val="000000" w:themeColor="text1"/>
        </w:rPr>
        <w:instrText xml:space="preserve"> REF _Ref522127805 \h </w:instrText>
      </w:r>
      <w:r w:rsidRPr="001E3F36">
        <w:rPr>
          <w:color w:val="000000" w:themeColor="text1"/>
        </w:rPr>
      </w:r>
      <w:r w:rsidRPr="001E3F36">
        <w:rPr>
          <w:color w:val="000000" w:themeColor="text1"/>
        </w:rPr>
        <w:fldChar w:fldCharType="separate"/>
      </w:r>
      <w:r w:rsidR="00E6157A">
        <w:t xml:space="preserve">Table </w:t>
      </w:r>
      <w:r w:rsidR="00E6157A">
        <w:rPr>
          <w:noProof/>
        </w:rPr>
        <w:t>4</w:t>
      </w:r>
      <w:r w:rsidR="00E6157A">
        <w:t>.</w:t>
      </w:r>
      <w:r w:rsidR="00E6157A">
        <w:rPr>
          <w:noProof/>
        </w:rPr>
        <w:t>5</w:t>
      </w:r>
      <w:r w:rsidRPr="001E3F36">
        <w:rPr>
          <w:color w:val="000000" w:themeColor="text1"/>
        </w:rPr>
        <w:fldChar w:fldCharType="end"/>
      </w:r>
      <w:r>
        <w:rPr>
          <w:color w:val="000000" w:themeColor="text1"/>
        </w:rPr>
        <w:t>)</w:t>
      </w:r>
      <w:r w:rsidRPr="001E3F36">
        <w:rPr>
          <w:color w:val="000000" w:themeColor="text1"/>
        </w:rPr>
        <w:t xml:space="preserve">. A concentration </w:t>
      </w:r>
      <w:r w:rsidRPr="00A86615">
        <w:rPr>
          <w:color w:val="000000" w:themeColor="text1"/>
        </w:rPr>
        <w:t xml:space="preserve">of 8.3 mM NaOH was selected for future experiments as it produced a firm </w:t>
      </w:r>
      <w:r w:rsidRPr="00EB7F69">
        <w:rPr>
          <w:color w:val="000000" w:themeColor="text1"/>
        </w:rPr>
        <w:t>collagen gel that was homogenous in colour.</w:t>
      </w:r>
      <w:r>
        <w:rPr>
          <w:color w:val="000000" w:themeColor="text1"/>
        </w:rPr>
        <w:t xml:space="preserve"> Below this concentration, gels did not fully set.</w:t>
      </w:r>
      <w:r w:rsidRPr="00EB7F69">
        <w:rPr>
          <w:color w:val="000000" w:themeColor="text1"/>
        </w:rPr>
        <w:t xml:space="preserve"> These results were found to be consistent for each new batch of collagen. </w:t>
      </w:r>
      <w:r>
        <w:rPr>
          <w:color w:val="000000" w:themeColor="text1"/>
        </w:rPr>
        <w:t xml:space="preserve">Whilst the pH for the collagen gel prepared with 8.3 mM NaOH was relatively high (pH 8.80, </w:t>
      </w:r>
      <w:r>
        <w:rPr>
          <w:color w:val="000000" w:themeColor="text1"/>
        </w:rPr>
        <w:fldChar w:fldCharType="begin"/>
      </w:r>
      <w:r>
        <w:rPr>
          <w:color w:val="000000" w:themeColor="text1"/>
        </w:rPr>
        <w:instrText xml:space="preserve"> REF _Ref522127805 \h </w:instrText>
      </w:r>
      <w:r>
        <w:rPr>
          <w:color w:val="000000" w:themeColor="text1"/>
        </w:rPr>
      </w:r>
      <w:r>
        <w:rPr>
          <w:color w:val="000000" w:themeColor="text1"/>
        </w:rPr>
        <w:fldChar w:fldCharType="separate"/>
      </w:r>
      <w:r w:rsidR="00E6157A">
        <w:t xml:space="preserve">Table </w:t>
      </w:r>
      <w:r w:rsidR="00E6157A">
        <w:rPr>
          <w:noProof/>
        </w:rPr>
        <w:t>4</w:t>
      </w:r>
      <w:r w:rsidR="00E6157A">
        <w:t>.</w:t>
      </w:r>
      <w:r w:rsidR="00E6157A">
        <w:rPr>
          <w:noProof/>
        </w:rPr>
        <w:t>5</w:t>
      </w:r>
      <w:r>
        <w:rPr>
          <w:color w:val="000000" w:themeColor="text1"/>
        </w:rPr>
        <w:fldChar w:fldCharType="end"/>
      </w:r>
      <w:r>
        <w:rPr>
          <w:color w:val="000000" w:themeColor="text1"/>
        </w:rPr>
        <w:t xml:space="preserve">), no notable cytotoxicity was observed in HDF seeded in these collagen gels. </w:t>
      </w:r>
    </w:p>
    <w:p w14:paraId="2AE7879D" w14:textId="5647E510" w:rsidR="00C0659D" w:rsidRDefault="00A0623A" w:rsidP="00C0659D">
      <w:pPr>
        <w:keepNext/>
      </w:pPr>
      <w:r w:rsidRPr="00A0623A">
        <w:rPr>
          <w:noProof/>
        </w:rPr>
        <w:lastRenderedPageBreak/>
        <w:drawing>
          <wp:inline distT="0" distB="0" distL="0" distR="0" wp14:anchorId="1F2B85DC" wp14:editId="714C8D76">
            <wp:extent cx="5201920" cy="1636395"/>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01920" cy="1636395"/>
                    </a:xfrm>
                    <a:prstGeom prst="rect">
                      <a:avLst/>
                    </a:prstGeom>
                  </pic:spPr>
                </pic:pic>
              </a:graphicData>
            </a:graphic>
          </wp:inline>
        </w:drawing>
      </w:r>
    </w:p>
    <w:p w14:paraId="38C33F61" w14:textId="799F9C86" w:rsidR="00106520" w:rsidRDefault="00C0659D" w:rsidP="00106520">
      <w:pPr>
        <w:pStyle w:val="Caption"/>
        <w:jc w:val="both"/>
        <w:rPr>
          <w:b w:val="0"/>
        </w:rPr>
      </w:pPr>
      <w:bookmarkStart w:id="262" w:name="_Ref522127747"/>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12</w:t>
      </w:r>
      <w:r w:rsidR="00BE21E4">
        <w:rPr>
          <w:noProof/>
        </w:rPr>
        <w:fldChar w:fldCharType="end"/>
      </w:r>
      <w:bookmarkEnd w:id="262"/>
      <w:r>
        <w:t xml:space="preserve">. </w:t>
      </w:r>
      <w:r w:rsidRPr="005D2C0B">
        <w:rPr>
          <w:b w:val="0"/>
        </w:rPr>
        <w:t xml:space="preserve">Appearance of collagen I gels prepared in 1.5 mL Eppendorf tubes with increasing concentration of sodium hydroxide (NaOH). A 1 M solution of NaOH was prepared and increasing volumes, starting at 2 µL, were added to solutions of 1 mg/mL rat tail collagen in HDF cell culture media. Final concentration of NaOH for each sample displayed beneath each sample. </w:t>
      </w:r>
    </w:p>
    <w:p w14:paraId="0527E65D" w14:textId="77777777" w:rsidR="00106520" w:rsidRPr="00106520" w:rsidRDefault="00106520" w:rsidP="00106520"/>
    <w:p w14:paraId="487ACBF8" w14:textId="26716C55" w:rsidR="00C0659D" w:rsidRDefault="00C0659D" w:rsidP="00C0659D">
      <w:pPr>
        <w:pStyle w:val="Caption"/>
        <w:keepNext/>
        <w:jc w:val="center"/>
      </w:pPr>
      <w:bookmarkStart w:id="263" w:name="_Ref522127805"/>
      <w:r>
        <w:t xml:space="preserve">Table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Table \* ARABIC \s 1 </w:instrText>
      </w:r>
      <w:r w:rsidR="00BE21E4">
        <w:rPr>
          <w:noProof/>
        </w:rPr>
        <w:fldChar w:fldCharType="separate"/>
      </w:r>
      <w:r w:rsidR="00E6157A">
        <w:rPr>
          <w:noProof/>
        </w:rPr>
        <w:t>5</w:t>
      </w:r>
      <w:r w:rsidR="00BE21E4">
        <w:rPr>
          <w:noProof/>
        </w:rPr>
        <w:fldChar w:fldCharType="end"/>
      </w:r>
      <w:bookmarkEnd w:id="263"/>
      <w:r>
        <w:t xml:space="preserve">. </w:t>
      </w:r>
      <w:r w:rsidRPr="005D2C0B">
        <w:rPr>
          <w:b w:val="0"/>
        </w:rPr>
        <w:t>pH of collagen I gels with increasing amounts of sodium hydroxide (NaOH)</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2693"/>
      </w:tblGrid>
      <w:tr w:rsidR="00C0659D" w14:paraId="4DEDCD91" w14:textId="77777777" w:rsidTr="0081379E">
        <w:tc>
          <w:tcPr>
            <w:tcW w:w="3119" w:type="dxa"/>
            <w:tcBorders>
              <w:top w:val="single" w:sz="4" w:space="0" w:color="auto"/>
              <w:bottom w:val="single" w:sz="4" w:space="0" w:color="auto"/>
            </w:tcBorders>
            <w:vAlign w:val="center"/>
          </w:tcPr>
          <w:p w14:paraId="29EFB692" w14:textId="77777777" w:rsidR="00C0659D" w:rsidRPr="00030511" w:rsidRDefault="00C0659D" w:rsidP="0081379E">
            <w:pPr>
              <w:spacing w:line="276" w:lineRule="auto"/>
              <w:jc w:val="center"/>
              <w:rPr>
                <w:b/>
                <w:color w:val="000000" w:themeColor="text1"/>
              </w:rPr>
            </w:pPr>
            <w:r>
              <w:rPr>
                <w:b/>
                <w:color w:val="000000" w:themeColor="text1"/>
              </w:rPr>
              <w:t>Concentration of</w:t>
            </w:r>
            <w:r w:rsidRPr="00030511">
              <w:rPr>
                <w:b/>
                <w:color w:val="000000" w:themeColor="text1"/>
              </w:rPr>
              <w:t xml:space="preserve"> NaOH</w:t>
            </w:r>
            <w:r>
              <w:rPr>
                <w:b/>
                <w:color w:val="000000" w:themeColor="text1"/>
              </w:rPr>
              <w:t xml:space="preserve"> (mM)</w:t>
            </w:r>
          </w:p>
        </w:tc>
        <w:tc>
          <w:tcPr>
            <w:tcW w:w="2693" w:type="dxa"/>
            <w:tcBorders>
              <w:top w:val="single" w:sz="4" w:space="0" w:color="auto"/>
              <w:bottom w:val="single" w:sz="4" w:space="0" w:color="auto"/>
            </w:tcBorders>
            <w:vAlign w:val="center"/>
          </w:tcPr>
          <w:p w14:paraId="1EC04EBC" w14:textId="77777777" w:rsidR="0024513D" w:rsidRDefault="00C0659D" w:rsidP="0024513D">
            <w:pPr>
              <w:spacing w:line="240" w:lineRule="auto"/>
              <w:jc w:val="center"/>
              <w:rPr>
                <w:b/>
                <w:color w:val="000000" w:themeColor="text1"/>
              </w:rPr>
            </w:pPr>
            <w:r w:rsidRPr="00030511">
              <w:rPr>
                <w:b/>
                <w:color w:val="000000" w:themeColor="text1"/>
              </w:rPr>
              <w:t>pH</w:t>
            </w:r>
            <w:r>
              <w:rPr>
                <w:b/>
                <w:color w:val="000000" w:themeColor="text1"/>
              </w:rPr>
              <w:t xml:space="preserve"> of gel </w:t>
            </w:r>
          </w:p>
          <w:p w14:paraId="6C3BD1D5" w14:textId="1AB14520" w:rsidR="00C0659D" w:rsidRPr="00030511" w:rsidRDefault="00C0659D" w:rsidP="0024513D">
            <w:pPr>
              <w:spacing w:line="240" w:lineRule="auto"/>
              <w:jc w:val="center"/>
              <w:rPr>
                <w:b/>
                <w:color w:val="000000" w:themeColor="text1"/>
              </w:rPr>
            </w:pPr>
            <w:r>
              <w:rPr>
                <w:b/>
                <w:color w:val="000000" w:themeColor="text1"/>
              </w:rPr>
              <w:t>(</w:t>
            </w:r>
            <w:r w:rsidR="0024513D">
              <w:rPr>
                <w:b/>
                <w:color w:val="000000" w:themeColor="text1"/>
              </w:rPr>
              <w:t xml:space="preserve">measured at </w:t>
            </w:r>
            <w:r>
              <w:rPr>
                <w:b/>
                <w:color w:val="000000" w:themeColor="text1"/>
              </w:rPr>
              <w:t>22 </w:t>
            </w:r>
            <w:r w:rsidR="0024513D">
              <w:rPr>
                <w:b/>
                <w:color w:val="000000" w:themeColor="text1"/>
              </w:rPr>
              <w:sym w:font="Symbol" w:char="F0B0"/>
            </w:r>
            <w:r>
              <w:rPr>
                <w:b/>
                <w:color w:val="000000" w:themeColor="text1"/>
              </w:rPr>
              <w:t>C)</w:t>
            </w:r>
          </w:p>
        </w:tc>
      </w:tr>
      <w:tr w:rsidR="00C0659D" w14:paraId="4703D0B4" w14:textId="77777777" w:rsidTr="0081379E">
        <w:tc>
          <w:tcPr>
            <w:tcW w:w="3119" w:type="dxa"/>
            <w:tcBorders>
              <w:top w:val="single" w:sz="4" w:space="0" w:color="auto"/>
            </w:tcBorders>
            <w:vAlign w:val="center"/>
          </w:tcPr>
          <w:p w14:paraId="36F410D0" w14:textId="77777777" w:rsidR="00C0659D" w:rsidRPr="00030511" w:rsidRDefault="00C0659D" w:rsidP="0081379E">
            <w:pPr>
              <w:spacing w:line="276" w:lineRule="auto"/>
              <w:jc w:val="center"/>
              <w:rPr>
                <w:color w:val="000000" w:themeColor="text1"/>
              </w:rPr>
            </w:pPr>
            <w:r>
              <w:rPr>
                <w:color w:val="000000" w:themeColor="text1"/>
              </w:rPr>
              <w:t>3.3</w:t>
            </w:r>
          </w:p>
        </w:tc>
        <w:tc>
          <w:tcPr>
            <w:tcW w:w="2693" w:type="dxa"/>
            <w:tcBorders>
              <w:top w:val="single" w:sz="4" w:space="0" w:color="auto"/>
            </w:tcBorders>
            <w:vAlign w:val="center"/>
          </w:tcPr>
          <w:p w14:paraId="4C35CCEF" w14:textId="77777777" w:rsidR="00C0659D" w:rsidRPr="00030511" w:rsidRDefault="00C0659D" w:rsidP="0081379E">
            <w:pPr>
              <w:spacing w:line="276" w:lineRule="auto"/>
              <w:jc w:val="center"/>
              <w:rPr>
                <w:color w:val="000000" w:themeColor="text1"/>
              </w:rPr>
            </w:pPr>
            <w:r w:rsidRPr="00030511">
              <w:rPr>
                <w:color w:val="000000" w:themeColor="text1"/>
              </w:rPr>
              <w:t>7.57</w:t>
            </w:r>
          </w:p>
        </w:tc>
      </w:tr>
      <w:tr w:rsidR="00C0659D" w14:paraId="1C84E82B" w14:textId="77777777" w:rsidTr="0081379E">
        <w:tc>
          <w:tcPr>
            <w:tcW w:w="3119" w:type="dxa"/>
            <w:vAlign w:val="center"/>
          </w:tcPr>
          <w:p w14:paraId="786A6819" w14:textId="77777777" w:rsidR="00C0659D" w:rsidRPr="00030511" w:rsidRDefault="00C0659D" w:rsidP="0081379E">
            <w:pPr>
              <w:spacing w:line="276" w:lineRule="auto"/>
              <w:jc w:val="center"/>
              <w:rPr>
                <w:color w:val="000000" w:themeColor="text1"/>
              </w:rPr>
            </w:pPr>
            <w:r>
              <w:rPr>
                <w:color w:val="000000" w:themeColor="text1"/>
              </w:rPr>
              <w:t>5.0</w:t>
            </w:r>
          </w:p>
        </w:tc>
        <w:tc>
          <w:tcPr>
            <w:tcW w:w="2693" w:type="dxa"/>
            <w:vAlign w:val="center"/>
          </w:tcPr>
          <w:p w14:paraId="252877B4" w14:textId="77777777" w:rsidR="00C0659D" w:rsidRPr="00030511" w:rsidRDefault="00C0659D" w:rsidP="0081379E">
            <w:pPr>
              <w:spacing w:line="276" w:lineRule="auto"/>
              <w:jc w:val="center"/>
              <w:rPr>
                <w:color w:val="000000" w:themeColor="text1"/>
              </w:rPr>
            </w:pPr>
            <w:r w:rsidRPr="00030511">
              <w:rPr>
                <w:color w:val="000000" w:themeColor="text1"/>
              </w:rPr>
              <w:t>7.57</w:t>
            </w:r>
          </w:p>
        </w:tc>
      </w:tr>
      <w:tr w:rsidR="00C0659D" w14:paraId="4B1673BF" w14:textId="77777777" w:rsidTr="0081379E">
        <w:tc>
          <w:tcPr>
            <w:tcW w:w="3119" w:type="dxa"/>
            <w:vAlign w:val="center"/>
          </w:tcPr>
          <w:p w14:paraId="31CB80CE" w14:textId="77777777" w:rsidR="00C0659D" w:rsidRPr="00030511" w:rsidRDefault="00C0659D" w:rsidP="0081379E">
            <w:pPr>
              <w:spacing w:line="276" w:lineRule="auto"/>
              <w:jc w:val="center"/>
              <w:rPr>
                <w:color w:val="000000" w:themeColor="text1"/>
              </w:rPr>
            </w:pPr>
            <w:r>
              <w:rPr>
                <w:color w:val="000000" w:themeColor="text1"/>
              </w:rPr>
              <w:t>6.6</w:t>
            </w:r>
          </w:p>
        </w:tc>
        <w:tc>
          <w:tcPr>
            <w:tcW w:w="2693" w:type="dxa"/>
            <w:vAlign w:val="center"/>
          </w:tcPr>
          <w:p w14:paraId="671927BD" w14:textId="77777777" w:rsidR="00C0659D" w:rsidRPr="00030511" w:rsidRDefault="00C0659D" w:rsidP="0081379E">
            <w:pPr>
              <w:spacing w:line="276" w:lineRule="auto"/>
              <w:jc w:val="center"/>
              <w:rPr>
                <w:color w:val="000000" w:themeColor="text1"/>
              </w:rPr>
            </w:pPr>
            <w:r w:rsidRPr="00030511">
              <w:rPr>
                <w:color w:val="000000" w:themeColor="text1"/>
              </w:rPr>
              <w:t>7.76</w:t>
            </w:r>
          </w:p>
        </w:tc>
      </w:tr>
      <w:tr w:rsidR="00C0659D" w14:paraId="3BDB0D8B" w14:textId="77777777" w:rsidTr="0081379E">
        <w:tc>
          <w:tcPr>
            <w:tcW w:w="3119" w:type="dxa"/>
            <w:vAlign w:val="center"/>
          </w:tcPr>
          <w:p w14:paraId="37634A6B" w14:textId="77777777" w:rsidR="00C0659D" w:rsidRPr="00030511" w:rsidRDefault="00C0659D" w:rsidP="0081379E">
            <w:pPr>
              <w:spacing w:line="276" w:lineRule="auto"/>
              <w:jc w:val="center"/>
              <w:rPr>
                <w:color w:val="000000" w:themeColor="text1"/>
              </w:rPr>
            </w:pPr>
            <w:r>
              <w:rPr>
                <w:color w:val="000000" w:themeColor="text1"/>
              </w:rPr>
              <w:t>8.3</w:t>
            </w:r>
          </w:p>
        </w:tc>
        <w:tc>
          <w:tcPr>
            <w:tcW w:w="2693" w:type="dxa"/>
            <w:vAlign w:val="center"/>
          </w:tcPr>
          <w:p w14:paraId="772AB127" w14:textId="77777777" w:rsidR="00C0659D" w:rsidRPr="00030511" w:rsidRDefault="00C0659D" w:rsidP="0081379E">
            <w:pPr>
              <w:spacing w:line="276" w:lineRule="auto"/>
              <w:jc w:val="center"/>
              <w:rPr>
                <w:color w:val="000000" w:themeColor="text1"/>
              </w:rPr>
            </w:pPr>
            <w:r w:rsidRPr="00030511">
              <w:rPr>
                <w:color w:val="000000" w:themeColor="text1"/>
              </w:rPr>
              <w:t>8.80</w:t>
            </w:r>
          </w:p>
        </w:tc>
      </w:tr>
      <w:tr w:rsidR="00C0659D" w14:paraId="4D6EF7DE" w14:textId="77777777" w:rsidTr="0081379E">
        <w:tc>
          <w:tcPr>
            <w:tcW w:w="3119" w:type="dxa"/>
            <w:vAlign w:val="center"/>
          </w:tcPr>
          <w:p w14:paraId="5DA36862" w14:textId="77777777" w:rsidR="00C0659D" w:rsidRPr="00030511" w:rsidRDefault="00C0659D" w:rsidP="0081379E">
            <w:pPr>
              <w:spacing w:line="276" w:lineRule="auto"/>
              <w:jc w:val="center"/>
              <w:rPr>
                <w:color w:val="000000" w:themeColor="text1"/>
              </w:rPr>
            </w:pPr>
            <w:r>
              <w:rPr>
                <w:color w:val="000000" w:themeColor="text1"/>
              </w:rPr>
              <w:t>9.9</w:t>
            </w:r>
          </w:p>
        </w:tc>
        <w:tc>
          <w:tcPr>
            <w:tcW w:w="2693" w:type="dxa"/>
            <w:vAlign w:val="center"/>
          </w:tcPr>
          <w:p w14:paraId="60E85E1A" w14:textId="77777777" w:rsidR="00C0659D" w:rsidRPr="00030511" w:rsidRDefault="00C0659D" w:rsidP="0081379E">
            <w:pPr>
              <w:spacing w:line="276" w:lineRule="auto"/>
              <w:jc w:val="center"/>
              <w:rPr>
                <w:color w:val="000000" w:themeColor="text1"/>
              </w:rPr>
            </w:pPr>
            <w:r w:rsidRPr="00030511">
              <w:rPr>
                <w:color w:val="000000" w:themeColor="text1"/>
              </w:rPr>
              <w:t>8.75</w:t>
            </w:r>
          </w:p>
        </w:tc>
      </w:tr>
      <w:tr w:rsidR="00C0659D" w14:paraId="15917051" w14:textId="77777777" w:rsidTr="0081379E">
        <w:tc>
          <w:tcPr>
            <w:tcW w:w="3119" w:type="dxa"/>
            <w:vAlign w:val="center"/>
          </w:tcPr>
          <w:p w14:paraId="3527D31F" w14:textId="77777777" w:rsidR="00C0659D" w:rsidRPr="00030511" w:rsidRDefault="00C0659D" w:rsidP="0081379E">
            <w:pPr>
              <w:spacing w:line="276" w:lineRule="auto"/>
              <w:jc w:val="center"/>
              <w:rPr>
                <w:color w:val="000000" w:themeColor="text1"/>
              </w:rPr>
            </w:pPr>
            <w:r>
              <w:rPr>
                <w:color w:val="000000" w:themeColor="text1"/>
              </w:rPr>
              <w:t>11.6</w:t>
            </w:r>
          </w:p>
        </w:tc>
        <w:tc>
          <w:tcPr>
            <w:tcW w:w="2693" w:type="dxa"/>
            <w:vAlign w:val="center"/>
          </w:tcPr>
          <w:p w14:paraId="53DB0D13" w14:textId="77777777" w:rsidR="00C0659D" w:rsidRPr="00030511" w:rsidRDefault="00C0659D" w:rsidP="0081379E">
            <w:pPr>
              <w:spacing w:line="276" w:lineRule="auto"/>
              <w:jc w:val="center"/>
              <w:rPr>
                <w:color w:val="000000" w:themeColor="text1"/>
              </w:rPr>
            </w:pPr>
            <w:r w:rsidRPr="00030511">
              <w:rPr>
                <w:color w:val="000000" w:themeColor="text1"/>
              </w:rPr>
              <w:t>8.73</w:t>
            </w:r>
          </w:p>
        </w:tc>
      </w:tr>
      <w:tr w:rsidR="00C0659D" w14:paraId="5CF9E2AE" w14:textId="77777777" w:rsidTr="0081379E">
        <w:tc>
          <w:tcPr>
            <w:tcW w:w="3119" w:type="dxa"/>
            <w:tcBorders>
              <w:bottom w:val="single" w:sz="4" w:space="0" w:color="auto"/>
            </w:tcBorders>
            <w:vAlign w:val="center"/>
          </w:tcPr>
          <w:p w14:paraId="078E81CF" w14:textId="77777777" w:rsidR="00C0659D" w:rsidRPr="00030511" w:rsidRDefault="00C0659D" w:rsidP="0081379E">
            <w:pPr>
              <w:spacing w:line="276" w:lineRule="auto"/>
              <w:jc w:val="center"/>
              <w:rPr>
                <w:color w:val="000000" w:themeColor="text1"/>
              </w:rPr>
            </w:pPr>
            <w:r>
              <w:rPr>
                <w:color w:val="000000" w:themeColor="text1"/>
              </w:rPr>
              <w:t>13.2</w:t>
            </w:r>
          </w:p>
        </w:tc>
        <w:tc>
          <w:tcPr>
            <w:tcW w:w="2693" w:type="dxa"/>
            <w:tcBorders>
              <w:bottom w:val="single" w:sz="4" w:space="0" w:color="auto"/>
            </w:tcBorders>
            <w:vAlign w:val="center"/>
          </w:tcPr>
          <w:p w14:paraId="0116A663" w14:textId="77777777" w:rsidR="00C0659D" w:rsidRPr="00030511" w:rsidRDefault="00C0659D" w:rsidP="0081379E">
            <w:pPr>
              <w:spacing w:line="276" w:lineRule="auto"/>
              <w:jc w:val="center"/>
              <w:rPr>
                <w:color w:val="000000" w:themeColor="text1"/>
              </w:rPr>
            </w:pPr>
            <w:r w:rsidRPr="00030511">
              <w:rPr>
                <w:color w:val="000000" w:themeColor="text1"/>
              </w:rPr>
              <w:t>9.02</w:t>
            </w:r>
          </w:p>
        </w:tc>
      </w:tr>
    </w:tbl>
    <w:p w14:paraId="797A0852" w14:textId="77777777" w:rsidR="00C0659D" w:rsidRDefault="00C0659D" w:rsidP="00C0659D"/>
    <w:p w14:paraId="599E38A9" w14:textId="34769BC9" w:rsidR="00C0659D" w:rsidRDefault="00C0659D" w:rsidP="00C0659D">
      <w:r>
        <w:t xml:space="preserve">Following the sodium hydroxide titration, a cell density screen was performed to determine the optimal cell density to contract the collagen </w:t>
      </w:r>
      <w:r w:rsidRPr="004E7266">
        <w:t>gels</w:t>
      </w:r>
      <w:r>
        <w:t>. Collagen gels were prepared with cell densities from 2.5 </w:t>
      </w:r>
      <w:r>
        <w:sym w:font="Symbol" w:char="F0B4"/>
      </w:r>
      <w:r>
        <w:t> 10</w:t>
      </w:r>
      <w:r>
        <w:rPr>
          <w:vertAlign w:val="superscript"/>
        </w:rPr>
        <w:t>4</w:t>
      </w:r>
      <w:r>
        <w:t xml:space="preserve"> to 2.0 </w:t>
      </w:r>
      <w:r>
        <w:sym w:font="Symbol" w:char="F0B4"/>
      </w:r>
      <w:r>
        <w:t> 10</w:t>
      </w:r>
      <w:r w:rsidRPr="00BC3D7E">
        <w:rPr>
          <w:vertAlign w:val="superscript"/>
        </w:rPr>
        <w:t>5</w:t>
      </w:r>
      <w:r>
        <w:t xml:space="preserve"> HDF, as well as control gels containing no cells. All gels containing cells contracted over the 7 day period</w:t>
      </w:r>
      <w:r w:rsidRPr="00EB7F69">
        <w:t xml:space="preserve"> </w:t>
      </w:r>
      <w:r>
        <w:t>(</w:t>
      </w:r>
      <w:r w:rsidRPr="00EB7F69">
        <w:fldChar w:fldCharType="begin"/>
      </w:r>
      <w:r w:rsidRPr="00EB7F69">
        <w:instrText xml:space="preserve"> REF _Ref521169999 \h  \* MERGEFORMAT </w:instrText>
      </w:r>
      <w:r w:rsidRPr="00EB7F69">
        <w:fldChar w:fldCharType="separate"/>
      </w:r>
      <w:r w:rsidR="00E6157A" w:rsidRPr="001B1F61">
        <w:t xml:space="preserve">Figure </w:t>
      </w:r>
      <w:r w:rsidR="00E6157A">
        <w:rPr>
          <w:noProof/>
        </w:rPr>
        <w:t>4.13</w:t>
      </w:r>
      <w:r w:rsidRPr="00EB7F69">
        <w:fldChar w:fldCharType="end"/>
      </w:r>
      <w:r>
        <w:t>)</w:t>
      </w:r>
      <w:r w:rsidRPr="00EB7F69">
        <w:t>. The</w:t>
      </w:r>
      <w:r>
        <w:t xml:space="preserve"> rate of contraction was dependent on cell density, with gels containing a higher density of cells contracting at a much greater rate than those containing lower cell densities.</w:t>
      </w:r>
    </w:p>
    <w:p w14:paraId="25F08370" w14:textId="77777777" w:rsidR="00C0659D" w:rsidRDefault="00C0659D" w:rsidP="00C0659D">
      <w:pPr>
        <w:keepNext/>
        <w:jc w:val="center"/>
      </w:pPr>
      <w:r w:rsidRPr="00EB7F69">
        <w:rPr>
          <w:noProof/>
          <w:lang w:val="en-US"/>
        </w:rPr>
        <w:lastRenderedPageBreak/>
        <w:drawing>
          <wp:inline distT="0" distB="0" distL="0" distR="0" wp14:anchorId="2D4FD7F2" wp14:editId="6B1C30CF">
            <wp:extent cx="4180177" cy="2361235"/>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85525" cy="2364256"/>
                    </a:xfrm>
                    <a:prstGeom prst="rect">
                      <a:avLst/>
                    </a:prstGeom>
                  </pic:spPr>
                </pic:pic>
              </a:graphicData>
            </a:graphic>
          </wp:inline>
        </w:drawing>
      </w:r>
    </w:p>
    <w:p w14:paraId="16EF2393" w14:textId="3DD0B99A" w:rsidR="00C0659D" w:rsidRDefault="00C0659D" w:rsidP="005D2C0B">
      <w:pPr>
        <w:pStyle w:val="Caption"/>
        <w:jc w:val="both"/>
      </w:pPr>
      <w:bookmarkStart w:id="264" w:name="_Ref521169999"/>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13</w:t>
      </w:r>
      <w:r w:rsidR="00BE21E4">
        <w:rPr>
          <w:noProof/>
        </w:rPr>
        <w:fldChar w:fldCharType="end"/>
      </w:r>
      <w:bookmarkEnd w:id="264"/>
      <w:r w:rsidRPr="001B1F61">
        <w:t xml:space="preserve">. </w:t>
      </w:r>
      <w:r w:rsidRPr="005D2C0B">
        <w:rPr>
          <w:b w:val="0"/>
        </w:rPr>
        <w:t>Cell density screen of primary human dermal fibroblasts (HDF) in collagen I gels for a period of 7 days. Samples were prepared in triplicate and results are expressed as mean ± standard deviation.</w:t>
      </w:r>
    </w:p>
    <w:p w14:paraId="6F34879B" w14:textId="439B16EF" w:rsidR="00C0659D" w:rsidRDefault="00C0659D" w:rsidP="00C0659D">
      <w:r>
        <w:t xml:space="preserve">This finding is </w:t>
      </w:r>
      <w:r w:rsidRPr="0021654C">
        <w:t>supported by previous</w:t>
      </w:r>
      <w:r>
        <w:t xml:space="preserve"> studies.</w:t>
      </w:r>
      <w:r>
        <w:fldChar w:fldCharType="begin" w:fldLock="1"/>
      </w:r>
      <w:r w:rsidR="00DB1BCE">
        <w:instrText>ADDIN CSL_CITATION {"citationItems":[{"id":"ITEM-1","itemData":{"DOI":"10.1165/ajrcmb.22.6.3806","ISSN":"10441549","PMID":"10837367","abstract":"Contraction of type I collagen gels is an in vitro model of tissue remodeling. In addition to fibroblasts, some epithelial cells can mediate this process. We therefore hypothesized that alveolar epithelial cells might contract extracellular matrices and have the potential to directly participate in the remodeling of the lung after alveolar injury. A549 cells were plated on top of collagen gels, and the gels were floated in culture medium. A549 cells contracted the gels in a time- and cell density-dependent manner. A549 cells, as well as human bronchial epithelial cells (HBEC) and rat alveolar epithelial cells (RalvEC) contracted collagen gels more when they were plated on top of the gel than when they were embedded inside, in contrast to human fetal lung fibroblast (HFL1), which contracted more when cast inside. The amount of hydroxyproline in the collagen gels remained unchanged throughout the contraction. Anti-beta(1) integrin antibody inhibited A549 cell-mediated contraction. Transforming growth factor beta augmented the contraction by A549 cells as well as that by HBEC and HFL1. Prostaglandin E(2) inhibited the contraction by HFL1 but did not affect the contraction by A549 cells, HBEC, or RalvEC. Cytomix (a mixture of tumor necrosis factor-alpha, interleukin-1beta, and interferon-gamma) inhibited the contraction by HFL1 but strongly enhanced the contraction by A549 cells. Cytomix also caused a morphologic change of A549 cells from a polygonal to a spindle shape. Immunocytochemistry showed that cytomix induced alpha-tubulin expression in A549 cells, whereas cytokeratin, vimentin, smooth muscle actin, beta(1) integrin, and paxillin expressions were not changed. This study thus demonstrates that alveolar epithelial cells can cause contraction of extracellular matrices and that this process is modulated by exogenous mediators, which also modify the microtubular system. Such an activity might contribute to alveolar remodeling after injury.","author":[{"dropping-particle":"","family":"Umino","given":"Takeshi","non-dropping-particle":"","parse-names":false,"suffix":""},{"dropping-particle":"","family":"Wang","given":"Hangjun","non-dropping-particle":"","parse-names":false,"suffix":""},{"dropping-particle":"","family":"Zhu","given":"Yunkui","non-dropping-particle":"","parse-names":false,"suffix":""},{"dropping-particle":"","family":"Liu","given":"Xiangde","non-dropping-particle":"","parse-names":false,"suffix":""},{"dropping-particle":"","family":"Manouilova","given":"Lidia S.","non-dropping-particle":"","parse-names":false,"suffix":""},{"dropping-particle":"","family":"Spurzem","given":"John R.","non-dropping-particle":"","parse-names":false,"suffix":""},{"dropping-particle":"","family":"Leuschen","given":"M. Patricia","non-dropping-particle":"","parse-names":false,"suffix":""},{"dropping-particle":"","family":"Rennard","given":"Stephen I.","non-dropping-particle":"","parse-names":false,"suffix":""}],"container-title":"American Journal of Respiratory Cell and Molecular Biology","id":"ITEM-1","issue":"6","issued":{"date-parts":[["2000"]]},"page":"702-707","title":"Modification of type I collagenous gels by alveolar epithelial cells","type":"article-journal","volume":"22"},"uris":["http://www.mendeley.com/documents/?uuid=e1ba0557-2a81-422d-adca-3839978a4fa2"]}],"mendeley":{"formattedCitation":"&lt;sup&gt;262&lt;/sup&gt;","plainTextFormattedCitation":"262","previouslyFormattedCitation":"&lt;sup&gt;261&lt;/sup&gt;"},"properties":{"noteIndex":0},"schema":"https://github.com/citation-style-language/schema/raw/master/csl-citation.json"}</w:instrText>
      </w:r>
      <w:r>
        <w:fldChar w:fldCharType="separate"/>
      </w:r>
      <w:r w:rsidR="00DB1BCE" w:rsidRPr="00DB1BCE">
        <w:rPr>
          <w:noProof/>
          <w:vertAlign w:val="superscript"/>
        </w:rPr>
        <w:t>262</w:t>
      </w:r>
      <w:r>
        <w:fldChar w:fldCharType="end"/>
      </w:r>
      <w:r w:rsidRPr="0021654C">
        <w:rPr>
          <w:vertAlign w:val="superscript"/>
        </w:rPr>
        <w:t>,</w:t>
      </w:r>
      <w:r>
        <w:fldChar w:fldCharType="begin" w:fldLock="1"/>
      </w:r>
      <w:r w:rsidR="00DB1BCE">
        <w:instrText>ADDIN CSL_CITATION {"citationItems":[{"id":"ITEM-1","itemData":{"DOI":"10.1186/1465-9921-4-13","ISBN":"1465-993X (Electronic)\\r1465-9921 (Linking)","ISSN":"1465993X","PMID":"14624704","abstract":"BACKGROUND: Platelets are thought to play a role in a variety of inflammatory conditions in the lung, some of which may lead to fibrosis. In the current study we tested the hypothesis that whole platelets and platelet lysate can mediate remodelling of extracellular matrix in vitro by affecting fibroblast-mediated contraction of a collagen gel. We also sought to determine to what extent platelet-derived growth factor (PDGF) and transforming growth factor-beta (TGF-beta) contribute to this effect. METHODS: Washed platelets, isolated from healthy blood donors, and platelet lysate (freezing and thawing), were cast together with human lung fibroblasts in three-dimensional collagen gels. The gels were then released and cultured for four days. PDGF and TGF-beta1 concentrations were measured in culture supernatants by ELISA. RESULTS: Both platelets and platelet lysate augmented fibroblast-mediated gel contraction in a time and concentration dependent manner (19.9% +/- 0.1 (mean +/- SEM) of initial area vs. 48.0% +/- 0.4 at 48 hours; P &lt; 0.001 and 41.5% +/- 0.6 vs. 60.6% +/- 0.3 at 48 hours; P &lt; 0.001, respectively). Fixed platelets had no effect in the system. Both TGF-beta1 and PDGF-AA/AB were released in co-culture. PDGF-AA/AB had a maximum release at 24 hours whereas TGF-beta1 release increased with longer culture periods. Neutralising antibodies to these mediators partially inhibited platelet-induced gel contraction. CONCLUSION: We conclude that platelets may promote remodelling of extracellular matrix in vitro and that PDGF and TGF-beta partially mediate this effect, also indicating a role for other mediators. The findings may be an important mechanism in regulating repair processes after injury.","author":[{"dropping-particle":"","family":"Zagai","given":"Ulrika","non-dropping-particle":"","parse-names":false,"suffix":""},{"dropping-particle":"","family":"Fredriksson","given":"Karin","non-dropping-particle":"","parse-names":false,"suffix":""},{"dropping-particle":"","family":"Rennard","given":"Stephen I.","non-dropping-particle":"","parse-names":false,"suffix":""},{"dropping-particle":"","family":"Lundahl","given":"Joachim","non-dropping-particle":"","parse-names":false,"suffix":""},{"dropping-particle":"","family":"Sköld","given":"C. Magnus","non-dropping-particle":"","parse-names":false,"suffix":""}],"container-title":"Respiratory Research","id":"ITEM-1","issue":"13","issued":{"date-parts":[["2003"]]},"page":"1-10","title":"Platelets stimulate fibroblast-mediated contraction of collagen gels","type":"article-journal","volume":"4"},"uris":["http://www.mendeley.com/documents/?uuid=5da07b05-4d15-4221-af79-1f10d708a6de"]}],"mendeley":{"formattedCitation":"&lt;sup&gt;263&lt;/sup&gt;","plainTextFormattedCitation":"263","previouslyFormattedCitation":"&lt;sup&gt;262&lt;/sup&gt;"},"properties":{"noteIndex":0},"schema":"https://github.com/citation-style-language/schema/raw/master/csl-citation.json"}</w:instrText>
      </w:r>
      <w:r>
        <w:fldChar w:fldCharType="separate"/>
      </w:r>
      <w:r w:rsidR="00DB1BCE" w:rsidRPr="00DB1BCE">
        <w:rPr>
          <w:noProof/>
          <w:vertAlign w:val="superscript"/>
        </w:rPr>
        <w:t>263</w:t>
      </w:r>
      <w:r>
        <w:fldChar w:fldCharType="end"/>
      </w:r>
      <w:r w:rsidRPr="00A550A4">
        <w:rPr>
          <w:vertAlign w:val="superscript"/>
        </w:rPr>
        <w:t>,</w:t>
      </w:r>
      <w:r>
        <w:fldChar w:fldCharType="begin" w:fldLock="1"/>
      </w:r>
      <w:r w:rsidR="0085447D">
        <w:instrText>ADDIN CSL_CITATION {"citationItems":[{"id":"ITEM-1","itemData":{"DOI":"10.1016/0014-4827(89)90422-9","ISSN":"00144827","PMID":"2472282","abstract":"Fibroblasts derived from the papillary and reticular dermis of human skin and human keratinocytes show differences in their abilities to contract floating three-dimensional gels constructed from type I collagen. Reticular fibroblasts produce greater gel contraction than papillary fibroblasts. When equal numbers of papillary and reticular fibroblasts are mixed in the gels, papillary fibroblasts consistently inhibit gel contraction by reticular fibroblasts indicating interaction between these cell types in the contraction process. Surprisingly, keratinocytes alone produce greater gel contraction than that produced by either fibroblast type. Cooperativity in the gel contraction process is observed when fibroblasts are incorporated into the collagen matrix and keratinocytes are seeded onto the gel surface. Keratinocytes and dermal fibroblasts adhere to the collagen fibril to induce gel contraction by different mechanisms. Fibroblast contraction of collagen gels does not require fibronectin but is a serum-dependent reaction. In contrast, keratinocyte contraction of collagen gels occurs in a serum-free environment. Polyclonal, affinity-purified antibodies to human plasma fibronectin at high concentrations do not inhibit gel contraction by keratinocytes, making unlikely the possibility that fibronectin synthesized by the keratinocyte is a significant factor in the gel contraction process. We are currently examining the possibilities either that keratinocytes are synthesizing other adhesion proteins or that receptors on the cell surface can interact directly with the collagen fiber.","author":[{"dropping-particle":"","family":"Schafer","given":"Irwin A","non-dropping-particle":"","parse-names":false,"suffix":""},{"dropping-particle":"","family":"Shapiro","given":"Allan","non-dropping-particle":"","parse-names":false,"suffix":""},{"dropping-particle":"","family":"Kovach","given":"Maureen","non-dropping-particle":"","parse-names":false,"suffix":""},{"dropping-particle":"","family":"Lang","given":"Cindy","non-dropping-particle":"","parse-names":false,"suffix":""},{"dropping-particle":"","family":"Fratianne","given":"Richard B","non-dropping-particle":"","parse-names":false,"suffix":""}],"container-title":"Experimental cell research","id":"ITEM-1","issue":"1","issued":{"date-parts":[["1989"]]},"page":"112-125","title":"The interaction of human papillary and reticular fibroblasts and human keratinocytes in the contraction of three-dimensional floating collagen lattices.","type":"article-journal","volume":"183"},"uris":["http://www.mendeley.com/documents/?uuid=4964cde3-7641-4a28-b705-464b8b5a6446"]}],"mendeley":{"formattedCitation":"&lt;sup&gt;71&lt;/sup&gt;","plainTextFormattedCitation":"71","previouslyFormattedCitation":"&lt;sup&gt;71&lt;/sup&gt;"},"properties":{"noteIndex":0},"schema":"https://github.com/citation-style-language/schema/raw/master/csl-citation.json"}</w:instrText>
      </w:r>
      <w:r>
        <w:fldChar w:fldCharType="separate"/>
      </w:r>
      <w:r w:rsidR="00B02713" w:rsidRPr="00B02713">
        <w:rPr>
          <w:noProof/>
          <w:vertAlign w:val="superscript"/>
        </w:rPr>
        <w:t>71</w:t>
      </w:r>
      <w:r>
        <w:fldChar w:fldCharType="end"/>
      </w:r>
      <w:r>
        <w:t xml:space="preserve"> Collagen gels without any cells remained a constant size for the duration of the experiment. After 7 days, all cell-seeded gels had reduced to approximately 20 % of their original size. Interestingly, the majority of the contraction for collagen gels containing high cell densities occurred within the first 24 hours. Gels containing lower cell densities, however, contracted in a more linear fashion over the 7 days.</w:t>
      </w:r>
      <w:r w:rsidRPr="00EB7F69">
        <w:rPr>
          <w:color w:val="000000" w:themeColor="text1"/>
        </w:rPr>
        <w:t xml:space="preserve"> </w:t>
      </w:r>
      <w:r w:rsidRPr="009D690C">
        <w:rPr>
          <w:color w:val="000000" w:themeColor="text1"/>
        </w:rPr>
        <w:t xml:space="preserve">Redden and Doolin found </w:t>
      </w:r>
      <w:r>
        <w:rPr>
          <w:color w:val="000000" w:themeColor="text1"/>
        </w:rPr>
        <w:t>that lysyl oxidase-mediated collagen gel contraction occurred in a 2-stage process.</w:t>
      </w:r>
      <w:r>
        <w:rPr>
          <w:color w:val="000000" w:themeColor="text1"/>
        </w:rPr>
        <w:fldChar w:fldCharType="begin" w:fldLock="1"/>
      </w:r>
      <w:r w:rsidR="0085447D">
        <w:rPr>
          <w:color w:val="000000" w:themeColor="text1"/>
        </w:rPr>
        <w:instrText>ADDIN CSL_CITATION {"citationItems":[{"id":"ITEM-1","itemData":{"DOI":"10.1034/j.1600-0846.2003.00023.x","ISBN":"0909-752X (Print)","ISSN":"0909-752X","PMID":"12877693","abstract":"BACKGROUND/PURPOSE: Fibroblasts are actively and dynamically involved in wound healing (dermal regeneration, wound contraction, and scar contracture) and fibrosis. Fibroblast-seeded collagen gels provide an in vitro model for these processes. Over time, fibroblasts will contract the gels, but the mechanisms are not completely understood. This research investigated the influence of cell density and collagen crosslinking on the contraction of fibroblast-populated gels by varying seeding density and blocking the catalyzing enzyme lysyl oxidase, respectively. METHODS: Collagen gels were seeded with fibroblasts at either 3 x 104 or 1 x 105 cells/mL and incubated with or without the lathyrogen beta-aminoproprionitrile (BAPN) for 8 days. In all, four experimental groups were analyzed: low cell density control, high cell density control, low density plus BAPN, and high density plus BAPN. Digital images were taken daily and gel area was calculated. RESULTS: Contraction was dependent on cell concentration, with higher density gels being contracted to a greater extent. BAPN had no effect until after day 2 when it inhibited (high density) or almost completely blocked (low density) the gel contraction. BAPN also reduced total long-term contraction. CONCLUSION: The results demonstrated a bimodal nature to fibroblast-mediated gel contraction: a cell density-dependent component, most likely mediated through cellular forces, and a delayed collagen crosslinking component that could be blocked by BAPN. In the long-term, similar contraction rates among the four experimental groups, particularly between the two BAPN groups, implies that the collagen crosslinking effect is discrete and independent of cell density.","author":[{"dropping-particle":"","family":"Redden","given":"Robert A","non-dropping-particle":"","parse-names":false,"suffix":""},{"dropping-particle":"","family":"Doolin","given":"Edward J","non-dropping-particle":"","parse-names":false,"suffix":""}],"container-title":"Skin research and technology","id":"ITEM-1","issue":"3","issued":{"date-parts":[["2003"]]},"page":"290-293","title":"Collagen crosslinking and cell density have distinct effects on fibroblast-mediated contraction of collagen gels.","type":"article-journal","volume":"9"},"uris":["http://www.mendeley.com/documents/?uuid=5e3c0ffd-1050-4010-9048-6ee2453708ef"]}],"mendeley":{"formattedCitation":"&lt;sup&gt;79&lt;/sup&gt;","plainTextFormattedCitation":"79","previouslyFormattedCitation":"&lt;sup&gt;79&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79</w:t>
      </w:r>
      <w:r>
        <w:rPr>
          <w:color w:val="000000" w:themeColor="text1"/>
        </w:rPr>
        <w:fldChar w:fldCharType="end"/>
      </w:r>
      <w:r>
        <w:rPr>
          <w:color w:val="000000" w:themeColor="text1"/>
        </w:rPr>
        <w:t xml:space="preserve"> They reported that an initial phase of contraction occurred independently to collagen cross-linking, which they hypothesised was due to the contraction of myofibroblasts and the gathering of cells. The second phase of contraction was dependent on collagen cross-linking and could be inhibited by </w:t>
      </w:r>
      <w:r>
        <w:rPr>
          <w:color w:val="000000" w:themeColor="text1"/>
        </w:rPr>
        <w:sym w:font="Symbol" w:char="F062"/>
      </w:r>
      <w:r>
        <w:rPr>
          <w:color w:val="000000" w:themeColor="text1"/>
        </w:rPr>
        <w:noBreakHyphen/>
        <w:t>APN. Taking this into account, a cell density of 2.5 </w:t>
      </w:r>
      <w:r>
        <w:rPr>
          <w:color w:val="000000" w:themeColor="text1"/>
        </w:rPr>
        <w:sym w:font="Symbol" w:char="F0B4"/>
      </w:r>
      <w:r>
        <w:rPr>
          <w:color w:val="000000" w:themeColor="text1"/>
        </w:rPr>
        <w:t> 10</w:t>
      </w:r>
      <w:r>
        <w:rPr>
          <w:color w:val="000000" w:themeColor="text1"/>
          <w:vertAlign w:val="superscript"/>
        </w:rPr>
        <w:t>4</w:t>
      </w:r>
      <w:r>
        <w:rPr>
          <w:color w:val="000000" w:themeColor="text1"/>
        </w:rPr>
        <w:t> cells/mL was chosen</w:t>
      </w:r>
      <w:r w:rsidRPr="009D690C">
        <w:rPr>
          <w:color w:val="000000" w:themeColor="text1"/>
        </w:rPr>
        <w:t xml:space="preserve"> for future collagen gel </w:t>
      </w:r>
      <w:r w:rsidRPr="0029145A">
        <w:rPr>
          <w:color w:val="000000" w:themeColor="text1"/>
        </w:rPr>
        <w:t xml:space="preserve">contraction assays, as this had the most linear rate of contraction and therefore would allow the effect of </w:t>
      </w:r>
      <w:r w:rsidRPr="0029145A">
        <w:rPr>
          <w:color w:val="000000" w:themeColor="text1"/>
        </w:rPr>
        <w:sym w:font="Symbol" w:char="F062"/>
      </w:r>
      <w:r w:rsidRPr="0029145A">
        <w:rPr>
          <w:color w:val="000000" w:themeColor="text1"/>
        </w:rPr>
        <w:noBreakHyphen/>
        <w:t xml:space="preserve">APN on the rate of contraction to be observed. </w:t>
      </w:r>
    </w:p>
    <w:p w14:paraId="4D4330E8" w14:textId="77777777" w:rsidR="00C0659D" w:rsidRDefault="00C0659D" w:rsidP="006D5170">
      <w:pPr>
        <w:pStyle w:val="Heading4"/>
      </w:pPr>
      <w:r>
        <w:t xml:space="preserve">Collagen I gels treated with </w:t>
      </w:r>
      <w:r>
        <w:sym w:font="Symbol" w:char="F062"/>
      </w:r>
      <w:r>
        <w:noBreakHyphen/>
        <w:t>APN</w:t>
      </w:r>
    </w:p>
    <w:p w14:paraId="25B807D4" w14:textId="669C5341" w:rsidR="00C0659D" w:rsidRDefault="00C0659D" w:rsidP="00C0659D">
      <w:pPr>
        <w:rPr>
          <w:color w:val="000000" w:themeColor="text1"/>
        </w:rPr>
      </w:pPr>
      <w:r>
        <w:rPr>
          <w:color w:val="000000" w:themeColor="text1"/>
        </w:rPr>
        <w:t xml:space="preserve">An initial experiment tested the degree of contraction for collagen gels treated with </w:t>
      </w:r>
      <w:r>
        <w:rPr>
          <w:color w:val="000000" w:themeColor="text1"/>
        </w:rPr>
        <w:sym w:font="Symbol" w:char="F062"/>
      </w:r>
      <w:r>
        <w:rPr>
          <w:color w:val="000000" w:themeColor="text1"/>
        </w:rPr>
        <w:noBreakHyphen/>
        <w:t xml:space="preserve">APN from 25 to 200 µg/mL. </w:t>
      </w:r>
      <w:r w:rsidRPr="00823CE3">
        <w:rPr>
          <w:color w:val="000000" w:themeColor="text1"/>
        </w:rPr>
        <w:t xml:space="preserve">After </w:t>
      </w:r>
      <w:r>
        <w:rPr>
          <w:color w:val="000000" w:themeColor="text1"/>
        </w:rPr>
        <w:t xml:space="preserve">the final timepoint (day 7), a resazurin sodium salt assay was performed to assess cell viability. The rationale behind this was to confirm whether a reduction in contraction was due to the inhibitory effects of </w:t>
      </w:r>
      <w:r>
        <w:rPr>
          <w:color w:val="000000" w:themeColor="text1"/>
        </w:rPr>
        <w:sym w:font="Symbol" w:char="F062"/>
      </w:r>
      <w:r>
        <w:rPr>
          <w:color w:val="000000" w:themeColor="text1"/>
        </w:rPr>
        <w:noBreakHyphen/>
        <w:t xml:space="preserve">APN or due to cytotoxic effects. After 7 days, treatment with </w:t>
      </w:r>
      <w:r>
        <w:rPr>
          <w:color w:val="000000" w:themeColor="text1"/>
        </w:rPr>
        <w:sym w:font="Symbol" w:char="F062"/>
      </w:r>
      <w:r>
        <w:rPr>
          <w:color w:val="000000" w:themeColor="text1"/>
        </w:rPr>
        <w:noBreakHyphen/>
        <w:t>APN was found to inhibit collagen gel contraction in a dose-</w:t>
      </w:r>
      <w:r w:rsidRPr="009D690C">
        <w:rPr>
          <w:color w:val="000000" w:themeColor="text1"/>
        </w:rPr>
        <w:t xml:space="preserve">dependent manner </w:t>
      </w:r>
      <w:r w:rsidR="0024513D">
        <w:rPr>
          <w:color w:val="000000" w:themeColor="text1"/>
        </w:rPr>
        <w:t>(</w:t>
      </w:r>
      <w:r w:rsidRPr="009D690C">
        <w:rPr>
          <w:color w:val="000000" w:themeColor="text1"/>
        </w:rPr>
        <w:fldChar w:fldCharType="begin"/>
      </w:r>
      <w:r w:rsidRPr="009D690C">
        <w:rPr>
          <w:color w:val="000000" w:themeColor="text1"/>
        </w:rPr>
        <w:instrText xml:space="preserve"> REF _Ref521336188 \h  \* MERGEFORMAT </w:instrText>
      </w:r>
      <w:r w:rsidRPr="009D690C">
        <w:rPr>
          <w:color w:val="000000" w:themeColor="text1"/>
        </w:rPr>
      </w:r>
      <w:r w:rsidRPr="009D690C">
        <w:rPr>
          <w:color w:val="000000" w:themeColor="text1"/>
        </w:rPr>
        <w:fldChar w:fldCharType="separate"/>
      </w:r>
      <w:r w:rsidR="00E6157A" w:rsidRPr="001B1F61">
        <w:t xml:space="preserve">Figure </w:t>
      </w:r>
      <w:r w:rsidR="00E6157A">
        <w:rPr>
          <w:noProof/>
        </w:rPr>
        <w:t>4.14</w:t>
      </w:r>
      <w:r w:rsidRPr="009D690C">
        <w:rPr>
          <w:color w:val="000000" w:themeColor="text1"/>
        </w:rPr>
        <w:fldChar w:fldCharType="end"/>
      </w:r>
      <w:r w:rsidR="00EC58A6">
        <w:rPr>
          <w:color w:val="000000" w:themeColor="text1"/>
        </w:rPr>
        <w:t> (</w:t>
      </w:r>
      <w:r>
        <w:rPr>
          <w:color w:val="000000" w:themeColor="text1"/>
        </w:rPr>
        <w:t>A</w:t>
      </w:r>
      <w:r w:rsidR="0024513D">
        <w:rPr>
          <w:color w:val="000000" w:themeColor="text1"/>
        </w:rPr>
        <w:t>)</w:t>
      </w:r>
      <w:r w:rsidR="00EC58A6">
        <w:rPr>
          <w:color w:val="000000" w:themeColor="text1"/>
        </w:rPr>
        <w:t>)</w:t>
      </w:r>
      <w:r>
        <w:rPr>
          <w:color w:val="000000" w:themeColor="text1"/>
        </w:rPr>
        <w:t xml:space="preserve">. </w:t>
      </w:r>
    </w:p>
    <w:p w14:paraId="201117CD" w14:textId="4C0A0DEB" w:rsidR="00C0659D" w:rsidRPr="004C17CA" w:rsidRDefault="00C0659D" w:rsidP="00C0659D">
      <w:pPr>
        <w:rPr>
          <w:color w:val="000000" w:themeColor="text1"/>
        </w:rPr>
      </w:pPr>
      <w:r w:rsidRPr="004C17CA">
        <w:rPr>
          <w:noProof/>
          <w:color w:val="000000" w:themeColor="text1"/>
          <w:lang w:val="en-US"/>
        </w:rPr>
        <w:lastRenderedPageBreak/>
        <w:drawing>
          <wp:inline distT="0" distB="0" distL="0" distR="0" wp14:anchorId="3389637F" wp14:editId="38BAC100">
            <wp:extent cx="5201920" cy="4612005"/>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01920" cy="4612005"/>
                    </a:xfrm>
                    <a:prstGeom prst="rect">
                      <a:avLst/>
                    </a:prstGeom>
                  </pic:spPr>
                </pic:pic>
              </a:graphicData>
            </a:graphic>
          </wp:inline>
        </w:drawing>
      </w:r>
    </w:p>
    <w:p w14:paraId="4ACAC766" w14:textId="0552600F" w:rsidR="00C0659D" w:rsidRDefault="00C0659D" w:rsidP="005D2C0B">
      <w:pPr>
        <w:pStyle w:val="Caption"/>
        <w:jc w:val="both"/>
      </w:pPr>
      <w:bookmarkStart w:id="265" w:name="_Ref521336188"/>
      <w:r w:rsidRPr="001B1F61">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14</w:t>
      </w:r>
      <w:r w:rsidR="00BE21E4">
        <w:rPr>
          <w:noProof/>
        </w:rPr>
        <w:fldChar w:fldCharType="end"/>
      </w:r>
      <w:bookmarkEnd w:id="265"/>
      <w:r w:rsidRPr="001B1F61">
        <w:t xml:space="preserve">. A) </w:t>
      </w:r>
      <w:r w:rsidRPr="005D2C0B">
        <w:rPr>
          <w:b w:val="0"/>
        </w:rPr>
        <w:t xml:space="preserve">Contraction of collagen I gels seeded with primary human dermal fibroblasts (HDF) and treated with increasing concentrations of </w:t>
      </w:r>
      <w:r w:rsidRPr="005D2C0B">
        <w:rPr>
          <w:b w:val="0"/>
        </w:rPr>
        <w:sym w:font="Symbol" w:char="F062"/>
      </w:r>
      <w:r w:rsidRPr="005D2C0B">
        <w:rPr>
          <w:b w:val="0"/>
        </w:rPr>
        <w:noBreakHyphen/>
        <w:t xml:space="preserve">APN, cultured for 7 days. Samples were prepared in triplicate and results are expressed as mean ± standard deviation. </w:t>
      </w:r>
      <w:r w:rsidRPr="005D2C0B">
        <w:t>B)</w:t>
      </w:r>
      <w:r w:rsidRPr="005D2C0B">
        <w:rPr>
          <w:b w:val="0"/>
        </w:rPr>
        <w:t xml:space="preserve"> Surface area of collagen I gels seeded with HDF and treated with increasing concentrations of </w:t>
      </w:r>
      <w:r w:rsidRPr="005D2C0B">
        <w:rPr>
          <w:b w:val="0"/>
        </w:rPr>
        <w:sym w:font="Symbol" w:char="F062"/>
      </w:r>
      <w:r w:rsidRPr="005D2C0B">
        <w:rPr>
          <w:b w:val="0"/>
        </w:rPr>
        <w:noBreakHyphen/>
        <w:t xml:space="preserve">APN on day 7. Analysis by one-way ANOVA with Bonferroni correction for multiple analyses (*** p = 0.0006, ** p = 0.0034). </w:t>
      </w:r>
      <w:r w:rsidRPr="005D2C0B">
        <w:t>C)</w:t>
      </w:r>
      <w:r w:rsidRPr="005D2C0B">
        <w:rPr>
          <w:b w:val="0"/>
        </w:rPr>
        <w:t xml:space="preserve"> Fluorescence response from the resazurin sodium salt assay of cell metabolic activity for collagen gels containing HDF treated with increasing concentrations of </w:t>
      </w:r>
      <w:r w:rsidRPr="005D2C0B">
        <w:rPr>
          <w:b w:val="0"/>
        </w:rPr>
        <w:sym w:font="Symbol" w:char="F062"/>
      </w:r>
      <w:r w:rsidRPr="005D2C0B">
        <w:rPr>
          <w:b w:val="0"/>
        </w:rPr>
        <w:noBreakHyphen/>
        <w:t>APN.</w:t>
      </w:r>
      <w:r>
        <w:t xml:space="preserve"> </w:t>
      </w:r>
    </w:p>
    <w:p w14:paraId="6050692C" w14:textId="2497F1E1" w:rsidR="00C0659D" w:rsidRDefault="00C0659D" w:rsidP="00C0659D">
      <w:pPr>
        <w:rPr>
          <w:color w:val="000000" w:themeColor="text1"/>
        </w:rPr>
      </w:pPr>
      <w:r>
        <w:rPr>
          <w:color w:val="000000" w:themeColor="text1"/>
        </w:rPr>
        <w:t xml:space="preserve">All cell-seeded collagen gels exhibited considerable contraction during the experiment. Analysing the surface area of each gel on day 7 showed that both 100 and 200 µg/mL </w:t>
      </w:r>
      <w:r>
        <w:rPr>
          <w:color w:val="000000" w:themeColor="text1"/>
        </w:rPr>
        <w:sym w:font="Symbol" w:char="F062"/>
      </w:r>
      <w:r>
        <w:rPr>
          <w:color w:val="000000" w:themeColor="text1"/>
        </w:rPr>
        <w:noBreakHyphen/>
        <w:t xml:space="preserve">APN were able to significantly reduce the degree of contraction compared to the untreated control </w:t>
      </w:r>
      <w:r w:rsidR="0024513D">
        <w:rPr>
          <w:color w:val="000000" w:themeColor="text1"/>
        </w:rPr>
        <w:t>(</w:t>
      </w:r>
      <w:r>
        <w:rPr>
          <w:color w:val="000000" w:themeColor="text1"/>
        </w:rPr>
        <w:fldChar w:fldCharType="begin"/>
      </w:r>
      <w:r>
        <w:rPr>
          <w:color w:val="000000" w:themeColor="text1"/>
        </w:rPr>
        <w:instrText xml:space="preserve"> REF _Ref521336188 \h </w:instrText>
      </w:r>
      <w:r>
        <w:rPr>
          <w:color w:val="000000" w:themeColor="text1"/>
        </w:rPr>
      </w:r>
      <w:r>
        <w:rPr>
          <w:color w:val="000000" w:themeColor="text1"/>
        </w:rPr>
        <w:fldChar w:fldCharType="separate"/>
      </w:r>
      <w:r w:rsidR="00E6157A" w:rsidRPr="001B1F61">
        <w:t xml:space="preserve">Figure </w:t>
      </w:r>
      <w:r w:rsidR="00E6157A">
        <w:rPr>
          <w:noProof/>
        </w:rPr>
        <w:t>4</w:t>
      </w:r>
      <w:r w:rsidR="00E6157A">
        <w:t>.</w:t>
      </w:r>
      <w:r w:rsidR="00E6157A">
        <w:rPr>
          <w:noProof/>
        </w:rPr>
        <w:t>14</w:t>
      </w:r>
      <w:r>
        <w:rPr>
          <w:color w:val="000000" w:themeColor="text1"/>
        </w:rPr>
        <w:fldChar w:fldCharType="end"/>
      </w:r>
      <w:r w:rsidR="00EC58A6">
        <w:rPr>
          <w:color w:val="000000" w:themeColor="text1"/>
        </w:rPr>
        <w:t xml:space="preserve"> (</w:t>
      </w:r>
      <w:r>
        <w:rPr>
          <w:color w:val="000000" w:themeColor="text1"/>
        </w:rPr>
        <w:t>B</w:t>
      </w:r>
      <w:r w:rsidR="00EC58A6">
        <w:rPr>
          <w:color w:val="000000" w:themeColor="text1"/>
        </w:rPr>
        <w:t>)</w:t>
      </w:r>
      <w:r>
        <w:rPr>
          <w:color w:val="000000" w:themeColor="text1"/>
        </w:rPr>
        <w:t xml:space="preserve">). No significant difference was found for treatment with 25 or 50 µg/mL </w:t>
      </w:r>
      <w:r>
        <w:rPr>
          <w:color w:val="000000" w:themeColor="text1"/>
        </w:rPr>
        <w:sym w:font="Symbol" w:char="F062"/>
      </w:r>
      <w:r>
        <w:rPr>
          <w:color w:val="000000" w:themeColor="text1"/>
        </w:rPr>
        <w:noBreakHyphen/>
        <w:t xml:space="preserve">APN. Considering the </w:t>
      </w:r>
      <w:r w:rsidRPr="004E0FA5">
        <w:rPr>
          <w:color w:val="000000" w:themeColor="text1"/>
        </w:rPr>
        <w:t>resazurin data</w:t>
      </w:r>
      <w:r>
        <w:rPr>
          <w:color w:val="000000" w:themeColor="text1"/>
        </w:rPr>
        <w:t xml:space="preserve"> in </w:t>
      </w:r>
      <w:r>
        <w:rPr>
          <w:color w:val="000000" w:themeColor="text1"/>
        </w:rPr>
        <w:fldChar w:fldCharType="begin"/>
      </w:r>
      <w:r>
        <w:rPr>
          <w:color w:val="000000" w:themeColor="text1"/>
        </w:rPr>
        <w:instrText xml:space="preserve"> REF _Ref521336188 \h </w:instrText>
      </w:r>
      <w:r>
        <w:rPr>
          <w:color w:val="000000" w:themeColor="text1"/>
        </w:rPr>
      </w:r>
      <w:r>
        <w:rPr>
          <w:color w:val="000000" w:themeColor="text1"/>
        </w:rPr>
        <w:fldChar w:fldCharType="separate"/>
      </w:r>
      <w:r w:rsidR="00E6157A" w:rsidRPr="001B1F61">
        <w:t xml:space="preserve">Figure </w:t>
      </w:r>
      <w:r w:rsidR="00E6157A">
        <w:rPr>
          <w:noProof/>
        </w:rPr>
        <w:t>4</w:t>
      </w:r>
      <w:r w:rsidR="00E6157A">
        <w:t>.</w:t>
      </w:r>
      <w:r w:rsidR="00E6157A">
        <w:rPr>
          <w:noProof/>
        </w:rPr>
        <w:t>14</w:t>
      </w:r>
      <w:r>
        <w:rPr>
          <w:color w:val="000000" w:themeColor="text1"/>
        </w:rPr>
        <w:fldChar w:fldCharType="end"/>
      </w:r>
      <w:r>
        <w:rPr>
          <w:color w:val="000000" w:themeColor="text1"/>
        </w:rPr>
        <w:t xml:space="preserve"> (C)</w:t>
      </w:r>
      <w:r w:rsidRPr="004E0FA5">
        <w:rPr>
          <w:color w:val="000000" w:themeColor="text1"/>
        </w:rPr>
        <w:t xml:space="preserve">, all samples displayed similar metabolic activity to the untreated control, suggesting that </w:t>
      </w:r>
      <w:r w:rsidRPr="004E0FA5">
        <w:rPr>
          <w:color w:val="000000" w:themeColor="text1"/>
        </w:rPr>
        <w:sym w:font="Symbol" w:char="F062"/>
      </w:r>
      <w:r w:rsidRPr="004E0FA5">
        <w:rPr>
          <w:color w:val="000000" w:themeColor="text1"/>
        </w:rPr>
        <w:noBreakHyphen/>
        <w:t>APN did not cause any cytotoxic effects.</w:t>
      </w:r>
      <w:r>
        <w:rPr>
          <w:color w:val="000000" w:themeColor="text1"/>
        </w:rPr>
        <w:t xml:space="preserve"> This indicates that the reduction in contraction for samples treated with 100 and 200 µg/mL </w:t>
      </w:r>
      <w:r>
        <w:rPr>
          <w:color w:val="000000" w:themeColor="text1"/>
        </w:rPr>
        <w:sym w:font="Symbol" w:char="F062"/>
      </w:r>
      <w:r>
        <w:rPr>
          <w:color w:val="000000" w:themeColor="text1"/>
        </w:rPr>
        <w:noBreakHyphen/>
        <w:t>APN was due to the inhibition of LOX.</w:t>
      </w:r>
    </w:p>
    <w:p w14:paraId="07DFA404" w14:textId="77777777" w:rsidR="00C0659D" w:rsidRPr="00823CE3" w:rsidRDefault="00C0659D" w:rsidP="00C0659D">
      <w:pPr>
        <w:rPr>
          <w:color w:val="000000" w:themeColor="text1"/>
        </w:rPr>
      </w:pPr>
      <w:r>
        <w:rPr>
          <w:color w:val="000000" w:themeColor="text1"/>
        </w:rPr>
        <w:lastRenderedPageBreak/>
        <w:t xml:space="preserve">Having successfully demonstrated the ability of </w:t>
      </w:r>
      <w:r w:rsidRPr="004E0FA5">
        <w:rPr>
          <w:color w:val="000000" w:themeColor="text1"/>
        </w:rPr>
        <w:sym w:font="Symbol" w:char="F062"/>
      </w:r>
      <w:r w:rsidRPr="004E0FA5">
        <w:rPr>
          <w:color w:val="000000" w:themeColor="text1"/>
        </w:rPr>
        <w:noBreakHyphen/>
        <w:t>APN</w:t>
      </w:r>
      <w:r>
        <w:rPr>
          <w:color w:val="000000" w:themeColor="text1"/>
        </w:rPr>
        <w:t xml:space="preserve"> to inhibit contraction in the collagen gel contraction assay, an experiment was conducted to study the effect of one of the synthesised compounds on contraction using the same experimental setup. </w:t>
      </w:r>
    </w:p>
    <w:p w14:paraId="29A3D791" w14:textId="77777777" w:rsidR="00C0659D" w:rsidRPr="009D690C" w:rsidRDefault="00C0659D" w:rsidP="006D5170">
      <w:pPr>
        <w:pStyle w:val="Heading4"/>
      </w:pPr>
      <w:r w:rsidRPr="009D690C">
        <w:t xml:space="preserve">Collagen I gels treated with compound </w:t>
      </w:r>
      <w:r w:rsidRPr="0078182F">
        <w:rPr>
          <w:b/>
        </w:rPr>
        <w:t>1b</w:t>
      </w:r>
    </w:p>
    <w:p w14:paraId="0D918C4D" w14:textId="3B90ACEA" w:rsidR="00C0659D" w:rsidRDefault="00C0659D" w:rsidP="00C0659D">
      <w:pPr>
        <w:rPr>
          <w:color w:val="000000" w:themeColor="text1"/>
        </w:rPr>
      </w:pPr>
      <w:r>
        <w:rPr>
          <w:color w:val="000000" w:themeColor="text1"/>
        </w:rPr>
        <w:t xml:space="preserve">Following the cytotoxicity screen in Chapter 3, </w:t>
      </w:r>
      <w:r w:rsidR="0024513D">
        <w:rPr>
          <w:color w:val="000000" w:themeColor="text1"/>
        </w:rPr>
        <w:t>c</w:t>
      </w:r>
      <w:r>
        <w:rPr>
          <w:color w:val="000000" w:themeColor="text1"/>
        </w:rPr>
        <w:t xml:space="preserve">ompound </w:t>
      </w:r>
      <w:r w:rsidRPr="0067101D">
        <w:rPr>
          <w:b/>
          <w:color w:val="000000" w:themeColor="text1"/>
        </w:rPr>
        <w:t>1b</w:t>
      </w:r>
      <w:r>
        <w:rPr>
          <w:color w:val="000000" w:themeColor="text1"/>
        </w:rPr>
        <w:t xml:space="preserve"> was found to have the lowest cytotoxicity in mono</w:t>
      </w:r>
      <w:r w:rsidR="0041451B">
        <w:rPr>
          <w:color w:val="000000" w:themeColor="text1"/>
        </w:rPr>
        <w:t xml:space="preserve">layer </w:t>
      </w:r>
      <w:r>
        <w:rPr>
          <w:color w:val="000000" w:themeColor="text1"/>
        </w:rPr>
        <w:t xml:space="preserve">culture of HDF, and therefore was selected for further investigation in the collagen gel contraction assay. Previous work with </w:t>
      </w:r>
      <w:r w:rsidRPr="00631A9D">
        <w:rPr>
          <w:b/>
          <w:color w:val="000000" w:themeColor="text1"/>
        </w:rPr>
        <w:t>1b</w:t>
      </w:r>
      <w:r>
        <w:rPr>
          <w:b/>
          <w:color w:val="000000" w:themeColor="text1"/>
        </w:rPr>
        <w:t xml:space="preserve"> </w:t>
      </w:r>
      <w:r>
        <w:rPr>
          <w:color w:val="000000" w:themeColor="text1"/>
        </w:rPr>
        <w:t xml:space="preserve">suggested that, at high concentrations, </w:t>
      </w:r>
      <w:r w:rsidRPr="003C278D">
        <w:rPr>
          <w:color w:val="000000" w:themeColor="text1"/>
        </w:rPr>
        <w:t>the compound</w:t>
      </w:r>
      <w:r>
        <w:rPr>
          <w:color w:val="000000" w:themeColor="text1"/>
        </w:rPr>
        <w:t xml:space="preserve"> may elicit an effect on adjacent wells in the same well plate, (data not shown). To prevent any contamination between samples, triplicates of collagen gels treated with </w:t>
      </w:r>
      <w:r w:rsidRPr="00631A9D">
        <w:rPr>
          <w:b/>
          <w:color w:val="000000" w:themeColor="text1"/>
        </w:rPr>
        <w:t>1b</w:t>
      </w:r>
      <w:r>
        <w:rPr>
          <w:color w:val="000000" w:themeColor="text1"/>
        </w:rPr>
        <w:t xml:space="preserve"> were prepared in individual plates, along with an untreated control in each plate. As with the </w:t>
      </w:r>
      <w:r>
        <w:rPr>
          <w:color w:val="000000" w:themeColor="text1"/>
        </w:rPr>
        <w:sym w:font="Symbol" w:char="F062"/>
      </w:r>
      <w:r>
        <w:rPr>
          <w:color w:val="000000" w:themeColor="text1"/>
        </w:rPr>
        <w:noBreakHyphen/>
        <w:t xml:space="preserve">APN-treated samples, a resazurin assay was performed on each gel after day 7 to determine any cytotoxicity. From </w:t>
      </w:r>
      <w:r>
        <w:rPr>
          <w:color w:val="000000" w:themeColor="text1"/>
        </w:rPr>
        <w:fldChar w:fldCharType="begin"/>
      </w:r>
      <w:r>
        <w:rPr>
          <w:color w:val="000000" w:themeColor="text1"/>
        </w:rPr>
        <w:instrText xml:space="preserve"> REF _Ref522045040 \h </w:instrText>
      </w:r>
      <w:r>
        <w:rPr>
          <w:color w:val="000000" w:themeColor="text1"/>
        </w:rPr>
      </w:r>
      <w:r>
        <w:rPr>
          <w:color w:val="000000" w:themeColor="text1"/>
        </w:rPr>
        <w:fldChar w:fldCharType="separate"/>
      </w:r>
      <w:r w:rsidR="00E6157A">
        <w:t xml:space="preserve">Figure </w:t>
      </w:r>
      <w:r w:rsidR="00E6157A">
        <w:rPr>
          <w:noProof/>
        </w:rPr>
        <w:t>4</w:t>
      </w:r>
      <w:r w:rsidR="00E6157A">
        <w:t>.</w:t>
      </w:r>
      <w:r w:rsidR="00E6157A">
        <w:rPr>
          <w:noProof/>
        </w:rPr>
        <w:t>15</w:t>
      </w:r>
      <w:r>
        <w:rPr>
          <w:color w:val="000000" w:themeColor="text1"/>
        </w:rPr>
        <w:fldChar w:fldCharType="end"/>
      </w:r>
      <w:r>
        <w:rPr>
          <w:color w:val="000000" w:themeColor="text1"/>
        </w:rPr>
        <w:t xml:space="preserve"> (A) it is clear that compound </w:t>
      </w:r>
      <w:r w:rsidRPr="004F4A1F">
        <w:rPr>
          <w:b/>
          <w:color w:val="000000" w:themeColor="text1"/>
        </w:rPr>
        <w:t>1b</w:t>
      </w:r>
      <w:r>
        <w:rPr>
          <w:b/>
          <w:color w:val="000000" w:themeColor="text1"/>
        </w:rPr>
        <w:t xml:space="preserve"> </w:t>
      </w:r>
      <w:r w:rsidRPr="001B1F61">
        <w:rPr>
          <w:color w:val="000000" w:themeColor="text1"/>
        </w:rPr>
        <w:t>inhibited contraction in a dose-dependent</w:t>
      </w:r>
      <w:r>
        <w:rPr>
          <w:color w:val="000000" w:themeColor="text1"/>
        </w:rPr>
        <w:t xml:space="preserve"> manner. For the two highest concentrations of </w:t>
      </w:r>
      <w:r w:rsidRPr="00153BE3">
        <w:rPr>
          <w:b/>
          <w:color w:val="000000" w:themeColor="text1"/>
        </w:rPr>
        <w:t>1b</w:t>
      </w:r>
      <w:r w:rsidRPr="00153BE3">
        <w:rPr>
          <w:color w:val="000000" w:themeColor="text1"/>
        </w:rPr>
        <w:t>,</w:t>
      </w:r>
      <w:r>
        <w:rPr>
          <w:color w:val="000000" w:themeColor="text1"/>
        </w:rPr>
        <w:t xml:space="preserve"> collagen gel contraction was completely inhibited.</w:t>
      </w:r>
      <w:r w:rsidRPr="00B872F4">
        <w:rPr>
          <w:color w:val="FF0000"/>
        </w:rPr>
        <w:t xml:space="preserve"> </w:t>
      </w:r>
      <w:r>
        <w:rPr>
          <w:color w:val="000000" w:themeColor="text1"/>
        </w:rPr>
        <w:t xml:space="preserve">However, the data from the resazurin assay of cell metabolic activity for these gels </w:t>
      </w:r>
      <w:r w:rsidRPr="008453D1">
        <w:rPr>
          <w:color w:val="000000" w:themeColor="text1"/>
        </w:rPr>
        <w:t xml:space="preserve">indicates a notable reduction in cell metabolism </w:t>
      </w:r>
      <w:r>
        <w:rPr>
          <w:color w:val="000000" w:themeColor="text1"/>
        </w:rPr>
        <w:t xml:space="preserve">for samples treated with compound </w:t>
      </w:r>
      <w:r w:rsidRPr="001B1F61">
        <w:rPr>
          <w:b/>
          <w:color w:val="000000" w:themeColor="text1"/>
        </w:rPr>
        <w:t>1b</w:t>
      </w:r>
      <w:r>
        <w:rPr>
          <w:b/>
          <w:color w:val="000000" w:themeColor="text1"/>
        </w:rPr>
        <w:t xml:space="preserve"> </w:t>
      </w:r>
      <w:r w:rsidR="0024513D">
        <w:rPr>
          <w:b/>
          <w:color w:val="000000" w:themeColor="text1"/>
        </w:rPr>
        <w:t>(</w:t>
      </w:r>
      <w:r>
        <w:rPr>
          <w:b/>
          <w:color w:val="000000" w:themeColor="text1"/>
        </w:rPr>
        <w:fldChar w:fldCharType="begin"/>
      </w:r>
      <w:r>
        <w:rPr>
          <w:b/>
          <w:color w:val="000000" w:themeColor="text1"/>
        </w:rPr>
        <w:instrText xml:space="preserve"> REF _Ref522045040 \h </w:instrText>
      </w:r>
      <w:r>
        <w:rPr>
          <w:b/>
          <w:color w:val="000000" w:themeColor="text1"/>
        </w:rPr>
      </w:r>
      <w:r>
        <w:rPr>
          <w:b/>
          <w:color w:val="000000" w:themeColor="text1"/>
        </w:rPr>
        <w:fldChar w:fldCharType="separate"/>
      </w:r>
      <w:r w:rsidR="00E6157A">
        <w:t xml:space="preserve">Figure </w:t>
      </w:r>
      <w:r w:rsidR="00E6157A">
        <w:rPr>
          <w:noProof/>
        </w:rPr>
        <w:t>4</w:t>
      </w:r>
      <w:r w:rsidR="00E6157A">
        <w:t>.</w:t>
      </w:r>
      <w:r w:rsidR="00E6157A">
        <w:rPr>
          <w:noProof/>
        </w:rPr>
        <w:t>15</w:t>
      </w:r>
      <w:r>
        <w:rPr>
          <w:b/>
          <w:color w:val="000000" w:themeColor="text1"/>
        </w:rPr>
        <w:fldChar w:fldCharType="end"/>
      </w:r>
      <w:r w:rsidR="00D428D9">
        <w:rPr>
          <w:color w:val="000000" w:themeColor="text1"/>
        </w:rPr>
        <w:t> (</w:t>
      </w:r>
      <w:r w:rsidRPr="003C278D">
        <w:rPr>
          <w:color w:val="000000" w:themeColor="text1"/>
        </w:rPr>
        <w:t>B</w:t>
      </w:r>
      <w:r w:rsidR="00D428D9">
        <w:rPr>
          <w:color w:val="000000" w:themeColor="text1"/>
        </w:rPr>
        <w:t>)</w:t>
      </w:r>
      <w:r w:rsidRPr="003C278D">
        <w:rPr>
          <w:color w:val="000000" w:themeColor="text1"/>
        </w:rPr>
        <w:t>).</w:t>
      </w:r>
      <w:r w:rsidRPr="008453D1">
        <w:rPr>
          <w:color w:val="000000" w:themeColor="text1"/>
        </w:rPr>
        <w:t xml:space="preserve"> </w:t>
      </w:r>
      <w:r>
        <w:rPr>
          <w:color w:val="000000" w:themeColor="text1"/>
        </w:rPr>
        <w:t xml:space="preserve">This suggests that </w:t>
      </w:r>
      <w:r w:rsidRPr="008453D1">
        <w:rPr>
          <w:color w:val="000000" w:themeColor="text1"/>
        </w:rPr>
        <w:t xml:space="preserve">the reduction in contraction is likely due to a reduction in cell metabolic activity, rather than the anti-contraction properties of the prodrug. </w:t>
      </w:r>
    </w:p>
    <w:p w14:paraId="23C02969" w14:textId="77777777" w:rsidR="00C0659D" w:rsidRDefault="00C0659D" w:rsidP="00C0659D">
      <w:pPr>
        <w:keepNext/>
      </w:pPr>
      <w:r w:rsidRPr="00DE592C">
        <w:rPr>
          <w:noProof/>
          <w:lang w:val="en-US"/>
        </w:rPr>
        <w:drawing>
          <wp:inline distT="0" distB="0" distL="0" distR="0" wp14:anchorId="6F8AE9E0" wp14:editId="3F3B1E27">
            <wp:extent cx="5201920" cy="2610485"/>
            <wp:effectExtent l="0" t="0" r="508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01920" cy="2610485"/>
                    </a:xfrm>
                    <a:prstGeom prst="rect">
                      <a:avLst/>
                    </a:prstGeom>
                  </pic:spPr>
                </pic:pic>
              </a:graphicData>
            </a:graphic>
          </wp:inline>
        </w:drawing>
      </w:r>
    </w:p>
    <w:p w14:paraId="1E0166E8" w14:textId="44F8A63F" w:rsidR="00C0659D" w:rsidRDefault="00C0659D" w:rsidP="005D2C0B">
      <w:pPr>
        <w:pStyle w:val="Caption"/>
        <w:jc w:val="both"/>
      </w:pPr>
      <w:bookmarkStart w:id="266" w:name="_Ref522045040"/>
      <w:r>
        <w:t xml:space="preserve">Figure </w:t>
      </w:r>
      <w:r w:rsidR="00BE21E4">
        <w:rPr>
          <w:noProof/>
        </w:rPr>
        <w:fldChar w:fldCharType="begin"/>
      </w:r>
      <w:r w:rsidR="00BE21E4">
        <w:rPr>
          <w:noProof/>
        </w:rPr>
        <w:instrText xml:space="preserve"> STYLEREF 1 \s </w:instrText>
      </w:r>
      <w:r w:rsidR="00BE21E4">
        <w:rPr>
          <w:noProof/>
        </w:rPr>
        <w:fldChar w:fldCharType="separate"/>
      </w:r>
      <w:r w:rsidR="00E6157A">
        <w:rPr>
          <w:noProof/>
        </w:rPr>
        <w:t>4</w:t>
      </w:r>
      <w:r w:rsidR="00BE21E4">
        <w:rPr>
          <w:noProof/>
        </w:rPr>
        <w:fldChar w:fldCharType="end"/>
      </w:r>
      <w:r w:rsidR="005D2C0B">
        <w:t>.</w:t>
      </w:r>
      <w:r w:rsidR="00BE21E4">
        <w:rPr>
          <w:noProof/>
        </w:rPr>
        <w:fldChar w:fldCharType="begin"/>
      </w:r>
      <w:r w:rsidR="00BE21E4">
        <w:rPr>
          <w:noProof/>
        </w:rPr>
        <w:instrText xml:space="preserve"> SEQ Figure \* ARABIC \s 1 </w:instrText>
      </w:r>
      <w:r w:rsidR="00BE21E4">
        <w:rPr>
          <w:noProof/>
        </w:rPr>
        <w:fldChar w:fldCharType="separate"/>
      </w:r>
      <w:r w:rsidR="00E6157A">
        <w:rPr>
          <w:noProof/>
        </w:rPr>
        <w:t>15</w:t>
      </w:r>
      <w:r w:rsidR="00BE21E4">
        <w:rPr>
          <w:noProof/>
        </w:rPr>
        <w:fldChar w:fldCharType="end"/>
      </w:r>
      <w:bookmarkEnd w:id="266"/>
      <w:r>
        <w:t xml:space="preserve">. </w:t>
      </w:r>
      <w:r w:rsidRPr="005F746B">
        <w:t xml:space="preserve">A) </w:t>
      </w:r>
      <w:r w:rsidRPr="005D2C0B">
        <w:rPr>
          <w:b w:val="0"/>
        </w:rPr>
        <w:t xml:space="preserve">Contraction of collagen I gels seeded with primary human dermal fibroblasts (HDF) and treated with increasing concentrations of compound </w:t>
      </w:r>
      <w:r w:rsidRPr="005D2C0B">
        <w:t>1b</w:t>
      </w:r>
      <w:r w:rsidRPr="005D2C0B">
        <w:rPr>
          <w:b w:val="0"/>
        </w:rPr>
        <w:t xml:space="preserve">, cultured for 7 days. Samples were prepared in triplicate and results are expressed as mean ± standard deviation. </w:t>
      </w:r>
      <w:r w:rsidRPr="005D2C0B">
        <w:t>B)</w:t>
      </w:r>
      <w:r w:rsidRPr="005D2C0B">
        <w:rPr>
          <w:b w:val="0"/>
        </w:rPr>
        <w:t xml:space="preserve"> Fluorescence response from the resazurin sodium salt assay of cell metabolic activity for collagen gels containing HDF treated with increasing concentrations of compound </w:t>
      </w:r>
      <w:r w:rsidRPr="005D2C0B">
        <w:t>1b</w:t>
      </w:r>
      <w:r w:rsidRPr="005D2C0B">
        <w:rPr>
          <w:b w:val="0"/>
        </w:rPr>
        <w:t>.</w:t>
      </w:r>
      <w:r>
        <w:t xml:space="preserve"> </w:t>
      </w:r>
    </w:p>
    <w:p w14:paraId="36D589E1" w14:textId="184C58E7" w:rsidR="00C0659D" w:rsidRDefault="00C0659D" w:rsidP="00C0659D">
      <w:pPr>
        <w:rPr>
          <w:color w:val="000000" w:themeColor="text1"/>
        </w:rPr>
      </w:pPr>
      <w:r>
        <w:rPr>
          <w:color w:val="000000" w:themeColor="text1"/>
        </w:rPr>
        <w:lastRenderedPageBreak/>
        <w:t xml:space="preserve">Comparing the data </w:t>
      </w:r>
      <w:r w:rsidRPr="001B1F61">
        <w:rPr>
          <w:color w:val="000000" w:themeColor="text1"/>
        </w:rPr>
        <w:t xml:space="preserve">from </w:t>
      </w:r>
      <w:r w:rsidRPr="001B1F61">
        <w:rPr>
          <w:color w:val="000000" w:themeColor="text1"/>
        </w:rPr>
        <w:fldChar w:fldCharType="begin"/>
      </w:r>
      <w:r w:rsidRPr="001B1F61">
        <w:rPr>
          <w:color w:val="000000" w:themeColor="text1"/>
        </w:rPr>
        <w:instrText xml:space="preserve"> REF _Ref521336188 \h  \* MERGEFORMAT </w:instrText>
      </w:r>
      <w:r w:rsidRPr="001B1F61">
        <w:rPr>
          <w:color w:val="000000" w:themeColor="text1"/>
        </w:rPr>
      </w:r>
      <w:r w:rsidRPr="001B1F61">
        <w:rPr>
          <w:color w:val="000000" w:themeColor="text1"/>
        </w:rPr>
        <w:fldChar w:fldCharType="separate"/>
      </w:r>
      <w:r w:rsidR="00E6157A" w:rsidRPr="001B1F61">
        <w:t xml:space="preserve">Figure </w:t>
      </w:r>
      <w:r w:rsidR="00E6157A">
        <w:rPr>
          <w:noProof/>
        </w:rPr>
        <w:t>4.14</w:t>
      </w:r>
      <w:r w:rsidRPr="001B1F61">
        <w:rPr>
          <w:color w:val="000000" w:themeColor="text1"/>
        </w:rPr>
        <w:fldChar w:fldCharType="end"/>
      </w:r>
      <w:r w:rsidRPr="001B1F61">
        <w:rPr>
          <w:color w:val="000000" w:themeColor="text1"/>
        </w:rPr>
        <w:t xml:space="preserve"> </w:t>
      </w:r>
      <w:r>
        <w:rPr>
          <w:color w:val="000000" w:themeColor="text1"/>
        </w:rPr>
        <w:t xml:space="preserve">(B) </w:t>
      </w:r>
      <w:r w:rsidRPr="001B1F61">
        <w:rPr>
          <w:color w:val="000000" w:themeColor="text1"/>
        </w:rPr>
        <w:t>and</w:t>
      </w:r>
      <w:r>
        <w:rPr>
          <w:color w:val="000000" w:themeColor="text1"/>
        </w:rPr>
        <w:t xml:space="preserve"> </w:t>
      </w:r>
      <w:r>
        <w:rPr>
          <w:color w:val="000000" w:themeColor="text1"/>
        </w:rPr>
        <w:fldChar w:fldCharType="begin"/>
      </w:r>
      <w:r>
        <w:rPr>
          <w:color w:val="000000" w:themeColor="text1"/>
        </w:rPr>
        <w:instrText xml:space="preserve"> REF _Ref522045040 \h </w:instrText>
      </w:r>
      <w:r>
        <w:rPr>
          <w:color w:val="000000" w:themeColor="text1"/>
        </w:rPr>
      </w:r>
      <w:r>
        <w:rPr>
          <w:color w:val="000000" w:themeColor="text1"/>
        </w:rPr>
        <w:fldChar w:fldCharType="separate"/>
      </w:r>
      <w:r w:rsidR="00E6157A">
        <w:t xml:space="preserve">Figure </w:t>
      </w:r>
      <w:r w:rsidR="00E6157A">
        <w:rPr>
          <w:noProof/>
        </w:rPr>
        <w:t>4</w:t>
      </w:r>
      <w:r w:rsidR="00E6157A">
        <w:t>.</w:t>
      </w:r>
      <w:r w:rsidR="00E6157A">
        <w:rPr>
          <w:noProof/>
        </w:rPr>
        <w:t>15</w:t>
      </w:r>
      <w:r>
        <w:rPr>
          <w:color w:val="000000" w:themeColor="text1"/>
        </w:rPr>
        <w:fldChar w:fldCharType="end"/>
      </w:r>
      <w:r>
        <w:rPr>
          <w:color w:val="000000" w:themeColor="text1"/>
        </w:rPr>
        <w:t xml:space="preserve"> (B) suggests that the observed cytotoxicity is due to the aldehyde substituent of the prodrug (salicylaldehyde), since collagen gels treated with </w:t>
      </w:r>
      <w:r>
        <w:rPr>
          <w:color w:val="000000" w:themeColor="text1"/>
        </w:rPr>
        <w:sym w:font="Symbol" w:char="F062"/>
      </w:r>
      <w:r>
        <w:rPr>
          <w:color w:val="000000" w:themeColor="text1"/>
        </w:rPr>
        <w:noBreakHyphen/>
        <w:t xml:space="preserve">APN displayed negligible cytotoxicity. </w:t>
      </w:r>
      <w:r w:rsidRPr="00153BE3">
        <w:rPr>
          <w:color w:val="000000" w:themeColor="text1"/>
        </w:rPr>
        <w:t xml:space="preserve">Following the cytotoxicity studies in Chapter 3, it was hypothesised that cells cultured in a 3D environment would be more tolerant to toxic agents than </w:t>
      </w:r>
      <w:r>
        <w:rPr>
          <w:color w:val="000000" w:themeColor="text1"/>
        </w:rPr>
        <w:t xml:space="preserve">when </w:t>
      </w:r>
      <w:r w:rsidRPr="00153BE3">
        <w:rPr>
          <w:color w:val="000000" w:themeColor="text1"/>
        </w:rPr>
        <w:t xml:space="preserve">cultured as a monolayer on tissue culture plastic. However, it appears that even in the 3D environment of the collagen gel, compound </w:t>
      </w:r>
      <w:r w:rsidRPr="00153BE3">
        <w:rPr>
          <w:b/>
          <w:color w:val="000000" w:themeColor="text1"/>
        </w:rPr>
        <w:t>1b</w:t>
      </w:r>
      <w:r w:rsidRPr="00153BE3">
        <w:rPr>
          <w:color w:val="000000" w:themeColor="text1"/>
        </w:rPr>
        <w:t xml:space="preserve"> still caused marked toxicity to HDF.</w:t>
      </w:r>
      <w:r>
        <w:rPr>
          <w:color w:val="000000" w:themeColor="text1"/>
        </w:rPr>
        <w:t xml:space="preserve"> Due to this cytotoxicity, conclusions could not be drawn regarding the ability of the prodrugs to inhibit LOX in collagen gels. </w:t>
      </w:r>
    </w:p>
    <w:p w14:paraId="39174E09" w14:textId="77777777" w:rsidR="00C0659D" w:rsidRPr="00E111AB" w:rsidRDefault="00C0659D" w:rsidP="00C0659D">
      <w:pPr>
        <w:rPr>
          <w:color w:val="000000" w:themeColor="text1"/>
        </w:rPr>
      </w:pPr>
      <w:r w:rsidRPr="00E111AB">
        <w:rPr>
          <w:color w:val="000000" w:themeColor="text1"/>
        </w:rPr>
        <w:t>As discussed earlier in this chapter, a wealth of evidence indicates that contraction of TES is driven by keratinocytes. Therefore, a potential area of future investigation would be the contraction of collagen gels seeded with keratinocytes. Testing the synthesised prodrugs in keratinocyte-seeded collagen gels may determine whether a lower concentration of prodrug</w:t>
      </w:r>
      <w:r>
        <w:rPr>
          <w:color w:val="000000" w:themeColor="text1"/>
        </w:rPr>
        <w:t>, and thereby a less toxic dose,</w:t>
      </w:r>
      <w:r w:rsidRPr="00E111AB">
        <w:rPr>
          <w:color w:val="000000" w:themeColor="text1"/>
        </w:rPr>
        <w:t xml:space="preserve"> is suitable to inhibit contraction.</w:t>
      </w:r>
    </w:p>
    <w:p w14:paraId="4E198C2E" w14:textId="77777777" w:rsidR="00C0659D" w:rsidRDefault="00C0659D" w:rsidP="00C0659D">
      <w:pPr>
        <w:pStyle w:val="Heading2"/>
      </w:pPr>
      <w:bookmarkStart w:id="267" w:name="_Toc2451062"/>
      <w:r>
        <w:t>Conclusions</w:t>
      </w:r>
      <w:bookmarkEnd w:id="267"/>
    </w:p>
    <w:p w14:paraId="4523A38B" w14:textId="77777777" w:rsidR="00C0659D" w:rsidRDefault="00C0659D" w:rsidP="00C0659D">
      <w:r>
        <w:t xml:space="preserve">The aim of this chapter was to determine the ability of the synthesised prodrugs to inhibit the physical phenomenon of contraction. To achieve this, an </w:t>
      </w:r>
      <w:r w:rsidRPr="00CB45F2">
        <w:rPr>
          <w:i/>
        </w:rPr>
        <w:t>in vitro</w:t>
      </w:r>
      <w:r>
        <w:t xml:space="preserve"> model of contraction using TES composites was trialled using the well-known LOX inhibitor </w:t>
      </w:r>
      <w:r>
        <w:sym w:font="Symbol" w:char="F062"/>
      </w:r>
      <w:r>
        <w:noBreakHyphen/>
        <w:t xml:space="preserve">APN as a model drug. </w:t>
      </w:r>
    </w:p>
    <w:p w14:paraId="0345D561" w14:textId="77777777" w:rsidR="00C0659D" w:rsidRDefault="00C0659D" w:rsidP="00C0659D">
      <w:r>
        <w:t xml:space="preserve">Despite this model previously showing good reproducibility, the TES composite model of contraction could not be reliably inhibited with </w:t>
      </w:r>
      <w:r w:rsidRPr="000E49E7">
        <w:rPr>
          <w:color w:val="000000" w:themeColor="text1"/>
        </w:rPr>
        <w:sym w:font="Symbol" w:char="F062"/>
      </w:r>
      <w:r w:rsidRPr="000E49E7">
        <w:rPr>
          <w:color w:val="000000" w:themeColor="text1"/>
        </w:rPr>
        <w:noBreakHyphen/>
        <w:t>APN. Multiple avenues of investigation were explored to understand the shortcoming</w:t>
      </w:r>
      <w:r>
        <w:rPr>
          <w:color w:val="000000" w:themeColor="text1"/>
        </w:rPr>
        <w:t>s</w:t>
      </w:r>
      <w:r w:rsidRPr="000E49E7">
        <w:rPr>
          <w:color w:val="000000" w:themeColor="text1"/>
        </w:rPr>
        <w:t xml:space="preserve"> of the model. This involved changing the thickness of the DED used to construct the composites</w:t>
      </w:r>
      <w:r>
        <w:t xml:space="preserve">, changing the preparation of the </w:t>
      </w:r>
      <w:r>
        <w:sym w:font="Symbol" w:char="F062"/>
      </w:r>
      <w:r>
        <w:noBreakHyphen/>
        <w:t xml:space="preserve">APN stock solution and using Euroskin as an alternative source of DED. Despite these investigations, it was still not possible to demonstrate inhibition of contraction by treatment with </w:t>
      </w:r>
      <w:r>
        <w:sym w:font="Symbol" w:char="F062"/>
      </w:r>
      <w:r>
        <w:noBreakHyphen/>
        <w:t>APN in this model. As a result, an alternative model of contraction was sought.</w:t>
      </w:r>
    </w:p>
    <w:p w14:paraId="2917A176" w14:textId="1B9ADA32" w:rsidR="00C0659D" w:rsidRDefault="00C0659D" w:rsidP="00C0659D">
      <w:r>
        <w:t>Collagen gels are known to contract reproducibly when seeded with fibroblasts. Whilst collagen gels are less complex than tissue</w:t>
      </w:r>
      <w:r w:rsidR="009352BF">
        <w:t>-</w:t>
      </w:r>
      <w:r>
        <w:t xml:space="preserve">engineered skin, they can still provide useful information on the mechanism of contraction. Collagen gels were </w:t>
      </w:r>
      <w:r>
        <w:lastRenderedPageBreak/>
        <w:t xml:space="preserve">prepared and dosed with a range of concentrations of </w:t>
      </w:r>
      <w:r>
        <w:sym w:font="Symbol" w:char="F062"/>
      </w:r>
      <w:r>
        <w:noBreakHyphen/>
        <w:t xml:space="preserve">APN. It was found that </w:t>
      </w:r>
      <w:r>
        <w:sym w:font="Symbol" w:char="F062"/>
      </w:r>
      <w:r>
        <w:noBreakHyphen/>
        <w:t xml:space="preserve">APN was able to inhibit contraction in the collagen gel model in a dose-dependent manner. In addition, analysis of cell metabolic activity on day 7 indicated that </w:t>
      </w:r>
      <w:r>
        <w:sym w:font="Symbol" w:char="F062"/>
      </w:r>
      <w:r>
        <w:noBreakHyphen/>
        <w:t xml:space="preserve">APN caused negligible cytotoxicity. </w:t>
      </w:r>
    </w:p>
    <w:p w14:paraId="0A9A00B1" w14:textId="359C4630" w:rsidR="00C0659D" w:rsidRPr="0030530A" w:rsidRDefault="00C0659D" w:rsidP="00C0659D">
      <w:pPr>
        <w:rPr>
          <w:color w:val="000000" w:themeColor="text1"/>
        </w:rPr>
      </w:pPr>
      <w:r>
        <w:t xml:space="preserve">Having demonstrated that contraction of collagen gels could be inhibited by </w:t>
      </w:r>
      <w:r>
        <w:sym w:font="Symbol" w:char="F062"/>
      </w:r>
      <w:r>
        <w:noBreakHyphen/>
        <w:t>APN, work progressed to investigat</w:t>
      </w:r>
      <w:r w:rsidR="0024513D">
        <w:t>e</w:t>
      </w:r>
      <w:r>
        <w:t xml:space="preserve"> the ability of the synthesised prodrugs to inhibit contraction.</w:t>
      </w:r>
      <w:r>
        <w:rPr>
          <w:color w:val="FF0000"/>
        </w:rPr>
        <w:t xml:space="preserve"> </w:t>
      </w:r>
      <w:r>
        <w:t xml:space="preserve">From the synthesised prodrugs, compound </w:t>
      </w:r>
      <w:r w:rsidRPr="009A6A59">
        <w:rPr>
          <w:b/>
        </w:rPr>
        <w:t>1b</w:t>
      </w:r>
      <w:r>
        <w:t xml:space="preserve"> was selected to be tested in the collagen gel contraction model, since it showed the least toxicity in both cell metabolic and membrane integrity assays in Chapter 3. Collagen gels were dosed with </w:t>
      </w:r>
      <w:r w:rsidRPr="0012594B">
        <w:rPr>
          <w:b/>
        </w:rPr>
        <w:t>1b</w:t>
      </w:r>
      <w:r>
        <w:t xml:space="preserve"> at equivalent concentrations to those used in the experiments with </w:t>
      </w:r>
      <w:r>
        <w:sym w:font="Symbol" w:char="F062"/>
      </w:r>
      <w:r>
        <w:noBreakHyphen/>
        <w:t xml:space="preserve">APN. Collagen gel contraction was completely inhibited at high concentrations (0.78 and 1.56 mM) of </w:t>
      </w:r>
      <w:r w:rsidRPr="002E7274">
        <w:rPr>
          <w:b/>
        </w:rPr>
        <w:t>1b</w:t>
      </w:r>
      <w:r w:rsidRPr="002E7274">
        <w:t xml:space="preserve"> </w:t>
      </w:r>
      <w:r>
        <w:t xml:space="preserve">and inhibited to some extend with all other concentrations tested. A resazurin sodium salt assay of cell metabolic activity was performed on the gels after 7 days in culture and found that metabolic activity of HDF was decreased for all samples treated with </w:t>
      </w:r>
      <w:r w:rsidRPr="009A13B4">
        <w:rPr>
          <w:b/>
        </w:rPr>
        <w:t>1b</w:t>
      </w:r>
      <w:r>
        <w:t>. This suggests that the reduction in</w:t>
      </w:r>
      <w:r w:rsidRPr="009A13B4">
        <w:rPr>
          <w:color w:val="000000" w:themeColor="text1"/>
        </w:rPr>
        <w:t xml:space="preserve"> contraction was likely due to cell death as opposed to the inhibition of LOX. Taken together, the results from this work suggest that compound </w:t>
      </w:r>
      <w:r w:rsidRPr="00A33650">
        <w:rPr>
          <w:b/>
          <w:color w:val="000000" w:themeColor="text1"/>
        </w:rPr>
        <w:t>1b</w:t>
      </w:r>
      <w:r w:rsidRPr="009A13B4">
        <w:rPr>
          <w:color w:val="000000" w:themeColor="text1"/>
        </w:rPr>
        <w:t xml:space="preserve"> is too toxic at these concentrations to be used therapeutically. </w:t>
      </w:r>
      <w:r w:rsidRPr="002E7274">
        <w:rPr>
          <w:color w:val="FF0000"/>
        </w:rPr>
        <w:br w:type="page"/>
      </w:r>
    </w:p>
    <w:p w14:paraId="47CE0B84" w14:textId="0B15578A" w:rsidR="00C0659D" w:rsidRDefault="00C0659D" w:rsidP="00B02713">
      <w:pPr>
        <w:widowControl w:val="0"/>
        <w:autoSpaceDE w:val="0"/>
        <w:autoSpaceDN w:val="0"/>
        <w:adjustRightInd w:val="0"/>
        <w:spacing w:line="276" w:lineRule="auto"/>
        <w:ind w:left="640" w:hanging="640"/>
      </w:pPr>
    </w:p>
    <w:p w14:paraId="3BFCC4A2" w14:textId="5D2A46AA" w:rsidR="00B11690" w:rsidRPr="00B11690" w:rsidRDefault="00DD4F23">
      <w:pPr>
        <w:spacing w:after="0" w:line="240" w:lineRule="auto"/>
        <w:jc w:val="left"/>
        <w:rPr>
          <w:rFonts w:eastAsiaTheme="majorEastAsia" w:cstheme="majorBidi"/>
          <w:b/>
          <w:color w:val="000000" w:themeColor="text1"/>
          <w:sz w:val="28"/>
          <w:szCs w:val="26"/>
        </w:rPr>
      </w:pPr>
      <w:r>
        <w:br w:type="page"/>
      </w:r>
    </w:p>
    <w:p w14:paraId="29FD34DF" w14:textId="456B2F27" w:rsidR="004C37DC" w:rsidRPr="004C37DC" w:rsidRDefault="004C37DC" w:rsidP="004C37DC">
      <w:pPr>
        <w:pStyle w:val="Heading1"/>
      </w:pPr>
      <w:bookmarkStart w:id="268" w:name="_Toc2451063"/>
      <w:r w:rsidRPr="004C37DC">
        <w:lastRenderedPageBreak/>
        <w:t>Chapter Five: Conclusions and future work</w:t>
      </w:r>
      <w:bookmarkEnd w:id="268"/>
    </w:p>
    <w:p w14:paraId="71E21B70" w14:textId="77777777" w:rsidR="004C37DC" w:rsidRDefault="004C37DC" w:rsidP="004C37DC">
      <w:pPr>
        <w:rPr>
          <w:color w:val="000000" w:themeColor="text1"/>
        </w:rPr>
      </w:pPr>
      <w:r w:rsidRPr="00C85697">
        <w:rPr>
          <w:color w:val="000000" w:themeColor="text1"/>
        </w:rPr>
        <w:t xml:space="preserve">The purpose of this thesis was to develop a more lipophilic prodrug of </w:t>
      </w:r>
      <w:r w:rsidRPr="00C85697">
        <w:rPr>
          <w:color w:val="000000" w:themeColor="text1"/>
        </w:rPr>
        <w:sym w:font="Symbol" w:char="F062"/>
      </w:r>
      <w:r>
        <w:rPr>
          <w:color w:val="000000" w:themeColor="text1"/>
        </w:rPr>
        <w:noBreakHyphen/>
        <w:t xml:space="preserve">APN </w:t>
      </w:r>
      <w:r w:rsidRPr="00C85697">
        <w:rPr>
          <w:color w:val="000000" w:themeColor="text1"/>
        </w:rPr>
        <w:t xml:space="preserve">for the topical treatment of burn scar contracture. </w:t>
      </w:r>
      <w:r>
        <w:rPr>
          <w:color w:val="000000" w:themeColor="text1"/>
        </w:rPr>
        <w:t>In parts, this PhD thesis has been</w:t>
      </w:r>
      <w:r w:rsidRPr="00C85697">
        <w:rPr>
          <w:color w:val="000000" w:themeColor="text1"/>
        </w:rPr>
        <w:t xml:space="preserve"> successful in achieving its aims.</w:t>
      </w:r>
      <w:r w:rsidRPr="00BB7468">
        <w:rPr>
          <w:color w:val="000000" w:themeColor="text1"/>
        </w:rPr>
        <w:t xml:space="preserve"> </w:t>
      </w:r>
    </w:p>
    <w:p w14:paraId="0A437C05" w14:textId="564A5581" w:rsidR="004C37DC" w:rsidRPr="005473A2" w:rsidRDefault="004C37DC" w:rsidP="004C37DC">
      <w:pPr>
        <w:rPr>
          <w:color w:val="000000" w:themeColor="text1"/>
        </w:rPr>
      </w:pPr>
      <w:r>
        <w:rPr>
          <w:color w:val="000000" w:themeColor="text1"/>
        </w:rPr>
        <w:t xml:space="preserve">Initially focussing on the prodrug synthesis, an imine was chosen as a suitable functional group to provide a reversible linker to </w:t>
      </w:r>
      <w:r>
        <w:rPr>
          <w:color w:val="000000" w:themeColor="text1"/>
        </w:rPr>
        <w:sym w:font="Symbol" w:char="F062"/>
      </w:r>
      <w:r>
        <w:rPr>
          <w:color w:val="000000" w:themeColor="text1"/>
        </w:rPr>
        <w:noBreakHyphen/>
        <w:t xml:space="preserve">APN, since imines can be hydrolysed in physiological environments. A range of aldehydes and synthetic routes were trialled with varying levels of success. Isolation of imines produced from the reaction of </w:t>
      </w:r>
      <w:r>
        <w:rPr>
          <w:color w:val="000000" w:themeColor="text1"/>
        </w:rPr>
        <w:sym w:font="Symbol" w:char="F062"/>
      </w:r>
      <w:r>
        <w:rPr>
          <w:color w:val="000000" w:themeColor="text1"/>
        </w:rPr>
        <w:noBreakHyphen/>
        <w:t xml:space="preserve">APN with benzaldehyde, anisaldehyde and dodecylaldehyde was unsuccessful, largely due to the instability of the synthesised compounds. Success came from the reaction between salicylaldehyde and </w:t>
      </w:r>
      <w:r>
        <w:rPr>
          <w:color w:val="000000" w:themeColor="text1"/>
        </w:rPr>
        <w:sym w:font="Symbol" w:char="F062"/>
      </w:r>
      <w:r>
        <w:rPr>
          <w:color w:val="000000" w:themeColor="text1"/>
        </w:rPr>
        <w:noBreakHyphen/>
        <w:t xml:space="preserve">APN, producing a stable imine product that could be easily isolated and fully characterised. As a result, four further compounds were synthesised based on salicylaldehyde derivatives. Analysis by single crystal X-ray crystallography suggested that the stability of the imines was due to intramolecular hydrogen bonding from the </w:t>
      </w:r>
      <w:r w:rsidRPr="007E24C4">
        <w:rPr>
          <w:i/>
          <w:color w:val="000000" w:themeColor="text1"/>
        </w:rPr>
        <w:t>ortho</w:t>
      </w:r>
      <w:r>
        <w:rPr>
          <w:color w:val="000000" w:themeColor="text1"/>
        </w:rPr>
        <w:t>-hydroxyl group of salicylaldehyde to the imine nitrogen. The formation of stable imine complexes using salicylaldehyde has previously been demonstrated for producing ligands for metal ion complexation.</w:t>
      </w:r>
      <w:r>
        <w:rPr>
          <w:color w:val="000000" w:themeColor="text1"/>
        </w:rPr>
        <w:fldChar w:fldCharType="begin" w:fldLock="1"/>
      </w:r>
      <w:r w:rsidR="0085447D">
        <w:rPr>
          <w:color w:val="000000" w:themeColor="text1"/>
        </w:rPr>
        <w:instrText>ADDIN CSL_CITATION {"citationItems":[{"id":"ITEM-1","itemData":{"DOI":"10.1155/2013/909217","ISBN":"2090-9063","ISSN":"20909063","abstract":"A new efficient and environmental friendly procedure for the synthesis of a series of salicylaldehyde-based schiff bases under microwave irradiation is described. ?e method is compared with the conventional method also. ?e present work involves condensation of salicylaldehyde with various aromatic amines in water under microwave irradiation. A judicious choice of the solvent and reaction conditions allowed the �nal products to be generated in excellent yields in a one-step procedure, whereas experiments under thermal conditions led to lower yields with tedious work-up.Microwave irradiation method gives advantages like reduction in reaction time, increase in conversion, reduced wastes, and good yields.?e structures of synthesized compounds were con�rmed by IR, 1H�MR, andMass Spectra data. 1.","author":[{"dropping-particle":"","family":"Bhagat","given":"Sunita","non-dropping-particle":"","parse-names":false,"suffix":""},{"dropping-particle":"","family":"Sharma","given":"Nutan","non-dropping-particle":"","parse-names":false,"suffix":""},{"dropping-particle":"","family":"Chundawat","given":"Tejpal Singh","non-dropping-particle":"","parse-names":false,"suffix":""}],"container-title":"Journal of Chemistry","id":"ITEM-1","issued":{"date-parts":[["2013"]]},"title":"Synthesis of some salicylaldehyde-based schiff bases in aqueous media","type":"article-journal","volume":"2013"},"uris":["http://www.mendeley.com/documents/?uuid=11516f08-e90e-45f5-aef5-aa92546d0111"]}],"mendeley":{"formattedCitation":"&lt;sup&gt;172&lt;/sup&gt;","plainTextFormattedCitation":"172","previouslyFormattedCitation":"&lt;sup&gt;172&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172</w:t>
      </w:r>
      <w:r>
        <w:rPr>
          <w:color w:val="000000" w:themeColor="text1"/>
        </w:rPr>
        <w:fldChar w:fldCharType="end"/>
      </w:r>
      <w:r>
        <w:rPr>
          <w:color w:val="000000" w:themeColor="text1"/>
        </w:rPr>
        <w:t xml:space="preserve"> However, there are currently no examples in the literature of this method being used to produce an imine prodrug for drug delivery.</w:t>
      </w:r>
    </w:p>
    <w:p w14:paraId="59F987AF" w14:textId="3391B5B4" w:rsidR="004C37DC" w:rsidRPr="00423D91" w:rsidRDefault="004C37DC" w:rsidP="004C37DC">
      <w:pPr>
        <w:rPr>
          <w:color w:val="000000" w:themeColor="text1"/>
        </w:rPr>
      </w:pPr>
      <w:r w:rsidRPr="003555EB">
        <w:rPr>
          <w:color w:val="000000" w:themeColor="text1"/>
        </w:rPr>
        <w:t xml:space="preserve">The ability of the synthesised imines to act as prodrugs, and therefore dissociate back to </w:t>
      </w:r>
      <w:r w:rsidRPr="003555EB">
        <w:rPr>
          <w:color w:val="000000" w:themeColor="text1"/>
        </w:rPr>
        <w:sym w:font="Symbol" w:char="F062"/>
      </w:r>
      <w:r w:rsidRPr="003555EB">
        <w:rPr>
          <w:color w:val="000000" w:themeColor="text1"/>
        </w:rPr>
        <w:noBreakHyphen/>
        <w:t xml:space="preserve">APN and the resulting aldehyde, was investigated in both aqueous and organic solvents using </w:t>
      </w:r>
      <w:r w:rsidRPr="003555EB">
        <w:rPr>
          <w:color w:val="000000" w:themeColor="text1"/>
          <w:vertAlign w:val="superscript"/>
        </w:rPr>
        <w:t>1</w:t>
      </w:r>
      <w:r w:rsidRPr="003555EB">
        <w:rPr>
          <w:color w:val="000000" w:themeColor="text1"/>
        </w:rPr>
        <w:t xml:space="preserve">H NMR spectroscopy. </w:t>
      </w:r>
      <w:r>
        <w:rPr>
          <w:color w:val="000000" w:themeColor="text1"/>
        </w:rPr>
        <w:t xml:space="preserve">All five imines were found to be stable in organic solvents for one week, with no apparent dissociation from the imines to the starting materials. However, in aqueous solution, all five imines displayed instant dissociation to approximately 70 % aldehyde. </w:t>
      </w:r>
      <w:r w:rsidRPr="005473A2">
        <w:rPr>
          <w:color w:val="000000" w:themeColor="text1"/>
        </w:rPr>
        <w:t xml:space="preserve">Since imines undergo acid-catalysed hydrolysis, future work could gain more information on </w:t>
      </w:r>
      <w:r>
        <w:rPr>
          <w:color w:val="000000" w:themeColor="text1"/>
        </w:rPr>
        <w:t xml:space="preserve">the </w:t>
      </w:r>
      <w:r w:rsidRPr="005473A2">
        <w:rPr>
          <w:color w:val="000000" w:themeColor="text1"/>
        </w:rPr>
        <w:t>stability of these compounds by monitoring prodrug dissociation in response to changing pH. This would certainly be useful when considering the prodrugs for topical delivery, as the surface of the skin is known to have a lower pH than</w:t>
      </w:r>
      <w:r>
        <w:rPr>
          <w:color w:val="000000" w:themeColor="text1"/>
        </w:rPr>
        <w:t xml:space="preserve"> within the body.</w:t>
      </w:r>
      <w:r>
        <w:rPr>
          <w:color w:val="000000" w:themeColor="text1"/>
        </w:rPr>
        <w:fldChar w:fldCharType="begin" w:fldLock="1"/>
      </w:r>
      <w:r w:rsidR="00DB1BCE">
        <w:rPr>
          <w:color w:val="000000" w:themeColor="text1"/>
        </w:rPr>
        <w:instrText>ADDIN CSL_CITATION {"citationItems":[{"id":"ITEM-1","itemData":{"DOI":"10.1159/000094670","ISBN":"1660-5535","ISSN":"16605527","PMID":"16864974","abstract":"The 'acid mantle' of the stratum corneum seems to be important for both permeability barrier formation and cutaneous antimicrobial defense. However, the origin of the acidic pH, measurable on the skin surface, remains conjectural. Passive and active influencing factors have been proposed, e.g. eccrine and sebaceous secretions as well as proton pumps. In recent years, numerous investigations have been published focusing on the changes in the pH of the deeper layers of the stratum corneum, as well as on the influence of physiological and pathological factors. The pH of the skin follows a sharp gradient across the stratum corneum, which is suspected to be important in controlling enzymatic activities and skin renewal. The skin pH is affected by a great number of endogenous factors, e.g. skin moisture, sweat, sebum, anatomic site, genetic predisposition and age. In addition, exogenous factors like detergents, application of cosmetic products, occlusive dressings as well as topical antibiotics may influence the skin pH. Changes in the pH are reported to play a role in the pathogenesis of skin diseases like irritant contact dermatitis, atopic dermatitis, ichthyosis, acne vulgaris and Candida albicans infections. Therefore, the use of skin cleansing agents, especially synthetic detergents with a pH of about 5.5, may be of relevance in the prevention and treatment of those skin diseases.","author":[{"dropping-particle":"","family":"Schmid-Wendtner","given":"M. H.","non-dropping-particle":"","parse-names":false,"suffix":""},{"dropping-particle":"","family":"Korting","given":"H. C.","non-dropping-particle":"","parse-names":false,"suffix":""}],"container-title":"Skin Pharmacology and Physiology","id":"ITEM-1","issue":"6","issued":{"date-parts":[["2006"]]},"page":"296-302","title":"The pH of the skin surface and its impact on the barrier function","type":"article-journal","volume":"19"},"uris":["http://www.mendeley.com/documents/?uuid=18358d97-c694-416f-910a-dc61e57dec31"]}],"mendeley":{"formattedCitation":"&lt;sup&gt;264&lt;/sup&gt;","plainTextFormattedCitation":"264","previouslyFormattedCitation":"&lt;sup&gt;263&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264</w:t>
      </w:r>
      <w:r>
        <w:rPr>
          <w:color w:val="000000" w:themeColor="text1"/>
        </w:rPr>
        <w:fldChar w:fldCharType="end"/>
      </w:r>
      <w:r w:rsidRPr="005473A2">
        <w:rPr>
          <w:color w:val="000000" w:themeColor="text1"/>
        </w:rPr>
        <w:t xml:space="preserve"> </w:t>
      </w:r>
    </w:p>
    <w:p w14:paraId="54D7236F" w14:textId="1D44A86B" w:rsidR="004C37DC" w:rsidRDefault="004C37DC" w:rsidP="004C37DC">
      <w:pPr>
        <w:rPr>
          <w:color w:val="000000" w:themeColor="text1"/>
        </w:rPr>
      </w:pPr>
      <w:r w:rsidRPr="00911D52">
        <w:rPr>
          <w:color w:val="000000" w:themeColor="text1"/>
        </w:rPr>
        <w:t xml:space="preserve">Testing the prodrugs in an </w:t>
      </w:r>
      <w:r w:rsidRPr="00911D52">
        <w:rPr>
          <w:i/>
          <w:color w:val="000000" w:themeColor="text1"/>
        </w:rPr>
        <w:t>in vitro</w:t>
      </w:r>
      <w:r w:rsidRPr="00911D52">
        <w:rPr>
          <w:color w:val="000000" w:themeColor="text1"/>
        </w:rPr>
        <w:t xml:space="preserve"> assay of </w:t>
      </w:r>
      <w:r>
        <w:rPr>
          <w:color w:val="000000" w:themeColor="text1"/>
        </w:rPr>
        <w:t>enzyme</w:t>
      </w:r>
      <w:r w:rsidRPr="00911D52">
        <w:rPr>
          <w:color w:val="000000" w:themeColor="text1"/>
        </w:rPr>
        <w:t xml:space="preserve"> activity demonstrated that </w:t>
      </w:r>
      <w:r>
        <w:rPr>
          <w:color w:val="000000" w:themeColor="text1"/>
        </w:rPr>
        <w:t xml:space="preserve">the dissociation of the prodrugs into </w:t>
      </w:r>
      <w:r>
        <w:rPr>
          <w:color w:val="000000" w:themeColor="text1"/>
        </w:rPr>
        <w:sym w:font="Symbol" w:char="F062"/>
      </w:r>
      <w:r>
        <w:rPr>
          <w:color w:val="000000" w:themeColor="text1"/>
        </w:rPr>
        <w:noBreakHyphen/>
        <w:t xml:space="preserve">APN and the starting aldehydes </w:t>
      </w:r>
      <w:r w:rsidRPr="00911D52">
        <w:rPr>
          <w:color w:val="000000" w:themeColor="text1"/>
        </w:rPr>
        <w:t xml:space="preserve">was sufficient to inhibit </w:t>
      </w:r>
      <w:r>
        <w:rPr>
          <w:color w:val="000000" w:themeColor="text1"/>
        </w:rPr>
        <w:t>the activity of lysyl oxidase</w:t>
      </w:r>
      <w:r w:rsidR="0024513D">
        <w:rPr>
          <w:color w:val="000000" w:themeColor="text1"/>
        </w:rPr>
        <w:t>-like 2</w:t>
      </w:r>
      <w:r>
        <w:rPr>
          <w:color w:val="000000" w:themeColor="text1"/>
        </w:rPr>
        <w:t xml:space="preserve"> (</w:t>
      </w:r>
      <w:r w:rsidRPr="00911D52">
        <w:rPr>
          <w:color w:val="000000" w:themeColor="text1"/>
        </w:rPr>
        <w:t>LOX</w:t>
      </w:r>
      <w:r w:rsidR="0024513D">
        <w:rPr>
          <w:color w:val="000000" w:themeColor="text1"/>
        </w:rPr>
        <w:t>L2</w:t>
      </w:r>
      <w:r>
        <w:rPr>
          <w:color w:val="000000" w:themeColor="text1"/>
        </w:rPr>
        <w:t>)</w:t>
      </w:r>
      <w:r w:rsidRPr="00911D52">
        <w:rPr>
          <w:color w:val="000000" w:themeColor="text1"/>
        </w:rPr>
        <w:t>.</w:t>
      </w:r>
      <w:r>
        <w:rPr>
          <w:color w:val="000000" w:themeColor="text1"/>
        </w:rPr>
        <w:t xml:space="preserve"> Due to the high cost of the </w:t>
      </w:r>
      <w:r>
        <w:rPr>
          <w:color w:val="000000" w:themeColor="text1"/>
        </w:rPr>
        <w:lastRenderedPageBreak/>
        <w:t xml:space="preserve">commercial assay and enzyme standard, only one imine (compound </w:t>
      </w:r>
      <w:r w:rsidRPr="00750B58">
        <w:rPr>
          <w:b/>
          <w:color w:val="000000" w:themeColor="text1"/>
        </w:rPr>
        <w:t>1b</w:t>
      </w:r>
      <w:r>
        <w:rPr>
          <w:color w:val="000000" w:themeColor="text1"/>
        </w:rPr>
        <w:t>) was selected for a more detailed enzyme inhibition assay. From this experiment, IC</w:t>
      </w:r>
      <w:r w:rsidRPr="00423D91">
        <w:rPr>
          <w:color w:val="000000" w:themeColor="text1"/>
          <w:vertAlign w:val="subscript"/>
        </w:rPr>
        <w:t>50</w:t>
      </w:r>
      <w:r w:rsidRPr="00423D91">
        <w:rPr>
          <w:color w:val="000000" w:themeColor="text1"/>
        </w:rPr>
        <w:t xml:space="preserve"> </w:t>
      </w:r>
      <w:r>
        <w:rPr>
          <w:color w:val="000000" w:themeColor="text1"/>
        </w:rPr>
        <w:t xml:space="preserve">values for </w:t>
      </w:r>
      <w:r>
        <w:rPr>
          <w:color w:val="000000" w:themeColor="text1"/>
        </w:rPr>
        <w:sym w:font="Symbol" w:char="F062"/>
      </w:r>
      <w:r>
        <w:rPr>
          <w:color w:val="000000" w:themeColor="text1"/>
        </w:rPr>
        <w:noBreakHyphen/>
        <w:t xml:space="preserve">APN and compound </w:t>
      </w:r>
      <w:r w:rsidRPr="00750B58">
        <w:rPr>
          <w:b/>
          <w:color w:val="000000" w:themeColor="text1"/>
        </w:rPr>
        <w:t>1b</w:t>
      </w:r>
      <w:r>
        <w:rPr>
          <w:color w:val="000000" w:themeColor="text1"/>
        </w:rPr>
        <w:t xml:space="preserve"> were </w:t>
      </w:r>
      <w:r w:rsidRPr="00DA2A33">
        <w:rPr>
          <w:color w:val="000000" w:themeColor="text1"/>
        </w:rPr>
        <w:t xml:space="preserve">calculated to be </w:t>
      </w:r>
      <w:r w:rsidR="008513BE">
        <w:rPr>
          <w:color w:val="000000" w:themeColor="text1"/>
        </w:rPr>
        <w:t>0.67 µM</w:t>
      </w:r>
      <w:r w:rsidR="008513BE" w:rsidRPr="0051179B">
        <w:rPr>
          <w:color w:val="000000" w:themeColor="text1"/>
        </w:rPr>
        <w:t xml:space="preserve"> and </w:t>
      </w:r>
      <w:r w:rsidR="008513BE">
        <w:rPr>
          <w:color w:val="000000" w:themeColor="text1"/>
        </w:rPr>
        <w:t>0.74</w:t>
      </w:r>
      <w:r w:rsidR="008513BE" w:rsidRPr="0051179B">
        <w:rPr>
          <w:color w:val="000000" w:themeColor="text1"/>
        </w:rPr>
        <w:t xml:space="preserve"> µM</w:t>
      </w:r>
      <w:r>
        <w:rPr>
          <w:color w:val="000000" w:themeColor="text1"/>
        </w:rPr>
        <w:t xml:space="preserve">, respectively. </w:t>
      </w:r>
    </w:p>
    <w:p w14:paraId="5C773183" w14:textId="77777777" w:rsidR="004C37DC" w:rsidRDefault="004C37DC" w:rsidP="004C37DC">
      <w:pPr>
        <w:rPr>
          <w:color w:val="000000" w:themeColor="text1"/>
        </w:rPr>
      </w:pPr>
      <w:r>
        <w:rPr>
          <w:color w:val="000000" w:themeColor="text1"/>
        </w:rPr>
        <w:t>C</w:t>
      </w:r>
      <w:r w:rsidRPr="00102E99">
        <w:rPr>
          <w:color w:val="000000" w:themeColor="text1"/>
        </w:rPr>
        <w:t>ytotoxicity studies focussing on cell metabolic activity and cell membrane integrity</w:t>
      </w:r>
      <w:r>
        <w:rPr>
          <w:color w:val="000000" w:themeColor="text1"/>
        </w:rPr>
        <w:t xml:space="preserve"> were conducted by applying the prodrugs to human dermal fibroblasts (HDF) for 24 hours. At concentrations that caused total enzyme inhibition (100 µM), the prodrugs exhibited minimal cytotoxicity. However, applying the compounds for longer time periods (up to 72 hours) at concentrations that have previously been used in 3D models of contraction (1.56 mM), resulted in a marked reduction in cell metabolic activity. In addition, </w:t>
      </w:r>
      <w:r w:rsidRPr="00CD4235">
        <w:rPr>
          <w:color w:val="000000" w:themeColor="text1"/>
        </w:rPr>
        <w:t xml:space="preserve">compounds </w:t>
      </w:r>
      <w:r w:rsidRPr="00CD4235">
        <w:rPr>
          <w:b/>
          <w:color w:val="000000" w:themeColor="text1"/>
        </w:rPr>
        <w:t>1b</w:t>
      </w:r>
      <w:r w:rsidRPr="00CD4235">
        <w:rPr>
          <w:color w:val="000000" w:themeColor="text1"/>
        </w:rPr>
        <w:t xml:space="preserve"> and </w:t>
      </w:r>
      <w:r w:rsidRPr="00CD4235">
        <w:rPr>
          <w:b/>
          <w:color w:val="000000" w:themeColor="text1"/>
        </w:rPr>
        <w:t>3b</w:t>
      </w:r>
      <w:r>
        <w:rPr>
          <w:color w:val="000000" w:themeColor="text1"/>
        </w:rPr>
        <w:t xml:space="preserve"> </w:t>
      </w:r>
      <w:r w:rsidRPr="00CD4235">
        <w:rPr>
          <w:color w:val="000000" w:themeColor="text1"/>
        </w:rPr>
        <w:t xml:space="preserve">compromised </w:t>
      </w:r>
      <w:r>
        <w:rPr>
          <w:color w:val="000000" w:themeColor="text1"/>
        </w:rPr>
        <w:t xml:space="preserve">the cellular membrane. </w:t>
      </w:r>
      <w:r w:rsidRPr="0052453A">
        <w:rPr>
          <w:color w:val="000000" w:themeColor="text1"/>
        </w:rPr>
        <w:t>Cytotoxic</w:t>
      </w:r>
      <w:r>
        <w:rPr>
          <w:color w:val="000000" w:themeColor="text1"/>
        </w:rPr>
        <w:t>ity tests were not carried out o</w:t>
      </w:r>
      <w:r w:rsidRPr="0052453A">
        <w:rPr>
          <w:color w:val="000000" w:themeColor="text1"/>
        </w:rPr>
        <w:t>n the startin</w:t>
      </w:r>
      <w:r>
        <w:rPr>
          <w:color w:val="000000" w:themeColor="text1"/>
        </w:rPr>
        <w:t xml:space="preserve">g aldehydes alone. However, </w:t>
      </w:r>
      <w:r w:rsidRPr="0052453A">
        <w:rPr>
          <w:color w:val="000000" w:themeColor="text1"/>
        </w:rPr>
        <w:t xml:space="preserve">since </w:t>
      </w:r>
      <w:r w:rsidRPr="0052453A">
        <w:rPr>
          <w:color w:val="000000" w:themeColor="text1"/>
        </w:rPr>
        <w:sym w:font="Symbol" w:char="F062"/>
      </w:r>
      <w:r w:rsidRPr="0052453A">
        <w:rPr>
          <w:color w:val="000000" w:themeColor="text1"/>
        </w:rPr>
        <w:noBreakHyphen/>
        <w:t xml:space="preserve">APN alone caused the least reduction to cell metabolic </w:t>
      </w:r>
      <w:r w:rsidRPr="00216AEF">
        <w:rPr>
          <w:color w:val="000000" w:themeColor="text1"/>
        </w:rPr>
        <w:t xml:space="preserve">activity, the observed toxic effects were likely due to the aldehyde moiety of the prodrugs. This suggests that altering the aldehyde substituent could reduce the observed toxicity of the prodrugs. Therefore, </w:t>
      </w:r>
      <w:r>
        <w:rPr>
          <w:color w:val="000000" w:themeColor="text1"/>
        </w:rPr>
        <w:t>future work sh</w:t>
      </w:r>
      <w:r w:rsidRPr="00216AEF">
        <w:rPr>
          <w:color w:val="000000" w:themeColor="text1"/>
        </w:rPr>
        <w:t xml:space="preserve">ould investigate alternative aldehyde starting materials and screen these for their cytotoxicity in HDF. </w:t>
      </w:r>
    </w:p>
    <w:p w14:paraId="63B366C6" w14:textId="4C7E3D04" w:rsidR="004C37DC" w:rsidRDefault="004C37DC" w:rsidP="004C37DC">
      <w:pPr>
        <w:rPr>
          <w:color w:val="000000" w:themeColor="text1"/>
        </w:rPr>
      </w:pPr>
      <w:r w:rsidRPr="005473A2">
        <w:rPr>
          <w:color w:val="000000" w:themeColor="text1"/>
        </w:rPr>
        <w:t xml:space="preserve">In the final part of this thesis, the ability of </w:t>
      </w:r>
      <w:r>
        <w:rPr>
          <w:color w:val="000000" w:themeColor="text1"/>
        </w:rPr>
        <w:sym w:font="Symbol" w:char="F062"/>
      </w:r>
      <w:r>
        <w:rPr>
          <w:color w:val="000000" w:themeColor="text1"/>
        </w:rPr>
        <w:noBreakHyphen/>
        <w:t>APN</w:t>
      </w:r>
      <w:r w:rsidRPr="005473A2">
        <w:rPr>
          <w:color w:val="000000" w:themeColor="text1"/>
        </w:rPr>
        <w:t xml:space="preserve"> </w:t>
      </w:r>
      <w:r>
        <w:rPr>
          <w:color w:val="000000" w:themeColor="text1"/>
        </w:rPr>
        <w:t xml:space="preserve">and </w:t>
      </w:r>
      <w:r w:rsidRPr="005473A2">
        <w:rPr>
          <w:color w:val="000000" w:themeColor="text1"/>
        </w:rPr>
        <w:t xml:space="preserve">the </w:t>
      </w:r>
      <w:r>
        <w:rPr>
          <w:color w:val="000000" w:themeColor="text1"/>
        </w:rPr>
        <w:t xml:space="preserve">synthesised </w:t>
      </w:r>
      <w:r w:rsidRPr="005473A2">
        <w:rPr>
          <w:color w:val="000000" w:themeColor="text1"/>
        </w:rPr>
        <w:t>prodrugs to inhibit the physical phenomenon of contraction was tested.</w:t>
      </w:r>
      <w:r>
        <w:rPr>
          <w:color w:val="000000" w:themeColor="text1"/>
        </w:rPr>
        <w:t xml:space="preserve"> </w:t>
      </w:r>
      <w:r w:rsidRPr="006A2A5C">
        <w:rPr>
          <w:color w:val="000000" w:themeColor="text1"/>
        </w:rPr>
        <w:t xml:space="preserve">An </w:t>
      </w:r>
      <w:r w:rsidRPr="006A2A5C">
        <w:rPr>
          <w:i/>
          <w:color w:val="000000" w:themeColor="text1"/>
        </w:rPr>
        <w:t>in vitro</w:t>
      </w:r>
      <w:r w:rsidRPr="006A2A5C">
        <w:rPr>
          <w:color w:val="000000" w:themeColor="text1"/>
        </w:rPr>
        <w:t xml:space="preserve"> model of tissue</w:t>
      </w:r>
      <w:r w:rsidR="009352BF">
        <w:rPr>
          <w:color w:val="000000" w:themeColor="text1"/>
        </w:rPr>
        <w:noBreakHyphen/>
      </w:r>
      <w:r w:rsidRPr="006A2A5C">
        <w:rPr>
          <w:color w:val="000000" w:themeColor="text1"/>
        </w:rPr>
        <w:t>engineered skin (TES) was used to replicate the process of contraction. Initial work demonstrated that the thickness of the de</w:t>
      </w:r>
      <w:r w:rsidRPr="006A2A5C">
        <w:rPr>
          <w:color w:val="000000" w:themeColor="text1"/>
        </w:rPr>
        <w:noBreakHyphen/>
        <w:t>epidermised dermis (DED) used to construct the skin composites had a large effect on the ability of the TES to contract, with thicker DED (~ 1 mm thick) contracting to a much lesser extent than thin DED (~ 250 µm</w:t>
      </w:r>
      <w:r>
        <w:rPr>
          <w:color w:val="000000" w:themeColor="text1"/>
        </w:rPr>
        <w:t xml:space="preserve">). Following this, difficulties were observed in the ability of </w:t>
      </w:r>
      <w:r w:rsidRPr="006A2A5C">
        <w:rPr>
          <w:color w:val="000000" w:themeColor="text1"/>
        </w:rPr>
        <w:sym w:font="Symbol" w:char="F062"/>
      </w:r>
      <w:r w:rsidRPr="006A2A5C">
        <w:rPr>
          <w:color w:val="000000" w:themeColor="text1"/>
        </w:rPr>
        <w:noBreakHyphen/>
        <w:t>APN</w:t>
      </w:r>
      <w:r>
        <w:rPr>
          <w:color w:val="000000" w:themeColor="text1"/>
        </w:rPr>
        <w:t xml:space="preserve"> to inhibit TES contraction, which contradicted </w:t>
      </w:r>
      <w:r w:rsidRPr="00EE713D">
        <w:rPr>
          <w:color w:val="000000" w:themeColor="text1"/>
        </w:rPr>
        <w:t xml:space="preserve">previous research. </w:t>
      </w:r>
      <w:r w:rsidRPr="00EE713D">
        <w:rPr>
          <w:color w:val="000000" w:themeColor="text1"/>
        </w:rPr>
        <w:fldChar w:fldCharType="begin" w:fldLock="1"/>
      </w:r>
      <w:r w:rsidR="00DB1BCE">
        <w:rPr>
          <w:color w:val="000000" w:themeColor="text1"/>
        </w:rPr>
        <w:instrText>ADDIN CSL_CITATION {"citationItems":[{"id":"ITEM-1","itemData":{"DOI":"10.1089/ten.2006.12.ft-241","ISBN":"1076-3279 (Print)\\r1076-3279 (Linking)","ISSN":"1076-3279","PMID":"17518627","abstract":"Skin graft contraction leading to loss of joint mobility and cosmetic deformity remains a major clinical problem. In this study we used a tissue-engineered model of human skin, based on sterilized human adult dermis seeded with keratinocytes and fibroblasts, which contracts by up to 60% over 28 days in vitro, as a model to investigate the mechanism of skin contraction. Pharmacologic agents modifying collagen synthesis, degradation, and cross-linking were examined for their effect on contraction. Collagen synthesis and degradation were determined using immunoassay techniques. The results show that skin contraction was not dependent on inhibition of collagen synthesis or stimulation of collagen degradation, but was related to collagen remodelling. Thus, reducing dermal pliability with glutaraldehyde inhibited the ability of cells to contract the dermis. So did inhibition of matrix metalloproteinases and inhibition of lysyl oxidase-mediated collagen cross-linking, but not transglutaminase-mediated cross-linking. In summary, this in vitro model of human skin has allowed us to identify specific cross-linking pathways as possible pharmacologic targets for prevention of graft contracture in vivo.","author":[{"dropping-particle":"","family":"Harrison","given":"Caroline A","non-dropping-particle":"","parse-names":false,"suffix":""},{"dropping-particle":"","family":"Gossiel","given":"Fatma","non-dropping-particle":"","parse-names":false,"suffix":""},{"dropping-particle":"","family":"Layton","given":"Christopher M","non-dropping-particle":"","parse-names":false,"suffix":""},{"dropping-particle":"","family":"Bullock","given":"Anthony J","non-dropping-particle":"","parse-names":false,"suffix":""},{"dropping-particle":"","family":"Johnson","given":"Timothy","non-dropping-particle":"","parse-names":false,"suffix":""},{"dropping-particle":"","family":"Blumsohn","given":"Aubrey","non-dropping-particle":"","parse-names":false,"suffix":""},{"dropping-particle":"","family":"MacNeil","given":"Sheila","non-dropping-particle":"","parse-names":false,"suffix":""}],"container-title":"Tissue engineering","id":"ITEM-1","issue":"11","issued":{"date-parts":[["2006"]]},"page":"3119-3133","title":"Use of an in vitro model of tissue-engineered skin to investigate the mechanism of skin graft contraction.","type":"article-journal","volume":"12"},"uris":["http://www.mendeley.com/documents/?uuid=82c31567-d36c-47e7-ace5-41b4c29ae160"]},{"id":"ITEM-2","itemData":{"DOI":"10.1046/j.1524-475X.2001.00095.x","ISBN":"1067-1927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Regeneration","id":"ITEM-2","issue":"2","issued":{"date-parts":[["2001"]]},"page":"95-106","title":"Keratinocyte-driven contraction of reconstructed human skin","type":"article-journal","volume":"9"},"uris":["http://www.mendeley.com/documents/?uuid=a6ba7319-03f5-4c7b-ba22-c698fb7e83c1"]},{"id":"ITEM-3","itemData":{"DOI":"10.1097/BCR.0b013e318166da8c","ISBN":"1559-047X","ISSN":"1559047X","PMID":"18354296","abstract":"Skin graft contracture remains a significant cause of patient morbidity with reduction in joint mobility and cosmetic deformity. Despite recent advances, its mechanism is largely unknown. The authors have previously demonstrated the importance of the keratinocyte in the contraction of tissue-engineered skin in vitro. In this study, they investigate the effect of reducing keratinocyte differentiation on contraction by adding 0.8 mM ethylene glycol-bis(2-aminoethylether)-N,N,N',N'-tetra acetic acid (EGTA) to the culture medium and by culturing tissue-engineered skin submerged in medium rather than at air-liquid interface. They also simulate the effect of early mechanical splinting in vitro to study its effect on contraction. Here the study shows that removal of the epidermis after 16 days culture at air-liquid interface results in immediate dermal relaxation with a return to the original dermal surface area. Lowering extracellular calcium concentration with EGTA reduces keratinocyte differentiation and reduces the rate of contraction. Submerged culture does not significantly reduce differentiation of tissue-engineered skin and does not reduce contraction. However, following an initial short period of mechanical constraint, the rate of contraction of tissue-engineered skin is reduced. Reducing keratinocyte differentiation by lowering extracellular calcium with EGTA, reduces contraction. However, submerged culture of tissue-engineered skin is ineffective. A short period of splinting of meshed skin grafts during the initial phase of epithelialization and keratinocyte differentiation may be most effective in the prevention of subsequent contractures in vivo but additional studies are needed to establish this.","author":[{"dropping-particle":"","family":"Thornton","given":"Daniel J.A.","non-dropping-particle":"","parse-names":false,"suffix":""},{"dropping-particle":"","family":"Harrison","given":"Caroline A.","non-dropping-particle":"","parse-names":false,"suffix":""},{"dropping-particle":"","family":"Heaton","given":"Martin J.","non-dropping-particle":"","parse-names":false,"suffix":""},{"dropping-particle":"","family":"Bullock","given":"Anthony J.","non-dropping-particle":"","parse-names":false,"suffix":""},{"dropping-particle":"","family":"MacNeil","given":"Sheila","non-dropping-particle":"","parse-names":false,"suffix":""}],"container-title":"Journal of Burn Care and Research","id":"ITEM-3","issue":"2","issued":{"date-parts":[["2008"]]},"page":"369-377","title":"Inhibition of keratinocyte-driven contraction of tissue-engineered skin in vitro by calcium chelation and early restraint but not submerged culture","type":"article-journal","volume":"29"},"uris":["http://www.mendeley.com/documents/?uuid=c06259f3-3070-49ac-8b09-60f8e0001cd5"]}],"mendeley":{"formattedCitation":"&lt;sup&gt;74,78,260&lt;/sup&gt;","plainTextFormattedCitation":"74,78,260","previouslyFormattedCitation":"&lt;sup&gt;74,78,259&lt;/sup&gt;"},"properties":{"noteIndex":0},"schema":"https://github.com/citation-style-language/schema/raw/master/csl-citation.json"}</w:instrText>
      </w:r>
      <w:r w:rsidRPr="00EE713D">
        <w:rPr>
          <w:color w:val="000000" w:themeColor="text1"/>
        </w:rPr>
        <w:fldChar w:fldCharType="separate"/>
      </w:r>
      <w:r w:rsidR="00DB1BCE" w:rsidRPr="00DB1BCE">
        <w:rPr>
          <w:noProof/>
          <w:color w:val="000000" w:themeColor="text1"/>
          <w:vertAlign w:val="superscript"/>
        </w:rPr>
        <w:t>74,78,260</w:t>
      </w:r>
      <w:r w:rsidRPr="00EE713D">
        <w:rPr>
          <w:color w:val="000000" w:themeColor="text1"/>
        </w:rPr>
        <w:fldChar w:fldCharType="end"/>
      </w:r>
      <w:r w:rsidRPr="00EE713D">
        <w:rPr>
          <w:color w:val="000000" w:themeColor="text1"/>
        </w:rPr>
        <w:t xml:space="preserve"> Changing </w:t>
      </w:r>
      <w:r>
        <w:rPr>
          <w:color w:val="000000" w:themeColor="text1"/>
        </w:rPr>
        <w:t xml:space="preserve">the preparation of the </w:t>
      </w:r>
      <w:r w:rsidRPr="006A2A5C">
        <w:rPr>
          <w:color w:val="000000" w:themeColor="text1"/>
        </w:rPr>
        <w:sym w:font="Symbol" w:char="F062"/>
      </w:r>
      <w:r w:rsidRPr="006A2A5C">
        <w:rPr>
          <w:color w:val="000000" w:themeColor="text1"/>
        </w:rPr>
        <w:noBreakHyphen/>
        <w:t>APN</w:t>
      </w:r>
      <w:r>
        <w:rPr>
          <w:color w:val="000000" w:themeColor="text1"/>
        </w:rPr>
        <w:t xml:space="preserve"> stock did not improve this outcome. Using Euroskin, an alternative DED source, showed more promise, with </w:t>
      </w:r>
      <w:r w:rsidRPr="006A2A5C">
        <w:rPr>
          <w:color w:val="000000" w:themeColor="text1"/>
        </w:rPr>
        <w:sym w:font="Symbol" w:char="F062"/>
      </w:r>
      <w:r w:rsidRPr="006A2A5C">
        <w:rPr>
          <w:color w:val="000000" w:themeColor="text1"/>
        </w:rPr>
        <w:noBreakHyphen/>
        <w:t>APN</w:t>
      </w:r>
      <w:r>
        <w:rPr>
          <w:color w:val="000000" w:themeColor="text1"/>
        </w:rPr>
        <w:t xml:space="preserve"> significantly inhibiting contraction over 28 days. However, this finding could not be replicated.</w:t>
      </w:r>
    </w:p>
    <w:p w14:paraId="747AA141" w14:textId="2D90CADD" w:rsidR="004C37DC" w:rsidRDefault="004C37DC" w:rsidP="004C37DC">
      <w:pPr>
        <w:rPr>
          <w:color w:val="000000" w:themeColor="text1"/>
        </w:rPr>
      </w:pPr>
      <w:r w:rsidRPr="005D1630">
        <w:rPr>
          <w:color w:val="000000" w:themeColor="text1"/>
        </w:rPr>
        <w:t xml:space="preserve">This work highlighted that the use of </w:t>
      </w:r>
      <w:r w:rsidRPr="005D1630">
        <w:rPr>
          <w:color w:val="000000" w:themeColor="text1"/>
        </w:rPr>
        <w:sym w:font="Symbol" w:char="F062"/>
      </w:r>
      <w:r w:rsidRPr="005D1630">
        <w:rPr>
          <w:color w:val="000000" w:themeColor="text1"/>
        </w:rPr>
        <w:noBreakHyphen/>
        <w:t xml:space="preserve">APN to inhibit contraction in the </w:t>
      </w:r>
      <w:r w:rsidRPr="005D1630">
        <w:rPr>
          <w:i/>
          <w:color w:val="000000" w:themeColor="text1"/>
        </w:rPr>
        <w:t>in vitro</w:t>
      </w:r>
      <w:r>
        <w:rPr>
          <w:color w:val="000000" w:themeColor="text1"/>
        </w:rPr>
        <w:t xml:space="preserve"> TES model </w:t>
      </w:r>
      <w:r w:rsidRPr="005D1630">
        <w:rPr>
          <w:color w:val="000000" w:themeColor="text1"/>
        </w:rPr>
        <w:t>was not as robust as once thought.</w:t>
      </w:r>
      <w:r>
        <w:rPr>
          <w:color w:val="000000" w:themeColor="text1"/>
        </w:rPr>
        <w:t xml:space="preserve"> A clear line of future work would be to analyse whether the enzyme LOX is present in the TES composites, as this is the primary target of </w:t>
      </w:r>
      <w:r w:rsidRPr="005D1630">
        <w:rPr>
          <w:color w:val="000000" w:themeColor="text1"/>
        </w:rPr>
        <w:sym w:font="Symbol" w:char="F062"/>
      </w:r>
      <w:r w:rsidRPr="005D1630">
        <w:rPr>
          <w:color w:val="000000" w:themeColor="text1"/>
        </w:rPr>
        <w:noBreakHyphen/>
        <w:t>APN</w:t>
      </w:r>
      <w:r>
        <w:rPr>
          <w:color w:val="000000" w:themeColor="text1"/>
        </w:rPr>
        <w:t xml:space="preserve">. Failure to identify LOX in this system could explain the ineffectiveness of </w:t>
      </w:r>
      <w:r w:rsidRPr="005D1630">
        <w:rPr>
          <w:color w:val="000000" w:themeColor="text1"/>
        </w:rPr>
        <w:sym w:font="Symbol" w:char="F062"/>
      </w:r>
      <w:r w:rsidRPr="005D1630">
        <w:rPr>
          <w:color w:val="000000" w:themeColor="text1"/>
        </w:rPr>
        <w:noBreakHyphen/>
        <w:t>APN</w:t>
      </w:r>
      <w:r>
        <w:rPr>
          <w:color w:val="000000" w:themeColor="text1"/>
        </w:rPr>
        <w:t xml:space="preserve"> in inhibiting contraction. In addition, if LOX could be </w:t>
      </w:r>
      <w:r>
        <w:rPr>
          <w:color w:val="000000" w:themeColor="text1"/>
        </w:rPr>
        <w:lastRenderedPageBreak/>
        <w:t xml:space="preserve">identified then it would be beneficial to analyse its enzymatic activity, as detection of the LOX protein doesn’t necessarily mean it is enzymatically active. Furthermore, it would be helpful to probe the model with alternative LOX inhibitors, to understand whether the issue seen in this work was solely due to </w:t>
      </w:r>
      <w:r w:rsidRPr="005D1630">
        <w:rPr>
          <w:color w:val="000000" w:themeColor="text1"/>
        </w:rPr>
        <w:sym w:font="Symbol" w:char="F062"/>
      </w:r>
      <w:r w:rsidRPr="005D1630">
        <w:rPr>
          <w:color w:val="000000" w:themeColor="text1"/>
        </w:rPr>
        <w:noBreakHyphen/>
        <w:t>APN</w:t>
      </w:r>
      <w:r>
        <w:rPr>
          <w:color w:val="000000" w:themeColor="text1"/>
        </w:rPr>
        <w:t>. For example, Hutchinson </w:t>
      </w:r>
      <w:r w:rsidRPr="0047078B">
        <w:rPr>
          <w:i/>
          <w:color w:val="000000" w:themeColor="text1"/>
        </w:rPr>
        <w:t>et al.</w:t>
      </w:r>
      <w:r>
        <w:rPr>
          <w:color w:val="000000" w:themeColor="text1"/>
        </w:rPr>
        <w:t xml:space="preserve"> recently developed some small molecule inhibitors of LOX and LOXL2.</w:t>
      </w:r>
      <w:r>
        <w:rPr>
          <w:color w:val="000000" w:themeColor="text1"/>
        </w:rPr>
        <w:fldChar w:fldCharType="begin" w:fldLock="1"/>
      </w:r>
      <w:r w:rsidR="00DB1BCE">
        <w:rPr>
          <w:color w:val="000000" w:themeColor="text1"/>
        </w:rPr>
        <w:instrText>ADDIN CSL_CITATION {"citationItems":[{"id":"ITEM-1","itemData":{"DOI":"10.1021/acsmedchemlett.7b00014","ISBN":"1948-5875 (Linking)","ISSN":"19485875","PMID":"28435530","abstract":"Two series of novel LOXL2 enzyme inhibitors are described: benzylamines substituted with electron withdrawing groups at the para-position and 2-substituted pyridine-4-ylmethanamines. The most potent compound, (2-chloropyridin-4-yl)methanamine 20 (hLOXL2 IC 50 = 126 nM), was shown to be selective for LOXL2 over LOX and three other amine oxidases (MAO-A, MAO-B, and SSAO). Compound 20 is the first published small molecule inhibitor selective for LOXL2 over LOX. L ysyl oxidases (LOXs) are a family of five copper-containing amine oxidases that oxidize the terminal ε-amine of specific lysine or hydroxylysine residues present in the telopeptide regions of collagen (or elastin) to generate the corresponding allysine. 1,2 These aldehydes can then condense with other lysines and hydroxylysines to form a cross-linked collagen matrix. 3 Pathological tissue fibrosis results from excessive collagen deposition as well as increased cross-linking leading to pro-fibrotic signaling changes within resident cells in the ECM network. The accumulation of extracellular matrix within a disease tissue leads to scarring and destruction of the normal tissue architecture and ultimately to organ failure. 4 Treatments for fibrosis are limited; however, two drugs (pirfenidone and nintedanib) were recently approved for IPF though they offer only modest benefits. 5 One approach to treating fibrosis is to block the cross-linking of collagen fibrils through inhibition of a LOX-family enzyme. 6 The LOX family consists of five isozymes, LOX and LOXL1−4, all of which are secreted enzymes that are proposed to act on collagen molecules within the ECM. They all contain a Cu 2+ ion coordinated to three conserved histidines and a lysyl-tyrosine quinone (LTQ) cofactor in the catalytic domain; however, they can be differentiated into two subgroups based on the structure of their N-termini. LOX and LOXL1 contain a basic propeptide at their N-termini which requires cleavage in order to generate a catalytically active enzyme. Mice deficient in either LOX or LOXL1 show cardiovascular and other organ defects. 7,8 LOXL2, 3, and 4 all possess four scavenger receptor cysteine-rich (SRCR) domains in their N-termini which are hypothesized to mediate cell-adhesion and protein−protein interactions. LOX and LOXL2 have been well studied and shown to be upregulated in patients with fibrosis and cancer. 9−12 In addition to its activity on the ECM, LOX and LOXL2 have proposed intracellular roles involving regulatio…","author":[{"dropping-particle":"","family":"Hutchinson","given":"John H.","non-dropping-particle":"","parse-names":false,"suffix":""},{"dropping-particle":"","family":"Rowbottom","given":"Martin W.","non-dropping-particle":"","parse-names":false,"suffix":""},{"dropping-particle":"","family":"Lonergan","given":"David","non-dropping-particle":"","parse-names":false,"suffix":""},{"dropping-particle":"","family":"Darlington","given":"Janice","non-dropping-particle":"","parse-names":false,"suffix":""},{"dropping-particle":"","family":"Prodanovich","given":"Pat","non-dropping-particle":"","parse-names":false,"suffix":""},{"dropping-particle":"","family":"King","given":"Christopher D.","non-dropping-particle":"","parse-names":false,"suffix":""},{"dropping-particle":"","family":"Evans","given":"Jilly F.","non-dropping-particle":"","parse-names":false,"suffix":""},{"dropping-particle":"","family":"Bain","given":"Gretchen","non-dropping-particle":"","parse-names":false,"suffix":""}],"container-title":"ACS Medicinal Chemistry Letters","id":"ITEM-1","issue":"4","issued":{"date-parts":[["2017"]]},"page":"423-427","title":"Small Molecule Lysyl Oxidase-like 2 (LOXL2) Inhibitors: The Identification of an Inhibitor Selective for LOXL2 over LOX","type":"article-journal","volume":"8"},"uris":["http://www.mendeley.com/documents/?uuid=df3eeb3d-ac0d-4805-ab9a-13ef6c2e9d23"]}],"mendeley":{"formattedCitation":"&lt;sup&gt;265&lt;/sup&gt;","plainTextFormattedCitation":"265","previouslyFormattedCitation":"&lt;sup&gt;264&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265</w:t>
      </w:r>
      <w:r>
        <w:rPr>
          <w:color w:val="000000" w:themeColor="text1"/>
        </w:rPr>
        <w:fldChar w:fldCharType="end"/>
      </w:r>
      <w:r>
        <w:rPr>
          <w:color w:val="000000" w:themeColor="text1"/>
        </w:rPr>
        <w:t xml:space="preserve"> Whilst the compounds were more selective for LOXL2 over LOX, these inhibitors could still provide an alternative agent to probe the role of LOX in contraction of the TES model.</w:t>
      </w:r>
    </w:p>
    <w:p w14:paraId="1F8926F6" w14:textId="331A151E" w:rsidR="004C37DC" w:rsidRDefault="004C37DC" w:rsidP="004C37DC">
      <w:pPr>
        <w:rPr>
          <w:color w:val="000000" w:themeColor="text1"/>
        </w:rPr>
      </w:pPr>
      <w:r>
        <w:rPr>
          <w:color w:val="000000" w:themeColor="text1"/>
        </w:rPr>
        <w:t xml:space="preserve">The TES </w:t>
      </w:r>
      <w:r w:rsidRPr="00EE713D">
        <w:rPr>
          <w:color w:val="000000" w:themeColor="text1"/>
        </w:rPr>
        <w:t>composite model is a valuable tool for understandin</w:t>
      </w:r>
      <w:r>
        <w:rPr>
          <w:color w:val="000000" w:themeColor="text1"/>
        </w:rPr>
        <w:t xml:space="preserve">g the mechanism of contraction, providing a more complex alternative </w:t>
      </w:r>
      <w:r w:rsidRPr="00FC6751">
        <w:rPr>
          <w:color w:val="000000" w:themeColor="text1"/>
        </w:rPr>
        <w:t xml:space="preserve">to the contraction of collagen gels. However, further work is required to fully understand the mechanisms driving contraction in this model, and to establish its relevance to contraction </w:t>
      </w:r>
      <w:r w:rsidRPr="00FC6751">
        <w:rPr>
          <w:i/>
          <w:color w:val="000000" w:themeColor="text1"/>
        </w:rPr>
        <w:t>in vivo</w:t>
      </w:r>
      <w:r w:rsidRPr="00FC6751">
        <w:rPr>
          <w:color w:val="000000" w:themeColor="text1"/>
        </w:rPr>
        <w:t>. Previous studies have investigated discrete parts of the TES model, from DED thickness and DED sterilisation methods,</w:t>
      </w:r>
      <w:r>
        <w:rPr>
          <w:color w:val="000000" w:themeColor="text1"/>
        </w:rPr>
        <w:fldChar w:fldCharType="begin" w:fldLock="1"/>
      </w:r>
      <w:r w:rsidR="00DB1BCE">
        <w:rPr>
          <w:color w:val="000000" w:themeColor="text1"/>
        </w:rPr>
        <w:instrText>ADDIN CSL_CITATION {"citationItems":[{"id":"ITEM-1","itemData":{"author":[{"dropping-particle":"","family":"Chakrabarty","given":"K H","non-dropping-particle":"","parse-names":false,"suffix":""},{"dropping-particle":"","family":"Dawson","given":"R A","non-dropping-particle":"","parse-names":false,"suffix":""},{"dropping-particle":"","family":"Harris","given":"P","non-dropping-particle":"","parse-names":false,"suffix":""},{"dropping-particle":"","family":"Layton","given":"C","non-dropping-particle":"","parse-names":false,"suffix":""},{"dropping-particle":"","family":"Babu","given":"M","non-dropping-particle":"","parse-names":false,"suffix":""},{"dropping-particle":"","family":"Gould","given":"L","non-dropping-particle":"","parse-names":false,"suffix":""},{"dropping-particle":"","family":"Phillips","given":"J","non-dropping-particle":"","parse-names":false,"suffix":""},{"dropping-particle":"","family":"Leigh","given":"I","non-dropping-particle":"","parse-names":false,"suffix":""},{"dropping-particle":"","family":"Green","given":"C","non-dropping-particle":"","parse-names":false,"suffix":""},{"dropping-particle":"","family":"Neil","given":"S M A C","non-dropping-particle":"","parse-names":false,"suffix":""}],"container-title":"British Journal of Dermatology","id":"ITEM-1","issued":{"date-parts":[["1999"]]},"page":"811-823","title":"Development of autologous human dermal - epidermal composites based on sterilized human allodermis for clinical use","type":"article-journal","volume":"141"},"uris":["http://www.mendeley.com/documents/?uuid=a5b02888-4af6-4a11-b664-dee704005a60"]}],"mendeley":{"formattedCitation":"&lt;sup&gt;242&lt;/sup&gt;","plainTextFormattedCitation":"242","previouslyFormattedCitation":"&lt;sup&gt;241&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242</w:t>
      </w:r>
      <w:r>
        <w:rPr>
          <w:color w:val="000000" w:themeColor="text1"/>
        </w:rPr>
        <w:fldChar w:fldCharType="end"/>
      </w:r>
      <w:r w:rsidRPr="00FC6751">
        <w:rPr>
          <w:color w:val="000000" w:themeColor="text1"/>
        </w:rPr>
        <w:t xml:space="preserve"> to the number of cells seeded onto the DED.</w:t>
      </w:r>
      <w:r>
        <w:rPr>
          <w:color w:val="000000" w:themeColor="text1"/>
        </w:rPr>
        <w:fldChar w:fldCharType="begin" w:fldLock="1"/>
      </w:r>
      <w:r w:rsidR="0085447D">
        <w:rPr>
          <w:color w:val="000000" w:themeColor="text1"/>
        </w:rPr>
        <w:instrText>ADDIN CSL_CITATION {"citationItems":[{"id":"ITEM-1","itemData":{"DOI":"10.1046/j.1524-475X.2001.00095.x","ISBN":"1067-1927 (Print)","ISSN":"10671927","PMID":"11350647","abstract":"We have previously reported that reconstructed human skin, using deepidermized acellular sterilized dermis and allogeneic keratinocytes and fibroblasts, significantly contracts in vitro. Contracture of split skin grafts in burns injuries remains a serious problem and this in vitro model provides an opportunity to study keratinocyte/mesenchymal cell interactions and cell interactions with extracted normal human dermis. The aim of this study was to investigate the nature of this in vitro contraction and explore several approaches to prevent or reduce contraction. Three different methodologies for sterilization of the dermal matrix were examined: glycerol, ethylene oxide and a combination of glycerol and ethylene oxide. While the nature of the sterilization technique influenced the extent of contraction and thinner dermal matrices contracted proportionately more than thicker matrices, in all cases contraction was driven by the keratinocytes with relatively little influence from the fibroblasts. The contraction of the underlying dermis did not represent any change in tissue mass but rather a reorganization of the dermis which was rapidly reversed (within minutes) when the epidermal layer was removed. Pharmacological approaches to block contraction showed forskolin and mannose-6-phosphate to be ineffective and ascorbic acid-2-phosphate to exacerbate contraction. However, Galardin, a matrix metalloproteinase inhibitor and keratinocyte conditioned media, both inhibited contraction.","author":[{"dropping-particle":"","family":"Chakrabarty","given":"Kaushik H","non-dropping-particle":"","parse-names":false,"suffix":""},{"dropping-particle":"","family":"Heaton","given":"Martin","non-dropping-particle":"","parse-names":false,"suffix":""},{"dropping-particle":"","family":"Dalley","given":"Andrew J","non-dropping-particle":"","parse-names":false,"suffix":""},{"dropping-particle":"","family":"Dawson","given":"Rebecca A.","non-dropping-particle":"","parse-names":false,"suffix":""},{"dropping-particle":"","family":"Freedlander","given":"Eric","non-dropping-particle":"","parse-names":false,"suffix":""},{"dropping-particle":"","family":"Khaw","given":"Peng T","non-dropping-particle":"","parse-names":false,"suffix":""},{"dropping-particle":"","family":"Neil","given":"Sheila","non-dropping-particle":"Mac","parse-names":false,"suffix":""}],"container-title":"Wound Repair and Regeneration","id":"ITEM-1","issue":"2","issued":{"date-parts":[["2001"]]},"page":"95-106","title":"Keratinocyte-driven contraction of reconstructed human skin","type":"article-journal","volume":"9"},"uris":["http://www.mendeley.com/documents/?uuid=a6ba7319-03f5-4c7b-ba22-c698fb7e83c1"]}],"mendeley":{"formattedCitation":"&lt;sup&gt;74&lt;/sup&gt;","plainTextFormattedCitation":"74","previouslyFormattedCitation":"&lt;sup&gt;74&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74</w:t>
      </w:r>
      <w:r>
        <w:rPr>
          <w:color w:val="000000" w:themeColor="text1"/>
        </w:rPr>
        <w:fldChar w:fldCharType="end"/>
      </w:r>
      <w:r w:rsidRPr="00FC6751">
        <w:rPr>
          <w:color w:val="000000" w:themeColor="text1"/>
        </w:rPr>
        <w:t xml:space="preserve"> It would be highly useful to construct a set of essential criteria </w:t>
      </w:r>
      <w:r>
        <w:rPr>
          <w:color w:val="000000" w:themeColor="text1"/>
        </w:rPr>
        <w:t xml:space="preserve">from this data, outlining </w:t>
      </w:r>
      <w:r w:rsidRPr="00925D65">
        <w:rPr>
          <w:color w:val="000000" w:themeColor="text1"/>
        </w:rPr>
        <w:t xml:space="preserve">specific parameters required for model success. Work could then progress to understanding </w:t>
      </w:r>
      <w:r>
        <w:rPr>
          <w:color w:val="000000" w:themeColor="text1"/>
        </w:rPr>
        <w:t>the robustness of the model</w:t>
      </w:r>
      <w:r w:rsidRPr="00925D65">
        <w:rPr>
          <w:color w:val="000000" w:themeColor="text1"/>
        </w:rPr>
        <w:t xml:space="preserve"> when each of these parameters is varied. For example, in this body of work</w:t>
      </w:r>
      <w:r>
        <w:rPr>
          <w:color w:val="000000" w:themeColor="text1"/>
        </w:rPr>
        <w:t>,</w:t>
      </w:r>
      <w:r w:rsidRPr="00925D65">
        <w:rPr>
          <w:color w:val="000000" w:themeColor="text1"/>
        </w:rPr>
        <w:t xml:space="preserve"> some of the TES models contracted to 30 % of their original size, whilst others contracted to 50 %. </w:t>
      </w:r>
      <w:r>
        <w:rPr>
          <w:color w:val="000000" w:themeColor="text1"/>
        </w:rPr>
        <w:t>This is quite a large difference to observe within the same model system. It remains to be understood whether such a notable variation can be tolerated whilst still producing meaningful results.</w:t>
      </w:r>
    </w:p>
    <w:p w14:paraId="6BA87804" w14:textId="77777777" w:rsidR="004C37DC" w:rsidRDefault="004C37DC" w:rsidP="004C37DC">
      <w:pPr>
        <w:rPr>
          <w:color w:val="000000" w:themeColor="text1"/>
        </w:rPr>
      </w:pPr>
      <w:r>
        <w:rPr>
          <w:color w:val="000000" w:themeColor="text1"/>
        </w:rPr>
        <w:t xml:space="preserve">Due to the issues encountered with the TES model of contraction, work moved to the use of collagen gel contraction assays. </w:t>
      </w:r>
      <w:r>
        <w:rPr>
          <w:color w:val="000000" w:themeColor="text1"/>
        </w:rPr>
        <w:sym w:font="Symbol" w:char="F062"/>
      </w:r>
      <w:r>
        <w:rPr>
          <w:color w:val="000000" w:themeColor="text1"/>
        </w:rPr>
        <w:noBreakHyphen/>
        <w:t xml:space="preserve">APN inhibited the contraction of type I collagen gels in a dose-dependent manner, without causing any reduction to cell metabolic activity. Contrastingly, treatment of collagen gels with compound </w:t>
      </w:r>
      <w:r w:rsidRPr="00AD363F">
        <w:rPr>
          <w:b/>
          <w:color w:val="000000" w:themeColor="text1"/>
        </w:rPr>
        <w:t>1b</w:t>
      </w:r>
      <w:r>
        <w:rPr>
          <w:color w:val="000000" w:themeColor="text1"/>
        </w:rPr>
        <w:t xml:space="preserve"> led to a reduction in gel contraction but also a marked decrease in cell metabolic activity, even at the lowest dose (0.195 mM).</w:t>
      </w:r>
      <w:r w:rsidRPr="00676B28">
        <w:rPr>
          <w:color w:val="000000" w:themeColor="text1"/>
        </w:rPr>
        <w:t xml:space="preserve"> </w:t>
      </w:r>
      <w:r>
        <w:rPr>
          <w:color w:val="000000" w:themeColor="text1"/>
        </w:rPr>
        <w:t xml:space="preserve">It was concluded that this reduction in cell metabolic activity was responsible for the observed reduction in gel contraction, rather than the anti-contraction effects of the compound. Whilst this observation was disappointing, it is possible that application of the prodrugs </w:t>
      </w:r>
      <w:r w:rsidRPr="00B97485">
        <w:rPr>
          <w:i/>
          <w:color w:val="000000" w:themeColor="text1"/>
        </w:rPr>
        <w:t>in vivo</w:t>
      </w:r>
      <w:r>
        <w:rPr>
          <w:color w:val="000000" w:themeColor="text1"/>
        </w:rPr>
        <w:t xml:space="preserve"> may provide different effects due to the metabolism of toxic substituents to less harmful metabolites. </w:t>
      </w:r>
    </w:p>
    <w:p w14:paraId="39112AB0" w14:textId="09302E5F" w:rsidR="004C37DC" w:rsidRPr="004E1CDA" w:rsidRDefault="004C37DC" w:rsidP="004C37DC">
      <w:pPr>
        <w:rPr>
          <w:color w:val="000000" w:themeColor="text1"/>
        </w:rPr>
      </w:pPr>
      <w:r>
        <w:rPr>
          <w:color w:val="000000" w:themeColor="text1"/>
        </w:rPr>
        <w:lastRenderedPageBreak/>
        <w:t xml:space="preserve">A </w:t>
      </w:r>
      <w:r w:rsidRPr="00811343">
        <w:rPr>
          <w:color w:val="000000" w:themeColor="text1"/>
        </w:rPr>
        <w:t xml:space="preserve">key observation from this body of work was the lack of up-to-date knowledge regarding the transport of </w:t>
      </w:r>
      <w:r w:rsidRPr="00811343">
        <w:rPr>
          <w:color w:val="000000" w:themeColor="text1"/>
        </w:rPr>
        <w:sym w:font="Symbol" w:char="F062"/>
      </w:r>
      <w:r w:rsidRPr="00811343">
        <w:rPr>
          <w:color w:val="000000" w:themeColor="text1"/>
        </w:rPr>
        <w:noBreakHyphen/>
        <w:t xml:space="preserve">APN into intact human skin. The majority of studies investigating the topical use of </w:t>
      </w:r>
      <w:r w:rsidRPr="00811343">
        <w:rPr>
          <w:color w:val="000000" w:themeColor="text1"/>
        </w:rPr>
        <w:sym w:font="Symbol" w:char="F062"/>
      </w:r>
      <w:r w:rsidRPr="00811343">
        <w:rPr>
          <w:color w:val="000000" w:themeColor="text1"/>
        </w:rPr>
        <w:noBreakHyphen/>
        <w:t xml:space="preserve">APN were carried out over 3 decades ago and studies </w:t>
      </w:r>
      <w:r>
        <w:rPr>
          <w:color w:val="000000" w:themeColor="text1"/>
        </w:rPr>
        <w:t xml:space="preserve">typically </w:t>
      </w:r>
      <w:r w:rsidRPr="00811343">
        <w:rPr>
          <w:color w:val="000000" w:themeColor="text1"/>
        </w:rPr>
        <w:t xml:space="preserve">varied between using the free base of </w:t>
      </w:r>
      <w:r w:rsidRPr="00811343">
        <w:rPr>
          <w:color w:val="000000" w:themeColor="text1"/>
        </w:rPr>
        <w:sym w:font="Symbol" w:char="F062"/>
      </w:r>
      <w:r w:rsidRPr="00811343">
        <w:rPr>
          <w:color w:val="000000" w:themeColor="text1"/>
        </w:rPr>
        <w:noBreakHyphen/>
        <w:t>APN and the fumarate salt, showing conflicting evidence for both.</w:t>
      </w:r>
      <w:r>
        <w:rPr>
          <w:color w:val="000000" w:themeColor="text1"/>
        </w:rPr>
        <w:fldChar w:fldCharType="begin" w:fldLock="1"/>
      </w:r>
      <w:r w:rsidR="0085447D">
        <w:rPr>
          <w:color w:val="000000" w:themeColor="text1"/>
        </w:rPr>
        <w:instrText>ADDIN CSL_CITATION {"citationItems":[{"id":"ITEM-1","itemData":{"DOI":"10.1016/0024-3205(81)90711-6","ISSN":"00243205","abstract":"Application of14CB-aminopropionitrile (BAPN) to the skin of rats followed by measurement of urinary radioactivity was used for comparative studies of the absorption of14C-BAPN fumarate and14C-BAPN free base (F.B.).14C-BAPN (F.B.) was absorbed more rapidly and to a greater extent than the fumarate salt. Six hours after topical administration of14C-BAPN (F.B.) only traces of14C were found on the skin and less than 1% of the dose within the skin section suggesting rapid drug absorption. Lysyl oxidase activity of sponge granuloma tissue was significantly inhibited by a single small dose (20 μl) of BAPN (F.B.) applied to the intact skin over the implant. Chronic application of twice daily 5 μl doses of BAPN (F.B.) significantly inhibited lysyl oxidase of the granuloma tissue underlying the area of topical application as well as that on the opposite side not receiving BAPN. Extractibility of collagen was significantly increased only in the granuloma tissue under the skin receiving BAPN. © 1981.","author":[{"dropping-particle":"","family":"Fleisher","given":"J. H.","non-dropping-particle":"","parse-names":false,"suffix":""},{"dropping-particle":"","family":"Misiorowski","given":"R.","non-dropping-particle":"","parse-names":false,"suffix":""},{"dropping-particle":"","family":"Owen","given":"J. A.","non-dropping-particle":"","parse-names":false,"suffix":""},{"dropping-particle":"","family":"Chvapil","given":"M.","non-dropping-particle":"","parse-names":false,"suffix":""}],"container-title":"Life Sciences","id":"ITEM-1","issue":"24","issued":{"date-parts":[["1981"]]},"page":"2553-2560","title":"Topical application of B-aminopropionitrile","type":"article-journal","volume":"29"},"uris":["http://www.mendeley.com/documents/?uuid=7b5b7807-cc14-4440-9443-e0c10665effd"]}],"mendeley":{"formattedCitation":"&lt;sup&gt;125&lt;/sup&gt;","plainTextFormattedCitation":"125","previouslyFormattedCitation":"&lt;sup&gt;125&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125</w:t>
      </w:r>
      <w:r>
        <w:rPr>
          <w:color w:val="000000" w:themeColor="text1"/>
        </w:rPr>
        <w:fldChar w:fldCharType="end"/>
      </w:r>
      <w:r w:rsidRPr="00AD2863">
        <w:rPr>
          <w:color w:val="000000" w:themeColor="text1"/>
          <w:vertAlign w:val="superscript"/>
        </w:rPr>
        <w:t>,</w:t>
      </w:r>
      <w:r>
        <w:rPr>
          <w:color w:val="000000" w:themeColor="text1"/>
        </w:rPr>
        <w:fldChar w:fldCharType="begin" w:fldLock="1"/>
      </w:r>
      <w:r w:rsidR="0085447D">
        <w:rPr>
          <w:color w:val="000000" w:themeColor="text1"/>
        </w:rPr>
        <w:instrText>ADDIN CSL_CITATION {"citationItems":[{"id":"ITEM-1","itemData":{"abstract":"A lathyrogen, [C’4]aminopropionitrile @APN), was administered to 34 rats either in K-Y jelly or saline ve- hicles onto intact shaven skin or onto a healed splinted deep excision wound. The dynamics of b-APN transport and content in the skin or repair tissue was observed after 2, 5, 8, and 24 hr of topical administration. The repair tissue quickly absorbed the lathyrogen and reached maximum at the 2-hr sampling. The content of BAPN in the repair tissue was twice as high as that in K-Y jelly vehicle and remained high and stable for at least 24 hr only when /3APN was administered through a saline vehicle. The transport of BAPN through intact skin, irrespective of the vehicle tested, was slow and continuously increased. The study showed that almost 20% of the @APN administered onto the wounded skin area was transported into the repair tissue within 2 hr. We suggest that, due to the absence of epidermal stratum corneum from the repair tissue, drugs, such as BAPN, penetrate","author":[{"dropping-particle":"","family":"Gibeault","given":"David J","non-dropping-particle":"","parse-names":false,"suffix":""},{"dropping-particle":"","family":"Cravens","given":"Robert B","non-dropping-particle":"","parse-names":false,"suffix":""},{"dropping-particle":"","family":"Chvapil","given":"Milos","non-dropping-particle":"","parse-names":false,"suffix":""}],"container-title":"Journal of Surgical Research","id":"ITEM-1","issued":{"date-parts":[["1989"]]},"page":"155-158","title":"Transport of beta-Aminopropionitrile through Intact Skin or Scar Tissue","type":"article-journal","volume":"47"},"uris":["http://www.mendeley.com/documents/?uuid=599561f1-aa8c-4fbe-9527-7c1c2ba0be34"]}],"mendeley":{"formattedCitation":"&lt;sup&gt;123&lt;/sup&gt;","plainTextFormattedCitation":"123","previouslyFormattedCitation":"&lt;sup&gt;123&lt;/sup&gt;"},"properties":{"noteIndex":0},"schema":"https://github.com/citation-style-language/schema/raw/master/csl-citation.json"}</w:instrText>
      </w:r>
      <w:r>
        <w:rPr>
          <w:color w:val="000000" w:themeColor="text1"/>
        </w:rPr>
        <w:fldChar w:fldCharType="separate"/>
      </w:r>
      <w:r w:rsidR="00B02713" w:rsidRPr="00B02713">
        <w:rPr>
          <w:noProof/>
          <w:color w:val="000000" w:themeColor="text1"/>
          <w:vertAlign w:val="superscript"/>
        </w:rPr>
        <w:t>123</w:t>
      </w:r>
      <w:r>
        <w:rPr>
          <w:color w:val="000000" w:themeColor="text1"/>
        </w:rPr>
        <w:fldChar w:fldCharType="end"/>
      </w:r>
      <w:r w:rsidRPr="00811343">
        <w:rPr>
          <w:color w:val="000000" w:themeColor="text1"/>
        </w:rPr>
        <w:t xml:space="preserve"> In the years since, analytical techniques have developed enormously to allow a much greater understanding of skin physiology and topical </w:t>
      </w:r>
      <w:r>
        <w:rPr>
          <w:color w:val="000000" w:themeColor="text1"/>
        </w:rPr>
        <w:t xml:space="preserve">drug </w:t>
      </w:r>
      <w:r w:rsidRPr="00811343">
        <w:rPr>
          <w:color w:val="000000" w:themeColor="text1"/>
        </w:rPr>
        <w:t xml:space="preserve">delivery. Future work should focus on understanding the transport of </w:t>
      </w:r>
      <w:r w:rsidRPr="00811343">
        <w:rPr>
          <w:color w:val="000000" w:themeColor="text1"/>
        </w:rPr>
        <w:sym w:font="Symbol" w:char="F062"/>
      </w:r>
      <w:r w:rsidRPr="00811343">
        <w:rPr>
          <w:color w:val="000000" w:themeColor="text1"/>
        </w:rPr>
        <w:noBreakHyphen/>
        <w:t xml:space="preserve">APN </w:t>
      </w:r>
      <w:r>
        <w:rPr>
          <w:color w:val="000000" w:themeColor="text1"/>
        </w:rPr>
        <w:t>into</w:t>
      </w:r>
      <w:r w:rsidRPr="00811343">
        <w:rPr>
          <w:color w:val="000000" w:themeColor="text1"/>
        </w:rPr>
        <w:t xml:space="preserve"> the skin and its subsequent metabolism, to understand whether </w:t>
      </w:r>
      <w:r>
        <w:rPr>
          <w:color w:val="000000" w:themeColor="text1"/>
        </w:rPr>
        <w:t xml:space="preserve">prodrugs are necessary for the topical delivery of </w:t>
      </w:r>
      <w:r w:rsidRPr="00811343">
        <w:rPr>
          <w:color w:val="000000" w:themeColor="text1"/>
        </w:rPr>
        <w:sym w:font="Symbol" w:char="F062"/>
      </w:r>
      <w:r w:rsidRPr="00811343">
        <w:rPr>
          <w:color w:val="000000" w:themeColor="text1"/>
        </w:rPr>
        <w:noBreakHyphen/>
        <w:t>APN</w:t>
      </w:r>
      <w:r>
        <w:rPr>
          <w:color w:val="000000" w:themeColor="text1"/>
        </w:rPr>
        <w:t xml:space="preserve">. </w:t>
      </w:r>
      <w:r w:rsidRPr="00CC457E">
        <w:rPr>
          <w:color w:val="000000" w:themeColor="text1"/>
        </w:rPr>
        <w:t xml:space="preserve">During this PhD, work </w:t>
      </w:r>
      <w:r>
        <w:rPr>
          <w:color w:val="000000" w:themeColor="text1"/>
        </w:rPr>
        <w:t>was started</w:t>
      </w:r>
      <w:r w:rsidRPr="00CC457E">
        <w:rPr>
          <w:color w:val="000000" w:themeColor="text1"/>
        </w:rPr>
        <w:t xml:space="preserve"> </w:t>
      </w:r>
      <w:r>
        <w:rPr>
          <w:color w:val="000000" w:themeColor="text1"/>
        </w:rPr>
        <w:t xml:space="preserve">to determine the transport of </w:t>
      </w:r>
      <w:r>
        <w:rPr>
          <w:color w:val="000000" w:themeColor="text1"/>
        </w:rPr>
        <w:sym w:font="Symbol" w:char="F062"/>
      </w:r>
      <w:r>
        <w:rPr>
          <w:color w:val="000000" w:themeColor="text1"/>
        </w:rPr>
        <w:noBreakHyphen/>
        <w:t xml:space="preserve">APN fumarate salt and compound </w:t>
      </w:r>
      <w:r w:rsidRPr="00BB7468">
        <w:rPr>
          <w:b/>
          <w:color w:val="000000" w:themeColor="text1"/>
        </w:rPr>
        <w:t>1b</w:t>
      </w:r>
      <w:r>
        <w:rPr>
          <w:color w:val="000000" w:themeColor="text1"/>
        </w:rPr>
        <w:t xml:space="preserve"> through </w:t>
      </w:r>
      <w:r w:rsidRPr="004B0592">
        <w:rPr>
          <w:i/>
          <w:color w:val="000000" w:themeColor="text1"/>
        </w:rPr>
        <w:t>ex vivo</w:t>
      </w:r>
      <w:r>
        <w:rPr>
          <w:color w:val="000000" w:themeColor="text1"/>
        </w:rPr>
        <w:t xml:space="preserve"> human skin, using ATR-FTIR as a detection method.</w:t>
      </w:r>
      <w:r w:rsidRPr="004E1CDA">
        <w:rPr>
          <w:color w:val="000000" w:themeColor="text1"/>
        </w:rPr>
        <w:t xml:space="preserve"> </w:t>
      </w:r>
      <w:r>
        <w:rPr>
          <w:color w:val="000000" w:themeColor="text1"/>
        </w:rPr>
        <w:t>Skin was obtained from elective surgeries performed less than 48 hours prior to the experiment. Initial scoping experiments were conducted where the compounds were applied to the epidermal surface of the skin and ATR</w:t>
      </w:r>
      <w:r>
        <w:rPr>
          <w:color w:val="000000" w:themeColor="text1"/>
        </w:rPr>
        <w:noBreakHyphen/>
        <w:t>FTIR spectra were recorded</w:t>
      </w:r>
      <w:r w:rsidRPr="004E1CDA">
        <w:rPr>
          <w:color w:val="000000" w:themeColor="text1"/>
        </w:rPr>
        <w:t xml:space="preserve"> </w:t>
      </w:r>
      <w:r>
        <w:rPr>
          <w:color w:val="000000" w:themeColor="text1"/>
        </w:rPr>
        <w:t>every 2 minutes for 1 hour. The aim of these scoping experiments was to determine key parameters such as penetration time and compound concentration. However, this work was severely hindered by</w:t>
      </w:r>
      <w:r w:rsidRPr="004E1CDA">
        <w:rPr>
          <w:color w:val="000000" w:themeColor="text1"/>
        </w:rPr>
        <w:t xml:space="preserve"> </w:t>
      </w:r>
      <w:r>
        <w:rPr>
          <w:color w:val="000000" w:themeColor="text1"/>
        </w:rPr>
        <w:t xml:space="preserve">issues with the availability of the </w:t>
      </w:r>
      <w:r w:rsidRPr="00BE51AD">
        <w:rPr>
          <w:i/>
          <w:color w:val="000000" w:themeColor="text1"/>
        </w:rPr>
        <w:t>ex vivo</w:t>
      </w:r>
      <w:r>
        <w:rPr>
          <w:color w:val="000000" w:themeColor="text1"/>
        </w:rPr>
        <w:t xml:space="preserve"> skin. Attempts to use </w:t>
      </w:r>
      <w:r w:rsidRPr="004E1CDA">
        <w:rPr>
          <w:color w:val="000000" w:themeColor="text1"/>
        </w:rPr>
        <w:t xml:space="preserve">Euroskin for this work were unsuccessful due to poor </w:t>
      </w:r>
      <w:r>
        <w:rPr>
          <w:color w:val="000000" w:themeColor="text1"/>
        </w:rPr>
        <w:t>attachment and retention</w:t>
      </w:r>
      <w:r w:rsidRPr="004E1CDA">
        <w:rPr>
          <w:color w:val="000000" w:themeColor="text1"/>
        </w:rPr>
        <w:t xml:space="preserve"> of the Euroskin epidermis following long-term</w:t>
      </w:r>
      <w:r>
        <w:rPr>
          <w:color w:val="000000" w:themeColor="text1"/>
        </w:rPr>
        <w:t xml:space="preserve"> storage in 85 % glycerol solution. The presence of the epidermis is essential as it contains the stratum corneum, which has been identified as the key barrier for drug transport through skin. To circumvent the low availability of </w:t>
      </w:r>
      <w:r w:rsidRPr="00A67F89">
        <w:rPr>
          <w:i/>
          <w:color w:val="000000" w:themeColor="text1"/>
        </w:rPr>
        <w:t>ex vivo</w:t>
      </w:r>
      <w:r>
        <w:rPr>
          <w:color w:val="000000" w:themeColor="text1"/>
        </w:rPr>
        <w:t xml:space="preserve"> human skin, an alternative biological membrane such as porcine skin could be used, which has been shown to be an acceptable replacement for </w:t>
      </w:r>
      <w:r w:rsidRPr="00A67F89">
        <w:rPr>
          <w:i/>
          <w:color w:val="000000" w:themeColor="text1"/>
        </w:rPr>
        <w:t>in vitro</w:t>
      </w:r>
      <w:r>
        <w:rPr>
          <w:color w:val="000000" w:themeColor="text1"/>
        </w:rPr>
        <w:t xml:space="preserve"> skin penetration studies.</w:t>
      </w:r>
      <w:r>
        <w:rPr>
          <w:color w:val="000000" w:themeColor="text1"/>
        </w:rPr>
        <w:fldChar w:fldCharType="begin" w:fldLock="1"/>
      </w:r>
      <w:r w:rsidR="00DB1BCE">
        <w:rPr>
          <w:color w:val="000000" w:themeColor="text1"/>
        </w:rPr>
        <w:instrText>ADDIN CSL_CITATION {"citationItems":[{"id":"ITEM-1","itemData":{"DOI":"10.1002/jps.10220","ISBN":"0022-3549 (Print)\\n0022-3549 (Linking)","ISSN":"00223549","PMID":"12379922","abstract":"The goal of this work was to establish, using biophysical characterization, that porcine ear skin in vitro is a valid model for its human counterpart. Specifically, stratum corneum (SC) barrier function was evaluated during its progressive removal by adhesive tape-stripping using the techniques of transepidermal water loss (TEWL) and impedance spectroscopy. TEWL increased slowly at first and then more rapidly with the degree of SC impairment. In contrast, low-frequency skin impedance declined exponentially as a function of progressive SC removal. The methods provide complementary and correlated information about SC barrier function. Biophysical parameters, including the diffusivity and permeability coefficient of water across the SC, and the thickness of the barrier were determined from the TEWL data using Fick's first law of diffusion. Furthermore, an ionic partition coefficient-mobility product was estimated from the skin impedance measurements. Comparison of the results with those previously reported for human skin in vivo strongly supports the validity of the porcine membrane as an in vitro model.","author":[{"dropping-particle":"","family":"Sekkat","given":"N.","non-dropping-particle":"","parse-names":false,"suffix":""},{"dropping-particle":"","family":"Kalia","given":"Y. N.","non-dropping-particle":"","parse-names":false,"suffix":""},{"dropping-particle":"","family":"Guy","given":"R. H.","non-dropping-particle":"","parse-names":false,"suffix":""}],"container-title":"Journal of Pharmaceutical Sciences","id":"ITEM-1","issue":"11","issued":{"date-parts":[["2002"]]},"page":"2376-2381","publisher":"Elsevier Masson SAS","title":"Biophysical study of porcine ear skin in vitro and its comparison to human skin in vivo","type":"article-journal","volume":"91"},"uris":["http://www.mendeley.com/documents/?uuid=886372c4-c672-4276-8773-4f7874d0714c"]}],"mendeley":{"formattedCitation":"&lt;sup&gt;266&lt;/sup&gt;","plainTextFormattedCitation":"266","previouslyFormattedCitation":"&lt;sup&gt;265&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266</w:t>
      </w:r>
      <w:r>
        <w:rPr>
          <w:color w:val="000000" w:themeColor="text1"/>
        </w:rPr>
        <w:fldChar w:fldCharType="end"/>
      </w:r>
      <w:r>
        <w:rPr>
          <w:color w:val="000000" w:themeColor="text1"/>
        </w:rPr>
        <w:t xml:space="preserve"> </w:t>
      </w:r>
    </w:p>
    <w:p w14:paraId="629F77E1" w14:textId="26B8693C" w:rsidR="004C37DC" w:rsidRDefault="004C37DC" w:rsidP="004C37DC">
      <w:pPr>
        <w:rPr>
          <w:color w:val="000000" w:themeColor="text1"/>
        </w:rPr>
      </w:pPr>
      <w:r w:rsidRPr="000D064C">
        <w:rPr>
          <w:color w:val="000000" w:themeColor="text1"/>
        </w:rPr>
        <w:t>Improvements in primary burn care have led to an increase in patients surviving burn injuries that were previously considered to be fatal.</w:t>
      </w:r>
      <w:r w:rsidRPr="000D064C">
        <w:rPr>
          <w:color w:val="000000" w:themeColor="text1"/>
        </w:rPr>
        <w:fldChar w:fldCharType="begin" w:fldLock="1"/>
      </w:r>
      <w:r w:rsidR="0085447D">
        <w:rPr>
          <w:color w:val="000000" w:themeColor="text1"/>
        </w:rPr>
        <w:instrText>ADDIN CSL_CITATION {"citationItems":[{"id":"ITEM-1","itemData":{"DOI":"10.1016/S0140-6736(16)31406-4","ISBN":"01406736","ISSN":"1474547X","PMID":"27707499","abstract":"Improvements in acute burn care have enabled patients to survive massive burns that would have once been fatal. Now up to 70% of patients develop hypertrophic scars after burns. The functional and psychosocial sequelae remain a major rehabilitative challenge, decreasing quality of life and delaying reintegration into society. Approaches to optimise healing potential of burn wounds use targeted wound care and surgery to minimise the development of hypertrophic scarring. Such approaches often fail, and modulation of the established scar is continued although the optimal indication, timing, and combination of therapies have yet to be established. The need for novel treatments is paramount, and future efforts to improve outcomes and quality of life should include optimisation of wound healing to attenuate or prevent hypertrophic scarring, well-designed trials to confirm treatment efficacy, and further elucidation of molecular mechanisms to allow development of new preventive and therapeutic strategies.","author":[{"dropping-particle":"","family":"Finnerty","given":"Celeste C.","non-dropping-particle":"","parse-names":false,"suffix":""},{"dropping-particle":"","family":"Jeschke","given":"Marc G.","non-dropping-particle":"","parse-names":false,"suffix":""},{"dropping-particle":"","family":"Branski","given":"Ludwik K.","non-dropping-particle":"","parse-names":false,"suffix":""},{"dropping-particle":"","family":"Barret","given":"Juan P.","non-dropping-particle":"","parse-names":false,"suffix":""},{"dropping-particle":"","family":"Dziewulski","given":"Peter","non-dropping-particle":"","parse-names":false,"suffix":""},{"dropping-particle":"","family":"Herndon","given":"David N.","non-dropping-particle":"","parse-names":false,"suffix":""}],"container-title":"The Lancet","id":"ITEM-1","issued":{"date-parts":[["2016"]]},"page":"1427-1436","publisher":"Elsevier Ltd","title":"Hypertrophic scarring: the greatest unmet challenge after burn injury","type":"article-journal","volume":"388"},"uris":["http://www.mendeley.com/documents/?uuid=9052f85f-08c4-4657-a9e4-32c7de28ecd1"]}],"mendeley":{"formattedCitation":"&lt;sup&gt;9&lt;/sup&gt;","plainTextFormattedCitation":"9","previouslyFormattedCitation":"&lt;sup&gt;9&lt;/sup&gt;"},"properties":{"noteIndex":0},"schema":"https://github.com/citation-style-language/schema/raw/master/csl-citation.json"}</w:instrText>
      </w:r>
      <w:r w:rsidRPr="000D064C">
        <w:rPr>
          <w:color w:val="000000" w:themeColor="text1"/>
        </w:rPr>
        <w:fldChar w:fldCharType="separate"/>
      </w:r>
      <w:r w:rsidR="00B02713" w:rsidRPr="00B02713">
        <w:rPr>
          <w:noProof/>
          <w:color w:val="000000" w:themeColor="text1"/>
          <w:vertAlign w:val="superscript"/>
        </w:rPr>
        <w:t>9</w:t>
      </w:r>
      <w:r w:rsidRPr="000D064C">
        <w:rPr>
          <w:color w:val="000000" w:themeColor="text1"/>
        </w:rPr>
        <w:fldChar w:fldCharType="end"/>
      </w:r>
      <w:r w:rsidRPr="000D064C">
        <w:rPr>
          <w:color w:val="000000" w:themeColor="text1"/>
        </w:rPr>
        <w:t xml:space="preserve"> As a result, more patients are living with the consequences of severe burn injuries, such as hypertrophic scarring and </w:t>
      </w:r>
      <w:r>
        <w:rPr>
          <w:color w:val="000000" w:themeColor="text1"/>
        </w:rPr>
        <w:t xml:space="preserve">scar </w:t>
      </w:r>
      <w:r w:rsidRPr="000D064C">
        <w:rPr>
          <w:color w:val="000000" w:themeColor="text1"/>
        </w:rPr>
        <w:t>contracture. Despite this increase,</w:t>
      </w:r>
      <w:r>
        <w:rPr>
          <w:color w:val="000000" w:themeColor="text1"/>
        </w:rPr>
        <w:t xml:space="preserve"> there have been very few advances in the prevention and treatment of burn scar contractures in the last half-century, </w:t>
      </w:r>
      <w:r w:rsidRPr="000D064C">
        <w:rPr>
          <w:color w:val="000000" w:themeColor="text1"/>
        </w:rPr>
        <w:t xml:space="preserve">with clinicians opting for compression garments and surgical reconstruction. </w:t>
      </w:r>
      <w:r>
        <w:rPr>
          <w:color w:val="000000" w:themeColor="text1"/>
        </w:rPr>
        <w:t xml:space="preserve">Consequently, there is an unmet clinical need for </w:t>
      </w:r>
      <w:r w:rsidRPr="000D064C">
        <w:rPr>
          <w:color w:val="000000" w:themeColor="text1"/>
        </w:rPr>
        <w:t xml:space="preserve">new pharmacological agents </w:t>
      </w:r>
      <w:r>
        <w:rPr>
          <w:color w:val="000000" w:themeColor="text1"/>
        </w:rPr>
        <w:t>that target the cellular processes driving contracture.</w:t>
      </w:r>
      <w:r>
        <w:rPr>
          <w:color w:val="000000" w:themeColor="text1"/>
        </w:rPr>
        <w:fldChar w:fldCharType="begin" w:fldLock="1"/>
      </w:r>
      <w:r w:rsidR="00DB1BCE">
        <w:rPr>
          <w:color w:val="000000" w:themeColor="text1"/>
        </w:rPr>
        <w:instrText>ADDIN CSL_CITATION {"citationItems":[{"id":"ITEM-1","itemData":{"DOI":"10.1016/j.addr.2017.07.017","ISSN":"18728294","PMID":"28757325","abstract":"In recent decades, there have been tremendous improvements in burn care that have allowed patients to survive severe burn injuries that were once fatal. However, a major limitation of burn care currently is the development of hypertrophic scars in approximately 70% of patients. This significantly decreases the quality of life for patients due to the physical and psychosocial symptoms associated with scarring. Current approaches to manage scarring include surgical techniques and non-surgical methods such as laser therapy, steroid injections, and compression therapy. These treatments are limited in their effectiveness and regularly fail to manage symptoms. As a result, the development of novel treatments that aim to improve outcomes and quality of life is imperative. Drug delivery that targets the molecular cascades of wound healing to attenuate or prevent hypertrophic scarring is a promising approach that has therapeutic potential. In this review, we discuss current treatments for scar management after burn injury, and how drug delivery targeting molecular signaling can lead to new therapeutic strategies.","author":[{"dropping-particle":"","family":"Amini-Nik","given":"Saeid","non-dropping-particle":"","parse-names":false,"suffix":""},{"dropping-particle":"","family":"Yousuf","given":"Yusef","non-dropping-particle":"","parse-names":false,"suffix":""},{"dropping-particle":"","family":"Jeschke","given":"Marc G.","non-dropping-particle":"","parse-names":false,"suffix":""}],"container-title":"Advanced Drug Delivery Reviews","id":"ITEM-1","issued":{"date-parts":[["2018"]]},"page":"135-154","publisher":"Elsevier B.V.","title":"Scar management in burn injuries using drug delivery and molecular signaling: Current treatments and future directions","type":"article-journal","volume":"123"},"uris":["http://www.mendeley.com/documents/?uuid=cfd21b4d-f1c7-45f0-9a50-37b4030caf95"]}],"mendeley":{"formattedCitation":"&lt;sup&gt;267&lt;/sup&gt;","plainTextFormattedCitation":"267","previouslyFormattedCitation":"&lt;sup&gt;266&lt;/sup&gt;"},"properties":{"noteIndex":0},"schema":"https://github.com/citation-style-language/schema/raw/master/csl-citation.json"}</w:instrText>
      </w:r>
      <w:r>
        <w:rPr>
          <w:color w:val="000000" w:themeColor="text1"/>
        </w:rPr>
        <w:fldChar w:fldCharType="separate"/>
      </w:r>
      <w:r w:rsidR="00DB1BCE" w:rsidRPr="00DB1BCE">
        <w:rPr>
          <w:noProof/>
          <w:color w:val="000000" w:themeColor="text1"/>
          <w:vertAlign w:val="superscript"/>
        </w:rPr>
        <w:t>267</w:t>
      </w:r>
      <w:r>
        <w:rPr>
          <w:color w:val="000000" w:themeColor="text1"/>
        </w:rPr>
        <w:fldChar w:fldCharType="end"/>
      </w:r>
      <w:r>
        <w:rPr>
          <w:color w:val="000000" w:themeColor="text1"/>
        </w:rPr>
        <w:t xml:space="preserve"> The work presented in this thesis has demonstrated a step towards new pharmacological treatments and highlighted areas that will be </w:t>
      </w:r>
      <w:r>
        <w:rPr>
          <w:color w:val="000000" w:themeColor="text1"/>
        </w:rPr>
        <w:lastRenderedPageBreak/>
        <w:t>essential to providing further understanding on</w:t>
      </w:r>
      <w:r w:rsidRPr="00561B4B">
        <w:rPr>
          <w:color w:val="000000" w:themeColor="text1"/>
        </w:rPr>
        <w:t xml:space="preserve"> </w:t>
      </w:r>
      <w:r>
        <w:rPr>
          <w:color w:val="000000" w:themeColor="text1"/>
        </w:rPr>
        <w:t xml:space="preserve">the mechanism of burn scar contractures.  </w:t>
      </w:r>
    </w:p>
    <w:p w14:paraId="249C39DB" w14:textId="77777777" w:rsidR="00534C00" w:rsidRDefault="00534C00">
      <w:pPr>
        <w:spacing w:after="0" w:line="240" w:lineRule="auto"/>
        <w:jc w:val="left"/>
        <w:rPr>
          <w:rFonts w:eastAsiaTheme="majorEastAsia" w:cstheme="majorBidi"/>
          <w:b/>
          <w:color w:val="000000" w:themeColor="text1"/>
          <w:sz w:val="28"/>
          <w:szCs w:val="26"/>
        </w:rPr>
      </w:pPr>
      <w:r>
        <w:br w:type="page"/>
      </w:r>
    </w:p>
    <w:p w14:paraId="1DD049FF" w14:textId="77777777" w:rsidR="005F7AA3" w:rsidRDefault="005F7AA3">
      <w:pPr>
        <w:spacing w:after="0" w:line="240" w:lineRule="auto"/>
        <w:jc w:val="left"/>
        <w:rPr>
          <w:rFonts w:eastAsiaTheme="majorEastAsia" w:cstheme="majorBidi"/>
          <w:b/>
          <w:color w:val="000000" w:themeColor="text1"/>
          <w:sz w:val="36"/>
          <w:szCs w:val="32"/>
          <w:highlight w:val="lightGray"/>
        </w:rPr>
      </w:pPr>
      <w:r>
        <w:rPr>
          <w:highlight w:val="lightGray"/>
        </w:rPr>
        <w:lastRenderedPageBreak/>
        <w:br w:type="page"/>
      </w:r>
    </w:p>
    <w:p w14:paraId="1AC6D9B1" w14:textId="764DB2C6" w:rsidR="004C37DC" w:rsidRPr="00467250" w:rsidRDefault="004C37DC" w:rsidP="00467250">
      <w:pPr>
        <w:pStyle w:val="Heading1"/>
      </w:pPr>
      <w:bookmarkStart w:id="269" w:name="_Toc2451064"/>
      <w:r w:rsidRPr="00467250">
        <w:lastRenderedPageBreak/>
        <w:t>References</w:t>
      </w:r>
      <w:bookmarkEnd w:id="269"/>
    </w:p>
    <w:p w14:paraId="05F2647D" w14:textId="1235CE7A" w:rsidR="00DB1BCE" w:rsidRPr="00DB1BCE" w:rsidRDefault="004C37DC" w:rsidP="00DB1BCE">
      <w:pPr>
        <w:widowControl w:val="0"/>
        <w:autoSpaceDE w:val="0"/>
        <w:autoSpaceDN w:val="0"/>
        <w:adjustRightInd w:val="0"/>
        <w:spacing w:line="240" w:lineRule="auto"/>
        <w:ind w:left="640" w:hanging="640"/>
        <w:rPr>
          <w:rFonts w:cs="Times New Roman"/>
          <w:noProof/>
          <w:lang w:val="en-US"/>
        </w:rPr>
      </w:pPr>
      <w:r>
        <w:fldChar w:fldCharType="begin" w:fldLock="1"/>
      </w:r>
      <w:r>
        <w:instrText xml:space="preserve">ADDIN Mendeley Bibliography CSL_BIBLIOGRAPHY </w:instrText>
      </w:r>
      <w:r>
        <w:fldChar w:fldCharType="separate"/>
      </w:r>
      <w:r w:rsidR="00DB1BCE" w:rsidRPr="00DB1BCE">
        <w:rPr>
          <w:rFonts w:cs="Times New Roman"/>
          <w:noProof/>
          <w:lang w:val="en-US"/>
        </w:rPr>
        <w:t>1</w:t>
      </w:r>
      <w:r w:rsidR="00DB1BCE" w:rsidRPr="00DB1BCE">
        <w:rPr>
          <w:rFonts w:cs="Times New Roman"/>
          <w:noProof/>
          <w:lang w:val="en-US"/>
        </w:rPr>
        <w:tab/>
        <w:t xml:space="preserve">L. H. Evers, D. Bhavsar and P. Mailänder, </w:t>
      </w:r>
      <w:r w:rsidR="00DB1BCE" w:rsidRPr="00DB1BCE">
        <w:rPr>
          <w:rFonts w:cs="Times New Roman"/>
          <w:i/>
          <w:iCs/>
          <w:noProof/>
          <w:lang w:val="en-US"/>
        </w:rPr>
        <w:t>Exp. Dermatol.</w:t>
      </w:r>
      <w:r w:rsidR="00DB1BCE" w:rsidRPr="00DB1BCE">
        <w:rPr>
          <w:rFonts w:cs="Times New Roman"/>
          <w:noProof/>
          <w:lang w:val="en-US"/>
        </w:rPr>
        <w:t>, 2010, 19, 777–783.</w:t>
      </w:r>
    </w:p>
    <w:p w14:paraId="3F05B4B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w:t>
      </w:r>
      <w:r w:rsidRPr="00DB1BCE">
        <w:rPr>
          <w:rFonts w:cs="Times New Roman"/>
          <w:noProof/>
          <w:lang w:val="en-US"/>
        </w:rPr>
        <w:tab/>
        <w:t xml:space="preserve">A. M. Kemp, S. Jones, Z. Lawson and S. A. Maguire, </w:t>
      </w:r>
      <w:r w:rsidRPr="00DB1BCE">
        <w:rPr>
          <w:rFonts w:cs="Times New Roman"/>
          <w:i/>
          <w:iCs/>
          <w:noProof/>
          <w:lang w:val="en-US"/>
        </w:rPr>
        <w:t>Arch. Dis. Child.</w:t>
      </w:r>
      <w:r w:rsidRPr="00DB1BCE">
        <w:rPr>
          <w:rFonts w:cs="Times New Roman"/>
          <w:noProof/>
          <w:lang w:val="en-US"/>
        </w:rPr>
        <w:t xml:space="preserve">, 2014, </w:t>
      </w:r>
      <w:r w:rsidRPr="00DB1BCE">
        <w:rPr>
          <w:rFonts w:cs="Times New Roman"/>
          <w:b/>
          <w:bCs/>
          <w:noProof/>
          <w:lang w:val="en-US"/>
        </w:rPr>
        <w:t>99</w:t>
      </w:r>
      <w:r w:rsidRPr="00DB1BCE">
        <w:rPr>
          <w:rFonts w:cs="Times New Roman"/>
          <w:noProof/>
          <w:lang w:val="en-US"/>
        </w:rPr>
        <w:t>, 316–21.</w:t>
      </w:r>
    </w:p>
    <w:p w14:paraId="58F3089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w:t>
      </w:r>
      <w:r w:rsidRPr="00DB1BCE">
        <w:rPr>
          <w:rFonts w:cs="Times New Roman"/>
          <w:noProof/>
          <w:lang w:val="en-US"/>
        </w:rPr>
        <w:tab/>
        <w:t xml:space="preserve">F. B. Maciel, R. DeRossi, T. J. C. Módolo, R. C. Pagliosa, C. R. J. Leal and A. A. S. T. Delben, </w:t>
      </w:r>
      <w:r w:rsidRPr="00DB1BCE">
        <w:rPr>
          <w:rFonts w:cs="Times New Roman"/>
          <w:i/>
          <w:iCs/>
          <w:noProof/>
          <w:lang w:val="en-US"/>
        </w:rPr>
        <w:t>Burns</w:t>
      </w:r>
      <w:r w:rsidRPr="00DB1BCE">
        <w:rPr>
          <w:rFonts w:cs="Times New Roman"/>
          <w:noProof/>
          <w:lang w:val="en-US"/>
        </w:rPr>
        <w:t xml:space="preserve">, 2012, </w:t>
      </w:r>
      <w:r w:rsidRPr="00DB1BCE">
        <w:rPr>
          <w:rFonts w:cs="Times New Roman"/>
          <w:b/>
          <w:bCs/>
          <w:noProof/>
          <w:lang w:val="en-US"/>
        </w:rPr>
        <w:t>38</w:t>
      </w:r>
      <w:r w:rsidRPr="00DB1BCE">
        <w:rPr>
          <w:rFonts w:cs="Times New Roman"/>
          <w:noProof/>
          <w:lang w:val="en-US"/>
        </w:rPr>
        <w:t>, 1058–65.</w:t>
      </w:r>
    </w:p>
    <w:p w14:paraId="7E9CFAC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w:t>
      </w:r>
      <w:r w:rsidRPr="00DB1BCE">
        <w:rPr>
          <w:rFonts w:cs="Times New Roman"/>
          <w:noProof/>
          <w:lang w:val="en-US"/>
        </w:rPr>
        <w:tab/>
        <w:t xml:space="preserve">A. Benson, W. A. Dickson and D. E. Boyce, </w:t>
      </w:r>
      <w:r w:rsidRPr="00DB1BCE">
        <w:rPr>
          <w:rFonts w:cs="Times New Roman"/>
          <w:i/>
          <w:iCs/>
          <w:noProof/>
          <w:lang w:val="en-US"/>
        </w:rPr>
        <w:t>Bmj</w:t>
      </w:r>
      <w:r w:rsidRPr="00DB1BCE">
        <w:rPr>
          <w:rFonts w:cs="Times New Roman"/>
          <w:noProof/>
          <w:lang w:val="en-US"/>
        </w:rPr>
        <w:t xml:space="preserve">, 2006, </w:t>
      </w:r>
      <w:r w:rsidRPr="00DB1BCE">
        <w:rPr>
          <w:rFonts w:cs="Times New Roman"/>
          <w:b/>
          <w:bCs/>
          <w:noProof/>
          <w:lang w:val="en-US"/>
        </w:rPr>
        <w:t>332</w:t>
      </w:r>
      <w:r w:rsidRPr="00DB1BCE">
        <w:rPr>
          <w:rFonts w:cs="Times New Roman"/>
          <w:noProof/>
          <w:lang w:val="en-US"/>
        </w:rPr>
        <w:t>, 649–652.</w:t>
      </w:r>
    </w:p>
    <w:p w14:paraId="674D2BB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w:t>
      </w:r>
      <w:r w:rsidRPr="00DB1BCE">
        <w:rPr>
          <w:rFonts w:cs="Times New Roman"/>
          <w:noProof/>
          <w:lang w:val="en-US"/>
        </w:rPr>
        <w:tab/>
        <w:t xml:space="preserve">R. V. Shevchenko, S. L. James and S. E. James, </w:t>
      </w:r>
      <w:r w:rsidRPr="00DB1BCE">
        <w:rPr>
          <w:rFonts w:cs="Times New Roman"/>
          <w:i/>
          <w:iCs/>
          <w:noProof/>
          <w:lang w:val="en-US"/>
        </w:rPr>
        <w:t>J. R. Soc. Interface</w:t>
      </w:r>
      <w:r w:rsidRPr="00DB1BCE">
        <w:rPr>
          <w:rFonts w:cs="Times New Roman"/>
          <w:noProof/>
          <w:lang w:val="en-US"/>
        </w:rPr>
        <w:t xml:space="preserve">, 2010, </w:t>
      </w:r>
      <w:r w:rsidRPr="00DB1BCE">
        <w:rPr>
          <w:rFonts w:cs="Times New Roman"/>
          <w:b/>
          <w:bCs/>
          <w:noProof/>
          <w:lang w:val="en-US"/>
        </w:rPr>
        <w:t>7</w:t>
      </w:r>
      <w:r w:rsidRPr="00DB1BCE">
        <w:rPr>
          <w:rFonts w:cs="Times New Roman"/>
          <w:noProof/>
          <w:lang w:val="en-US"/>
        </w:rPr>
        <w:t>, 229–258.</w:t>
      </w:r>
    </w:p>
    <w:p w14:paraId="1692BE5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w:t>
      </w:r>
      <w:r w:rsidRPr="00DB1BCE">
        <w:rPr>
          <w:rFonts w:cs="Times New Roman"/>
          <w:noProof/>
          <w:lang w:val="en-US"/>
        </w:rPr>
        <w:tab/>
        <w:t xml:space="preserve">I. Sahin, M. Eski, C. Acikel, R. Kapaj, D. Alhan and S. Isik, </w:t>
      </w:r>
      <w:r w:rsidRPr="00DB1BCE">
        <w:rPr>
          <w:rFonts w:cs="Times New Roman"/>
          <w:i/>
          <w:iCs/>
          <w:noProof/>
          <w:lang w:val="en-US"/>
        </w:rPr>
        <w:t>Ann. Burns Fire Disasters</w:t>
      </w:r>
      <w:r w:rsidRPr="00DB1BCE">
        <w:rPr>
          <w:rFonts w:cs="Times New Roman"/>
          <w:noProof/>
          <w:lang w:val="en-US"/>
        </w:rPr>
        <w:t xml:space="preserve">, 2012, </w:t>
      </w:r>
      <w:r w:rsidRPr="00DB1BCE">
        <w:rPr>
          <w:rFonts w:cs="Times New Roman"/>
          <w:b/>
          <w:bCs/>
          <w:noProof/>
          <w:lang w:val="en-US"/>
        </w:rPr>
        <w:t>25</w:t>
      </w:r>
      <w:r w:rsidRPr="00DB1BCE">
        <w:rPr>
          <w:rFonts w:cs="Times New Roman"/>
          <w:noProof/>
          <w:lang w:val="en-US"/>
        </w:rPr>
        <w:t>, 92–97.</w:t>
      </w:r>
    </w:p>
    <w:p w14:paraId="169D8FB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w:t>
      </w:r>
      <w:r w:rsidRPr="00DB1BCE">
        <w:rPr>
          <w:rFonts w:cs="Times New Roman"/>
          <w:noProof/>
          <w:lang w:val="en-US"/>
        </w:rPr>
        <w:tab/>
        <w:t xml:space="preserve">S. Hettiaratchy and R. Papini, </w:t>
      </w:r>
      <w:r w:rsidRPr="00DB1BCE">
        <w:rPr>
          <w:rFonts w:cs="Times New Roman"/>
          <w:i/>
          <w:iCs/>
          <w:noProof/>
          <w:lang w:val="en-US"/>
        </w:rPr>
        <w:t>Bmj</w:t>
      </w:r>
      <w:r w:rsidRPr="00DB1BCE">
        <w:rPr>
          <w:rFonts w:cs="Times New Roman"/>
          <w:noProof/>
          <w:lang w:val="en-US"/>
        </w:rPr>
        <w:t xml:space="preserve">, 2004, </w:t>
      </w:r>
      <w:r w:rsidRPr="00DB1BCE">
        <w:rPr>
          <w:rFonts w:cs="Times New Roman"/>
          <w:b/>
          <w:bCs/>
          <w:noProof/>
          <w:lang w:val="en-US"/>
        </w:rPr>
        <w:t>329</w:t>
      </w:r>
      <w:r w:rsidRPr="00DB1BCE">
        <w:rPr>
          <w:rFonts w:cs="Times New Roman"/>
          <w:noProof/>
          <w:lang w:val="en-US"/>
        </w:rPr>
        <w:t>, 101–103.</w:t>
      </w:r>
    </w:p>
    <w:p w14:paraId="359F0D1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w:t>
      </w:r>
      <w:r w:rsidRPr="00DB1BCE">
        <w:rPr>
          <w:rFonts w:cs="Times New Roman"/>
          <w:noProof/>
          <w:lang w:val="en-US"/>
        </w:rPr>
        <w:tab/>
        <w:t xml:space="preserve">E. A. Deitch, T. M. Wheelahan, M. P. Rose, J. Clothier and J. Cotter, </w:t>
      </w:r>
      <w:r w:rsidRPr="00DB1BCE">
        <w:rPr>
          <w:rFonts w:cs="Times New Roman"/>
          <w:i/>
          <w:iCs/>
          <w:noProof/>
          <w:lang w:val="en-US"/>
        </w:rPr>
        <w:t>J. Trauma</w:t>
      </w:r>
      <w:r w:rsidRPr="00DB1BCE">
        <w:rPr>
          <w:rFonts w:cs="Times New Roman"/>
          <w:noProof/>
          <w:lang w:val="en-US"/>
        </w:rPr>
        <w:t xml:space="preserve">, 1983, </w:t>
      </w:r>
      <w:r w:rsidRPr="00DB1BCE">
        <w:rPr>
          <w:rFonts w:cs="Times New Roman"/>
          <w:b/>
          <w:bCs/>
          <w:noProof/>
          <w:lang w:val="en-US"/>
        </w:rPr>
        <w:t>23</w:t>
      </w:r>
      <w:r w:rsidRPr="00DB1BCE">
        <w:rPr>
          <w:rFonts w:cs="Times New Roman"/>
          <w:noProof/>
          <w:lang w:val="en-US"/>
        </w:rPr>
        <w:t>, 895–898.</w:t>
      </w:r>
    </w:p>
    <w:p w14:paraId="31C6DCC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w:t>
      </w:r>
      <w:r w:rsidRPr="00DB1BCE">
        <w:rPr>
          <w:rFonts w:cs="Times New Roman"/>
          <w:noProof/>
          <w:lang w:val="en-US"/>
        </w:rPr>
        <w:tab/>
        <w:t xml:space="preserve">C. C. Finnerty, M. G. Jeschke, L. K. Branski, J. P. Barret, P. Dziewulski and D. N. Herndon, </w:t>
      </w:r>
      <w:r w:rsidRPr="00DB1BCE">
        <w:rPr>
          <w:rFonts w:cs="Times New Roman"/>
          <w:i/>
          <w:iCs/>
          <w:noProof/>
          <w:lang w:val="en-US"/>
        </w:rPr>
        <w:t>Lancet</w:t>
      </w:r>
      <w:r w:rsidRPr="00DB1BCE">
        <w:rPr>
          <w:rFonts w:cs="Times New Roman"/>
          <w:noProof/>
          <w:lang w:val="en-US"/>
        </w:rPr>
        <w:t xml:space="preserve">, 2016, </w:t>
      </w:r>
      <w:r w:rsidRPr="00DB1BCE">
        <w:rPr>
          <w:rFonts w:cs="Times New Roman"/>
          <w:b/>
          <w:bCs/>
          <w:noProof/>
          <w:lang w:val="en-US"/>
        </w:rPr>
        <w:t>388</w:t>
      </w:r>
      <w:r w:rsidRPr="00DB1BCE">
        <w:rPr>
          <w:rFonts w:cs="Times New Roman"/>
          <w:noProof/>
          <w:lang w:val="en-US"/>
        </w:rPr>
        <w:t>, 1427–1436.</w:t>
      </w:r>
    </w:p>
    <w:p w14:paraId="35100CC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w:t>
      </w:r>
      <w:r w:rsidRPr="00DB1BCE">
        <w:rPr>
          <w:rFonts w:cs="Times New Roman"/>
          <w:noProof/>
          <w:lang w:val="en-US"/>
        </w:rPr>
        <w:tab/>
        <w:t xml:space="preserve">L. Devgan, S. Bhat, S. Aylward and R. J. Spence, </w:t>
      </w:r>
      <w:r w:rsidRPr="00DB1BCE">
        <w:rPr>
          <w:rFonts w:cs="Times New Roman"/>
          <w:i/>
          <w:iCs/>
          <w:noProof/>
          <w:lang w:val="en-US"/>
        </w:rPr>
        <w:t>J. Burns Wounds</w:t>
      </w:r>
      <w:r w:rsidRPr="00DB1BCE">
        <w:rPr>
          <w:rFonts w:cs="Times New Roman"/>
          <w:noProof/>
          <w:lang w:val="en-US"/>
        </w:rPr>
        <w:t xml:space="preserve">, 2006, </w:t>
      </w:r>
      <w:r w:rsidRPr="00DB1BCE">
        <w:rPr>
          <w:rFonts w:cs="Times New Roman"/>
          <w:b/>
          <w:bCs/>
          <w:noProof/>
          <w:lang w:val="en-US"/>
        </w:rPr>
        <w:t>5</w:t>
      </w:r>
      <w:r w:rsidRPr="00DB1BCE">
        <w:rPr>
          <w:rFonts w:cs="Times New Roman"/>
          <w:noProof/>
          <w:lang w:val="en-US"/>
        </w:rPr>
        <w:t>, e2.</w:t>
      </w:r>
    </w:p>
    <w:p w14:paraId="43C6929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w:t>
      </w:r>
      <w:r w:rsidRPr="00DB1BCE">
        <w:rPr>
          <w:rFonts w:cs="Times New Roman"/>
          <w:noProof/>
          <w:lang w:val="en-US"/>
        </w:rPr>
        <w:tab/>
        <w:t xml:space="preserve">Z. B. M. Niazi, T. J. H. Essex, R. Papini, D. Scott, N. R. McLean and M. J. M. Black, </w:t>
      </w:r>
      <w:r w:rsidRPr="00DB1BCE">
        <w:rPr>
          <w:rFonts w:cs="Times New Roman"/>
          <w:i/>
          <w:iCs/>
          <w:noProof/>
          <w:lang w:val="en-US"/>
        </w:rPr>
        <w:t>Burns</w:t>
      </w:r>
      <w:r w:rsidRPr="00DB1BCE">
        <w:rPr>
          <w:rFonts w:cs="Times New Roman"/>
          <w:noProof/>
          <w:lang w:val="en-US"/>
        </w:rPr>
        <w:t xml:space="preserve">, 1993, </w:t>
      </w:r>
      <w:r w:rsidRPr="00DB1BCE">
        <w:rPr>
          <w:rFonts w:cs="Times New Roman"/>
          <w:b/>
          <w:bCs/>
          <w:noProof/>
          <w:lang w:val="en-US"/>
        </w:rPr>
        <w:t>19</w:t>
      </w:r>
      <w:r w:rsidRPr="00DB1BCE">
        <w:rPr>
          <w:rFonts w:cs="Times New Roman"/>
          <w:noProof/>
          <w:lang w:val="en-US"/>
        </w:rPr>
        <w:t>, 485–489.</w:t>
      </w:r>
    </w:p>
    <w:p w14:paraId="33F1BCF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w:t>
      </w:r>
      <w:r w:rsidRPr="00DB1BCE">
        <w:rPr>
          <w:rFonts w:cs="Times New Roman"/>
          <w:noProof/>
          <w:lang w:val="en-US"/>
        </w:rPr>
        <w:tab/>
        <w:t xml:space="preserve">D. Heimbach, B. Grube and J. Marvin, </w:t>
      </w:r>
      <w:r w:rsidRPr="00DB1BCE">
        <w:rPr>
          <w:rFonts w:cs="Times New Roman"/>
          <w:i/>
          <w:iCs/>
          <w:noProof/>
          <w:lang w:val="en-US"/>
        </w:rPr>
        <w:t>World J. Surg.</w:t>
      </w:r>
      <w:r w:rsidRPr="00DB1BCE">
        <w:rPr>
          <w:rFonts w:cs="Times New Roman"/>
          <w:noProof/>
          <w:lang w:val="en-US"/>
        </w:rPr>
        <w:t xml:space="preserve">, 1992, </w:t>
      </w:r>
      <w:r w:rsidRPr="00DB1BCE">
        <w:rPr>
          <w:rFonts w:cs="Times New Roman"/>
          <w:b/>
          <w:bCs/>
          <w:noProof/>
          <w:lang w:val="en-US"/>
        </w:rPr>
        <w:t>16</w:t>
      </w:r>
      <w:r w:rsidRPr="00DB1BCE">
        <w:rPr>
          <w:rFonts w:cs="Times New Roman"/>
          <w:noProof/>
          <w:lang w:val="en-US"/>
        </w:rPr>
        <w:t>, 10–15.</w:t>
      </w:r>
    </w:p>
    <w:p w14:paraId="5BEA0B1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w:t>
      </w:r>
      <w:r w:rsidRPr="00DB1BCE">
        <w:rPr>
          <w:rFonts w:cs="Times New Roman"/>
          <w:noProof/>
          <w:lang w:val="en-US"/>
        </w:rPr>
        <w:tab/>
        <w:t xml:space="preserve">E. J. Droog, W. Steenbergen and F. Sjöberg, </w:t>
      </w:r>
      <w:r w:rsidRPr="00DB1BCE">
        <w:rPr>
          <w:rFonts w:cs="Times New Roman"/>
          <w:i/>
          <w:iCs/>
          <w:noProof/>
          <w:lang w:val="en-US"/>
        </w:rPr>
        <w:t>Burns</w:t>
      </w:r>
      <w:r w:rsidRPr="00DB1BCE">
        <w:rPr>
          <w:rFonts w:cs="Times New Roman"/>
          <w:noProof/>
          <w:lang w:val="en-US"/>
        </w:rPr>
        <w:t xml:space="preserve">, 2001, </w:t>
      </w:r>
      <w:r w:rsidRPr="00DB1BCE">
        <w:rPr>
          <w:rFonts w:cs="Times New Roman"/>
          <w:b/>
          <w:bCs/>
          <w:noProof/>
          <w:lang w:val="en-US"/>
        </w:rPr>
        <w:t>27</w:t>
      </w:r>
      <w:r w:rsidRPr="00DB1BCE">
        <w:rPr>
          <w:rFonts w:cs="Times New Roman"/>
          <w:noProof/>
          <w:lang w:val="en-US"/>
        </w:rPr>
        <w:t>, 561–568.</w:t>
      </w:r>
    </w:p>
    <w:p w14:paraId="3CB9662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w:t>
      </w:r>
      <w:r w:rsidRPr="00DB1BCE">
        <w:rPr>
          <w:rFonts w:cs="Times New Roman"/>
          <w:noProof/>
          <w:lang w:val="en-US"/>
        </w:rPr>
        <w:tab/>
        <w:t xml:space="preserve">S. Monstrey, H. Hoeksema, J. Verbelen, A. Pirayesh and P. Blondeel, </w:t>
      </w:r>
      <w:r w:rsidRPr="00DB1BCE">
        <w:rPr>
          <w:rFonts w:cs="Times New Roman"/>
          <w:i/>
          <w:iCs/>
          <w:noProof/>
          <w:lang w:val="en-US"/>
        </w:rPr>
        <w:t>Burns</w:t>
      </w:r>
      <w:r w:rsidRPr="00DB1BCE">
        <w:rPr>
          <w:rFonts w:cs="Times New Roman"/>
          <w:noProof/>
          <w:lang w:val="en-US"/>
        </w:rPr>
        <w:t>, 2008, 34, 761–769.</w:t>
      </w:r>
    </w:p>
    <w:p w14:paraId="2F8FA68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w:t>
      </w:r>
      <w:r w:rsidRPr="00DB1BCE">
        <w:rPr>
          <w:rFonts w:cs="Times New Roman"/>
          <w:noProof/>
          <w:lang w:val="en-US"/>
        </w:rPr>
        <w:tab/>
        <w:t xml:space="preserve">J. T. Schulz, R. G. Tompkins and J. F. Burke, </w:t>
      </w:r>
      <w:r w:rsidRPr="00DB1BCE">
        <w:rPr>
          <w:rFonts w:cs="Times New Roman"/>
          <w:i/>
          <w:iCs/>
          <w:noProof/>
          <w:lang w:val="en-US"/>
        </w:rPr>
        <w:t>Annu. Rev. Med.</w:t>
      </w:r>
      <w:r w:rsidRPr="00DB1BCE">
        <w:rPr>
          <w:rFonts w:cs="Times New Roman"/>
          <w:noProof/>
          <w:lang w:val="en-US"/>
        </w:rPr>
        <w:t xml:space="preserve">, 2000, </w:t>
      </w:r>
      <w:r w:rsidRPr="00DB1BCE">
        <w:rPr>
          <w:rFonts w:cs="Times New Roman"/>
          <w:b/>
          <w:bCs/>
          <w:noProof/>
          <w:lang w:val="en-US"/>
        </w:rPr>
        <w:t>51</w:t>
      </w:r>
      <w:r w:rsidRPr="00DB1BCE">
        <w:rPr>
          <w:rFonts w:cs="Times New Roman"/>
          <w:noProof/>
          <w:lang w:val="en-US"/>
        </w:rPr>
        <w:t>, 231–244.</w:t>
      </w:r>
    </w:p>
    <w:p w14:paraId="34F3644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w:t>
      </w:r>
      <w:r w:rsidRPr="00DB1BCE">
        <w:rPr>
          <w:rFonts w:cs="Times New Roman"/>
          <w:noProof/>
          <w:lang w:val="en-US"/>
        </w:rPr>
        <w:tab/>
        <w:t xml:space="preserve">B. Mitra, M. Fitzgerald, P. Cameron and H. Cleland, </w:t>
      </w:r>
      <w:r w:rsidRPr="00DB1BCE">
        <w:rPr>
          <w:rFonts w:cs="Times New Roman"/>
          <w:i/>
          <w:iCs/>
          <w:noProof/>
          <w:lang w:val="en-US"/>
        </w:rPr>
        <w:t>ANZ J. Surg.</w:t>
      </w:r>
      <w:r w:rsidRPr="00DB1BCE">
        <w:rPr>
          <w:rFonts w:cs="Times New Roman"/>
          <w:noProof/>
          <w:lang w:val="en-US"/>
        </w:rPr>
        <w:t>, 2006, 76, 35–38.</w:t>
      </w:r>
    </w:p>
    <w:p w14:paraId="785AC13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w:t>
      </w:r>
      <w:r w:rsidRPr="00DB1BCE">
        <w:rPr>
          <w:rFonts w:cs="Times New Roman"/>
          <w:noProof/>
          <w:lang w:val="en-US"/>
        </w:rPr>
        <w:tab/>
        <w:t xml:space="preserve">C. M. Ryan, D. A. Schoenfeld, W. P. Thorpe, R. L. Sheridan, E. H. Cassem and R. G. Tompkins, </w:t>
      </w:r>
      <w:r w:rsidRPr="00DB1BCE">
        <w:rPr>
          <w:rFonts w:cs="Times New Roman"/>
          <w:i/>
          <w:iCs/>
          <w:noProof/>
          <w:lang w:val="en-US"/>
        </w:rPr>
        <w:t>N. Engl. J. Med.</w:t>
      </w:r>
      <w:r w:rsidRPr="00DB1BCE">
        <w:rPr>
          <w:rFonts w:cs="Times New Roman"/>
          <w:noProof/>
          <w:lang w:val="en-US"/>
        </w:rPr>
        <w:t xml:space="preserve">, 1998, </w:t>
      </w:r>
      <w:r w:rsidRPr="00DB1BCE">
        <w:rPr>
          <w:rFonts w:cs="Times New Roman"/>
          <w:b/>
          <w:bCs/>
          <w:noProof/>
          <w:lang w:val="en-US"/>
        </w:rPr>
        <w:t>338</w:t>
      </w:r>
      <w:r w:rsidRPr="00DB1BCE">
        <w:rPr>
          <w:rFonts w:cs="Times New Roman"/>
          <w:noProof/>
          <w:lang w:val="en-US"/>
        </w:rPr>
        <w:t>, 362–366.</w:t>
      </w:r>
    </w:p>
    <w:p w14:paraId="4CB381D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w:t>
      </w:r>
      <w:r w:rsidRPr="00DB1BCE">
        <w:rPr>
          <w:rFonts w:cs="Times New Roman"/>
          <w:noProof/>
          <w:lang w:val="en-US"/>
        </w:rPr>
        <w:tab/>
        <w:t xml:space="preserve">D. Church, S. Elsayed, O. Reid, B. Winston and R. Lindsay, </w:t>
      </w:r>
      <w:r w:rsidRPr="00DB1BCE">
        <w:rPr>
          <w:rFonts w:cs="Times New Roman"/>
          <w:i/>
          <w:iCs/>
          <w:noProof/>
          <w:lang w:val="en-US"/>
        </w:rPr>
        <w:t>Clin. Microbiol. Rev.</w:t>
      </w:r>
      <w:r w:rsidRPr="00DB1BCE">
        <w:rPr>
          <w:rFonts w:cs="Times New Roman"/>
          <w:noProof/>
          <w:lang w:val="en-US"/>
        </w:rPr>
        <w:t>, 2006, 19, 403–434.</w:t>
      </w:r>
    </w:p>
    <w:p w14:paraId="1D89291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w:t>
      </w:r>
      <w:r w:rsidRPr="00DB1BCE">
        <w:rPr>
          <w:rFonts w:cs="Times New Roman"/>
          <w:noProof/>
          <w:lang w:val="en-US"/>
        </w:rPr>
        <w:tab/>
        <w:t xml:space="preserve">J. P. BULL and A. J. FISHER, </w:t>
      </w:r>
      <w:r w:rsidRPr="00DB1BCE">
        <w:rPr>
          <w:rFonts w:cs="Times New Roman"/>
          <w:i/>
          <w:iCs/>
          <w:noProof/>
          <w:lang w:val="en-US"/>
        </w:rPr>
        <w:t>Ann. Surg.</w:t>
      </w:r>
      <w:r w:rsidRPr="00DB1BCE">
        <w:rPr>
          <w:rFonts w:cs="Times New Roman"/>
          <w:noProof/>
          <w:lang w:val="en-US"/>
        </w:rPr>
        <w:t xml:space="preserve">, 1954, </w:t>
      </w:r>
      <w:r w:rsidRPr="00DB1BCE">
        <w:rPr>
          <w:rFonts w:cs="Times New Roman"/>
          <w:b/>
          <w:bCs/>
          <w:noProof/>
          <w:lang w:val="en-US"/>
        </w:rPr>
        <w:t>139</w:t>
      </w:r>
      <w:r w:rsidRPr="00DB1BCE">
        <w:rPr>
          <w:rFonts w:cs="Times New Roman"/>
          <w:noProof/>
          <w:lang w:val="en-US"/>
        </w:rPr>
        <w:t>, 269–274.</w:t>
      </w:r>
    </w:p>
    <w:p w14:paraId="31FA273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w:t>
      </w:r>
      <w:r w:rsidRPr="00DB1BCE">
        <w:rPr>
          <w:rFonts w:cs="Times New Roman"/>
          <w:noProof/>
          <w:lang w:val="en-US"/>
        </w:rPr>
        <w:tab/>
        <w:t xml:space="preserve">M. G. Jeschke and D. N. Herndon, </w:t>
      </w:r>
      <w:r w:rsidRPr="00DB1BCE">
        <w:rPr>
          <w:rFonts w:cs="Times New Roman"/>
          <w:i/>
          <w:iCs/>
          <w:noProof/>
          <w:lang w:val="en-US"/>
        </w:rPr>
        <w:t>Lancet</w:t>
      </w:r>
      <w:r w:rsidRPr="00DB1BCE">
        <w:rPr>
          <w:rFonts w:cs="Times New Roman"/>
          <w:noProof/>
          <w:lang w:val="en-US"/>
        </w:rPr>
        <w:t xml:space="preserve">, 2014, </w:t>
      </w:r>
      <w:r w:rsidRPr="00DB1BCE">
        <w:rPr>
          <w:rFonts w:cs="Times New Roman"/>
          <w:b/>
          <w:bCs/>
          <w:noProof/>
          <w:lang w:val="en-US"/>
        </w:rPr>
        <w:t>383</w:t>
      </w:r>
      <w:r w:rsidRPr="00DB1BCE">
        <w:rPr>
          <w:rFonts w:cs="Times New Roman"/>
          <w:noProof/>
          <w:lang w:val="en-US"/>
        </w:rPr>
        <w:t>, 1168–1178.</w:t>
      </w:r>
    </w:p>
    <w:p w14:paraId="64BFCE0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w:t>
      </w:r>
      <w:r w:rsidRPr="00DB1BCE">
        <w:rPr>
          <w:rFonts w:cs="Times New Roman"/>
          <w:noProof/>
          <w:lang w:val="en-US"/>
        </w:rPr>
        <w:tab/>
        <w:t xml:space="preserve">M. B. Witte and A. Barbul, </w:t>
      </w:r>
      <w:r w:rsidRPr="00DB1BCE">
        <w:rPr>
          <w:rFonts w:cs="Times New Roman"/>
          <w:i/>
          <w:iCs/>
          <w:noProof/>
          <w:lang w:val="en-US"/>
        </w:rPr>
        <w:t>Surg. Clin. North Am.</w:t>
      </w:r>
      <w:r w:rsidRPr="00DB1BCE">
        <w:rPr>
          <w:rFonts w:cs="Times New Roman"/>
          <w:noProof/>
          <w:lang w:val="en-US"/>
        </w:rPr>
        <w:t xml:space="preserve">, 1997, </w:t>
      </w:r>
      <w:r w:rsidRPr="00DB1BCE">
        <w:rPr>
          <w:rFonts w:cs="Times New Roman"/>
          <w:b/>
          <w:bCs/>
          <w:noProof/>
          <w:lang w:val="en-US"/>
        </w:rPr>
        <w:t>77</w:t>
      </w:r>
      <w:r w:rsidRPr="00DB1BCE">
        <w:rPr>
          <w:rFonts w:cs="Times New Roman"/>
          <w:noProof/>
          <w:lang w:val="en-US"/>
        </w:rPr>
        <w:t>, 509–528.</w:t>
      </w:r>
    </w:p>
    <w:p w14:paraId="2D5013A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w:t>
      </w:r>
      <w:r w:rsidRPr="00DB1BCE">
        <w:rPr>
          <w:rFonts w:cs="Times New Roman"/>
          <w:noProof/>
          <w:lang w:val="en-US"/>
        </w:rPr>
        <w:tab/>
        <w:t xml:space="preserve">P. Beldon, </w:t>
      </w:r>
      <w:r w:rsidRPr="00DB1BCE">
        <w:rPr>
          <w:rFonts w:cs="Times New Roman"/>
          <w:i/>
          <w:iCs/>
          <w:noProof/>
          <w:lang w:val="en-US"/>
        </w:rPr>
        <w:t>Surgery</w:t>
      </w:r>
      <w:r w:rsidRPr="00DB1BCE">
        <w:rPr>
          <w:rFonts w:cs="Times New Roman"/>
          <w:noProof/>
          <w:lang w:val="en-US"/>
        </w:rPr>
        <w:t xml:space="preserve">, 2010, </w:t>
      </w:r>
      <w:r w:rsidRPr="00DB1BCE">
        <w:rPr>
          <w:rFonts w:cs="Times New Roman"/>
          <w:b/>
          <w:bCs/>
          <w:noProof/>
          <w:lang w:val="en-US"/>
        </w:rPr>
        <w:t>28</w:t>
      </w:r>
      <w:r w:rsidRPr="00DB1BCE">
        <w:rPr>
          <w:rFonts w:cs="Times New Roman"/>
          <w:noProof/>
          <w:lang w:val="en-US"/>
        </w:rPr>
        <w:t>, 409–412.</w:t>
      </w:r>
    </w:p>
    <w:p w14:paraId="740F969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w:t>
      </w:r>
      <w:r w:rsidRPr="00DB1BCE">
        <w:rPr>
          <w:rFonts w:cs="Times New Roman"/>
          <w:noProof/>
          <w:lang w:val="en-US"/>
        </w:rPr>
        <w:tab/>
        <w:t xml:space="preserve">T. Velnar, T. Bailey and V. Smrkolj, </w:t>
      </w:r>
      <w:r w:rsidRPr="00DB1BCE">
        <w:rPr>
          <w:rFonts w:cs="Times New Roman"/>
          <w:i/>
          <w:iCs/>
          <w:noProof/>
          <w:lang w:val="en-US"/>
        </w:rPr>
        <w:t>J. Int. Med. Res.</w:t>
      </w:r>
      <w:r w:rsidRPr="00DB1BCE">
        <w:rPr>
          <w:rFonts w:cs="Times New Roman"/>
          <w:noProof/>
          <w:lang w:val="en-US"/>
        </w:rPr>
        <w:t xml:space="preserve">, 2009, </w:t>
      </w:r>
      <w:r w:rsidRPr="00DB1BCE">
        <w:rPr>
          <w:rFonts w:cs="Times New Roman"/>
          <w:b/>
          <w:bCs/>
          <w:noProof/>
          <w:lang w:val="en-US"/>
        </w:rPr>
        <w:t>37</w:t>
      </w:r>
      <w:r w:rsidRPr="00DB1BCE">
        <w:rPr>
          <w:rFonts w:cs="Times New Roman"/>
          <w:noProof/>
          <w:lang w:val="en-US"/>
        </w:rPr>
        <w:t>, 1528–42.</w:t>
      </w:r>
    </w:p>
    <w:p w14:paraId="1511B27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w:t>
      </w:r>
      <w:r w:rsidRPr="00DB1BCE">
        <w:rPr>
          <w:rFonts w:cs="Times New Roman"/>
          <w:noProof/>
          <w:lang w:val="en-US"/>
        </w:rPr>
        <w:tab/>
        <w:t xml:space="preserve">J. Li, J. Chen and R. Kirsner, </w:t>
      </w:r>
      <w:r w:rsidRPr="00DB1BCE">
        <w:rPr>
          <w:rFonts w:cs="Times New Roman"/>
          <w:i/>
          <w:iCs/>
          <w:noProof/>
          <w:lang w:val="en-US"/>
        </w:rPr>
        <w:t>Clin. Dermatol.</w:t>
      </w:r>
      <w:r w:rsidRPr="00DB1BCE">
        <w:rPr>
          <w:rFonts w:cs="Times New Roman"/>
          <w:noProof/>
          <w:lang w:val="en-US"/>
        </w:rPr>
        <w:t xml:space="preserve">, 2007, </w:t>
      </w:r>
      <w:r w:rsidRPr="00DB1BCE">
        <w:rPr>
          <w:rFonts w:cs="Times New Roman"/>
          <w:b/>
          <w:bCs/>
          <w:noProof/>
          <w:lang w:val="en-US"/>
        </w:rPr>
        <w:t>25</w:t>
      </w:r>
      <w:r w:rsidRPr="00DB1BCE">
        <w:rPr>
          <w:rFonts w:cs="Times New Roman"/>
          <w:noProof/>
          <w:lang w:val="en-US"/>
        </w:rPr>
        <w:t>, 9–18.</w:t>
      </w:r>
    </w:p>
    <w:p w14:paraId="62F775E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25</w:t>
      </w:r>
      <w:r w:rsidRPr="00DB1BCE">
        <w:rPr>
          <w:rFonts w:cs="Times New Roman"/>
          <w:noProof/>
          <w:lang w:val="en-US"/>
        </w:rPr>
        <w:tab/>
        <w:t xml:space="preserve">F. Strodtbeck, </w:t>
      </w:r>
      <w:r w:rsidRPr="00DB1BCE">
        <w:rPr>
          <w:rFonts w:cs="Times New Roman"/>
          <w:i/>
          <w:iCs/>
          <w:noProof/>
          <w:lang w:val="en-US"/>
        </w:rPr>
        <w:t>Newborn Infant Nurs. Rev.</w:t>
      </w:r>
      <w:r w:rsidRPr="00DB1BCE">
        <w:rPr>
          <w:rFonts w:cs="Times New Roman"/>
          <w:noProof/>
          <w:lang w:val="en-US"/>
        </w:rPr>
        <w:t xml:space="preserve">, 2001, </w:t>
      </w:r>
      <w:r w:rsidRPr="00DB1BCE">
        <w:rPr>
          <w:rFonts w:cs="Times New Roman"/>
          <w:b/>
          <w:bCs/>
          <w:noProof/>
          <w:lang w:val="en-US"/>
        </w:rPr>
        <w:t>1</w:t>
      </w:r>
      <w:r w:rsidRPr="00DB1BCE">
        <w:rPr>
          <w:rFonts w:cs="Times New Roman"/>
          <w:noProof/>
          <w:lang w:val="en-US"/>
        </w:rPr>
        <w:t>, 43–52.</w:t>
      </w:r>
    </w:p>
    <w:p w14:paraId="4A72615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w:t>
      </w:r>
      <w:r w:rsidRPr="00DB1BCE">
        <w:rPr>
          <w:rFonts w:cs="Times New Roman"/>
          <w:noProof/>
          <w:lang w:val="en-US"/>
        </w:rPr>
        <w:tab/>
        <w:t xml:space="preserve">W. T. Lawrence, </w:t>
      </w:r>
      <w:r w:rsidRPr="00DB1BCE">
        <w:rPr>
          <w:rFonts w:cs="Times New Roman"/>
          <w:i/>
          <w:iCs/>
          <w:noProof/>
          <w:lang w:val="en-US"/>
        </w:rPr>
        <w:t>Clin. Plast. Surg.</w:t>
      </w:r>
      <w:r w:rsidRPr="00DB1BCE">
        <w:rPr>
          <w:rFonts w:cs="Times New Roman"/>
          <w:noProof/>
          <w:lang w:val="en-US"/>
        </w:rPr>
        <w:t xml:space="preserve">, 1998, </w:t>
      </w:r>
      <w:r w:rsidRPr="00DB1BCE">
        <w:rPr>
          <w:rFonts w:cs="Times New Roman"/>
          <w:b/>
          <w:bCs/>
          <w:noProof/>
          <w:lang w:val="en-US"/>
        </w:rPr>
        <w:t>25</w:t>
      </w:r>
      <w:r w:rsidRPr="00DB1BCE">
        <w:rPr>
          <w:rFonts w:cs="Times New Roman"/>
          <w:noProof/>
          <w:lang w:val="en-US"/>
        </w:rPr>
        <w:t>, 321–340.</w:t>
      </w:r>
    </w:p>
    <w:p w14:paraId="210CA18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27</w:t>
      </w:r>
      <w:r w:rsidRPr="00DB1BCE">
        <w:rPr>
          <w:rFonts w:cs="Times New Roman"/>
          <w:noProof/>
          <w:lang w:val="en-US"/>
        </w:rPr>
        <w:tab/>
        <w:t xml:space="preserve">L. A. Goldsmith, Ed., </w:t>
      </w:r>
      <w:r w:rsidRPr="00DB1BCE">
        <w:rPr>
          <w:rFonts w:cs="Times New Roman"/>
          <w:i/>
          <w:iCs/>
          <w:noProof/>
          <w:lang w:val="en-US"/>
        </w:rPr>
        <w:t>Physiology, Biochemistry and Molecular Biology of the Skin</w:t>
      </w:r>
      <w:r w:rsidRPr="00DB1BCE">
        <w:rPr>
          <w:rFonts w:cs="Times New Roman"/>
          <w:noProof/>
          <w:lang w:val="en-US"/>
        </w:rPr>
        <w:t>, Oxford University Press, Second., 1991.</w:t>
      </w:r>
    </w:p>
    <w:p w14:paraId="7C9D222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28</w:t>
      </w:r>
      <w:r w:rsidRPr="00DB1BCE">
        <w:rPr>
          <w:rFonts w:cs="Times New Roman"/>
          <w:noProof/>
          <w:lang w:val="en-US"/>
        </w:rPr>
        <w:tab/>
        <w:t xml:space="preserve">P. Bainbridge, </w:t>
      </w:r>
      <w:r w:rsidRPr="00DB1BCE">
        <w:rPr>
          <w:rFonts w:cs="Times New Roman"/>
          <w:i/>
          <w:iCs/>
          <w:noProof/>
          <w:lang w:val="en-US"/>
        </w:rPr>
        <w:t>J. Wound Care</w:t>
      </w:r>
      <w:r w:rsidRPr="00DB1BCE">
        <w:rPr>
          <w:rFonts w:cs="Times New Roman"/>
          <w:noProof/>
          <w:lang w:val="en-US"/>
        </w:rPr>
        <w:t xml:space="preserve">, 2013, </w:t>
      </w:r>
      <w:r w:rsidRPr="00DB1BCE">
        <w:rPr>
          <w:rFonts w:cs="Times New Roman"/>
          <w:b/>
          <w:bCs/>
          <w:noProof/>
          <w:lang w:val="en-US"/>
        </w:rPr>
        <w:t>22</w:t>
      </w:r>
      <w:r w:rsidRPr="00DB1BCE">
        <w:rPr>
          <w:rFonts w:cs="Times New Roman"/>
          <w:noProof/>
          <w:lang w:val="en-US"/>
        </w:rPr>
        <w:t>, 407–412.</w:t>
      </w:r>
    </w:p>
    <w:p w14:paraId="33347D9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29</w:t>
      </w:r>
      <w:r w:rsidRPr="00DB1BCE">
        <w:rPr>
          <w:rFonts w:cs="Times New Roman"/>
          <w:noProof/>
          <w:lang w:val="en-US"/>
        </w:rPr>
        <w:tab/>
        <w:t xml:space="preserve">M. C. Robson, D. L. Steed and M. G. Franz, </w:t>
      </w:r>
      <w:r w:rsidRPr="00DB1BCE">
        <w:rPr>
          <w:rFonts w:cs="Times New Roman"/>
          <w:i/>
          <w:iCs/>
          <w:noProof/>
          <w:lang w:val="en-US"/>
        </w:rPr>
        <w:t>Curr. Probl. Surg.</w:t>
      </w:r>
      <w:r w:rsidRPr="00DB1BCE">
        <w:rPr>
          <w:rFonts w:cs="Times New Roman"/>
          <w:noProof/>
          <w:lang w:val="en-US"/>
        </w:rPr>
        <w:t xml:space="preserve">, 2001, </w:t>
      </w:r>
      <w:r w:rsidRPr="00DB1BCE">
        <w:rPr>
          <w:rFonts w:cs="Times New Roman"/>
          <w:b/>
          <w:bCs/>
          <w:noProof/>
          <w:lang w:val="en-US"/>
        </w:rPr>
        <w:t>38</w:t>
      </w:r>
      <w:r w:rsidRPr="00DB1BCE">
        <w:rPr>
          <w:rFonts w:cs="Times New Roman"/>
          <w:noProof/>
          <w:lang w:val="en-US"/>
        </w:rPr>
        <w:t>, 72–140.</w:t>
      </w:r>
    </w:p>
    <w:p w14:paraId="7FC3366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30</w:t>
      </w:r>
      <w:r w:rsidRPr="00DB1BCE">
        <w:rPr>
          <w:rFonts w:cs="Times New Roman"/>
          <w:noProof/>
          <w:lang w:val="en-US"/>
        </w:rPr>
        <w:tab/>
        <w:t>L. Y. Kerwin, A. Kader, E. Tal, M. A. Stiff and T. M. Fakhouri, 2014, 922–936.</w:t>
      </w:r>
    </w:p>
    <w:p w14:paraId="7F0B668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31</w:t>
      </w:r>
      <w:r w:rsidRPr="00DB1BCE">
        <w:rPr>
          <w:rFonts w:cs="Times New Roman"/>
          <w:noProof/>
          <w:lang w:val="en-US"/>
        </w:rPr>
        <w:tab/>
        <w:t xml:space="preserve">C. Zhang, Y. Chen and X. Fu, </w:t>
      </w:r>
      <w:r w:rsidRPr="00DB1BCE">
        <w:rPr>
          <w:rFonts w:cs="Times New Roman"/>
          <w:i/>
          <w:iCs/>
          <w:noProof/>
          <w:lang w:val="en-US"/>
        </w:rPr>
        <w:t>Cytotherapy</w:t>
      </w:r>
      <w:r w:rsidRPr="00DB1BCE">
        <w:rPr>
          <w:rFonts w:cs="Times New Roman"/>
          <w:noProof/>
          <w:lang w:val="en-US"/>
        </w:rPr>
        <w:t xml:space="preserve">, 2015, </w:t>
      </w:r>
      <w:r w:rsidRPr="00DB1BCE">
        <w:rPr>
          <w:rFonts w:cs="Times New Roman"/>
          <w:b/>
          <w:bCs/>
          <w:noProof/>
          <w:lang w:val="en-US"/>
        </w:rPr>
        <w:t>17</w:t>
      </w:r>
      <w:r w:rsidRPr="00DB1BCE">
        <w:rPr>
          <w:rFonts w:cs="Times New Roman"/>
          <w:noProof/>
          <w:lang w:val="en-US"/>
        </w:rPr>
        <w:t>, 526–535.</w:t>
      </w:r>
    </w:p>
    <w:p w14:paraId="736A651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32</w:t>
      </w:r>
      <w:r w:rsidRPr="00DB1BCE">
        <w:rPr>
          <w:rFonts w:cs="Times New Roman"/>
          <w:noProof/>
          <w:lang w:val="en-US"/>
        </w:rPr>
        <w:tab/>
        <w:t xml:space="preserve">W. K. Stadelmann, A. G. Digenis and G. R. Tobin, </w:t>
      </w:r>
      <w:r w:rsidRPr="00DB1BCE">
        <w:rPr>
          <w:rFonts w:cs="Times New Roman"/>
          <w:i/>
          <w:iCs/>
          <w:noProof/>
          <w:lang w:val="en-US"/>
        </w:rPr>
        <w:t>Am. J. Surg.</w:t>
      </w:r>
      <w:r w:rsidRPr="00DB1BCE">
        <w:rPr>
          <w:rFonts w:cs="Times New Roman"/>
          <w:noProof/>
          <w:lang w:val="en-US"/>
        </w:rPr>
        <w:t xml:space="preserve">, 1998, </w:t>
      </w:r>
      <w:r w:rsidRPr="00DB1BCE">
        <w:rPr>
          <w:rFonts w:cs="Times New Roman"/>
          <w:b/>
          <w:bCs/>
          <w:noProof/>
          <w:lang w:val="en-US"/>
        </w:rPr>
        <w:t>176</w:t>
      </w:r>
      <w:r w:rsidRPr="00DB1BCE">
        <w:rPr>
          <w:rFonts w:cs="Times New Roman"/>
          <w:noProof/>
          <w:lang w:val="en-US"/>
        </w:rPr>
        <w:t>.</w:t>
      </w:r>
    </w:p>
    <w:p w14:paraId="53B45DB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33</w:t>
      </w:r>
      <w:r w:rsidRPr="00DB1BCE">
        <w:rPr>
          <w:rFonts w:cs="Times New Roman"/>
          <w:noProof/>
          <w:lang w:val="en-US"/>
        </w:rPr>
        <w:tab/>
        <w:t xml:space="preserve">B. V Corps, </w:t>
      </w:r>
      <w:r w:rsidRPr="00DB1BCE">
        <w:rPr>
          <w:rFonts w:cs="Times New Roman"/>
          <w:i/>
          <w:iCs/>
          <w:noProof/>
          <w:lang w:val="en-US"/>
        </w:rPr>
        <w:t>Br. J. Plast. Surg.</w:t>
      </w:r>
      <w:r w:rsidRPr="00DB1BCE">
        <w:rPr>
          <w:rFonts w:cs="Times New Roman"/>
          <w:noProof/>
          <w:lang w:val="en-US"/>
        </w:rPr>
        <w:t xml:space="preserve">, 1969, </w:t>
      </w:r>
      <w:r w:rsidRPr="00DB1BCE">
        <w:rPr>
          <w:rFonts w:cs="Times New Roman"/>
          <w:b/>
          <w:bCs/>
          <w:noProof/>
          <w:lang w:val="en-US"/>
        </w:rPr>
        <w:t>22</w:t>
      </w:r>
      <w:r w:rsidRPr="00DB1BCE">
        <w:rPr>
          <w:rFonts w:cs="Times New Roman"/>
          <w:noProof/>
          <w:lang w:val="en-US"/>
        </w:rPr>
        <w:t>, 125–133.</w:t>
      </w:r>
    </w:p>
    <w:p w14:paraId="497D4C1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34</w:t>
      </w:r>
      <w:r w:rsidRPr="00DB1BCE">
        <w:rPr>
          <w:rFonts w:cs="Times New Roman"/>
          <w:noProof/>
          <w:lang w:val="en-US"/>
        </w:rPr>
        <w:tab/>
        <w:t xml:space="preserve">R. K. Chan, L. F. Rose, J. C. Wu, D. I. Tucker, M. M. Chan, R. J. Christy, R. G. Hale and K. P. Leung, </w:t>
      </w:r>
      <w:r w:rsidRPr="00DB1BCE">
        <w:rPr>
          <w:rFonts w:cs="Times New Roman"/>
          <w:i/>
          <w:iCs/>
          <w:noProof/>
          <w:lang w:val="en-US"/>
        </w:rPr>
        <w:t>Plast. Reconstr. Surg. - Glob. Open</w:t>
      </w:r>
      <w:r w:rsidRPr="00DB1BCE">
        <w:rPr>
          <w:rFonts w:cs="Times New Roman"/>
          <w:noProof/>
          <w:lang w:val="en-US"/>
        </w:rPr>
        <w:t xml:space="preserve">, 2015, </w:t>
      </w:r>
      <w:r w:rsidRPr="00DB1BCE">
        <w:rPr>
          <w:rFonts w:cs="Times New Roman"/>
          <w:b/>
          <w:bCs/>
          <w:noProof/>
          <w:lang w:val="en-US"/>
        </w:rPr>
        <w:t>3</w:t>
      </w:r>
      <w:r w:rsidRPr="00DB1BCE">
        <w:rPr>
          <w:rFonts w:cs="Times New Roman"/>
          <w:noProof/>
          <w:lang w:val="en-US"/>
        </w:rPr>
        <w:t>, e468.</w:t>
      </w:r>
    </w:p>
    <w:p w14:paraId="66DDEBA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35</w:t>
      </w:r>
      <w:r w:rsidRPr="00DB1BCE">
        <w:rPr>
          <w:rFonts w:cs="Times New Roman"/>
          <w:noProof/>
          <w:lang w:val="en-US"/>
        </w:rPr>
        <w:tab/>
        <w:t xml:space="preserve">A. M. Munster, S. H. Weiner and R. J. Spence, </w:t>
      </w:r>
      <w:r w:rsidRPr="00DB1BCE">
        <w:rPr>
          <w:rFonts w:cs="Times New Roman"/>
          <w:i/>
          <w:iCs/>
          <w:noProof/>
          <w:lang w:val="en-US"/>
        </w:rPr>
        <w:t>Ann. Surg.</w:t>
      </w:r>
      <w:r w:rsidRPr="00DB1BCE">
        <w:rPr>
          <w:rFonts w:cs="Times New Roman"/>
          <w:noProof/>
          <w:lang w:val="en-US"/>
        </w:rPr>
        <w:t xml:space="preserve">, 1990, </w:t>
      </w:r>
      <w:r w:rsidRPr="00DB1BCE">
        <w:rPr>
          <w:rFonts w:cs="Times New Roman"/>
          <w:b/>
          <w:bCs/>
          <w:noProof/>
          <w:lang w:val="en-US"/>
        </w:rPr>
        <w:t>211</w:t>
      </w:r>
      <w:r w:rsidRPr="00DB1BCE">
        <w:rPr>
          <w:rFonts w:cs="Times New Roman"/>
          <w:noProof/>
          <w:lang w:val="en-US"/>
        </w:rPr>
        <w:t>, 676-679; discussion 679-680.</w:t>
      </w:r>
    </w:p>
    <w:p w14:paraId="6AA6F7F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36</w:t>
      </w:r>
      <w:r w:rsidRPr="00DB1BCE">
        <w:rPr>
          <w:rFonts w:cs="Times New Roman"/>
          <w:noProof/>
          <w:lang w:val="en-US"/>
        </w:rPr>
        <w:tab/>
        <w:t xml:space="preserve">M. Demircan, T. Cicek and M. I. Yetis, </w:t>
      </w:r>
      <w:r w:rsidRPr="00DB1BCE">
        <w:rPr>
          <w:rFonts w:cs="Times New Roman"/>
          <w:i/>
          <w:iCs/>
          <w:noProof/>
          <w:lang w:val="en-US"/>
        </w:rPr>
        <w:t>Burns</w:t>
      </w:r>
      <w:r w:rsidRPr="00DB1BCE">
        <w:rPr>
          <w:rFonts w:cs="Times New Roman"/>
          <w:noProof/>
          <w:lang w:val="en-US"/>
        </w:rPr>
        <w:t>, 2015, 1–7.</w:t>
      </w:r>
    </w:p>
    <w:p w14:paraId="2284318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37</w:t>
      </w:r>
      <w:r w:rsidRPr="00DB1BCE">
        <w:rPr>
          <w:rFonts w:cs="Times New Roman"/>
          <w:noProof/>
          <w:lang w:val="en-US"/>
        </w:rPr>
        <w:tab/>
        <w:t xml:space="preserve">I. Jones, L. Currie and R. Martin, </w:t>
      </w:r>
      <w:r w:rsidRPr="00DB1BCE">
        <w:rPr>
          <w:rFonts w:cs="Times New Roman"/>
          <w:i/>
          <w:iCs/>
          <w:noProof/>
          <w:lang w:val="en-US"/>
        </w:rPr>
        <w:t>Br. J. Plast. Surg.</w:t>
      </w:r>
      <w:r w:rsidRPr="00DB1BCE">
        <w:rPr>
          <w:rFonts w:cs="Times New Roman"/>
          <w:noProof/>
          <w:lang w:val="en-US"/>
        </w:rPr>
        <w:t xml:space="preserve">, 2002, </w:t>
      </w:r>
      <w:r w:rsidRPr="00DB1BCE">
        <w:rPr>
          <w:rFonts w:cs="Times New Roman"/>
          <w:b/>
          <w:bCs/>
          <w:noProof/>
          <w:lang w:val="en-US"/>
        </w:rPr>
        <w:t>55</w:t>
      </w:r>
      <w:r w:rsidRPr="00DB1BCE">
        <w:rPr>
          <w:rFonts w:cs="Times New Roman"/>
          <w:noProof/>
          <w:lang w:val="en-US"/>
        </w:rPr>
        <w:t>, 185–193.</w:t>
      </w:r>
    </w:p>
    <w:p w14:paraId="446BC2C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38</w:t>
      </w:r>
      <w:r w:rsidRPr="00DB1BCE">
        <w:rPr>
          <w:rFonts w:cs="Times New Roman"/>
          <w:noProof/>
          <w:lang w:val="en-US"/>
        </w:rPr>
        <w:tab/>
        <w:t xml:space="preserve">J. F. Burke, I. V Yannas, W. C. Quinby, C. C. Bondoc and W. K. Jung, </w:t>
      </w:r>
      <w:r w:rsidRPr="00DB1BCE">
        <w:rPr>
          <w:rFonts w:cs="Times New Roman"/>
          <w:i/>
          <w:iCs/>
          <w:noProof/>
          <w:lang w:val="en-US"/>
        </w:rPr>
        <w:t>Ann. Surg.</w:t>
      </w:r>
      <w:r w:rsidRPr="00DB1BCE">
        <w:rPr>
          <w:rFonts w:cs="Times New Roman"/>
          <w:noProof/>
          <w:lang w:val="en-US"/>
        </w:rPr>
        <w:t xml:space="preserve">, 1981, </w:t>
      </w:r>
      <w:r w:rsidRPr="00DB1BCE">
        <w:rPr>
          <w:rFonts w:cs="Times New Roman"/>
          <w:b/>
          <w:bCs/>
          <w:noProof/>
          <w:lang w:val="en-US"/>
        </w:rPr>
        <w:t>194</w:t>
      </w:r>
      <w:r w:rsidRPr="00DB1BCE">
        <w:rPr>
          <w:rFonts w:cs="Times New Roman"/>
          <w:noProof/>
          <w:lang w:val="en-US"/>
        </w:rPr>
        <w:t>, 413–428.</w:t>
      </w:r>
    </w:p>
    <w:p w14:paraId="751B5C5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39</w:t>
      </w:r>
      <w:r w:rsidRPr="00DB1BCE">
        <w:rPr>
          <w:rFonts w:cs="Times New Roman"/>
          <w:noProof/>
          <w:lang w:val="en-US"/>
        </w:rPr>
        <w:tab/>
        <w:t xml:space="preserve">D. Stiefel, C. Schiestl and M. Meuli, </w:t>
      </w:r>
      <w:r w:rsidRPr="00DB1BCE">
        <w:rPr>
          <w:rFonts w:cs="Times New Roman"/>
          <w:i/>
          <w:iCs/>
          <w:noProof/>
          <w:lang w:val="en-US"/>
        </w:rPr>
        <w:t>Burns</w:t>
      </w:r>
      <w:r w:rsidRPr="00DB1BCE">
        <w:rPr>
          <w:rFonts w:cs="Times New Roman"/>
          <w:noProof/>
          <w:lang w:val="en-US"/>
        </w:rPr>
        <w:t xml:space="preserve">, 2010, </w:t>
      </w:r>
      <w:r w:rsidRPr="00DB1BCE">
        <w:rPr>
          <w:rFonts w:cs="Times New Roman"/>
          <w:b/>
          <w:bCs/>
          <w:noProof/>
          <w:lang w:val="en-US"/>
        </w:rPr>
        <w:t>36</w:t>
      </w:r>
      <w:r w:rsidRPr="00DB1BCE">
        <w:rPr>
          <w:rFonts w:cs="Times New Roman"/>
          <w:noProof/>
          <w:lang w:val="en-US"/>
        </w:rPr>
        <w:t>, 114–120.</w:t>
      </w:r>
    </w:p>
    <w:p w14:paraId="35B2B44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40</w:t>
      </w:r>
      <w:r w:rsidRPr="00DB1BCE">
        <w:rPr>
          <w:rFonts w:cs="Times New Roman"/>
          <w:noProof/>
          <w:lang w:val="en-US"/>
        </w:rPr>
        <w:tab/>
        <w:t xml:space="preserve">R. Palao, P. A. Gómez and P. Huguet, </w:t>
      </w:r>
      <w:r w:rsidRPr="00DB1BCE">
        <w:rPr>
          <w:rFonts w:cs="Times New Roman"/>
          <w:i/>
          <w:iCs/>
          <w:noProof/>
          <w:lang w:val="en-US"/>
        </w:rPr>
        <w:t>Br. J. Plast. Surg.</w:t>
      </w:r>
      <w:r w:rsidRPr="00DB1BCE">
        <w:rPr>
          <w:rFonts w:cs="Times New Roman"/>
          <w:noProof/>
          <w:lang w:val="en-US"/>
        </w:rPr>
        <w:t xml:space="preserve">, 2003, </w:t>
      </w:r>
      <w:r w:rsidRPr="00DB1BCE">
        <w:rPr>
          <w:rFonts w:cs="Times New Roman"/>
          <w:b/>
          <w:bCs/>
          <w:noProof/>
          <w:lang w:val="en-US"/>
        </w:rPr>
        <w:t>56</w:t>
      </w:r>
      <w:r w:rsidRPr="00DB1BCE">
        <w:rPr>
          <w:rFonts w:cs="Times New Roman"/>
          <w:noProof/>
          <w:lang w:val="en-US"/>
        </w:rPr>
        <w:t>, 252–259.</w:t>
      </w:r>
    </w:p>
    <w:p w14:paraId="23BBAC1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41</w:t>
      </w:r>
      <w:r w:rsidRPr="00DB1BCE">
        <w:rPr>
          <w:rFonts w:cs="Times New Roman"/>
          <w:noProof/>
          <w:lang w:val="en-US"/>
        </w:rPr>
        <w:tab/>
        <w:t xml:space="preserve">J. Goverman, K. Mathews, R. Goldstein, R. Holavanahalli, K. Kowalske, P. Esselman, N. Gibran, O. Suman, D. Herndon, C. M. Ryan and J. C. Schneider, </w:t>
      </w:r>
      <w:r w:rsidRPr="00DB1BCE">
        <w:rPr>
          <w:rFonts w:cs="Times New Roman"/>
          <w:i/>
          <w:iCs/>
          <w:noProof/>
          <w:lang w:val="en-US"/>
        </w:rPr>
        <w:t>J. Burn Care Res.</w:t>
      </w:r>
      <w:r w:rsidRPr="00DB1BCE">
        <w:rPr>
          <w:rFonts w:cs="Times New Roman"/>
          <w:noProof/>
          <w:lang w:val="en-US"/>
        </w:rPr>
        <w:t xml:space="preserve">, 2017, </w:t>
      </w:r>
      <w:r w:rsidRPr="00DB1BCE">
        <w:rPr>
          <w:rFonts w:cs="Times New Roman"/>
          <w:b/>
          <w:bCs/>
          <w:noProof/>
          <w:lang w:val="en-US"/>
        </w:rPr>
        <w:t>38</w:t>
      </w:r>
      <w:r w:rsidRPr="00DB1BCE">
        <w:rPr>
          <w:rFonts w:cs="Times New Roman"/>
          <w:noProof/>
          <w:lang w:val="en-US"/>
        </w:rPr>
        <w:t>, e328–e336.</w:t>
      </w:r>
    </w:p>
    <w:p w14:paraId="71C5B81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42</w:t>
      </w:r>
      <w:r w:rsidRPr="00DB1BCE">
        <w:rPr>
          <w:rFonts w:cs="Times New Roman"/>
          <w:noProof/>
          <w:lang w:val="en-US"/>
        </w:rPr>
        <w:tab/>
        <w:t xml:space="preserve">S. Akita, K. Hayashida, S. Takaki, Y. Kawakami, T. Oyama and H. Ohjimi, </w:t>
      </w:r>
      <w:r w:rsidRPr="00DB1BCE">
        <w:rPr>
          <w:rFonts w:cs="Times New Roman"/>
          <w:i/>
          <w:iCs/>
          <w:noProof/>
          <w:lang w:val="en-US"/>
        </w:rPr>
        <w:t>Burn. Trauma</w:t>
      </w:r>
      <w:r w:rsidRPr="00DB1BCE">
        <w:rPr>
          <w:rFonts w:cs="Times New Roman"/>
          <w:noProof/>
          <w:lang w:val="en-US"/>
        </w:rPr>
        <w:t xml:space="preserve">, 2017, </w:t>
      </w:r>
      <w:r w:rsidRPr="00DB1BCE">
        <w:rPr>
          <w:rFonts w:cs="Times New Roman"/>
          <w:b/>
          <w:bCs/>
          <w:noProof/>
          <w:lang w:val="en-US"/>
        </w:rPr>
        <w:t>5</w:t>
      </w:r>
      <w:r w:rsidRPr="00DB1BCE">
        <w:rPr>
          <w:rFonts w:cs="Times New Roman"/>
          <w:noProof/>
          <w:lang w:val="en-US"/>
        </w:rPr>
        <w:t>, 22.</w:t>
      </w:r>
    </w:p>
    <w:p w14:paraId="4933F3A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43</w:t>
      </w:r>
      <w:r w:rsidRPr="00DB1BCE">
        <w:rPr>
          <w:rFonts w:cs="Times New Roman"/>
          <w:noProof/>
          <w:lang w:val="en-US"/>
        </w:rPr>
        <w:tab/>
        <w:t xml:space="preserve">B. Leblebici, M. Adam, S. Baǧiş, A. M. Tarim, T. Noyan, M. N. Akman and M. A. Haberal, </w:t>
      </w:r>
      <w:r w:rsidRPr="00DB1BCE">
        <w:rPr>
          <w:rFonts w:cs="Times New Roman"/>
          <w:i/>
          <w:iCs/>
          <w:noProof/>
          <w:lang w:val="en-US"/>
        </w:rPr>
        <w:t>J. Burn Care Res.</w:t>
      </w:r>
      <w:r w:rsidRPr="00DB1BCE">
        <w:rPr>
          <w:rFonts w:cs="Times New Roman"/>
          <w:noProof/>
          <w:lang w:val="en-US"/>
        </w:rPr>
        <w:t xml:space="preserve">, 2006, </w:t>
      </w:r>
      <w:r w:rsidRPr="00DB1BCE">
        <w:rPr>
          <w:rFonts w:cs="Times New Roman"/>
          <w:b/>
          <w:bCs/>
          <w:noProof/>
          <w:lang w:val="en-US"/>
        </w:rPr>
        <w:t>27</w:t>
      </w:r>
      <w:r w:rsidRPr="00DB1BCE">
        <w:rPr>
          <w:rFonts w:cs="Times New Roman"/>
          <w:noProof/>
          <w:lang w:val="en-US"/>
        </w:rPr>
        <w:t>, 864–868.</w:t>
      </w:r>
    </w:p>
    <w:p w14:paraId="6916B7B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44</w:t>
      </w:r>
      <w:r w:rsidRPr="00DB1BCE">
        <w:rPr>
          <w:rFonts w:cs="Times New Roman"/>
          <w:noProof/>
          <w:lang w:val="en-US"/>
        </w:rPr>
        <w:tab/>
        <w:t>B. Rodriguez, 2002.</w:t>
      </w:r>
    </w:p>
    <w:p w14:paraId="2792B8D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45</w:t>
      </w:r>
      <w:r w:rsidRPr="00DB1BCE">
        <w:rPr>
          <w:rFonts w:cs="Times New Roman"/>
          <w:noProof/>
          <w:lang w:val="en-US"/>
        </w:rPr>
        <w:tab/>
        <w:t xml:space="preserve">H. H. Bunchman, T. T. Huang, D. L. Larson and S. R. Lewis, </w:t>
      </w:r>
      <w:r w:rsidRPr="00DB1BCE">
        <w:rPr>
          <w:rFonts w:cs="Times New Roman"/>
          <w:i/>
          <w:iCs/>
          <w:noProof/>
          <w:lang w:val="en-US"/>
        </w:rPr>
        <w:t>Am. J. Surg.</w:t>
      </w:r>
      <w:r w:rsidRPr="00DB1BCE">
        <w:rPr>
          <w:rFonts w:cs="Times New Roman"/>
          <w:noProof/>
          <w:lang w:val="en-US"/>
        </w:rPr>
        <w:t xml:space="preserve">, 1975, </w:t>
      </w:r>
      <w:r w:rsidRPr="00DB1BCE">
        <w:rPr>
          <w:rFonts w:cs="Times New Roman"/>
          <w:b/>
          <w:bCs/>
          <w:noProof/>
          <w:lang w:val="en-US"/>
        </w:rPr>
        <w:t>130</w:t>
      </w:r>
      <w:r w:rsidRPr="00DB1BCE">
        <w:rPr>
          <w:rFonts w:cs="Times New Roman"/>
          <w:noProof/>
          <w:lang w:val="en-US"/>
        </w:rPr>
        <w:t>, 700–703.</w:t>
      </w:r>
    </w:p>
    <w:p w14:paraId="42CA671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46</w:t>
      </w:r>
      <w:r w:rsidRPr="00DB1BCE">
        <w:rPr>
          <w:rFonts w:cs="Times New Roman"/>
          <w:noProof/>
          <w:lang w:val="en-US"/>
        </w:rPr>
        <w:tab/>
        <w:t xml:space="preserve">P. C. Leung and M. Ng, </w:t>
      </w:r>
      <w:r w:rsidRPr="00DB1BCE">
        <w:rPr>
          <w:rFonts w:cs="Times New Roman"/>
          <w:i/>
          <w:iCs/>
          <w:noProof/>
          <w:lang w:val="en-US"/>
        </w:rPr>
        <w:t>Burns</w:t>
      </w:r>
      <w:r w:rsidRPr="00DB1BCE">
        <w:rPr>
          <w:rFonts w:cs="Times New Roman"/>
          <w:noProof/>
          <w:lang w:val="en-US"/>
        </w:rPr>
        <w:t xml:space="preserve">, 1980, </w:t>
      </w:r>
      <w:r w:rsidRPr="00DB1BCE">
        <w:rPr>
          <w:rFonts w:cs="Times New Roman"/>
          <w:b/>
          <w:bCs/>
          <w:noProof/>
          <w:lang w:val="en-US"/>
        </w:rPr>
        <w:t>6</w:t>
      </w:r>
      <w:r w:rsidRPr="00DB1BCE">
        <w:rPr>
          <w:rFonts w:cs="Times New Roman"/>
          <w:noProof/>
          <w:lang w:val="en-US"/>
        </w:rPr>
        <w:t>, 244–250.</w:t>
      </w:r>
    </w:p>
    <w:p w14:paraId="69E1229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47</w:t>
      </w:r>
      <w:r w:rsidRPr="00DB1BCE">
        <w:rPr>
          <w:rFonts w:cs="Times New Roman"/>
          <w:noProof/>
          <w:lang w:val="en-US"/>
        </w:rPr>
        <w:tab/>
        <w:t xml:space="preserve">J. C. Cheng, J. H. Evans, K. S. Leung, J. A. Clark, T. T. Choy and P. C. Leung, </w:t>
      </w:r>
      <w:r w:rsidRPr="00DB1BCE">
        <w:rPr>
          <w:rFonts w:cs="Times New Roman"/>
          <w:i/>
          <w:iCs/>
          <w:noProof/>
          <w:lang w:val="en-US"/>
        </w:rPr>
        <w:t>Burns. Incl. Therm. Inj.</w:t>
      </w:r>
      <w:r w:rsidRPr="00DB1BCE">
        <w:rPr>
          <w:rFonts w:cs="Times New Roman"/>
          <w:noProof/>
          <w:lang w:val="en-US"/>
        </w:rPr>
        <w:t xml:space="preserve">, 1984, </w:t>
      </w:r>
      <w:r w:rsidRPr="00DB1BCE">
        <w:rPr>
          <w:rFonts w:cs="Times New Roman"/>
          <w:b/>
          <w:bCs/>
          <w:noProof/>
          <w:lang w:val="en-US"/>
        </w:rPr>
        <w:t>10</w:t>
      </w:r>
      <w:r w:rsidRPr="00DB1BCE">
        <w:rPr>
          <w:rFonts w:cs="Times New Roman"/>
          <w:noProof/>
          <w:lang w:val="en-US"/>
        </w:rPr>
        <w:t>, 154–163.</w:t>
      </w:r>
    </w:p>
    <w:p w14:paraId="7CF9AB4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48</w:t>
      </w:r>
      <w:r w:rsidRPr="00DB1BCE">
        <w:rPr>
          <w:rFonts w:cs="Times New Roman"/>
          <w:noProof/>
          <w:lang w:val="en-US"/>
        </w:rPr>
        <w:tab/>
        <w:t xml:space="preserve">S. Ripper, B. Renneberg, C. Landmann, G. Weigel and G. Germann, </w:t>
      </w:r>
      <w:r w:rsidRPr="00DB1BCE">
        <w:rPr>
          <w:rFonts w:cs="Times New Roman"/>
          <w:i/>
          <w:iCs/>
          <w:noProof/>
          <w:lang w:val="en-US"/>
        </w:rPr>
        <w:t>Burns</w:t>
      </w:r>
      <w:r w:rsidRPr="00DB1BCE">
        <w:rPr>
          <w:rFonts w:cs="Times New Roman"/>
          <w:noProof/>
          <w:lang w:val="en-US"/>
        </w:rPr>
        <w:t xml:space="preserve">, 2009, </w:t>
      </w:r>
      <w:r w:rsidRPr="00DB1BCE">
        <w:rPr>
          <w:rFonts w:cs="Times New Roman"/>
          <w:b/>
          <w:bCs/>
          <w:noProof/>
          <w:lang w:val="en-US"/>
        </w:rPr>
        <w:t>35</w:t>
      </w:r>
      <w:r w:rsidRPr="00DB1BCE">
        <w:rPr>
          <w:rFonts w:cs="Times New Roman"/>
          <w:noProof/>
          <w:lang w:val="en-US"/>
        </w:rPr>
        <w:t>, 657–664.</w:t>
      </w:r>
    </w:p>
    <w:p w14:paraId="112D0FF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49</w:t>
      </w:r>
      <w:r w:rsidRPr="00DB1BCE">
        <w:rPr>
          <w:rFonts w:cs="Times New Roman"/>
          <w:noProof/>
          <w:lang w:val="en-US"/>
        </w:rPr>
        <w:tab/>
        <w:t xml:space="preserve">L. H. Engrav, D. M. Heimbach, F. P. Rivara, M. L. Moore, J. Wang, G. J. Carrougher, B. Costa, S. Numhom, J. Calderon and N. S. Gibran, </w:t>
      </w:r>
      <w:r w:rsidRPr="00DB1BCE">
        <w:rPr>
          <w:rFonts w:cs="Times New Roman"/>
          <w:i/>
          <w:iCs/>
          <w:noProof/>
          <w:lang w:val="en-US"/>
        </w:rPr>
        <w:t>Burns</w:t>
      </w:r>
      <w:r w:rsidRPr="00DB1BCE">
        <w:rPr>
          <w:rFonts w:cs="Times New Roman"/>
          <w:noProof/>
          <w:lang w:val="en-US"/>
        </w:rPr>
        <w:t xml:space="preserve">, 2010, </w:t>
      </w:r>
      <w:r w:rsidRPr="00DB1BCE">
        <w:rPr>
          <w:rFonts w:cs="Times New Roman"/>
          <w:b/>
          <w:bCs/>
          <w:noProof/>
          <w:lang w:val="en-US"/>
        </w:rPr>
        <w:t>36</w:t>
      </w:r>
      <w:r w:rsidRPr="00DB1BCE">
        <w:rPr>
          <w:rFonts w:cs="Times New Roman"/>
          <w:noProof/>
          <w:lang w:val="en-US"/>
        </w:rPr>
        <w:t>, 975–983.</w:t>
      </w:r>
    </w:p>
    <w:p w14:paraId="08C99DA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50</w:t>
      </w:r>
      <w:r w:rsidRPr="00DB1BCE">
        <w:rPr>
          <w:rFonts w:cs="Times New Roman"/>
          <w:noProof/>
          <w:lang w:val="en-US"/>
        </w:rPr>
        <w:tab/>
        <w:t xml:space="preserve">J. Kim, J. Willard, D. Supp, S. Roy, G. Gordillo, C. Sen and H. Powell, </w:t>
      </w:r>
      <w:r w:rsidRPr="00DB1BCE">
        <w:rPr>
          <w:rFonts w:cs="Times New Roman"/>
          <w:i/>
          <w:iCs/>
          <w:noProof/>
          <w:lang w:val="en-US"/>
        </w:rPr>
        <w:t>Plast. Reconstr. Surg.</w:t>
      </w:r>
      <w:r w:rsidRPr="00DB1BCE">
        <w:rPr>
          <w:rFonts w:cs="Times New Roman"/>
          <w:noProof/>
          <w:lang w:val="en-US"/>
        </w:rPr>
        <w:t xml:space="preserve">, 2015, </w:t>
      </w:r>
      <w:r w:rsidRPr="00DB1BCE">
        <w:rPr>
          <w:rFonts w:cs="Times New Roman"/>
          <w:b/>
          <w:bCs/>
          <w:noProof/>
          <w:lang w:val="en-US"/>
        </w:rPr>
        <w:t>136</w:t>
      </w:r>
      <w:r w:rsidRPr="00DB1BCE">
        <w:rPr>
          <w:rFonts w:cs="Times New Roman"/>
          <w:noProof/>
          <w:lang w:val="en-US"/>
        </w:rPr>
        <w:t>, 572–581.</w:t>
      </w:r>
    </w:p>
    <w:p w14:paraId="39B1778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51</w:t>
      </w:r>
      <w:r w:rsidRPr="00DB1BCE">
        <w:rPr>
          <w:rFonts w:cs="Times New Roman"/>
          <w:noProof/>
          <w:lang w:val="en-US"/>
        </w:rPr>
        <w:tab/>
        <w:t xml:space="preserve">F. Procter, </w:t>
      </w:r>
      <w:r w:rsidRPr="00DB1BCE">
        <w:rPr>
          <w:rFonts w:cs="Times New Roman"/>
          <w:i/>
          <w:iCs/>
          <w:noProof/>
          <w:lang w:val="en-US"/>
        </w:rPr>
        <w:t>Indian J. Plast. Surg.</w:t>
      </w:r>
      <w:r w:rsidRPr="00DB1BCE">
        <w:rPr>
          <w:rFonts w:cs="Times New Roman"/>
          <w:noProof/>
          <w:lang w:val="en-US"/>
        </w:rPr>
        <w:t xml:space="preserve">, 2010, </w:t>
      </w:r>
      <w:r w:rsidRPr="00DB1BCE">
        <w:rPr>
          <w:rFonts w:cs="Times New Roman"/>
          <w:b/>
          <w:bCs/>
          <w:noProof/>
          <w:lang w:val="en-US"/>
        </w:rPr>
        <w:t>43</w:t>
      </w:r>
      <w:r w:rsidRPr="00DB1BCE">
        <w:rPr>
          <w:rFonts w:cs="Times New Roman"/>
          <w:noProof/>
          <w:lang w:val="en-US"/>
        </w:rPr>
        <w:t>, S101–S113.</w:t>
      </w:r>
    </w:p>
    <w:p w14:paraId="6843D69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52</w:t>
      </w:r>
      <w:r w:rsidRPr="00DB1BCE">
        <w:rPr>
          <w:rFonts w:cs="Times New Roman"/>
          <w:noProof/>
          <w:lang w:val="en-US"/>
        </w:rPr>
        <w:tab/>
        <w:t xml:space="preserve">A. Anzarut, J. Olson, P. Singh, B. H. Rowe and E. E. Tredget, </w:t>
      </w:r>
      <w:r w:rsidRPr="00DB1BCE">
        <w:rPr>
          <w:rFonts w:cs="Times New Roman"/>
          <w:i/>
          <w:iCs/>
          <w:noProof/>
          <w:lang w:val="en-US"/>
        </w:rPr>
        <w:t>J. Plast. Reconstr. Aesthetic Surg.</w:t>
      </w:r>
      <w:r w:rsidRPr="00DB1BCE">
        <w:rPr>
          <w:rFonts w:cs="Times New Roman"/>
          <w:noProof/>
          <w:lang w:val="en-US"/>
        </w:rPr>
        <w:t xml:space="preserve">, 2009, </w:t>
      </w:r>
      <w:r w:rsidRPr="00DB1BCE">
        <w:rPr>
          <w:rFonts w:cs="Times New Roman"/>
          <w:b/>
          <w:bCs/>
          <w:noProof/>
          <w:lang w:val="en-US"/>
        </w:rPr>
        <w:t>62</w:t>
      </w:r>
      <w:r w:rsidRPr="00DB1BCE">
        <w:rPr>
          <w:rFonts w:cs="Times New Roman"/>
          <w:noProof/>
          <w:lang w:val="en-US"/>
        </w:rPr>
        <w:t>, 77–84.</w:t>
      </w:r>
    </w:p>
    <w:p w14:paraId="0D8CBA4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53</w:t>
      </w:r>
      <w:r w:rsidRPr="00DB1BCE">
        <w:rPr>
          <w:rFonts w:cs="Times New Roman"/>
          <w:noProof/>
          <w:lang w:val="en-US"/>
        </w:rPr>
        <w:tab/>
        <w:t xml:space="preserve">H. J. Schouten, M. K. Nieuwenhuis and P. P. M. Van Zuijlen, </w:t>
      </w:r>
      <w:r w:rsidRPr="00DB1BCE">
        <w:rPr>
          <w:rFonts w:cs="Times New Roman"/>
          <w:i/>
          <w:iCs/>
          <w:noProof/>
          <w:lang w:val="en-US"/>
        </w:rPr>
        <w:t>Burns</w:t>
      </w:r>
      <w:r w:rsidRPr="00DB1BCE">
        <w:rPr>
          <w:rFonts w:cs="Times New Roman"/>
          <w:noProof/>
          <w:lang w:val="en-US"/>
        </w:rPr>
        <w:t>, 2012, 38, 19–25.</w:t>
      </w:r>
    </w:p>
    <w:p w14:paraId="6AD1D6B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54</w:t>
      </w:r>
      <w:r w:rsidRPr="00DB1BCE">
        <w:rPr>
          <w:rFonts w:cs="Times New Roman"/>
          <w:noProof/>
          <w:lang w:val="en-US"/>
        </w:rPr>
        <w:tab/>
        <w:t xml:space="preserve">J. Johnson, B. Greenspan, D. Gorga, W. Nagler and C. Goodwin, </w:t>
      </w:r>
      <w:r w:rsidRPr="00DB1BCE">
        <w:rPr>
          <w:rFonts w:cs="Times New Roman"/>
          <w:i/>
          <w:iCs/>
          <w:noProof/>
          <w:lang w:val="en-US"/>
        </w:rPr>
        <w:t>J. Burn Care Rehabil.</w:t>
      </w:r>
      <w:r w:rsidRPr="00DB1BCE">
        <w:rPr>
          <w:rFonts w:cs="Times New Roman"/>
          <w:noProof/>
          <w:lang w:val="en-US"/>
        </w:rPr>
        <w:t xml:space="preserve">, 1994, </w:t>
      </w:r>
      <w:r w:rsidRPr="00DB1BCE">
        <w:rPr>
          <w:rFonts w:cs="Times New Roman"/>
          <w:b/>
          <w:bCs/>
          <w:noProof/>
          <w:lang w:val="en-US"/>
        </w:rPr>
        <w:t>15</w:t>
      </w:r>
      <w:r w:rsidRPr="00DB1BCE">
        <w:rPr>
          <w:rFonts w:cs="Times New Roman"/>
          <w:noProof/>
          <w:lang w:val="en-US"/>
        </w:rPr>
        <w:t>, 180–8.</w:t>
      </w:r>
    </w:p>
    <w:p w14:paraId="0F27A79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55</w:t>
      </w:r>
      <w:r w:rsidRPr="00DB1BCE">
        <w:rPr>
          <w:rFonts w:cs="Times New Roman"/>
          <w:noProof/>
          <w:lang w:val="en-US"/>
        </w:rPr>
        <w:tab/>
        <w:t xml:space="preserve">B. S. Atiyeh, A. M. El Khatib and S. A. Dibo, </w:t>
      </w:r>
      <w:r w:rsidRPr="00DB1BCE">
        <w:rPr>
          <w:rFonts w:cs="Times New Roman"/>
          <w:i/>
          <w:iCs/>
          <w:noProof/>
          <w:lang w:val="en-US"/>
        </w:rPr>
        <w:t>Ann. Burns Fire Disasters</w:t>
      </w:r>
      <w:r w:rsidRPr="00DB1BCE">
        <w:rPr>
          <w:rFonts w:cs="Times New Roman"/>
          <w:noProof/>
          <w:lang w:val="en-US"/>
        </w:rPr>
        <w:t xml:space="preserve">, 2013, </w:t>
      </w:r>
      <w:r w:rsidRPr="00DB1BCE">
        <w:rPr>
          <w:rFonts w:cs="Times New Roman"/>
          <w:b/>
          <w:bCs/>
          <w:noProof/>
          <w:lang w:val="en-US"/>
        </w:rPr>
        <w:t>26</w:t>
      </w:r>
      <w:r w:rsidRPr="00DB1BCE">
        <w:rPr>
          <w:rFonts w:cs="Times New Roman"/>
          <w:noProof/>
          <w:lang w:val="en-US"/>
        </w:rPr>
        <w:t>, 205–212.</w:t>
      </w:r>
    </w:p>
    <w:p w14:paraId="7F5515C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56</w:t>
      </w:r>
      <w:r w:rsidRPr="00DB1BCE">
        <w:rPr>
          <w:rFonts w:cs="Times New Roman"/>
          <w:noProof/>
          <w:lang w:val="en-US"/>
        </w:rPr>
        <w:tab/>
        <w:t>G. Medical Inc, .</w:t>
      </w:r>
    </w:p>
    <w:p w14:paraId="7E328AC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57</w:t>
      </w:r>
      <w:r w:rsidRPr="00DB1BCE">
        <w:rPr>
          <w:rFonts w:cs="Times New Roman"/>
          <w:noProof/>
          <w:lang w:val="en-US"/>
        </w:rPr>
        <w:tab/>
        <w:t xml:space="preserve">D. A. Hudson and A. Renshaw, </w:t>
      </w:r>
      <w:r w:rsidRPr="00DB1BCE">
        <w:rPr>
          <w:rFonts w:cs="Times New Roman"/>
          <w:i/>
          <w:iCs/>
          <w:noProof/>
          <w:lang w:val="en-US"/>
        </w:rPr>
        <w:t>Burns</w:t>
      </w:r>
      <w:r w:rsidRPr="00DB1BCE">
        <w:rPr>
          <w:rFonts w:cs="Times New Roman"/>
          <w:noProof/>
          <w:lang w:val="en-US"/>
        </w:rPr>
        <w:t>, 2006, 32, 663–668.</w:t>
      </w:r>
    </w:p>
    <w:p w14:paraId="7401DEF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58</w:t>
      </w:r>
      <w:r w:rsidRPr="00DB1BCE">
        <w:rPr>
          <w:rFonts w:cs="Times New Roman"/>
          <w:noProof/>
          <w:lang w:val="en-US"/>
        </w:rPr>
        <w:tab/>
        <w:t xml:space="preserve">J. L. Walden, H. Garcia, H. Hawkins, J. R. Crouchet, L. Traber and D. C. Gore, </w:t>
      </w:r>
      <w:r w:rsidRPr="00DB1BCE">
        <w:rPr>
          <w:rFonts w:cs="Times New Roman"/>
          <w:i/>
          <w:iCs/>
          <w:noProof/>
          <w:lang w:val="en-US"/>
        </w:rPr>
        <w:t>Ann. Plast. Surg.</w:t>
      </w:r>
      <w:r w:rsidRPr="00DB1BCE">
        <w:rPr>
          <w:rFonts w:cs="Times New Roman"/>
          <w:noProof/>
          <w:lang w:val="en-US"/>
        </w:rPr>
        <w:t xml:space="preserve">, 2000, </w:t>
      </w:r>
      <w:r w:rsidRPr="00DB1BCE">
        <w:rPr>
          <w:rFonts w:cs="Times New Roman"/>
          <w:b/>
          <w:bCs/>
          <w:noProof/>
          <w:lang w:val="en-US"/>
        </w:rPr>
        <w:t>45</w:t>
      </w:r>
      <w:r w:rsidRPr="00DB1BCE">
        <w:rPr>
          <w:rFonts w:cs="Times New Roman"/>
          <w:noProof/>
          <w:lang w:val="en-US"/>
        </w:rPr>
        <w:t>, 162–166.</w:t>
      </w:r>
    </w:p>
    <w:p w14:paraId="06D35CE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59</w:t>
      </w:r>
      <w:r w:rsidRPr="00DB1BCE">
        <w:rPr>
          <w:rFonts w:cs="Times New Roman"/>
          <w:noProof/>
          <w:lang w:val="en-US"/>
        </w:rPr>
        <w:tab/>
        <w:t xml:space="preserve">A. B. Berezovsky, V. A. Pagkalos and E. Silberstein, </w:t>
      </w:r>
      <w:r w:rsidRPr="00DB1BCE">
        <w:rPr>
          <w:rFonts w:cs="Times New Roman"/>
          <w:i/>
          <w:iCs/>
          <w:noProof/>
          <w:lang w:val="en-US"/>
        </w:rPr>
        <w:t>Plast. Aesthetic Res.</w:t>
      </w:r>
      <w:r w:rsidRPr="00DB1BCE">
        <w:rPr>
          <w:rFonts w:cs="Times New Roman"/>
          <w:noProof/>
          <w:lang w:val="en-US"/>
        </w:rPr>
        <w:t xml:space="preserve">, 2015, </w:t>
      </w:r>
      <w:r w:rsidRPr="00DB1BCE">
        <w:rPr>
          <w:rFonts w:cs="Times New Roman"/>
          <w:b/>
          <w:bCs/>
          <w:noProof/>
          <w:lang w:val="en-US"/>
        </w:rPr>
        <w:t>2</w:t>
      </w:r>
      <w:r w:rsidRPr="00DB1BCE">
        <w:rPr>
          <w:rFonts w:cs="Times New Roman"/>
          <w:noProof/>
          <w:lang w:val="en-US"/>
        </w:rPr>
        <w:t>, 22–26.</w:t>
      </w:r>
    </w:p>
    <w:p w14:paraId="75A00C8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60</w:t>
      </w:r>
      <w:r w:rsidRPr="00DB1BCE">
        <w:rPr>
          <w:rFonts w:cs="Times New Roman"/>
          <w:noProof/>
          <w:lang w:val="en-US"/>
        </w:rPr>
        <w:tab/>
        <w:t xml:space="preserve">M. Abercrombie, </w:t>
      </w:r>
      <w:r w:rsidRPr="00DB1BCE">
        <w:rPr>
          <w:rFonts w:cs="Times New Roman"/>
          <w:i/>
          <w:iCs/>
          <w:noProof/>
          <w:lang w:val="en-US"/>
        </w:rPr>
        <w:t>J. Embryol. Exp. Morphol.</w:t>
      </w:r>
      <w:r w:rsidRPr="00DB1BCE">
        <w:rPr>
          <w:rFonts w:cs="Times New Roman"/>
          <w:noProof/>
          <w:lang w:val="en-US"/>
        </w:rPr>
        <w:t xml:space="preserve">, 1956, </w:t>
      </w:r>
      <w:r w:rsidRPr="00DB1BCE">
        <w:rPr>
          <w:rFonts w:cs="Times New Roman"/>
          <w:b/>
          <w:bCs/>
          <w:noProof/>
          <w:lang w:val="en-US"/>
        </w:rPr>
        <w:t>4</w:t>
      </w:r>
      <w:r w:rsidRPr="00DB1BCE">
        <w:rPr>
          <w:rFonts w:cs="Times New Roman"/>
          <w:noProof/>
          <w:lang w:val="en-US"/>
        </w:rPr>
        <w:t>, 167–175.</w:t>
      </w:r>
    </w:p>
    <w:p w14:paraId="180D14C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61</w:t>
      </w:r>
      <w:r w:rsidRPr="00DB1BCE">
        <w:rPr>
          <w:rFonts w:cs="Times New Roman"/>
          <w:noProof/>
          <w:lang w:val="en-US"/>
        </w:rPr>
        <w:tab/>
        <w:t xml:space="preserve">F. Grinnell, </w:t>
      </w:r>
      <w:r w:rsidRPr="00DB1BCE">
        <w:rPr>
          <w:rFonts w:cs="Times New Roman"/>
          <w:i/>
          <w:iCs/>
          <w:noProof/>
          <w:lang w:val="en-US"/>
        </w:rPr>
        <w:t>J. Cell Biol.</w:t>
      </w:r>
      <w:r w:rsidRPr="00DB1BCE">
        <w:rPr>
          <w:rFonts w:cs="Times New Roman"/>
          <w:noProof/>
          <w:lang w:val="en-US"/>
        </w:rPr>
        <w:t xml:space="preserve">, 1994, </w:t>
      </w:r>
      <w:r w:rsidRPr="00DB1BCE">
        <w:rPr>
          <w:rFonts w:cs="Times New Roman"/>
          <w:b/>
          <w:bCs/>
          <w:noProof/>
          <w:lang w:val="en-US"/>
        </w:rPr>
        <w:t>124</w:t>
      </w:r>
      <w:r w:rsidRPr="00DB1BCE">
        <w:rPr>
          <w:rFonts w:cs="Times New Roman"/>
          <w:noProof/>
          <w:lang w:val="en-US"/>
        </w:rPr>
        <w:t>, 401–404.</w:t>
      </w:r>
    </w:p>
    <w:p w14:paraId="48E39ED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62</w:t>
      </w:r>
      <w:r w:rsidRPr="00DB1BCE">
        <w:rPr>
          <w:rFonts w:cs="Times New Roman"/>
          <w:noProof/>
          <w:lang w:val="en-US"/>
        </w:rPr>
        <w:tab/>
        <w:t xml:space="preserve">G. Gabbiani, G. B. Ryan and G. Majno, </w:t>
      </w:r>
      <w:r w:rsidRPr="00DB1BCE">
        <w:rPr>
          <w:rFonts w:cs="Times New Roman"/>
          <w:i/>
          <w:iCs/>
          <w:noProof/>
          <w:lang w:val="en-US"/>
        </w:rPr>
        <w:t>Experientia</w:t>
      </w:r>
      <w:r w:rsidRPr="00DB1BCE">
        <w:rPr>
          <w:rFonts w:cs="Times New Roman"/>
          <w:noProof/>
          <w:lang w:val="en-US"/>
        </w:rPr>
        <w:t xml:space="preserve">, 1971, </w:t>
      </w:r>
      <w:r w:rsidRPr="00DB1BCE">
        <w:rPr>
          <w:rFonts w:cs="Times New Roman"/>
          <w:b/>
          <w:bCs/>
          <w:noProof/>
          <w:lang w:val="en-US"/>
        </w:rPr>
        <w:t>27</w:t>
      </w:r>
      <w:r w:rsidRPr="00DB1BCE">
        <w:rPr>
          <w:rFonts w:cs="Times New Roman"/>
          <w:noProof/>
          <w:lang w:val="en-US"/>
        </w:rPr>
        <w:t>, 549–550.</w:t>
      </w:r>
    </w:p>
    <w:p w14:paraId="5F526C6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63</w:t>
      </w:r>
      <w:r w:rsidRPr="00DB1BCE">
        <w:rPr>
          <w:rFonts w:cs="Times New Roman"/>
          <w:noProof/>
          <w:lang w:val="en-US"/>
        </w:rPr>
        <w:tab/>
        <w:t xml:space="preserve">A. Desmoulière, C. Chaponnier and G. Gabbiani, </w:t>
      </w:r>
      <w:r w:rsidRPr="00DB1BCE">
        <w:rPr>
          <w:rFonts w:cs="Times New Roman"/>
          <w:i/>
          <w:iCs/>
          <w:noProof/>
          <w:lang w:val="en-US"/>
        </w:rPr>
        <w:t>Wound repair Regen.</w:t>
      </w:r>
      <w:r w:rsidRPr="00DB1BCE">
        <w:rPr>
          <w:rFonts w:cs="Times New Roman"/>
          <w:noProof/>
          <w:lang w:val="en-US"/>
        </w:rPr>
        <w:t xml:space="preserve">, 2005, </w:t>
      </w:r>
      <w:r w:rsidRPr="00DB1BCE">
        <w:rPr>
          <w:rFonts w:cs="Times New Roman"/>
          <w:b/>
          <w:bCs/>
          <w:noProof/>
          <w:lang w:val="en-US"/>
        </w:rPr>
        <w:t>13</w:t>
      </w:r>
      <w:r w:rsidRPr="00DB1BCE">
        <w:rPr>
          <w:rFonts w:cs="Times New Roman"/>
          <w:noProof/>
          <w:lang w:val="en-US"/>
        </w:rPr>
        <w:t>, 7–12.</w:t>
      </w:r>
    </w:p>
    <w:p w14:paraId="7816CA9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64</w:t>
      </w:r>
      <w:r w:rsidRPr="00DB1BCE">
        <w:rPr>
          <w:rFonts w:cs="Times New Roman"/>
          <w:noProof/>
          <w:lang w:val="en-US"/>
        </w:rPr>
        <w:tab/>
        <w:t xml:space="preserve">G. Majno, G. Gabbiani, B. J. Hirschel, G. B. Ryan and P. R. Statkov, </w:t>
      </w:r>
      <w:r w:rsidRPr="00DB1BCE">
        <w:rPr>
          <w:rFonts w:cs="Times New Roman"/>
          <w:i/>
          <w:iCs/>
          <w:noProof/>
          <w:lang w:val="en-US"/>
        </w:rPr>
        <w:t>Science</w:t>
      </w:r>
      <w:r w:rsidRPr="00DB1BCE">
        <w:rPr>
          <w:rFonts w:cs="Times New Roman"/>
          <w:noProof/>
          <w:lang w:val="en-US"/>
        </w:rPr>
        <w:t xml:space="preserve">, 1971, </w:t>
      </w:r>
      <w:r w:rsidRPr="00DB1BCE">
        <w:rPr>
          <w:rFonts w:cs="Times New Roman"/>
          <w:b/>
          <w:bCs/>
          <w:noProof/>
          <w:lang w:val="en-US"/>
        </w:rPr>
        <w:t>173</w:t>
      </w:r>
      <w:r w:rsidRPr="00DB1BCE">
        <w:rPr>
          <w:rFonts w:cs="Times New Roman"/>
          <w:noProof/>
          <w:lang w:val="en-US"/>
        </w:rPr>
        <w:t>, 548–550.</w:t>
      </w:r>
    </w:p>
    <w:p w14:paraId="1D67151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65</w:t>
      </w:r>
      <w:r w:rsidRPr="00DB1BCE">
        <w:rPr>
          <w:rFonts w:cs="Times New Roman"/>
          <w:noProof/>
          <w:lang w:val="en-US"/>
        </w:rPr>
        <w:tab/>
        <w:t xml:space="preserve">D. Stopak and A. K. Harris, </w:t>
      </w:r>
      <w:r w:rsidRPr="00DB1BCE">
        <w:rPr>
          <w:rFonts w:cs="Times New Roman"/>
          <w:i/>
          <w:iCs/>
          <w:noProof/>
          <w:lang w:val="en-US"/>
        </w:rPr>
        <w:t>Dev. Biol.</w:t>
      </w:r>
      <w:r w:rsidRPr="00DB1BCE">
        <w:rPr>
          <w:rFonts w:cs="Times New Roman"/>
          <w:noProof/>
          <w:lang w:val="en-US"/>
        </w:rPr>
        <w:t xml:space="preserve">, 1982, </w:t>
      </w:r>
      <w:r w:rsidRPr="00DB1BCE">
        <w:rPr>
          <w:rFonts w:cs="Times New Roman"/>
          <w:b/>
          <w:bCs/>
          <w:noProof/>
          <w:lang w:val="en-US"/>
        </w:rPr>
        <w:t>90</w:t>
      </w:r>
      <w:r w:rsidRPr="00DB1BCE">
        <w:rPr>
          <w:rFonts w:cs="Times New Roman"/>
          <w:noProof/>
          <w:lang w:val="en-US"/>
        </w:rPr>
        <w:t>, 383–398.</w:t>
      </w:r>
    </w:p>
    <w:p w14:paraId="16A1E8F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66</w:t>
      </w:r>
      <w:r w:rsidRPr="00DB1BCE">
        <w:rPr>
          <w:rFonts w:cs="Times New Roman"/>
          <w:noProof/>
          <w:lang w:val="en-US"/>
        </w:rPr>
        <w:tab/>
        <w:t xml:space="preserve">H. P. Ehrlich and J. B. M. Rajaratnam, </w:t>
      </w:r>
      <w:r w:rsidRPr="00DB1BCE">
        <w:rPr>
          <w:rFonts w:cs="Times New Roman"/>
          <w:i/>
          <w:iCs/>
          <w:noProof/>
          <w:lang w:val="en-US"/>
        </w:rPr>
        <w:t>Tissue Cell</w:t>
      </w:r>
      <w:r w:rsidRPr="00DB1BCE">
        <w:rPr>
          <w:rFonts w:cs="Times New Roman"/>
          <w:noProof/>
          <w:lang w:val="en-US"/>
        </w:rPr>
        <w:t xml:space="preserve">, 1990, </w:t>
      </w:r>
      <w:r w:rsidRPr="00DB1BCE">
        <w:rPr>
          <w:rFonts w:cs="Times New Roman"/>
          <w:b/>
          <w:bCs/>
          <w:noProof/>
          <w:lang w:val="en-US"/>
        </w:rPr>
        <w:t>22</w:t>
      </w:r>
      <w:r w:rsidRPr="00DB1BCE">
        <w:rPr>
          <w:rFonts w:cs="Times New Roman"/>
          <w:noProof/>
          <w:lang w:val="en-US"/>
        </w:rPr>
        <w:t>, 407–417.</w:t>
      </w:r>
    </w:p>
    <w:p w14:paraId="5C72B64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67</w:t>
      </w:r>
      <w:r w:rsidRPr="00DB1BCE">
        <w:rPr>
          <w:rFonts w:cs="Times New Roman"/>
          <w:noProof/>
          <w:lang w:val="en-US"/>
        </w:rPr>
        <w:tab/>
        <w:t xml:space="preserve">D. P. Berry, K. G. Harding, M. R. Stanton, B. Jasani and H. P. Ehrlich, </w:t>
      </w:r>
      <w:r w:rsidRPr="00DB1BCE">
        <w:rPr>
          <w:rFonts w:cs="Times New Roman"/>
          <w:i/>
          <w:iCs/>
          <w:noProof/>
          <w:lang w:val="en-US"/>
        </w:rPr>
        <w:t>Plast. Reconstr. Surg.</w:t>
      </w:r>
      <w:r w:rsidRPr="00DB1BCE">
        <w:rPr>
          <w:rFonts w:cs="Times New Roman"/>
          <w:noProof/>
          <w:lang w:val="en-US"/>
        </w:rPr>
        <w:t xml:space="preserve">, 1998, </w:t>
      </w:r>
      <w:r w:rsidRPr="00DB1BCE">
        <w:rPr>
          <w:rFonts w:cs="Times New Roman"/>
          <w:b/>
          <w:bCs/>
          <w:noProof/>
          <w:lang w:val="en-US"/>
        </w:rPr>
        <w:t>102</w:t>
      </w:r>
      <w:r w:rsidRPr="00DB1BCE">
        <w:rPr>
          <w:rFonts w:cs="Times New Roman"/>
          <w:noProof/>
          <w:lang w:val="en-US"/>
        </w:rPr>
        <w:t>, 124-131; discussion 132-134.</w:t>
      </w:r>
    </w:p>
    <w:p w14:paraId="37C883C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68</w:t>
      </w:r>
      <w:r w:rsidRPr="00DB1BCE">
        <w:rPr>
          <w:rFonts w:cs="Times New Roman"/>
          <w:noProof/>
          <w:lang w:val="en-US"/>
        </w:rPr>
        <w:tab/>
        <w:t xml:space="preserve">J. M. Souren, M. Ponec and R. van Wijk, </w:t>
      </w:r>
      <w:r w:rsidRPr="00DB1BCE">
        <w:rPr>
          <w:rFonts w:cs="Times New Roman"/>
          <w:i/>
          <w:iCs/>
          <w:noProof/>
          <w:lang w:val="en-US"/>
        </w:rPr>
        <w:t>In Vitro Cell. Dev. Biol.</w:t>
      </w:r>
      <w:r w:rsidRPr="00DB1BCE">
        <w:rPr>
          <w:rFonts w:cs="Times New Roman"/>
          <w:noProof/>
          <w:lang w:val="en-US"/>
        </w:rPr>
        <w:t xml:space="preserve">, 1989, </w:t>
      </w:r>
      <w:r w:rsidRPr="00DB1BCE">
        <w:rPr>
          <w:rFonts w:cs="Times New Roman"/>
          <w:b/>
          <w:bCs/>
          <w:noProof/>
          <w:lang w:val="en-US"/>
        </w:rPr>
        <w:t>25</w:t>
      </w:r>
      <w:r w:rsidRPr="00DB1BCE">
        <w:rPr>
          <w:rFonts w:cs="Times New Roman"/>
          <w:noProof/>
          <w:lang w:val="en-US"/>
        </w:rPr>
        <w:t>, 1039–1045.</w:t>
      </w:r>
    </w:p>
    <w:p w14:paraId="227396E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69</w:t>
      </w:r>
      <w:r w:rsidRPr="00DB1BCE">
        <w:rPr>
          <w:rFonts w:cs="Times New Roman"/>
          <w:noProof/>
          <w:lang w:val="en-US"/>
        </w:rPr>
        <w:tab/>
        <w:t xml:space="preserve">J. P. Denefle, J. P. Lechaire and Q. L. Zhu, </w:t>
      </w:r>
      <w:r w:rsidRPr="00DB1BCE">
        <w:rPr>
          <w:rFonts w:cs="Times New Roman"/>
          <w:i/>
          <w:iCs/>
          <w:noProof/>
          <w:lang w:val="en-US"/>
        </w:rPr>
        <w:t>Tissue Cell</w:t>
      </w:r>
      <w:r w:rsidRPr="00DB1BCE">
        <w:rPr>
          <w:rFonts w:cs="Times New Roman"/>
          <w:noProof/>
          <w:lang w:val="en-US"/>
        </w:rPr>
        <w:t xml:space="preserve">, 1987, </w:t>
      </w:r>
      <w:r w:rsidRPr="00DB1BCE">
        <w:rPr>
          <w:rFonts w:cs="Times New Roman"/>
          <w:b/>
          <w:bCs/>
          <w:noProof/>
          <w:lang w:val="en-US"/>
        </w:rPr>
        <w:t>19</w:t>
      </w:r>
      <w:r w:rsidRPr="00DB1BCE">
        <w:rPr>
          <w:rFonts w:cs="Times New Roman"/>
          <w:noProof/>
          <w:lang w:val="en-US"/>
        </w:rPr>
        <w:t>, 469–478.</w:t>
      </w:r>
    </w:p>
    <w:p w14:paraId="476FCA5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70</w:t>
      </w:r>
      <w:r w:rsidRPr="00DB1BCE">
        <w:rPr>
          <w:rFonts w:cs="Times New Roman"/>
          <w:noProof/>
          <w:lang w:val="en-US"/>
        </w:rPr>
        <w:tab/>
        <w:t xml:space="preserve">J. H. Lillie, D. K. MacCallum and A. Jepsen, </w:t>
      </w:r>
      <w:r w:rsidRPr="00DB1BCE">
        <w:rPr>
          <w:rFonts w:cs="Times New Roman"/>
          <w:i/>
          <w:iCs/>
          <w:noProof/>
          <w:lang w:val="en-US"/>
        </w:rPr>
        <w:t>J. Invest. Dermatol.</w:t>
      </w:r>
      <w:r w:rsidRPr="00DB1BCE">
        <w:rPr>
          <w:rFonts w:cs="Times New Roman"/>
          <w:noProof/>
          <w:lang w:val="en-US"/>
        </w:rPr>
        <w:t xml:space="preserve">, 1988, </w:t>
      </w:r>
      <w:r w:rsidRPr="00DB1BCE">
        <w:rPr>
          <w:rFonts w:cs="Times New Roman"/>
          <w:b/>
          <w:bCs/>
          <w:noProof/>
          <w:lang w:val="en-US"/>
        </w:rPr>
        <w:t>90</w:t>
      </w:r>
      <w:r w:rsidRPr="00DB1BCE">
        <w:rPr>
          <w:rFonts w:cs="Times New Roman"/>
          <w:noProof/>
          <w:lang w:val="en-US"/>
        </w:rPr>
        <w:t>, 100–109.</w:t>
      </w:r>
    </w:p>
    <w:p w14:paraId="26B269F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71</w:t>
      </w:r>
      <w:r w:rsidRPr="00DB1BCE">
        <w:rPr>
          <w:rFonts w:cs="Times New Roman"/>
          <w:noProof/>
          <w:lang w:val="en-US"/>
        </w:rPr>
        <w:tab/>
        <w:t xml:space="preserve">I. A. Schafer, A. Shapiro, M. Kovach, C. Lang and R. B. Fratianne, </w:t>
      </w:r>
      <w:r w:rsidRPr="00DB1BCE">
        <w:rPr>
          <w:rFonts w:cs="Times New Roman"/>
          <w:i/>
          <w:iCs/>
          <w:noProof/>
          <w:lang w:val="en-US"/>
        </w:rPr>
        <w:t>Exp. Cell Res.</w:t>
      </w:r>
      <w:r w:rsidRPr="00DB1BCE">
        <w:rPr>
          <w:rFonts w:cs="Times New Roman"/>
          <w:noProof/>
          <w:lang w:val="en-US"/>
        </w:rPr>
        <w:t xml:space="preserve">, 1989, </w:t>
      </w:r>
      <w:r w:rsidRPr="00DB1BCE">
        <w:rPr>
          <w:rFonts w:cs="Times New Roman"/>
          <w:b/>
          <w:bCs/>
          <w:noProof/>
          <w:lang w:val="en-US"/>
        </w:rPr>
        <w:t>183</w:t>
      </w:r>
      <w:r w:rsidRPr="00DB1BCE">
        <w:rPr>
          <w:rFonts w:cs="Times New Roman"/>
          <w:noProof/>
          <w:lang w:val="en-US"/>
        </w:rPr>
        <w:t>, 112–125.</w:t>
      </w:r>
    </w:p>
    <w:p w14:paraId="2596D91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72</w:t>
      </w:r>
      <w:r w:rsidRPr="00DB1BCE">
        <w:rPr>
          <w:rFonts w:cs="Times New Roman"/>
          <w:noProof/>
          <w:lang w:val="en-US"/>
        </w:rPr>
        <w:tab/>
        <w:t xml:space="preserve">J. Rakar, M. P. Krammer and G. Kratz, </w:t>
      </w:r>
      <w:r w:rsidRPr="00DB1BCE">
        <w:rPr>
          <w:rFonts w:cs="Times New Roman"/>
          <w:i/>
          <w:iCs/>
          <w:noProof/>
          <w:lang w:val="en-US"/>
        </w:rPr>
        <w:t>Burns</w:t>
      </w:r>
      <w:r w:rsidRPr="00DB1BCE">
        <w:rPr>
          <w:rFonts w:cs="Times New Roman"/>
          <w:noProof/>
          <w:lang w:val="en-US"/>
        </w:rPr>
        <w:t xml:space="preserve">, 2015, </w:t>
      </w:r>
      <w:r w:rsidRPr="00DB1BCE">
        <w:rPr>
          <w:rFonts w:cs="Times New Roman"/>
          <w:b/>
          <w:bCs/>
          <w:noProof/>
          <w:lang w:val="en-US"/>
        </w:rPr>
        <w:t>41</w:t>
      </w:r>
      <w:r w:rsidRPr="00DB1BCE">
        <w:rPr>
          <w:rFonts w:cs="Times New Roman"/>
          <w:noProof/>
          <w:lang w:val="en-US"/>
        </w:rPr>
        <w:t>, 1035–1042.</w:t>
      </w:r>
    </w:p>
    <w:p w14:paraId="2713AE2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73</w:t>
      </w:r>
      <w:r w:rsidRPr="00DB1BCE">
        <w:rPr>
          <w:rFonts w:cs="Times New Roman"/>
          <w:noProof/>
          <w:lang w:val="en-US"/>
        </w:rPr>
        <w:tab/>
        <w:t xml:space="preserve">D. R. Ralston, C. Layton, A. J. Dalley, S. G. Boyce, E. Freedlander and S. MacNeil, </w:t>
      </w:r>
      <w:r w:rsidRPr="00DB1BCE">
        <w:rPr>
          <w:rFonts w:cs="Times New Roman"/>
          <w:i/>
          <w:iCs/>
          <w:noProof/>
          <w:lang w:val="en-US"/>
        </w:rPr>
        <w:t>Br. J. Plast. Surg.</w:t>
      </w:r>
      <w:r w:rsidRPr="00DB1BCE">
        <w:rPr>
          <w:rFonts w:cs="Times New Roman"/>
          <w:noProof/>
          <w:lang w:val="en-US"/>
        </w:rPr>
        <w:t xml:space="preserve">, 1997, </w:t>
      </w:r>
      <w:r w:rsidRPr="00DB1BCE">
        <w:rPr>
          <w:rFonts w:cs="Times New Roman"/>
          <w:b/>
          <w:bCs/>
          <w:noProof/>
          <w:lang w:val="en-US"/>
        </w:rPr>
        <w:t>50</w:t>
      </w:r>
      <w:r w:rsidRPr="00DB1BCE">
        <w:rPr>
          <w:rFonts w:cs="Times New Roman"/>
          <w:noProof/>
          <w:lang w:val="en-US"/>
        </w:rPr>
        <w:t>, 408–415.</w:t>
      </w:r>
    </w:p>
    <w:p w14:paraId="390C399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74</w:t>
      </w:r>
      <w:r w:rsidRPr="00DB1BCE">
        <w:rPr>
          <w:rFonts w:cs="Times New Roman"/>
          <w:noProof/>
          <w:lang w:val="en-US"/>
        </w:rPr>
        <w:tab/>
        <w:t xml:space="preserve">K. H. Chakrabarty, M. Heaton, A. J. Dalley, R. A. Dawson, E. Freedlander, P. T. Khaw and S. Mac Neil, </w:t>
      </w:r>
      <w:r w:rsidRPr="00DB1BCE">
        <w:rPr>
          <w:rFonts w:cs="Times New Roman"/>
          <w:i/>
          <w:iCs/>
          <w:noProof/>
          <w:lang w:val="en-US"/>
        </w:rPr>
        <w:t>Wound Repair Regen.</w:t>
      </w:r>
      <w:r w:rsidRPr="00DB1BCE">
        <w:rPr>
          <w:rFonts w:cs="Times New Roman"/>
          <w:noProof/>
          <w:lang w:val="en-US"/>
        </w:rPr>
        <w:t xml:space="preserve">, 2001, </w:t>
      </w:r>
      <w:r w:rsidRPr="00DB1BCE">
        <w:rPr>
          <w:rFonts w:cs="Times New Roman"/>
          <w:b/>
          <w:bCs/>
          <w:noProof/>
          <w:lang w:val="en-US"/>
        </w:rPr>
        <w:t>9</w:t>
      </w:r>
      <w:r w:rsidRPr="00DB1BCE">
        <w:rPr>
          <w:rFonts w:cs="Times New Roman"/>
          <w:noProof/>
          <w:lang w:val="en-US"/>
        </w:rPr>
        <w:t>, 95–106.</w:t>
      </w:r>
    </w:p>
    <w:p w14:paraId="2509937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75</w:t>
      </w:r>
      <w:r w:rsidRPr="00DB1BCE">
        <w:rPr>
          <w:rFonts w:cs="Times New Roman"/>
          <w:noProof/>
          <w:lang w:val="en-US"/>
        </w:rPr>
        <w:tab/>
        <w:t xml:space="preserve">T. Elsdale and J. Bard, </w:t>
      </w:r>
      <w:r w:rsidRPr="00DB1BCE">
        <w:rPr>
          <w:rFonts w:cs="Times New Roman"/>
          <w:i/>
          <w:iCs/>
          <w:noProof/>
          <w:lang w:val="en-US"/>
        </w:rPr>
        <w:t>J. Cell Biol.</w:t>
      </w:r>
      <w:r w:rsidRPr="00DB1BCE">
        <w:rPr>
          <w:rFonts w:cs="Times New Roman"/>
          <w:noProof/>
          <w:lang w:val="en-US"/>
        </w:rPr>
        <w:t xml:space="preserve">, 1972, </w:t>
      </w:r>
      <w:r w:rsidRPr="00DB1BCE">
        <w:rPr>
          <w:rFonts w:cs="Times New Roman"/>
          <w:b/>
          <w:bCs/>
          <w:noProof/>
          <w:lang w:val="en-US"/>
        </w:rPr>
        <w:t>54</w:t>
      </w:r>
      <w:r w:rsidRPr="00DB1BCE">
        <w:rPr>
          <w:rFonts w:cs="Times New Roman"/>
          <w:noProof/>
          <w:lang w:val="en-US"/>
        </w:rPr>
        <w:t>, 626–637.</w:t>
      </w:r>
    </w:p>
    <w:p w14:paraId="7B6B3EF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76</w:t>
      </w:r>
      <w:r w:rsidRPr="00DB1BCE">
        <w:rPr>
          <w:rFonts w:cs="Times New Roman"/>
          <w:noProof/>
          <w:lang w:val="en-US"/>
        </w:rPr>
        <w:tab/>
        <w:t xml:space="preserve">E. Bell, B. Ivarsson and C. Merrill, </w:t>
      </w:r>
      <w:r w:rsidRPr="00DB1BCE">
        <w:rPr>
          <w:rFonts w:cs="Times New Roman"/>
          <w:i/>
          <w:iCs/>
          <w:noProof/>
          <w:lang w:val="en-US"/>
        </w:rPr>
        <w:t>Proc. Natl. Acad. Sci. U. S. A.</w:t>
      </w:r>
      <w:r w:rsidRPr="00DB1BCE">
        <w:rPr>
          <w:rFonts w:cs="Times New Roman"/>
          <w:noProof/>
          <w:lang w:val="en-US"/>
        </w:rPr>
        <w:t xml:space="preserve">, 1979, </w:t>
      </w:r>
      <w:r w:rsidRPr="00DB1BCE">
        <w:rPr>
          <w:rFonts w:cs="Times New Roman"/>
          <w:b/>
          <w:bCs/>
          <w:noProof/>
          <w:lang w:val="en-US"/>
        </w:rPr>
        <w:t>76</w:t>
      </w:r>
      <w:r w:rsidRPr="00DB1BCE">
        <w:rPr>
          <w:rFonts w:cs="Times New Roman"/>
          <w:noProof/>
          <w:lang w:val="en-US"/>
        </w:rPr>
        <w:t>, 1274–1278.</w:t>
      </w:r>
    </w:p>
    <w:p w14:paraId="5C5BFB9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77</w:t>
      </w:r>
      <w:r w:rsidRPr="00DB1BCE">
        <w:rPr>
          <w:rFonts w:cs="Times New Roman"/>
          <w:noProof/>
          <w:lang w:val="en-US"/>
        </w:rPr>
        <w:tab/>
        <w:t xml:space="preserve">J. C. Dallon and H. P. Ehrlich, </w:t>
      </w:r>
      <w:r w:rsidRPr="00DB1BCE">
        <w:rPr>
          <w:rFonts w:cs="Times New Roman"/>
          <w:i/>
          <w:iCs/>
          <w:noProof/>
          <w:lang w:val="en-US"/>
        </w:rPr>
        <w:t>Wound Repair Regen.</w:t>
      </w:r>
      <w:r w:rsidRPr="00DB1BCE">
        <w:rPr>
          <w:rFonts w:cs="Times New Roman"/>
          <w:noProof/>
          <w:lang w:val="en-US"/>
        </w:rPr>
        <w:t xml:space="preserve">, 2008, </w:t>
      </w:r>
      <w:r w:rsidRPr="00DB1BCE">
        <w:rPr>
          <w:rFonts w:cs="Times New Roman"/>
          <w:b/>
          <w:bCs/>
          <w:noProof/>
          <w:lang w:val="en-US"/>
        </w:rPr>
        <w:t>16</w:t>
      </w:r>
      <w:r w:rsidRPr="00DB1BCE">
        <w:rPr>
          <w:rFonts w:cs="Times New Roman"/>
          <w:noProof/>
          <w:lang w:val="en-US"/>
        </w:rPr>
        <w:t>, 472–479.</w:t>
      </w:r>
    </w:p>
    <w:p w14:paraId="4FD0034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78</w:t>
      </w:r>
      <w:r w:rsidRPr="00DB1BCE">
        <w:rPr>
          <w:rFonts w:cs="Times New Roman"/>
          <w:noProof/>
          <w:lang w:val="en-US"/>
        </w:rPr>
        <w:tab/>
        <w:t xml:space="preserve">C. A. Harrison, F. Gossiel, C. M. Layton, A. J. Bullock, T. Johnson, A. Blumsohn and S. MacNeil, </w:t>
      </w:r>
      <w:r w:rsidRPr="00DB1BCE">
        <w:rPr>
          <w:rFonts w:cs="Times New Roman"/>
          <w:i/>
          <w:iCs/>
          <w:noProof/>
          <w:lang w:val="en-US"/>
        </w:rPr>
        <w:t>Tissue Eng.</w:t>
      </w:r>
      <w:r w:rsidRPr="00DB1BCE">
        <w:rPr>
          <w:rFonts w:cs="Times New Roman"/>
          <w:noProof/>
          <w:lang w:val="en-US"/>
        </w:rPr>
        <w:t xml:space="preserve">, 2006, </w:t>
      </w:r>
      <w:r w:rsidRPr="00DB1BCE">
        <w:rPr>
          <w:rFonts w:cs="Times New Roman"/>
          <w:b/>
          <w:bCs/>
          <w:noProof/>
          <w:lang w:val="en-US"/>
        </w:rPr>
        <w:t>12</w:t>
      </w:r>
      <w:r w:rsidRPr="00DB1BCE">
        <w:rPr>
          <w:rFonts w:cs="Times New Roman"/>
          <w:noProof/>
          <w:lang w:val="en-US"/>
        </w:rPr>
        <w:t>, 3119–3133.</w:t>
      </w:r>
    </w:p>
    <w:p w14:paraId="7A1BC8A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79</w:t>
      </w:r>
      <w:r w:rsidRPr="00DB1BCE">
        <w:rPr>
          <w:rFonts w:cs="Times New Roman"/>
          <w:noProof/>
          <w:lang w:val="en-US"/>
        </w:rPr>
        <w:tab/>
        <w:t xml:space="preserve">R. A. Redden and E. J. Doolin, </w:t>
      </w:r>
      <w:r w:rsidRPr="00DB1BCE">
        <w:rPr>
          <w:rFonts w:cs="Times New Roman"/>
          <w:i/>
          <w:iCs/>
          <w:noProof/>
          <w:lang w:val="en-US"/>
        </w:rPr>
        <w:t>Ski. Res. Technol.</w:t>
      </w:r>
      <w:r w:rsidRPr="00DB1BCE">
        <w:rPr>
          <w:rFonts w:cs="Times New Roman"/>
          <w:noProof/>
          <w:lang w:val="en-US"/>
        </w:rPr>
        <w:t xml:space="preserve">, 2003, </w:t>
      </w:r>
      <w:r w:rsidRPr="00DB1BCE">
        <w:rPr>
          <w:rFonts w:cs="Times New Roman"/>
          <w:b/>
          <w:bCs/>
          <w:noProof/>
          <w:lang w:val="en-US"/>
        </w:rPr>
        <w:t>9</w:t>
      </w:r>
      <w:r w:rsidRPr="00DB1BCE">
        <w:rPr>
          <w:rFonts w:cs="Times New Roman"/>
          <w:noProof/>
          <w:lang w:val="en-US"/>
        </w:rPr>
        <w:t>, 290–293.</w:t>
      </w:r>
    </w:p>
    <w:p w14:paraId="16EDE8D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80</w:t>
      </w:r>
      <w:r w:rsidRPr="00DB1BCE">
        <w:rPr>
          <w:rFonts w:cs="Times New Roman"/>
          <w:noProof/>
          <w:lang w:val="en-US"/>
        </w:rPr>
        <w:tab/>
        <w:t xml:space="preserve">C. J. Saux, H. Tronecker, L. Bogic, G. D. Bryant-greenwood, C. D. Boyd and K. Csiszar, </w:t>
      </w:r>
      <w:r w:rsidRPr="00DB1BCE">
        <w:rPr>
          <w:rFonts w:cs="Times New Roman"/>
          <w:i/>
          <w:iCs/>
          <w:noProof/>
          <w:lang w:val="en-US"/>
        </w:rPr>
        <w:t>J. Biol. Chem.</w:t>
      </w:r>
      <w:r w:rsidRPr="00DB1BCE">
        <w:rPr>
          <w:rFonts w:cs="Times New Roman"/>
          <w:noProof/>
          <w:lang w:val="en-US"/>
        </w:rPr>
        <w:t xml:space="preserve">, 1999, </w:t>
      </w:r>
      <w:r w:rsidRPr="00DB1BCE">
        <w:rPr>
          <w:rFonts w:cs="Times New Roman"/>
          <w:b/>
          <w:bCs/>
          <w:noProof/>
          <w:lang w:val="en-US"/>
        </w:rPr>
        <w:t>274</w:t>
      </w:r>
      <w:r w:rsidRPr="00DB1BCE">
        <w:rPr>
          <w:rFonts w:cs="Times New Roman"/>
          <w:noProof/>
          <w:lang w:val="en-US"/>
        </w:rPr>
        <w:t>, 12939–12944.</w:t>
      </w:r>
    </w:p>
    <w:p w14:paraId="400B4EA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81</w:t>
      </w:r>
      <w:r w:rsidRPr="00DB1BCE">
        <w:rPr>
          <w:rFonts w:cs="Times New Roman"/>
          <w:noProof/>
          <w:lang w:val="en-US"/>
        </w:rPr>
        <w:tab/>
        <w:t xml:space="preserve">H. A. Lucero and H. M. Kagan, </w:t>
      </w:r>
      <w:r w:rsidRPr="00DB1BCE">
        <w:rPr>
          <w:rFonts w:cs="Times New Roman"/>
          <w:i/>
          <w:iCs/>
          <w:noProof/>
          <w:lang w:val="en-US"/>
        </w:rPr>
        <w:t>Cell. Mol. Life Sci.</w:t>
      </w:r>
      <w:r w:rsidRPr="00DB1BCE">
        <w:rPr>
          <w:rFonts w:cs="Times New Roman"/>
          <w:noProof/>
          <w:lang w:val="en-US"/>
        </w:rPr>
        <w:t xml:space="preserve">, 2006, </w:t>
      </w:r>
      <w:r w:rsidRPr="00DB1BCE">
        <w:rPr>
          <w:rFonts w:cs="Times New Roman"/>
          <w:b/>
          <w:bCs/>
          <w:noProof/>
          <w:lang w:val="en-US"/>
        </w:rPr>
        <w:t>63</w:t>
      </w:r>
      <w:r w:rsidRPr="00DB1BCE">
        <w:rPr>
          <w:rFonts w:cs="Times New Roman"/>
          <w:noProof/>
          <w:lang w:val="en-US"/>
        </w:rPr>
        <w:t>, 2304–2316.</w:t>
      </w:r>
    </w:p>
    <w:p w14:paraId="0CD5843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82</w:t>
      </w:r>
      <w:r w:rsidRPr="00DB1BCE">
        <w:rPr>
          <w:rFonts w:cs="Times New Roman"/>
          <w:noProof/>
          <w:lang w:val="en-US"/>
        </w:rPr>
        <w:tab/>
        <w:t xml:space="preserve">E. D. Harris, </w:t>
      </w:r>
      <w:r w:rsidRPr="00DB1BCE">
        <w:rPr>
          <w:rFonts w:cs="Times New Roman"/>
          <w:i/>
          <w:iCs/>
          <w:noProof/>
          <w:lang w:val="en-US"/>
        </w:rPr>
        <w:t>Proc. Nat. Acad. Sci</w:t>
      </w:r>
      <w:r w:rsidRPr="00DB1BCE">
        <w:rPr>
          <w:rFonts w:cs="Times New Roman"/>
          <w:noProof/>
          <w:lang w:val="en-US"/>
        </w:rPr>
        <w:t xml:space="preserve">, 1976, </w:t>
      </w:r>
      <w:r w:rsidRPr="00DB1BCE">
        <w:rPr>
          <w:rFonts w:cs="Times New Roman"/>
          <w:b/>
          <w:bCs/>
          <w:noProof/>
          <w:lang w:val="en-US"/>
        </w:rPr>
        <w:t>73</w:t>
      </w:r>
      <w:r w:rsidRPr="00DB1BCE">
        <w:rPr>
          <w:rFonts w:cs="Times New Roman"/>
          <w:noProof/>
          <w:lang w:val="en-US"/>
        </w:rPr>
        <w:t>, 371–374.</w:t>
      </w:r>
    </w:p>
    <w:p w14:paraId="763DC4C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83</w:t>
      </w:r>
      <w:r w:rsidRPr="00DB1BCE">
        <w:rPr>
          <w:rFonts w:cs="Times New Roman"/>
          <w:noProof/>
          <w:lang w:val="en-US"/>
        </w:rPr>
        <w:tab/>
        <w:t xml:space="preserve">S. R. Pinnell and G. R. Martin, </w:t>
      </w:r>
      <w:r w:rsidRPr="00DB1BCE">
        <w:rPr>
          <w:rFonts w:cs="Times New Roman"/>
          <w:i/>
          <w:iCs/>
          <w:noProof/>
          <w:lang w:val="en-US"/>
        </w:rPr>
        <w:t>Proc. Natl. Acad. Sci. U. S. A.</w:t>
      </w:r>
      <w:r w:rsidRPr="00DB1BCE">
        <w:rPr>
          <w:rFonts w:cs="Times New Roman"/>
          <w:noProof/>
          <w:lang w:val="en-US"/>
        </w:rPr>
        <w:t xml:space="preserve">, 1968, </w:t>
      </w:r>
      <w:r w:rsidRPr="00DB1BCE">
        <w:rPr>
          <w:rFonts w:cs="Times New Roman"/>
          <w:b/>
          <w:bCs/>
          <w:noProof/>
          <w:lang w:val="en-US"/>
        </w:rPr>
        <w:t>61</w:t>
      </w:r>
      <w:r w:rsidRPr="00DB1BCE">
        <w:rPr>
          <w:rFonts w:cs="Times New Roman"/>
          <w:noProof/>
          <w:lang w:val="en-US"/>
        </w:rPr>
        <w:t>, 708–716.</w:t>
      </w:r>
    </w:p>
    <w:p w14:paraId="3AB3439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84</w:t>
      </w:r>
      <w:r w:rsidRPr="00DB1BCE">
        <w:rPr>
          <w:rFonts w:cs="Times New Roman"/>
          <w:noProof/>
          <w:lang w:val="en-US"/>
        </w:rPr>
        <w:tab/>
        <w:t xml:space="preserve">R. C. Siegel, </w:t>
      </w:r>
      <w:r w:rsidRPr="00DB1BCE">
        <w:rPr>
          <w:rFonts w:cs="Times New Roman"/>
          <w:i/>
          <w:iCs/>
          <w:noProof/>
          <w:lang w:val="en-US"/>
        </w:rPr>
        <w:t>Proc. Natl. Acad. Sci. U. S. A.</w:t>
      </w:r>
      <w:r w:rsidRPr="00DB1BCE">
        <w:rPr>
          <w:rFonts w:cs="Times New Roman"/>
          <w:noProof/>
          <w:lang w:val="en-US"/>
        </w:rPr>
        <w:t xml:space="preserve">, 1974, </w:t>
      </w:r>
      <w:r w:rsidRPr="00DB1BCE">
        <w:rPr>
          <w:rFonts w:cs="Times New Roman"/>
          <w:b/>
          <w:bCs/>
          <w:noProof/>
          <w:lang w:val="en-US"/>
        </w:rPr>
        <w:t>71</w:t>
      </w:r>
      <w:r w:rsidRPr="00DB1BCE">
        <w:rPr>
          <w:rFonts w:cs="Times New Roman"/>
          <w:noProof/>
          <w:lang w:val="en-US"/>
        </w:rPr>
        <w:t>, 4826–4830.</w:t>
      </w:r>
    </w:p>
    <w:p w14:paraId="0A33BE9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85</w:t>
      </w:r>
      <w:r w:rsidRPr="00DB1BCE">
        <w:rPr>
          <w:rFonts w:cs="Times New Roman"/>
          <w:noProof/>
          <w:lang w:val="en-US"/>
        </w:rPr>
        <w:tab/>
        <w:t xml:space="preserve">T. R. Cox, R. M. H. Rumney, E. M. Schoof, L. Perryman, A. M. Høye, A. Agrawal, D. Bird, N. A. Latif, H. Forrest, H. R. Evans, I. D. Huggins, G. Lang, R. Linding, A. Gartland and J. T. Erler, </w:t>
      </w:r>
      <w:r w:rsidRPr="00DB1BCE">
        <w:rPr>
          <w:rFonts w:cs="Times New Roman"/>
          <w:i/>
          <w:iCs/>
          <w:noProof/>
          <w:lang w:val="en-US"/>
        </w:rPr>
        <w:t>Nature</w:t>
      </w:r>
      <w:r w:rsidRPr="00DB1BCE">
        <w:rPr>
          <w:rFonts w:cs="Times New Roman"/>
          <w:noProof/>
          <w:lang w:val="en-US"/>
        </w:rPr>
        <w:t xml:space="preserve">, 2015, </w:t>
      </w:r>
      <w:r w:rsidRPr="00DB1BCE">
        <w:rPr>
          <w:rFonts w:cs="Times New Roman"/>
          <w:b/>
          <w:bCs/>
          <w:noProof/>
          <w:lang w:val="en-US"/>
        </w:rPr>
        <w:t>522</w:t>
      </w:r>
      <w:r w:rsidRPr="00DB1BCE">
        <w:rPr>
          <w:rFonts w:cs="Times New Roman"/>
          <w:noProof/>
          <w:lang w:val="en-US"/>
        </w:rPr>
        <w:t>.</w:t>
      </w:r>
    </w:p>
    <w:p w14:paraId="7E22463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86</w:t>
      </w:r>
      <w:r w:rsidRPr="00DB1BCE">
        <w:rPr>
          <w:rFonts w:cs="Times New Roman"/>
          <w:noProof/>
          <w:lang w:val="en-US"/>
        </w:rPr>
        <w:tab/>
        <w:t>Wikipedia, 2010.</w:t>
      </w:r>
    </w:p>
    <w:p w14:paraId="03ECBD1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87</w:t>
      </w:r>
      <w:r w:rsidRPr="00DB1BCE">
        <w:rPr>
          <w:rFonts w:cs="Times New Roman"/>
          <w:noProof/>
          <w:lang w:val="en-US"/>
        </w:rPr>
        <w:tab/>
        <w:t xml:space="preserve">R. C. Siegel and S. Francisco, </w:t>
      </w:r>
      <w:r w:rsidRPr="00DB1BCE">
        <w:rPr>
          <w:rFonts w:cs="Times New Roman"/>
          <w:i/>
          <w:iCs/>
          <w:noProof/>
          <w:lang w:val="en-US"/>
        </w:rPr>
        <w:t>J. Biol. Chem.</w:t>
      </w:r>
      <w:r w:rsidRPr="00DB1BCE">
        <w:rPr>
          <w:rFonts w:cs="Times New Roman"/>
          <w:noProof/>
          <w:lang w:val="en-US"/>
        </w:rPr>
        <w:t xml:space="preserve">, 1977, </w:t>
      </w:r>
      <w:r w:rsidRPr="00DB1BCE">
        <w:rPr>
          <w:rFonts w:cs="Times New Roman"/>
          <w:b/>
          <w:bCs/>
          <w:noProof/>
          <w:lang w:val="en-US"/>
        </w:rPr>
        <w:t>252</w:t>
      </w:r>
      <w:r w:rsidRPr="00DB1BCE">
        <w:rPr>
          <w:rFonts w:cs="Times New Roman"/>
          <w:noProof/>
          <w:lang w:val="en-US"/>
        </w:rPr>
        <w:t>, 254–259.</w:t>
      </w:r>
    </w:p>
    <w:p w14:paraId="2C1FFB9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88</w:t>
      </w:r>
      <w:r w:rsidRPr="00DB1BCE">
        <w:rPr>
          <w:rFonts w:cs="Times New Roman"/>
          <w:noProof/>
          <w:lang w:val="en-US"/>
        </w:rPr>
        <w:tab/>
        <w:t xml:space="preserve">M. E. Nimni, </w:t>
      </w:r>
      <w:r w:rsidRPr="00DB1BCE">
        <w:rPr>
          <w:rFonts w:cs="Times New Roman"/>
          <w:i/>
          <w:iCs/>
          <w:noProof/>
          <w:lang w:val="en-US"/>
        </w:rPr>
        <w:t>Proc. R. Soc. Med.</w:t>
      </w:r>
      <w:r w:rsidRPr="00DB1BCE">
        <w:rPr>
          <w:rFonts w:cs="Times New Roman"/>
          <w:noProof/>
          <w:lang w:val="en-US"/>
        </w:rPr>
        <w:t xml:space="preserve">, 1977, </w:t>
      </w:r>
      <w:r w:rsidRPr="00DB1BCE">
        <w:rPr>
          <w:rFonts w:cs="Times New Roman"/>
          <w:b/>
          <w:bCs/>
          <w:noProof/>
          <w:lang w:val="en-US"/>
        </w:rPr>
        <w:t>70 Suppl 3</w:t>
      </w:r>
      <w:r w:rsidRPr="00DB1BCE">
        <w:rPr>
          <w:rFonts w:cs="Times New Roman"/>
          <w:noProof/>
          <w:lang w:val="en-US"/>
        </w:rPr>
        <w:t>, 65–72.</w:t>
      </w:r>
    </w:p>
    <w:p w14:paraId="6203CBE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89</w:t>
      </w:r>
      <w:r w:rsidRPr="00DB1BCE">
        <w:rPr>
          <w:rFonts w:cs="Times New Roman"/>
          <w:noProof/>
          <w:lang w:val="en-US"/>
        </w:rPr>
        <w:tab/>
        <w:t xml:space="preserve">K. Deshmukh and M. E. Nimni, </w:t>
      </w:r>
      <w:r w:rsidRPr="00DB1BCE">
        <w:rPr>
          <w:rFonts w:cs="Times New Roman"/>
          <w:i/>
          <w:iCs/>
          <w:noProof/>
          <w:lang w:val="en-US"/>
        </w:rPr>
        <w:t>J. Biol. Chem.</w:t>
      </w:r>
      <w:r w:rsidRPr="00DB1BCE">
        <w:rPr>
          <w:rFonts w:cs="Times New Roman"/>
          <w:noProof/>
          <w:lang w:val="en-US"/>
        </w:rPr>
        <w:t xml:space="preserve">, 1969, </w:t>
      </w:r>
      <w:r w:rsidRPr="00DB1BCE">
        <w:rPr>
          <w:rFonts w:cs="Times New Roman"/>
          <w:b/>
          <w:bCs/>
          <w:noProof/>
          <w:lang w:val="en-US"/>
        </w:rPr>
        <w:t>244</w:t>
      </w:r>
      <w:r w:rsidRPr="00DB1BCE">
        <w:rPr>
          <w:rFonts w:cs="Times New Roman"/>
          <w:noProof/>
          <w:lang w:val="en-US"/>
        </w:rPr>
        <w:t>, 1787–1795.</w:t>
      </w:r>
    </w:p>
    <w:p w14:paraId="46B3883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90</w:t>
      </w:r>
      <w:r w:rsidRPr="00DB1BCE">
        <w:rPr>
          <w:rFonts w:cs="Times New Roman"/>
          <w:noProof/>
          <w:lang w:val="en-US"/>
        </w:rPr>
        <w:tab/>
        <w:t xml:space="preserve">V. Barry-Hamilton, R. Spangler, D. Marshall, S. McCauley, H. M. Rodriguez, M. Oyasu, A. Mikels, M. Vaysberg, H. Ghermazien, C. Wai, C. a Garcia, A. C. Velayo, B. Jorgensen, D. Biermann, D. Tsai, J. Green, S. Zaffryar-Eilot, A. Holzer, S. Ogg, D. Thai, G. Neufeld, P. Van Vlasselaer and V. Smith, </w:t>
      </w:r>
      <w:r w:rsidRPr="00DB1BCE">
        <w:rPr>
          <w:rFonts w:cs="Times New Roman"/>
          <w:i/>
          <w:iCs/>
          <w:noProof/>
          <w:lang w:val="en-US"/>
        </w:rPr>
        <w:t>Nat. Med.</w:t>
      </w:r>
      <w:r w:rsidRPr="00DB1BCE">
        <w:rPr>
          <w:rFonts w:cs="Times New Roman"/>
          <w:noProof/>
          <w:lang w:val="en-US"/>
        </w:rPr>
        <w:t xml:space="preserve">, 2010, </w:t>
      </w:r>
      <w:r w:rsidRPr="00DB1BCE">
        <w:rPr>
          <w:rFonts w:cs="Times New Roman"/>
          <w:b/>
          <w:bCs/>
          <w:noProof/>
          <w:lang w:val="en-US"/>
        </w:rPr>
        <w:t>16</w:t>
      </w:r>
      <w:r w:rsidRPr="00DB1BCE">
        <w:rPr>
          <w:rFonts w:cs="Times New Roman"/>
          <w:noProof/>
          <w:lang w:val="en-US"/>
        </w:rPr>
        <w:t>, 1009–1017.</w:t>
      </w:r>
    </w:p>
    <w:p w14:paraId="707E3BA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91</w:t>
      </w:r>
      <w:r w:rsidRPr="00DB1BCE">
        <w:rPr>
          <w:rFonts w:cs="Times New Roman"/>
          <w:noProof/>
          <w:lang w:val="en-US"/>
        </w:rPr>
        <w:tab/>
        <w:t xml:space="preserve">M. V Barrow, C. F. Simpson and E. J. Miller, </w:t>
      </w:r>
      <w:r w:rsidRPr="00DB1BCE">
        <w:rPr>
          <w:rFonts w:cs="Times New Roman"/>
          <w:i/>
          <w:iCs/>
          <w:noProof/>
          <w:lang w:val="en-US"/>
        </w:rPr>
        <w:t>Q. Rev. Biol.</w:t>
      </w:r>
      <w:r w:rsidRPr="00DB1BCE">
        <w:rPr>
          <w:rFonts w:cs="Times New Roman"/>
          <w:noProof/>
          <w:lang w:val="en-US"/>
        </w:rPr>
        <w:t xml:space="preserve">, 1974, </w:t>
      </w:r>
      <w:r w:rsidRPr="00DB1BCE">
        <w:rPr>
          <w:rFonts w:cs="Times New Roman"/>
          <w:b/>
          <w:bCs/>
          <w:noProof/>
          <w:lang w:val="en-US"/>
        </w:rPr>
        <w:t>49</w:t>
      </w:r>
      <w:r w:rsidRPr="00DB1BCE">
        <w:rPr>
          <w:rFonts w:cs="Times New Roman"/>
          <w:noProof/>
          <w:lang w:val="en-US"/>
        </w:rPr>
        <w:t>, 101–128.</w:t>
      </w:r>
    </w:p>
    <w:p w14:paraId="35C3C8B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92</w:t>
      </w:r>
      <w:r w:rsidRPr="00DB1BCE">
        <w:rPr>
          <w:rFonts w:cs="Times New Roman"/>
          <w:noProof/>
          <w:lang w:val="en-US"/>
        </w:rPr>
        <w:tab/>
        <w:t xml:space="preserve">A. S. Narayanan, R. C. Siegel and G. R. Martin, </w:t>
      </w:r>
      <w:r w:rsidRPr="00DB1BCE">
        <w:rPr>
          <w:rFonts w:cs="Times New Roman"/>
          <w:i/>
          <w:iCs/>
          <w:noProof/>
          <w:lang w:val="en-US"/>
        </w:rPr>
        <w:t>Biochem. Biophys. Res. Commun.</w:t>
      </w:r>
      <w:r w:rsidRPr="00DB1BCE">
        <w:rPr>
          <w:rFonts w:cs="Times New Roman"/>
          <w:noProof/>
          <w:lang w:val="en-US"/>
        </w:rPr>
        <w:t xml:space="preserve">, 1972, </w:t>
      </w:r>
      <w:r w:rsidRPr="00DB1BCE">
        <w:rPr>
          <w:rFonts w:cs="Times New Roman"/>
          <w:b/>
          <w:bCs/>
          <w:noProof/>
          <w:lang w:val="en-US"/>
        </w:rPr>
        <w:t>46</w:t>
      </w:r>
      <w:r w:rsidRPr="00DB1BCE">
        <w:rPr>
          <w:rFonts w:cs="Times New Roman"/>
          <w:noProof/>
          <w:lang w:val="en-US"/>
        </w:rPr>
        <w:t>, 745–751.</w:t>
      </w:r>
    </w:p>
    <w:p w14:paraId="32F8EEB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93</w:t>
      </w:r>
      <w:r w:rsidRPr="00DB1BCE">
        <w:rPr>
          <w:rFonts w:cs="Times New Roman"/>
          <w:noProof/>
          <w:lang w:val="en-US"/>
        </w:rPr>
        <w:tab/>
        <w:t xml:space="preserve">S. S. Tang, P. C. Trackman and H. M. Kagan, </w:t>
      </w:r>
      <w:r w:rsidRPr="00DB1BCE">
        <w:rPr>
          <w:rFonts w:cs="Times New Roman"/>
          <w:i/>
          <w:iCs/>
          <w:noProof/>
          <w:lang w:val="en-US"/>
        </w:rPr>
        <w:t>J. Biol. Chem.</w:t>
      </w:r>
      <w:r w:rsidRPr="00DB1BCE">
        <w:rPr>
          <w:rFonts w:cs="Times New Roman"/>
          <w:noProof/>
          <w:lang w:val="en-US"/>
        </w:rPr>
        <w:t xml:space="preserve">, 1983, </w:t>
      </w:r>
      <w:r w:rsidRPr="00DB1BCE">
        <w:rPr>
          <w:rFonts w:cs="Times New Roman"/>
          <w:b/>
          <w:bCs/>
          <w:noProof/>
          <w:lang w:val="en-US"/>
        </w:rPr>
        <w:t>258</w:t>
      </w:r>
      <w:r w:rsidRPr="00DB1BCE">
        <w:rPr>
          <w:rFonts w:cs="Times New Roman"/>
          <w:noProof/>
          <w:lang w:val="en-US"/>
        </w:rPr>
        <w:t>, 4331–4338.</w:t>
      </w:r>
    </w:p>
    <w:p w14:paraId="12EB16E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94</w:t>
      </w:r>
      <w:r w:rsidRPr="00DB1BCE">
        <w:rPr>
          <w:rFonts w:cs="Times New Roman"/>
          <w:noProof/>
          <w:lang w:val="en-US"/>
        </w:rPr>
        <w:tab/>
        <w:t xml:space="preserve">P. C. Trackman and H. M. Kagan, </w:t>
      </w:r>
      <w:r w:rsidRPr="00DB1BCE">
        <w:rPr>
          <w:rFonts w:cs="Times New Roman"/>
          <w:i/>
          <w:iCs/>
          <w:noProof/>
          <w:lang w:val="en-US"/>
        </w:rPr>
        <w:t>J. Biol. Chem.</w:t>
      </w:r>
      <w:r w:rsidRPr="00DB1BCE">
        <w:rPr>
          <w:rFonts w:cs="Times New Roman"/>
          <w:noProof/>
          <w:lang w:val="en-US"/>
        </w:rPr>
        <w:t xml:space="preserve">, 1979, </w:t>
      </w:r>
      <w:r w:rsidRPr="00DB1BCE">
        <w:rPr>
          <w:rFonts w:cs="Times New Roman"/>
          <w:b/>
          <w:bCs/>
          <w:noProof/>
          <w:lang w:val="en-US"/>
        </w:rPr>
        <w:t>254</w:t>
      </w:r>
      <w:r w:rsidRPr="00DB1BCE">
        <w:rPr>
          <w:rFonts w:cs="Times New Roman"/>
          <w:noProof/>
          <w:lang w:val="en-US"/>
        </w:rPr>
        <w:t>, 7831–7836.</w:t>
      </w:r>
    </w:p>
    <w:p w14:paraId="5FDAAB1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95</w:t>
      </w:r>
      <w:r w:rsidRPr="00DB1BCE">
        <w:rPr>
          <w:rFonts w:cs="Times New Roman"/>
          <w:noProof/>
          <w:lang w:val="en-US"/>
        </w:rPr>
        <w:tab/>
        <w:t xml:space="preserve">S. P. Canelón and J. M. Wallace, </w:t>
      </w:r>
      <w:r w:rsidRPr="00DB1BCE">
        <w:rPr>
          <w:rFonts w:cs="Times New Roman"/>
          <w:i/>
          <w:iCs/>
          <w:noProof/>
          <w:lang w:val="en-US"/>
        </w:rPr>
        <w:t>PLoS One</w:t>
      </w:r>
      <w:r w:rsidRPr="00DB1BCE">
        <w:rPr>
          <w:rFonts w:cs="Times New Roman"/>
          <w:noProof/>
          <w:lang w:val="en-US"/>
        </w:rPr>
        <w:t xml:space="preserve">, 2016, </w:t>
      </w:r>
      <w:r w:rsidRPr="00DB1BCE">
        <w:rPr>
          <w:rFonts w:cs="Times New Roman"/>
          <w:b/>
          <w:bCs/>
          <w:noProof/>
          <w:lang w:val="en-US"/>
        </w:rPr>
        <w:t>11</w:t>
      </w:r>
      <w:r w:rsidRPr="00DB1BCE">
        <w:rPr>
          <w:rFonts w:cs="Times New Roman"/>
          <w:noProof/>
          <w:lang w:val="en-US"/>
        </w:rPr>
        <w:t>, 1–13.</w:t>
      </w:r>
    </w:p>
    <w:p w14:paraId="62E3091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96</w:t>
      </w:r>
      <w:r w:rsidRPr="00DB1BCE">
        <w:rPr>
          <w:rFonts w:cs="Times New Roman"/>
          <w:noProof/>
          <w:lang w:val="en-US"/>
        </w:rPr>
        <w:tab/>
        <w:t xml:space="preserve">A. J. Arem, R. Misiorowski and M. Chvapil, </w:t>
      </w:r>
      <w:r w:rsidRPr="00DB1BCE">
        <w:rPr>
          <w:rFonts w:cs="Times New Roman"/>
          <w:i/>
          <w:iCs/>
          <w:noProof/>
          <w:lang w:val="en-US"/>
        </w:rPr>
        <w:t>J. Surg. Res.</w:t>
      </w:r>
      <w:r w:rsidRPr="00DB1BCE">
        <w:rPr>
          <w:rFonts w:cs="Times New Roman"/>
          <w:noProof/>
          <w:lang w:val="en-US"/>
        </w:rPr>
        <w:t xml:space="preserve">, 1979, </w:t>
      </w:r>
      <w:r w:rsidRPr="00DB1BCE">
        <w:rPr>
          <w:rFonts w:cs="Times New Roman"/>
          <w:b/>
          <w:bCs/>
          <w:noProof/>
          <w:lang w:val="en-US"/>
        </w:rPr>
        <w:t>27</w:t>
      </w:r>
      <w:r w:rsidRPr="00DB1BCE">
        <w:rPr>
          <w:rFonts w:cs="Times New Roman"/>
          <w:noProof/>
          <w:lang w:val="en-US"/>
        </w:rPr>
        <w:t>, 228–232.</w:t>
      </w:r>
    </w:p>
    <w:p w14:paraId="3ADFBE5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97</w:t>
      </w:r>
      <w:r w:rsidRPr="00DB1BCE">
        <w:rPr>
          <w:rFonts w:cs="Times New Roman"/>
          <w:noProof/>
          <w:lang w:val="en-US"/>
        </w:rPr>
        <w:tab/>
        <w:t xml:space="preserve">M. Chvapil, R. Misiorowski and C. Eskelson, </w:t>
      </w:r>
      <w:r w:rsidRPr="00DB1BCE">
        <w:rPr>
          <w:rFonts w:cs="Times New Roman"/>
          <w:i/>
          <w:iCs/>
          <w:noProof/>
          <w:lang w:val="en-US"/>
        </w:rPr>
        <w:t>J. Surg. Res.</w:t>
      </w:r>
      <w:r w:rsidRPr="00DB1BCE">
        <w:rPr>
          <w:rFonts w:cs="Times New Roman"/>
          <w:noProof/>
          <w:lang w:val="en-US"/>
        </w:rPr>
        <w:t xml:space="preserve">, 1981, </w:t>
      </w:r>
      <w:r w:rsidRPr="00DB1BCE">
        <w:rPr>
          <w:rFonts w:cs="Times New Roman"/>
          <w:b/>
          <w:bCs/>
          <w:noProof/>
          <w:lang w:val="en-US"/>
        </w:rPr>
        <w:t>31</w:t>
      </w:r>
      <w:r w:rsidRPr="00DB1BCE">
        <w:rPr>
          <w:rFonts w:cs="Times New Roman"/>
          <w:noProof/>
          <w:lang w:val="en-US"/>
        </w:rPr>
        <w:t>, 151–5.</w:t>
      </w:r>
    </w:p>
    <w:p w14:paraId="349628C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98</w:t>
      </w:r>
      <w:r w:rsidRPr="00DB1BCE">
        <w:rPr>
          <w:rFonts w:cs="Times New Roman"/>
          <w:noProof/>
          <w:lang w:val="en-US"/>
        </w:rPr>
        <w:tab/>
        <w:t xml:space="preserve">H. L. Joseph, F. J. Roisen, G. L. Anderson, J. H. Barker, L. J. Weiner and G. R. Tobin, </w:t>
      </w:r>
      <w:r w:rsidRPr="00DB1BCE">
        <w:rPr>
          <w:rFonts w:cs="Times New Roman"/>
          <w:i/>
          <w:iCs/>
          <w:noProof/>
          <w:lang w:val="en-US"/>
        </w:rPr>
        <w:t>Am. J. Surg.</w:t>
      </w:r>
      <w:r w:rsidRPr="00DB1BCE">
        <w:rPr>
          <w:rFonts w:cs="Times New Roman"/>
          <w:noProof/>
          <w:lang w:val="en-US"/>
        </w:rPr>
        <w:t xml:space="preserve">, 1997, </w:t>
      </w:r>
      <w:r w:rsidRPr="00DB1BCE">
        <w:rPr>
          <w:rFonts w:cs="Times New Roman"/>
          <w:b/>
          <w:bCs/>
          <w:noProof/>
          <w:lang w:val="en-US"/>
        </w:rPr>
        <w:t>174</w:t>
      </w:r>
      <w:r w:rsidRPr="00DB1BCE">
        <w:rPr>
          <w:rFonts w:cs="Times New Roman"/>
          <w:noProof/>
          <w:lang w:val="en-US"/>
        </w:rPr>
        <w:t>, 347–350.</w:t>
      </w:r>
    </w:p>
    <w:p w14:paraId="7FA67EC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99</w:t>
      </w:r>
      <w:r w:rsidRPr="00DB1BCE">
        <w:rPr>
          <w:rFonts w:cs="Times New Roman"/>
          <w:noProof/>
          <w:lang w:val="en-US"/>
        </w:rPr>
        <w:tab/>
        <w:t xml:space="preserve">K. Sardari and S. Sharifi, </w:t>
      </w:r>
      <w:r w:rsidRPr="00DB1BCE">
        <w:rPr>
          <w:rFonts w:cs="Times New Roman"/>
          <w:i/>
          <w:iCs/>
          <w:noProof/>
          <w:lang w:val="en-US"/>
        </w:rPr>
        <w:t>Comp. Clin. Path.</w:t>
      </w:r>
      <w:r w:rsidRPr="00DB1BCE">
        <w:rPr>
          <w:rFonts w:cs="Times New Roman"/>
          <w:noProof/>
          <w:lang w:val="en-US"/>
        </w:rPr>
        <w:t xml:space="preserve">, 2008, </w:t>
      </w:r>
      <w:r w:rsidRPr="00DB1BCE">
        <w:rPr>
          <w:rFonts w:cs="Times New Roman"/>
          <w:b/>
          <w:bCs/>
          <w:noProof/>
          <w:lang w:val="en-US"/>
        </w:rPr>
        <w:t>17</w:t>
      </w:r>
      <w:r w:rsidRPr="00DB1BCE">
        <w:rPr>
          <w:rFonts w:cs="Times New Roman"/>
          <w:noProof/>
          <w:lang w:val="en-US"/>
        </w:rPr>
        <w:t>, 179–183.</w:t>
      </w:r>
    </w:p>
    <w:p w14:paraId="315B86F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100</w:t>
      </w:r>
      <w:r w:rsidRPr="00DB1BCE">
        <w:rPr>
          <w:rFonts w:cs="Times New Roman"/>
          <w:noProof/>
          <w:lang w:val="en-US"/>
        </w:rPr>
        <w:tab/>
        <w:t xml:space="preserve">K. Sardari, H. Kazemi, M. R. Emami, A. R. Movasaghi and A. A. Goli, </w:t>
      </w:r>
      <w:r w:rsidRPr="00DB1BCE">
        <w:rPr>
          <w:rFonts w:cs="Times New Roman"/>
          <w:i/>
          <w:iCs/>
          <w:noProof/>
          <w:lang w:val="en-US"/>
        </w:rPr>
        <w:t xml:space="preserve">Comp. </w:t>
      </w:r>
      <w:r w:rsidRPr="00DB1BCE">
        <w:rPr>
          <w:rFonts w:cs="Times New Roman"/>
          <w:i/>
          <w:iCs/>
          <w:noProof/>
          <w:lang w:val="en-US"/>
        </w:rPr>
        <w:lastRenderedPageBreak/>
        <w:t>Clin. Path.</w:t>
      </w:r>
      <w:r w:rsidRPr="00DB1BCE">
        <w:rPr>
          <w:rFonts w:cs="Times New Roman"/>
          <w:noProof/>
          <w:lang w:val="en-US"/>
        </w:rPr>
        <w:t xml:space="preserve">, 2009, </w:t>
      </w:r>
      <w:r w:rsidRPr="00DB1BCE">
        <w:rPr>
          <w:rFonts w:cs="Times New Roman"/>
          <w:b/>
          <w:bCs/>
          <w:noProof/>
          <w:lang w:val="en-US"/>
        </w:rPr>
        <w:t>18</w:t>
      </w:r>
      <w:r w:rsidRPr="00DB1BCE">
        <w:rPr>
          <w:rFonts w:cs="Times New Roman"/>
          <w:noProof/>
          <w:lang w:val="en-US"/>
        </w:rPr>
        <w:t>, 239–247.</w:t>
      </w:r>
    </w:p>
    <w:p w14:paraId="1F56965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101</w:t>
      </w:r>
      <w:r w:rsidRPr="00DB1BCE">
        <w:rPr>
          <w:rFonts w:cs="Times New Roman"/>
          <w:noProof/>
          <w:lang w:val="en-US"/>
        </w:rPr>
        <w:tab/>
        <w:t xml:space="preserve">W. Richards, E. J. Doolin, M. P. Miginsky and A. L. Moulton, </w:t>
      </w:r>
      <w:r w:rsidRPr="00DB1BCE">
        <w:rPr>
          <w:rFonts w:cs="Times New Roman"/>
          <w:i/>
          <w:iCs/>
          <w:noProof/>
          <w:lang w:val="en-US"/>
        </w:rPr>
        <w:t>J. Surg. Res.</w:t>
      </w:r>
      <w:r w:rsidRPr="00DB1BCE">
        <w:rPr>
          <w:rFonts w:cs="Times New Roman"/>
          <w:noProof/>
          <w:lang w:val="en-US"/>
        </w:rPr>
        <w:t xml:space="preserve">, 1984, </w:t>
      </w:r>
      <w:r w:rsidRPr="00DB1BCE">
        <w:rPr>
          <w:rFonts w:cs="Times New Roman"/>
          <w:b/>
          <w:bCs/>
          <w:noProof/>
          <w:lang w:val="en-US"/>
        </w:rPr>
        <w:t>37</w:t>
      </w:r>
      <w:r w:rsidRPr="00DB1BCE">
        <w:rPr>
          <w:rFonts w:cs="Times New Roman"/>
          <w:noProof/>
          <w:lang w:val="en-US"/>
        </w:rPr>
        <w:t>, 33–42.</w:t>
      </w:r>
    </w:p>
    <w:p w14:paraId="57D1654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102</w:t>
      </w:r>
      <w:r w:rsidRPr="00DB1BCE">
        <w:rPr>
          <w:rFonts w:cs="Times New Roman"/>
          <w:noProof/>
          <w:lang w:val="en-US"/>
        </w:rPr>
        <w:tab/>
        <w:t xml:space="preserve">H. R. Keiser and A. Sjoerdsma, </w:t>
      </w:r>
      <w:r w:rsidRPr="00DB1BCE">
        <w:rPr>
          <w:rFonts w:cs="Times New Roman"/>
          <w:i/>
          <w:iCs/>
          <w:noProof/>
          <w:lang w:val="en-US"/>
        </w:rPr>
        <w:t>Clin. Pharmacol. andTherapeutics</w:t>
      </w:r>
      <w:r w:rsidRPr="00DB1BCE">
        <w:rPr>
          <w:rFonts w:cs="Times New Roman"/>
          <w:noProof/>
          <w:lang w:val="en-US"/>
        </w:rPr>
        <w:t xml:space="preserve">, 1967, </w:t>
      </w:r>
      <w:r w:rsidRPr="00DB1BCE">
        <w:rPr>
          <w:rFonts w:cs="Times New Roman"/>
          <w:b/>
          <w:bCs/>
          <w:noProof/>
          <w:lang w:val="en-US"/>
        </w:rPr>
        <w:t>8</w:t>
      </w:r>
      <w:r w:rsidRPr="00DB1BCE">
        <w:rPr>
          <w:rFonts w:cs="Times New Roman"/>
          <w:noProof/>
          <w:lang w:val="en-US"/>
        </w:rPr>
        <w:t>, 593–602.</w:t>
      </w:r>
    </w:p>
    <w:p w14:paraId="1728774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103</w:t>
      </w:r>
      <w:r w:rsidRPr="00DB1BCE">
        <w:rPr>
          <w:rFonts w:cs="Times New Roman"/>
          <w:noProof/>
          <w:lang w:val="en-US"/>
        </w:rPr>
        <w:tab/>
        <w:t xml:space="preserve">E. E. Peacock Jr. and J. W. Madden, </w:t>
      </w:r>
      <w:r w:rsidRPr="00DB1BCE">
        <w:rPr>
          <w:rFonts w:cs="Times New Roman"/>
          <w:i/>
          <w:iCs/>
          <w:noProof/>
          <w:lang w:val="en-US"/>
        </w:rPr>
        <w:t>Surgery</w:t>
      </w:r>
      <w:r w:rsidRPr="00DB1BCE">
        <w:rPr>
          <w:rFonts w:cs="Times New Roman"/>
          <w:noProof/>
          <w:lang w:val="en-US"/>
        </w:rPr>
        <w:t xml:space="preserve">, 1969, </w:t>
      </w:r>
      <w:r w:rsidRPr="00DB1BCE">
        <w:rPr>
          <w:rFonts w:cs="Times New Roman"/>
          <w:b/>
          <w:bCs/>
          <w:noProof/>
          <w:lang w:val="en-US"/>
        </w:rPr>
        <w:t>66</w:t>
      </w:r>
      <w:r w:rsidRPr="00DB1BCE">
        <w:rPr>
          <w:rFonts w:cs="Times New Roman"/>
          <w:noProof/>
          <w:lang w:val="en-US"/>
        </w:rPr>
        <w:t>, 215–223.</w:t>
      </w:r>
    </w:p>
    <w:p w14:paraId="0674574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104</w:t>
      </w:r>
      <w:r w:rsidRPr="00DB1BCE">
        <w:rPr>
          <w:rFonts w:cs="Times New Roman"/>
          <w:noProof/>
          <w:lang w:val="en-US"/>
        </w:rPr>
        <w:tab/>
        <w:t xml:space="preserve">E. E. Peacock and J. W. Madden, </w:t>
      </w:r>
      <w:r w:rsidRPr="00DB1BCE">
        <w:rPr>
          <w:rFonts w:cs="Times New Roman"/>
          <w:i/>
          <w:iCs/>
          <w:noProof/>
          <w:lang w:val="en-US"/>
        </w:rPr>
        <w:t>Am. J. Surg.</w:t>
      </w:r>
      <w:r w:rsidRPr="00DB1BCE">
        <w:rPr>
          <w:rFonts w:cs="Times New Roman"/>
          <w:noProof/>
          <w:lang w:val="en-US"/>
        </w:rPr>
        <w:t xml:space="preserve">, 1978, </w:t>
      </w:r>
      <w:r w:rsidRPr="00DB1BCE">
        <w:rPr>
          <w:rFonts w:cs="Times New Roman"/>
          <w:b/>
          <w:bCs/>
          <w:noProof/>
          <w:lang w:val="en-US"/>
        </w:rPr>
        <w:t>136</w:t>
      </w:r>
      <w:r w:rsidRPr="00DB1BCE">
        <w:rPr>
          <w:rFonts w:cs="Times New Roman"/>
          <w:noProof/>
          <w:lang w:val="en-US"/>
        </w:rPr>
        <w:t>, 600–605.</w:t>
      </w:r>
    </w:p>
    <w:p w14:paraId="3845F88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105</w:t>
      </w:r>
      <w:r w:rsidRPr="00DB1BCE">
        <w:rPr>
          <w:rFonts w:cs="Times New Roman"/>
          <w:noProof/>
          <w:lang w:val="en-US"/>
        </w:rPr>
        <w:tab/>
        <w:t xml:space="preserve">E. E. Peacock, </w:t>
      </w:r>
      <w:r w:rsidRPr="00DB1BCE">
        <w:rPr>
          <w:rFonts w:cs="Times New Roman"/>
          <w:i/>
          <w:iCs/>
          <w:noProof/>
          <w:lang w:val="en-US"/>
        </w:rPr>
        <w:t>Ann. Surg.</w:t>
      </w:r>
      <w:r w:rsidRPr="00DB1BCE">
        <w:rPr>
          <w:rFonts w:cs="Times New Roman"/>
          <w:noProof/>
          <w:lang w:val="en-US"/>
        </w:rPr>
        <w:t xml:space="preserve">, 1981, </w:t>
      </w:r>
      <w:r w:rsidRPr="00DB1BCE">
        <w:rPr>
          <w:rFonts w:cs="Times New Roman"/>
          <w:b/>
          <w:bCs/>
          <w:noProof/>
          <w:lang w:val="en-US"/>
        </w:rPr>
        <w:t>193</w:t>
      </w:r>
      <w:r w:rsidRPr="00DB1BCE">
        <w:rPr>
          <w:rFonts w:cs="Times New Roman"/>
          <w:noProof/>
          <w:lang w:val="en-US"/>
        </w:rPr>
        <w:t>, 592–597.</w:t>
      </w:r>
    </w:p>
    <w:p w14:paraId="6F5BCE1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106</w:t>
      </w:r>
      <w:r w:rsidRPr="00DB1BCE">
        <w:rPr>
          <w:rFonts w:cs="Times New Roman"/>
          <w:noProof/>
          <w:lang w:val="en-US"/>
        </w:rPr>
        <w:tab/>
        <w:t xml:space="preserve">A. L. G. Alves, M. A. M. Rodrigues, A. J. A. Aguiar, A. Thomassian, J. L. M. Nicoletti, C. A. Hussni and A. S. Borges, </w:t>
      </w:r>
      <w:r w:rsidRPr="00DB1BCE">
        <w:rPr>
          <w:rFonts w:cs="Times New Roman"/>
          <w:i/>
          <w:iCs/>
          <w:noProof/>
          <w:lang w:val="en-US"/>
        </w:rPr>
        <w:t>J. Equine Vet. Sci.</w:t>
      </w:r>
      <w:r w:rsidRPr="00DB1BCE">
        <w:rPr>
          <w:rFonts w:cs="Times New Roman"/>
          <w:noProof/>
          <w:lang w:val="en-US"/>
        </w:rPr>
        <w:t xml:space="preserve">, 2001, </w:t>
      </w:r>
      <w:r w:rsidRPr="00DB1BCE">
        <w:rPr>
          <w:rFonts w:cs="Times New Roman"/>
          <w:b/>
          <w:bCs/>
          <w:noProof/>
          <w:lang w:val="en-US"/>
        </w:rPr>
        <w:t>21</w:t>
      </w:r>
      <w:r w:rsidRPr="00DB1BCE">
        <w:rPr>
          <w:rFonts w:cs="Times New Roman"/>
          <w:noProof/>
          <w:lang w:val="en-US"/>
        </w:rPr>
        <w:t>, 335–340.</w:t>
      </w:r>
    </w:p>
    <w:p w14:paraId="2FFE6F5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107</w:t>
      </w:r>
      <w:r w:rsidRPr="00DB1BCE">
        <w:rPr>
          <w:rFonts w:cs="Times New Roman"/>
          <w:noProof/>
          <w:lang w:val="en-US"/>
        </w:rPr>
        <w:tab/>
        <w:t xml:space="preserve">A. Naik, Y. N. Kalia and R. H. Guy, </w:t>
      </w:r>
      <w:r w:rsidRPr="00DB1BCE">
        <w:rPr>
          <w:rFonts w:cs="Times New Roman"/>
          <w:i/>
          <w:iCs/>
          <w:noProof/>
          <w:lang w:val="en-US"/>
        </w:rPr>
        <w:t>Pharm. Sci. Technol. Today</w:t>
      </w:r>
      <w:r w:rsidRPr="00DB1BCE">
        <w:rPr>
          <w:rFonts w:cs="Times New Roman"/>
          <w:noProof/>
          <w:lang w:val="en-US"/>
        </w:rPr>
        <w:t xml:space="preserve">, 2000, </w:t>
      </w:r>
      <w:r w:rsidRPr="00DB1BCE">
        <w:rPr>
          <w:rFonts w:cs="Times New Roman"/>
          <w:b/>
          <w:bCs/>
          <w:noProof/>
          <w:lang w:val="en-US"/>
        </w:rPr>
        <w:t>3</w:t>
      </w:r>
      <w:r w:rsidRPr="00DB1BCE">
        <w:rPr>
          <w:rFonts w:cs="Times New Roman"/>
          <w:noProof/>
          <w:lang w:val="en-US"/>
        </w:rPr>
        <w:t>, 318–326.</w:t>
      </w:r>
    </w:p>
    <w:p w14:paraId="4F0364B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108</w:t>
      </w:r>
      <w:r w:rsidRPr="00DB1BCE">
        <w:rPr>
          <w:rFonts w:cs="Times New Roman"/>
          <w:noProof/>
          <w:lang w:val="en-US"/>
        </w:rPr>
        <w:tab/>
        <w:t xml:space="preserve">C. Pegoraro, S. MacNeil and G. Battaglia, </w:t>
      </w:r>
      <w:r w:rsidRPr="00DB1BCE">
        <w:rPr>
          <w:rFonts w:cs="Times New Roman"/>
          <w:i/>
          <w:iCs/>
          <w:noProof/>
          <w:lang w:val="en-US"/>
        </w:rPr>
        <w:t>Nanoscale</w:t>
      </w:r>
      <w:r w:rsidRPr="00DB1BCE">
        <w:rPr>
          <w:rFonts w:cs="Times New Roman"/>
          <w:noProof/>
          <w:lang w:val="en-US"/>
        </w:rPr>
        <w:t xml:space="preserve">, 2012, </w:t>
      </w:r>
      <w:r w:rsidRPr="00DB1BCE">
        <w:rPr>
          <w:rFonts w:cs="Times New Roman"/>
          <w:b/>
          <w:bCs/>
          <w:noProof/>
          <w:lang w:val="en-US"/>
        </w:rPr>
        <w:t>4</w:t>
      </w:r>
      <w:r w:rsidRPr="00DB1BCE">
        <w:rPr>
          <w:rFonts w:cs="Times New Roman"/>
          <w:noProof/>
          <w:lang w:val="en-US"/>
        </w:rPr>
        <w:t>, 1881.</w:t>
      </w:r>
    </w:p>
    <w:p w14:paraId="503B3B6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109</w:t>
      </w:r>
      <w:r w:rsidRPr="00DB1BCE">
        <w:rPr>
          <w:rFonts w:cs="Times New Roman"/>
          <w:noProof/>
          <w:lang w:val="en-US"/>
        </w:rPr>
        <w:tab/>
        <w:t xml:space="preserve">M. R. Prausnitz and R. Langer, </w:t>
      </w:r>
      <w:r w:rsidRPr="00DB1BCE">
        <w:rPr>
          <w:rFonts w:cs="Times New Roman"/>
          <w:i/>
          <w:iCs/>
          <w:noProof/>
          <w:lang w:val="en-US"/>
        </w:rPr>
        <w:t>Nat. Biotechnol.</w:t>
      </w:r>
      <w:r w:rsidRPr="00DB1BCE">
        <w:rPr>
          <w:rFonts w:cs="Times New Roman"/>
          <w:noProof/>
          <w:lang w:val="en-US"/>
        </w:rPr>
        <w:t xml:space="preserve">, 2008, </w:t>
      </w:r>
      <w:r w:rsidRPr="00DB1BCE">
        <w:rPr>
          <w:rFonts w:cs="Times New Roman"/>
          <w:b/>
          <w:bCs/>
          <w:noProof/>
          <w:lang w:val="en-US"/>
        </w:rPr>
        <w:t>26</w:t>
      </w:r>
      <w:r w:rsidRPr="00DB1BCE">
        <w:rPr>
          <w:rFonts w:cs="Times New Roman"/>
          <w:noProof/>
          <w:lang w:val="en-US"/>
        </w:rPr>
        <w:t>, 1261–1268.</w:t>
      </w:r>
    </w:p>
    <w:p w14:paraId="0B62115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110</w:t>
      </w:r>
      <w:r w:rsidRPr="00DB1BCE">
        <w:rPr>
          <w:rFonts w:cs="Times New Roman"/>
          <w:noProof/>
          <w:lang w:val="en-US"/>
        </w:rPr>
        <w:tab/>
        <w:t xml:space="preserve">M. Visscher and V. Narendran, </w:t>
      </w:r>
      <w:r w:rsidRPr="00DB1BCE">
        <w:rPr>
          <w:rFonts w:cs="Times New Roman"/>
          <w:i/>
          <w:iCs/>
          <w:noProof/>
          <w:lang w:val="en-US"/>
        </w:rPr>
        <w:t>Adv. Wound Care</w:t>
      </w:r>
      <w:r w:rsidRPr="00DB1BCE">
        <w:rPr>
          <w:rFonts w:cs="Times New Roman"/>
          <w:noProof/>
          <w:lang w:val="en-US"/>
        </w:rPr>
        <w:t xml:space="preserve">, 2014, </w:t>
      </w:r>
      <w:r w:rsidRPr="00DB1BCE">
        <w:rPr>
          <w:rFonts w:cs="Times New Roman"/>
          <w:b/>
          <w:bCs/>
          <w:noProof/>
          <w:lang w:val="en-US"/>
        </w:rPr>
        <w:t>3</w:t>
      </w:r>
      <w:r w:rsidRPr="00DB1BCE">
        <w:rPr>
          <w:rFonts w:cs="Times New Roman"/>
          <w:noProof/>
          <w:lang w:val="en-US"/>
        </w:rPr>
        <w:t>, 291–303.</w:t>
      </w:r>
    </w:p>
    <w:p w14:paraId="4C3F2DC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111</w:t>
      </w:r>
      <w:r w:rsidRPr="00DB1BCE">
        <w:rPr>
          <w:rFonts w:cs="Times New Roman"/>
          <w:noProof/>
          <w:lang w:val="en-US"/>
        </w:rPr>
        <w:tab/>
        <w:t xml:space="preserve">A. Baroni, E. Buommino, V. De Gregorio, E. Ruocco, V. Ruocco and R. Wolf, </w:t>
      </w:r>
      <w:r w:rsidRPr="00DB1BCE">
        <w:rPr>
          <w:rFonts w:cs="Times New Roman"/>
          <w:i/>
          <w:iCs/>
          <w:noProof/>
          <w:lang w:val="en-US"/>
        </w:rPr>
        <w:t>Clin. Dermatol.</w:t>
      </w:r>
      <w:r w:rsidRPr="00DB1BCE">
        <w:rPr>
          <w:rFonts w:cs="Times New Roman"/>
          <w:noProof/>
          <w:lang w:val="en-US"/>
        </w:rPr>
        <w:t xml:space="preserve">, 2012, </w:t>
      </w:r>
      <w:r w:rsidRPr="00DB1BCE">
        <w:rPr>
          <w:rFonts w:cs="Times New Roman"/>
          <w:b/>
          <w:bCs/>
          <w:noProof/>
          <w:lang w:val="en-US"/>
        </w:rPr>
        <w:t>30</w:t>
      </w:r>
      <w:r w:rsidRPr="00DB1BCE">
        <w:rPr>
          <w:rFonts w:cs="Times New Roman"/>
          <w:noProof/>
          <w:lang w:val="en-US"/>
        </w:rPr>
        <w:t>, 257–262.</w:t>
      </w:r>
    </w:p>
    <w:p w14:paraId="2ECC5E4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112</w:t>
      </w:r>
      <w:r w:rsidRPr="00DB1BCE">
        <w:rPr>
          <w:rFonts w:cs="Times New Roman"/>
          <w:noProof/>
          <w:lang w:val="en-US"/>
        </w:rPr>
        <w:tab/>
        <w:t xml:space="preserve">M. E. Lane, </w:t>
      </w:r>
      <w:r w:rsidRPr="00DB1BCE">
        <w:rPr>
          <w:rFonts w:cs="Times New Roman"/>
          <w:i/>
          <w:iCs/>
          <w:noProof/>
          <w:lang w:val="en-US"/>
        </w:rPr>
        <w:t>Int. J. Pharm.</w:t>
      </w:r>
      <w:r w:rsidRPr="00DB1BCE">
        <w:rPr>
          <w:rFonts w:cs="Times New Roman"/>
          <w:noProof/>
          <w:lang w:val="en-US"/>
        </w:rPr>
        <w:t xml:space="preserve">, 2013, </w:t>
      </w:r>
      <w:r w:rsidRPr="00DB1BCE">
        <w:rPr>
          <w:rFonts w:cs="Times New Roman"/>
          <w:b/>
          <w:bCs/>
          <w:noProof/>
          <w:lang w:val="en-US"/>
        </w:rPr>
        <w:t>447</w:t>
      </w:r>
      <w:r w:rsidRPr="00DB1BCE">
        <w:rPr>
          <w:rFonts w:cs="Times New Roman"/>
          <w:noProof/>
          <w:lang w:val="en-US"/>
        </w:rPr>
        <w:t>, 12–21.</w:t>
      </w:r>
    </w:p>
    <w:p w14:paraId="714A611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113</w:t>
      </w:r>
      <w:r w:rsidRPr="00DB1BCE">
        <w:rPr>
          <w:rFonts w:cs="Times New Roman"/>
          <w:noProof/>
          <w:lang w:val="en-US"/>
        </w:rPr>
        <w:tab/>
        <w:t xml:space="preserve">V. R. Sinha and M. P. Kaur, </w:t>
      </w:r>
      <w:r w:rsidRPr="00DB1BCE">
        <w:rPr>
          <w:rFonts w:cs="Times New Roman"/>
          <w:i/>
          <w:iCs/>
          <w:noProof/>
          <w:lang w:val="en-US"/>
        </w:rPr>
        <w:t>Drug Dev. Ind. Pharm.</w:t>
      </w:r>
      <w:r w:rsidRPr="00DB1BCE">
        <w:rPr>
          <w:rFonts w:cs="Times New Roman"/>
          <w:noProof/>
          <w:lang w:val="en-US"/>
        </w:rPr>
        <w:t xml:space="preserve">, 2000, </w:t>
      </w:r>
      <w:r w:rsidRPr="00DB1BCE">
        <w:rPr>
          <w:rFonts w:cs="Times New Roman"/>
          <w:b/>
          <w:bCs/>
          <w:noProof/>
          <w:lang w:val="en-US"/>
        </w:rPr>
        <w:t>26</w:t>
      </w:r>
      <w:r w:rsidRPr="00DB1BCE">
        <w:rPr>
          <w:rFonts w:cs="Times New Roman"/>
          <w:noProof/>
          <w:lang w:val="en-US"/>
        </w:rPr>
        <w:t>, 1131–1140.</w:t>
      </w:r>
    </w:p>
    <w:p w14:paraId="4D7CE87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114</w:t>
      </w:r>
      <w:r w:rsidRPr="00DB1BCE">
        <w:rPr>
          <w:rFonts w:cs="Times New Roman"/>
          <w:noProof/>
          <w:lang w:val="en-US"/>
        </w:rPr>
        <w:tab/>
        <w:t xml:space="preserve">A. Alexander, S. Dwivedi, Ajazuddin, T. K. Giri, S. Saraf, S. Saraf and D. K. Tripathi, </w:t>
      </w:r>
      <w:r w:rsidRPr="00DB1BCE">
        <w:rPr>
          <w:rFonts w:cs="Times New Roman"/>
          <w:i/>
          <w:iCs/>
          <w:noProof/>
          <w:lang w:val="en-US"/>
        </w:rPr>
        <w:t>J. Control. Release</w:t>
      </w:r>
      <w:r w:rsidRPr="00DB1BCE">
        <w:rPr>
          <w:rFonts w:cs="Times New Roman"/>
          <w:noProof/>
          <w:lang w:val="en-US"/>
        </w:rPr>
        <w:t xml:space="preserve">, 2012, </w:t>
      </w:r>
      <w:r w:rsidRPr="00DB1BCE">
        <w:rPr>
          <w:rFonts w:cs="Times New Roman"/>
          <w:b/>
          <w:bCs/>
          <w:noProof/>
          <w:lang w:val="en-US"/>
        </w:rPr>
        <w:t>164</w:t>
      </w:r>
      <w:r w:rsidRPr="00DB1BCE">
        <w:rPr>
          <w:rFonts w:cs="Times New Roman"/>
          <w:noProof/>
          <w:lang w:val="en-US"/>
        </w:rPr>
        <w:t>, 26–40.</w:t>
      </w:r>
    </w:p>
    <w:p w14:paraId="4BEEB6A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115</w:t>
      </w:r>
      <w:r w:rsidRPr="00DB1BCE">
        <w:rPr>
          <w:rFonts w:cs="Times New Roman"/>
          <w:noProof/>
          <w:lang w:val="en-US"/>
        </w:rPr>
        <w:tab/>
        <w:t xml:space="preserve">P. Karande, A. Jain, K. Ergun, V. Kispersky and S. Mitragotri, </w:t>
      </w:r>
      <w:r w:rsidRPr="00DB1BCE">
        <w:rPr>
          <w:rFonts w:cs="Times New Roman"/>
          <w:i/>
          <w:iCs/>
          <w:noProof/>
          <w:lang w:val="en-US"/>
        </w:rPr>
        <w:t>Proc. Natl. Acad. Sci. U. S. A.</w:t>
      </w:r>
      <w:r w:rsidRPr="00DB1BCE">
        <w:rPr>
          <w:rFonts w:cs="Times New Roman"/>
          <w:noProof/>
          <w:lang w:val="en-US"/>
        </w:rPr>
        <w:t xml:space="preserve">, 2005, </w:t>
      </w:r>
      <w:r w:rsidRPr="00DB1BCE">
        <w:rPr>
          <w:rFonts w:cs="Times New Roman"/>
          <w:b/>
          <w:bCs/>
          <w:noProof/>
          <w:lang w:val="en-US"/>
        </w:rPr>
        <w:t>102</w:t>
      </w:r>
      <w:r w:rsidRPr="00DB1BCE">
        <w:rPr>
          <w:rFonts w:cs="Times New Roman"/>
          <w:noProof/>
          <w:lang w:val="en-US"/>
        </w:rPr>
        <w:t>, 4688–4693.</w:t>
      </w:r>
    </w:p>
    <w:p w14:paraId="1FE12E6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116</w:t>
      </w:r>
      <w:r w:rsidRPr="00DB1BCE">
        <w:rPr>
          <w:rFonts w:cs="Times New Roman"/>
          <w:noProof/>
          <w:lang w:val="en-US"/>
        </w:rPr>
        <w:tab/>
        <w:t xml:space="preserve">M. H. Wilcox, J. Hall, A. B. Gill, W. N. Fawley, P. Parnell and P. Verity, </w:t>
      </w:r>
      <w:r w:rsidRPr="00DB1BCE">
        <w:rPr>
          <w:rFonts w:cs="Times New Roman"/>
          <w:i/>
          <w:iCs/>
          <w:noProof/>
          <w:lang w:val="en-US"/>
        </w:rPr>
        <w:t>J. Hosp. Infect.</w:t>
      </w:r>
      <w:r w:rsidRPr="00DB1BCE">
        <w:rPr>
          <w:rFonts w:cs="Times New Roman"/>
          <w:noProof/>
          <w:lang w:val="en-US"/>
        </w:rPr>
        <w:t xml:space="preserve">, 2004, </w:t>
      </w:r>
      <w:r w:rsidRPr="00DB1BCE">
        <w:rPr>
          <w:rFonts w:cs="Times New Roman"/>
          <w:b/>
          <w:bCs/>
          <w:noProof/>
          <w:lang w:val="en-US"/>
        </w:rPr>
        <w:t>56</w:t>
      </w:r>
      <w:r w:rsidRPr="00DB1BCE">
        <w:rPr>
          <w:rFonts w:cs="Times New Roman"/>
          <w:noProof/>
          <w:lang w:val="en-US"/>
        </w:rPr>
        <w:t>, 156–159.</w:t>
      </w:r>
    </w:p>
    <w:p w14:paraId="1CBF1A0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117</w:t>
      </w:r>
      <w:r w:rsidRPr="00DB1BCE">
        <w:rPr>
          <w:rFonts w:cs="Times New Roman"/>
          <w:noProof/>
          <w:lang w:val="en-US"/>
        </w:rPr>
        <w:tab/>
        <w:t xml:space="preserve">S. Bajaj, A. Whiteman and B. Brandner, </w:t>
      </w:r>
      <w:r w:rsidRPr="00DB1BCE">
        <w:rPr>
          <w:rFonts w:cs="Times New Roman"/>
          <w:i/>
          <w:iCs/>
          <w:noProof/>
          <w:lang w:val="en-US"/>
        </w:rPr>
        <w:t>Contin. Educ. Anaesthesia, Crit. Care Pain</w:t>
      </w:r>
      <w:r w:rsidRPr="00DB1BCE">
        <w:rPr>
          <w:rFonts w:cs="Times New Roman"/>
          <w:noProof/>
          <w:lang w:val="en-US"/>
        </w:rPr>
        <w:t xml:space="preserve">, 2011, </w:t>
      </w:r>
      <w:r w:rsidRPr="00DB1BCE">
        <w:rPr>
          <w:rFonts w:cs="Times New Roman"/>
          <w:b/>
          <w:bCs/>
          <w:noProof/>
          <w:lang w:val="en-US"/>
        </w:rPr>
        <w:t>11</w:t>
      </w:r>
      <w:r w:rsidRPr="00DB1BCE">
        <w:rPr>
          <w:rFonts w:cs="Times New Roman"/>
          <w:noProof/>
          <w:lang w:val="en-US"/>
        </w:rPr>
        <w:t>, 39–43.</w:t>
      </w:r>
    </w:p>
    <w:p w14:paraId="6A56B09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118</w:t>
      </w:r>
      <w:r w:rsidRPr="00DB1BCE">
        <w:rPr>
          <w:rFonts w:cs="Times New Roman"/>
          <w:noProof/>
          <w:lang w:val="en-US"/>
        </w:rPr>
        <w:tab/>
        <w:t xml:space="preserve">K. Kathe and H. Kathpalia, </w:t>
      </w:r>
      <w:r w:rsidRPr="00DB1BCE">
        <w:rPr>
          <w:rFonts w:cs="Times New Roman"/>
          <w:i/>
          <w:iCs/>
          <w:noProof/>
          <w:lang w:val="en-US"/>
        </w:rPr>
        <w:t>Asian J. Pharm. Sci.</w:t>
      </w:r>
      <w:r w:rsidRPr="00DB1BCE">
        <w:rPr>
          <w:rFonts w:cs="Times New Roman"/>
          <w:noProof/>
          <w:lang w:val="en-US"/>
        </w:rPr>
        <w:t xml:space="preserve">, 2017, </w:t>
      </w:r>
      <w:r w:rsidRPr="00DB1BCE">
        <w:rPr>
          <w:rFonts w:cs="Times New Roman"/>
          <w:b/>
          <w:bCs/>
          <w:noProof/>
          <w:lang w:val="en-US"/>
        </w:rPr>
        <w:t>12</w:t>
      </w:r>
      <w:r w:rsidRPr="00DB1BCE">
        <w:rPr>
          <w:rFonts w:cs="Times New Roman"/>
          <w:noProof/>
          <w:lang w:val="en-US"/>
        </w:rPr>
        <w:t>, 487–497.</w:t>
      </w:r>
    </w:p>
    <w:p w14:paraId="1AC0C10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119</w:t>
      </w:r>
      <w:r w:rsidRPr="00DB1BCE">
        <w:rPr>
          <w:rFonts w:cs="Times New Roman"/>
          <w:noProof/>
          <w:lang w:val="en-US"/>
        </w:rPr>
        <w:tab/>
        <w:t xml:space="preserve">T. Garg, G. Rath and A. K. Goyal, </w:t>
      </w:r>
      <w:r w:rsidRPr="00DB1BCE">
        <w:rPr>
          <w:rFonts w:cs="Times New Roman"/>
          <w:i/>
          <w:iCs/>
          <w:noProof/>
          <w:lang w:val="en-US"/>
        </w:rPr>
        <w:t>Drug Deliv.</w:t>
      </w:r>
      <w:r w:rsidRPr="00DB1BCE">
        <w:rPr>
          <w:rFonts w:cs="Times New Roman"/>
          <w:noProof/>
          <w:lang w:val="en-US"/>
        </w:rPr>
        <w:t xml:space="preserve">, 2015, </w:t>
      </w:r>
      <w:r w:rsidRPr="00DB1BCE">
        <w:rPr>
          <w:rFonts w:cs="Times New Roman"/>
          <w:b/>
          <w:bCs/>
          <w:noProof/>
          <w:lang w:val="en-US"/>
        </w:rPr>
        <w:t>22</w:t>
      </w:r>
      <w:r w:rsidRPr="00DB1BCE">
        <w:rPr>
          <w:rFonts w:cs="Times New Roman"/>
          <w:noProof/>
          <w:lang w:val="en-US"/>
        </w:rPr>
        <w:t>, 969–987.</w:t>
      </w:r>
    </w:p>
    <w:p w14:paraId="6FBB252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120</w:t>
      </w:r>
      <w:r w:rsidRPr="00DB1BCE">
        <w:rPr>
          <w:rFonts w:cs="Times New Roman"/>
          <w:noProof/>
          <w:lang w:val="en-US"/>
        </w:rPr>
        <w:tab/>
        <w:t xml:space="preserve">S. Karki, H. Kim, S. J. Na, D. Shin, K. Jo and J. Lee, </w:t>
      </w:r>
      <w:r w:rsidRPr="00DB1BCE">
        <w:rPr>
          <w:rFonts w:cs="Times New Roman"/>
          <w:i/>
          <w:iCs/>
          <w:noProof/>
          <w:lang w:val="en-US"/>
        </w:rPr>
        <w:t>Asian J. Pharm. Sci.</w:t>
      </w:r>
      <w:r w:rsidRPr="00DB1BCE">
        <w:rPr>
          <w:rFonts w:cs="Times New Roman"/>
          <w:noProof/>
          <w:lang w:val="en-US"/>
        </w:rPr>
        <w:t xml:space="preserve">, 2016, </w:t>
      </w:r>
      <w:r w:rsidRPr="00DB1BCE">
        <w:rPr>
          <w:rFonts w:cs="Times New Roman"/>
          <w:b/>
          <w:bCs/>
          <w:noProof/>
          <w:lang w:val="en-US"/>
        </w:rPr>
        <w:t>11</w:t>
      </w:r>
      <w:r w:rsidRPr="00DB1BCE">
        <w:rPr>
          <w:rFonts w:cs="Times New Roman"/>
          <w:noProof/>
          <w:lang w:val="en-US"/>
        </w:rPr>
        <w:t>, 559–574.</w:t>
      </w:r>
    </w:p>
    <w:p w14:paraId="798C442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121</w:t>
      </w:r>
      <w:r w:rsidRPr="00DB1BCE">
        <w:rPr>
          <w:rFonts w:cs="Times New Roman"/>
          <w:noProof/>
          <w:lang w:val="en-US"/>
        </w:rPr>
        <w:tab/>
        <w:t xml:space="preserve">L. C. Moorhead, J. Carroll, G. Constance, D. E. Jenkins III and C. D. Armeniades, </w:t>
      </w:r>
      <w:r w:rsidRPr="00DB1BCE">
        <w:rPr>
          <w:rFonts w:cs="Times New Roman"/>
          <w:i/>
          <w:iCs/>
          <w:noProof/>
          <w:lang w:val="en-US"/>
        </w:rPr>
        <w:t>Arch. Opthamology</w:t>
      </w:r>
      <w:r w:rsidRPr="00DB1BCE">
        <w:rPr>
          <w:rFonts w:cs="Times New Roman"/>
          <w:noProof/>
          <w:lang w:val="en-US"/>
        </w:rPr>
        <w:t xml:space="preserve">, 1984, </w:t>
      </w:r>
      <w:r w:rsidRPr="00DB1BCE">
        <w:rPr>
          <w:rFonts w:cs="Times New Roman"/>
          <w:b/>
          <w:bCs/>
          <w:noProof/>
          <w:lang w:val="en-US"/>
        </w:rPr>
        <w:t>102</w:t>
      </w:r>
      <w:r w:rsidRPr="00DB1BCE">
        <w:rPr>
          <w:rFonts w:cs="Times New Roman"/>
          <w:noProof/>
          <w:lang w:val="en-US"/>
        </w:rPr>
        <w:t>, 304–307.</w:t>
      </w:r>
    </w:p>
    <w:p w14:paraId="1520161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122</w:t>
      </w:r>
      <w:r w:rsidRPr="00DB1BCE">
        <w:rPr>
          <w:rFonts w:cs="Times New Roman"/>
          <w:noProof/>
          <w:lang w:val="en-US"/>
        </w:rPr>
        <w:tab/>
        <w:t xml:space="preserve">D. P. Speer, S. Feldman and M. Chvapil, </w:t>
      </w:r>
      <w:r w:rsidRPr="00DB1BCE">
        <w:rPr>
          <w:rFonts w:cs="Times New Roman"/>
          <w:i/>
          <w:iCs/>
          <w:noProof/>
          <w:lang w:val="en-US"/>
        </w:rPr>
        <w:t>J. Surg. Res.</w:t>
      </w:r>
      <w:r w:rsidRPr="00DB1BCE">
        <w:rPr>
          <w:rFonts w:cs="Times New Roman"/>
          <w:noProof/>
          <w:lang w:val="en-US"/>
        </w:rPr>
        <w:t xml:space="preserve">, 1985, </w:t>
      </w:r>
      <w:r w:rsidRPr="00DB1BCE">
        <w:rPr>
          <w:rFonts w:cs="Times New Roman"/>
          <w:b/>
          <w:bCs/>
          <w:noProof/>
          <w:lang w:val="en-US"/>
        </w:rPr>
        <w:t>38</w:t>
      </w:r>
      <w:r w:rsidRPr="00DB1BCE">
        <w:rPr>
          <w:rFonts w:cs="Times New Roman"/>
          <w:noProof/>
          <w:lang w:val="en-US"/>
        </w:rPr>
        <w:t>, 252–257.</w:t>
      </w:r>
    </w:p>
    <w:p w14:paraId="0AFC3C9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123</w:t>
      </w:r>
      <w:r w:rsidRPr="00DB1BCE">
        <w:rPr>
          <w:rFonts w:cs="Times New Roman"/>
          <w:noProof/>
          <w:lang w:val="en-US"/>
        </w:rPr>
        <w:tab/>
        <w:t xml:space="preserve">D. J. Gibeault, R. B. Cravens and M. Chvapil, </w:t>
      </w:r>
      <w:r w:rsidRPr="00DB1BCE">
        <w:rPr>
          <w:rFonts w:cs="Times New Roman"/>
          <w:i/>
          <w:iCs/>
          <w:noProof/>
          <w:lang w:val="en-US"/>
        </w:rPr>
        <w:t>J. Surg. Res.</w:t>
      </w:r>
      <w:r w:rsidRPr="00DB1BCE">
        <w:rPr>
          <w:rFonts w:cs="Times New Roman"/>
          <w:noProof/>
          <w:lang w:val="en-US"/>
        </w:rPr>
        <w:t xml:space="preserve">, 1989, </w:t>
      </w:r>
      <w:r w:rsidRPr="00DB1BCE">
        <w:rPr>
          <w:rFonts w:cs="Times New Roman"/>
          <w:b/>
          <w:bCs/>
          <w:noProof/>
          <w:lang w:val="en-US"/>
        </w:rPr>
        <w:t>47</w:t>
      </w:r>
      <w:r w:rsidRPr="00DB1BCE">
        <w:rPr>
          <w:rFonts w:cs="Times New Roman"/>
          <w:noProof/>
          <w:lang w:val="en-US"/>
        </w:rPr>
        <w:t>, 155–158.</w:t>
      </w:r>
    </w:p>
    <w:p w14:paraId="09AC096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124</w:t>
      </w:r>
      <w:r w:rsidRPr="00DB1BCE">
        <w:rPr>
          <w:rFonts w:cs="Times New Roman"/>
          <w:noProof/>
          <w:lang w:val="en-US"/>
        </w:rPr>
        <w:tab/>
        <w:t xml:space="preserve">D. L. Hoffman, J. A. Owen and M. Chvapil, </w:t>
      </w:r>
      <w:r w:rsidRPr="00DB1BCE">
        <w:rPr>
          <w:rFonts w:cs="Times New Roman"/>
          <w:i/>
          <w:iCs/>
          <w:noProof/>
          <w:lang w:val="en-US"/>
        </w:rPr>
        <w:t>Exp. Mol. Pathol.</w:t>
      </w:r>
      <w:r w:rsidRPr="00DB1BCE">
        <w:rPr>
          <w:rFonts w:cs="Times New Roman"/>
          <w:noProof/>
          <w:lang w:val="en-US"/>
        </w:rPr>
        <w:t xml:space="preserve">, 1983, </w:t>
      </w:r>
      <w:r w:rsidRPr="00DB1BCE">
        <w:rPr>
          <w:rFonts w:cs="Times New Roman"/>
          <w:b/>
          <w:bCs/>
          <w:noProof/>
          <w:lang w:val="en-US"/>
        </w:rPr>
        <w:t>39</w:t>
      </w:r>
      <w:r w:rsidRPr="00DB1BCE">
        <w:rPr>
          <w:rFonts w:cs="Times New Roman"/>
          <w:noProof/>
          <w:lang w:val="en-US"/>
        </w:rPr>
        <w:t>, 154–162.</w:t>
      </w:r>
    </w:p>
    <w:p w14:paraId="27F0700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125</w:t>
      </w:r>
      <w:r w:rsidRPr="00DB1BCE">
        <w:rPr>
          <w:rFonts w:cs="Times New Roman"/>
          <w:noProof/>
          <w:lang w:val="en-US"/>
        </w:rPr>
        <w:tab/>
        <w:t xml:space="preserve">J. H. Fleisher, R. Misiorowski, J. A. Owen and M. Chvapil, </w:t>
      </w:r>
      <w:r w:rsidRPr="00DB1BCE">
        <w:rPr>
          <w:rFonts w:cs="Times New Roman"/>
          <w:i/>
          <w:iCs/>
          <w:noProof/>
          <w:lang w:val="en-US"/>
        </w:rPr>
        <w:t>Life Sci.</w:t>
      </w:r>
      <w:r w:rsidRPr="00DB1BCE">
        <w:rPr>
          <w:rFonts w:cs="Times New Roman"/>
          <w:noProof/>
          <w:lang w:val="en-US"/>
        </w:rPr>
        <w:t xml:space="preserve">, 1981, </w:t>
      </w:r>
      <w:r w:rsidRPr="00DB1BCE">
        <w:rPr>
          <w:rFonts w:cs="Times New Roman"/>
          <w:b/>
          <w:bCs/>
          <w:noProof/>
          <w:lang w:val="en-US"/>
        </w:rPr>
        <w:t>29</w:t>
      </w:r>
      <w:r w:rsidRPr="00DB1BCE">
        <w:rPr>
          <w:rFonts w:cs="Times New Roman"/>
          <w:noProof/>
          <w:lang w:val="en-US"/>
        </w:rPr>
        <w:t xml:space="preserve">, </w:t>
      </w:r>
      <w:r w:rsidRPr="00DB1BCE">
        <w:rPr>
          <w:rFonts w:cs="Times New Roman"/>
          <w:noProof/>
          <w:lang w:val="en-US"/>
        </w:rPr>
        <w:lastRenderedPageBreak/>
        <w:t>2553–2560.</w:t>
      </w:r>
    </w:p>
    <w:p w14:paraId="4E06B9A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126</w:t>
      </w:r>
      <w:r w:rsidRPr="00DB1BCE">
        <w:rPr>
          <w:rFonts w:cs="Times New Roman"/>
          <w:noProof/>
          <w:lang w:val="en-US"/>
        </w:rPr>
        <w:tab/>
        <w:t xml:space="preserve">T. M. Greve, K. B. Andersen and O. F. Nielsen, </w:t>
      </w:r>
      <w:r w:rsidRPr="00DB1BCE">
        <w:rPr>
          <w:rFonts w:cs="Times New Roman"/>
          <w:i/>
          <w:iCs/>
          <w:noProof/>
          <w:lang w:val="en-US"/>
        </w:rPr>
        <w:t>Spectroscopy</w:t>
      </w:r>
      <w:r w:rsidRPr="00DB1BCE">
        <w:rPr>
          <w:rFonts w:cs="Times New Roman"/>
          <w:noProof/>
          <w:lang w:val="en-US"/>
        </w:rPr>
        <w:t xml:space="preserve">, 2008, </w:t>
      </w:r>
      <w:r w:rsidRPr="00DB1BCE">
        <w:rPr>
          <w:rFonts w:cs="Times New Roman"/>
          <w:b/>
          <w:bCs/>
          <w:noProof/>
          <w:lang w:val="en-US"/>
        </w:rPr>
        <w:t>22</w:t>
      </w:r>
      <w:r w:rsidRPr="00DB1BCE">
        <w:rPr>
          <w:rFonts w:cs="Times New Roman"/>
          <w:noProof/>
          <w:lang w:val="en-US"/>
        </w:rPr>
        <w:t>, 405–417.</w:t>
      </w:r>
    </w:p>
    <w:p w14:paraId="730DE25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127</w:t>
      </w:r>
      <w:r w:rsidRPr="00DB1BCE">
        <w:rPr>
          <w:rFonts w:cs="Times New Roman"/>
          <w:noProof/>
          <w:lang w:val="en-US"/>
        </w:rPr>
        <w:tab/>
        <w:t xml:space="preserve">A. Lata, C. Gowri, S. C. Dhar and M. Chvapil, </w:t>
      </w:r>
      <w:r w:rsidRPr="00DB1BCE">
        <w:rPr>
          <w:rFonts w:cs="Times New Roman"/>
          <w:i/>
          <w:iCs/>
          <w:noProof/>
          <w:lang w:val="en-US"/>
        </w:rPr>
        <w:t>J. Surg. Res.</w:t>
      </w:r>
      <w:r w:rsidRPr="00DB1BCE">
        <w:rPr>
          <w:rFonts w:cs="Times New Roman"/>
          <w:noProof/>
          <w:lang w:val="en-US"/>
        </w:rPr>
        <w:t xml:space="preserve">, 1988, </w:t>
      </w:r>
      <w:r w:rsidRPr="00DB1BCE">
        <w:rPr>
          <w:rFonts w:cs="Times New Roman"/>
          <w:b/>
          <w:bCs/>
          <w:noProof/>
          <w:lang w:val="en-US"/>
        </w:rPr>
        <w:t>44</w:t>
      </w:r>
      <w:r w:rsidRPr="00DB1BCE">
        <w:rPr>
          <w:rFonts w:cs="Times New Roman"/>
          <w:noProof/>
          <w:lang w:val="en-US"/>
        </w:rPr>
        <w:t>, 67–72.</w:t>
      </w:r>
    </w:p>
    <w:p w14:paraId="76B1CC5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128</w:t>
      </w:r>
      <w:r w:rsidRPr="00DB1BCE">
        <w:rPr>
          <w:rFonts w:cs="Times New Roman"/>
          <w:noProof/>
          <w:lang w:val="en-US"/>
        </w:rPr>
        <w:tab/>
        <w:t xml:space="preserve">M. Chvapil, F. Kielar, F. Liska, A. Silhankova and K. Brendel, </w:t>
      </w:r>
      <w:r w:rsidRPr="00DB1BCE">
        <w:rPr>
          <w:rFonts w:cs="Times New Roman"/>
          <w:i/>
          <w:iCs/>
          <w:noProof/>
          <w:lang w:val="en-US"/>
        </w:rPr>
        <w:t>Connect. Tissue Res.</w:t>
      </w:r>
      <w:r w:rsidRPr="00DB1BCE">
        <w:rPr>
          <w:rFonts w:cs="Times New Roman"/>
          <w:noProof/>
          <w:lang w:val="en-US"/>
        </w:rPr>
        <w:t xml:space="preserve">, 2005, </w:t>
      </w:r>
      <w:r w:rsidRPr="00DB1BCE">
        <w:rPr>
          <w:rFonts w:cs="Times New Roman"/>
          <w:b/>
          <w:bCs/>
          <w:noProof/>
          <w:lang w:val="en-US"/>
        </w:rPr>
        <w:t>46</w:t>
      </w:r>
      <w:r w:rsidRPr="00DB1BCE">
        <w:rPr>
          <w:rFonts w:cs="Times New Roman"/>
          <w:noProof/>
          <w:lang w:val="en-US"/>
        </w:rPr>
        <w:t>, 242–250.</w:t>
      </w:r>
    </w:p>
    <w:p w14:paraId="1DF84B0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129</w:t>
      </w:r>
      <w:r w:rsidRPr="00DB1BCE">
        <w:rPr>
          <w:rFonts w:cs="Times New Roman"/>
          <w:noProof/>
          <w:lang w:val="en-US"/>
        </w:rPr>
        <w:tab/>
        <w:t xml:space="preserve">A. Albert, </w:t>
      </w:r>
      <w:r w:rsidRPr="00DB1BCE">
        <w:rPr>
          <w:rFonts w:cs="Times New Roman"/>
          <w:i/>
          <w:iCs/>
          <w:noProof/>
          <w:lang w:val="en-US"/>
        </w:rPr>
        <w:t>Nature</w:t>
      </w:r>
      <w:r w:rsidRPr="00DB1BCE">
        <w:rPr>
          <w:rFonts w:cs="Times New Roman"/>
          <w:noProof/>
          <w:lang w:val="en-US"/>
        </w:rPr>
        <w:t xml:space="preserve">, 1958, </w:t>
      </w:r>
      <w:r w:rsidRPr="00DB1BCE">
        <w:rPr>
          <w:rFonts w:cs="Times New Roman"/>
          <w:b/>
          <w:bCs/>
          <w:noProof/>
          <w:lang w:val="en-US"/>
        </w:rPr>
        <w:t>182</w:t>
      </w:r>
      <w:r w:rsidRPr="00DB1BCE">
        <w:rPr>
          <w:rFonts w:cs="Times New Roman"/>
          <w:noProof/>
          <w:lang w:val="en-US"/>
        </w:rPr>
        <w:t>, 421.</w:t>
      </w:r>
    </w:p>
    <w:p w14:paraId="5962C19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130</w:t>
      </w:r>
      <w:r w:rsidRPr="00DB1BCE">
        <w:rPr>
          <w:rFonts w:cs="Times New Roman"/>
          <w:noProof/>
          <w:lang w:val="en-US"/>
        </w:rPr>
        <w:tab/>
        <w:t xml:space="preserve">J. Rautio, J. Kärkkäinen and K. B. Sloan, </w:t>
      </w:r>
      <w:r w:rsidRPr="00DB1BCE">
        <w:rPr>
          <w:rFonts w:cs="Times New Roman"/>
          <w:i/>
          <w:iCs/>
          <w:noProof/>
          <w:lang w:val="en-US"/>
        </w:rPr>
        <w:t>Eur. J. Pharm. Sci.</w:t>
      </w:r>
      <w:r w:rsidRPr="00DB1BCE">
        <w:rPr>
          <w:rFonts w:cs="Times New Roman"/>
          <w:noProof/>
          <w:lang w:val="en-US"/>
        </w:rPr>
        <w:t xml:space="preserve">, 2017, </w:t>
      </w:r>
      <w:r w:rsidRPr="00DB1BCE">
        <w:rPr>
          <w:rFonts w:cs="Times New Roman"/>
          <w:b/>
          <w:bCs/>
          <w:noProof/>
          <w:lang w:val="en-US"/>
        </w:rPr>
        <w:t>109</w:t>
      </w:r>
      <w:r w:rsidRPr="00DB1BCE">
        <w:rPr>
          <w:rFonts w:cs="Times New Roman"/>
          <w:noProof/>
          <w:lang w:val="en-US"/>
        </w:rPr>
        <w:t>, 146–161.</w:t>
      </w:r>
    </w:p>
    <w:p w14:paraId="3CA91E8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131</w:t>
      </w:r>
      <w:r w:rsidRPr="00DB1BCE">
        <w:rPr>
          <w:rFonts w:cs="Times New Roman"/>
          <w:noProof/>
          <w:lang w:val="en-US"/>
        </w:rPr>
        <w:tab/>
        <w:t xml:space="preserve">D. H. Jornada, G. F. Dos Santos Fernandes, D. E. Chiba, T. R. F. De Melo, J. L. Dos Santos and M. C. Chung, </w:t>
      </w:r>
      <w:r w:rsidRPr="00DB1BCE">
        <w:rPr>
          <w:rFonts w:cs="Times New Roman"/>
          <w:i/>
          <w:iCs/>
          <w:noProof/>
          <w:lang w:val="en-US"/>
        </w:rPr>
        <w:t>Molecules</w:t>
      </w:r>
      <w:r w:rsidRPr="00DB1BCE">
        <w:rPr>
          <w:rFonts w:cs="Times New Roman"/>
          <w:noProof/>
          <w:lang w:val="en-US"/>
        </w:rPr>
        <w:t xml:space="preserve">, 2016, </w:t>
      </w:r>
      <w:r w:rsidRPr="00DB1BCE">
        <w:rPr>
          <w:rFonts w:cs="Times New Roman"/>
          <w:b/>
          <w:bCs/>
          <w:noProof/>
          <w:lang w:val="en-US"/>
        </w:rPr>
        <w:t>21</w:t>
      </w:r>
      <w:r w:rsidRPr="00DB1BCE">
        <w:rPr>
          <w:rFonts w:cs="Times New Roman"/>
          <w:noProof/>
          <w:lang w:val="en-US"/>
        </w:rPr>
        <w:t>.</w:t>
      </w:r>
    </w:p>
    <w:p w14:paraId="3F054A7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132</w:t>
      </w:r>
      <w:r w:rsidRPr="00DB1BCE">
        <w:rPr>
          <w:rFonts w:cs="Times New Roman"/>
          <w:noProof/>
          <w:lang w:val="en-US"/>
        </w:rPr>
        <w:tab/>
        <w:t xml:space="preserve">J. B. Zawilska, J. Wojcieszak and A. B. Olejniczak, </w:t>
      </w:r>
      <w:r w:rsidRPr="00DB1BCE">
        <w:rPr>
          <w:rFonts w:cs="Times New Roman"/>
          <w:i/>
          <w:iCs/>
          <w:noProof/>
          <w:lang w:val="en-US"/>
        </w:rPr>
        <w:t>Pharmacol. Reports</w:t>
      </w:r>
      <w:r w:rsidRPr="00DB1BCE">
        <w:rPr>
          <w:rFonts w:cs="Times New Roman"/>
          <w:noProof/>
          <w:lang w:val="en-US"/>
        </w:rPr>
        <w:t xml:space="preserve">, 2013, </w:t>
      </w:r>
      <w:r w:rsidRPr="00DB1BCE">
        <w:rPr>
          <w:rFonts w:cs="Times New Roman"/>
          <w:b/>
          <w:bCs/>
          <w:noProof/>
          <w:lang w:val="en-US"/>
        </w:rPr>
        <w:t>65</w:t>
      </w:r>
      <w:r w:rsidRPr="00DB1BCE">
        <w:rPr>
          <w:rFonts w:cs="Times New Roman"/>
          <w:noProof/>
          <w:lang w:val="en-US"/>
        </w:rPr>
        <w:t>, 1–14.</w:t>
      </w:r>
    </w:p>
    <w:p w14:paraId="4906386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133</w:t>
      </w:r>
      <w:r w:rsidRPr="00DB1BCE">
        <w:rPr>
          <w:rFonts w:cs="Times New Roman"/>
          <w:noProof/>
          <w:lang w:val="en-US"/>
        </w:rPr>
        <w:tab/>
        <w:t xml:space="preserve">R. Karaman, A. Abu-jaish, S. Jum and B. Fattash, </w:t>
      </w:r>
      <w:r w:rsidRPr="00DB1BCE">
        <w:rPr>
          <w:rFonts w:cs="Times New Roman"/>
          <w:i/>
          <w:iCs/>
          <w:noProof/>
          <w:lang w:val="en-US"/>
        </w:rPr>
        <w:t>Prodrugs Design: A new era</w:t>
      </w:r>
      <w:r w:rsidRPr="00DB1BCE">
        <w:rPr>
          <w:rFonts w:cs="Times New Roman"/>
          <w:noProof/>
          <w:lang w:val="en-US"/>
        </w:rPr>
        <w:t>, Nova Science Publishers, New York, First., 2014.</w:t>
      </w:r>
    </w:p>
    <w:p w14:paraId="0EAFAA3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134</w:t>
      </w:r>
      <w:r w:rsidRPr="00DB1BCE">
        <w:rPr>
          <w:rFonts w:cs="Times New Roman"/>
          <w:noProof/>
          <w:lang w:val="en-US"/>
        </w:rPr>
        <w:tab/>
        <w:t xml:space="preserve">D. N. Croft, J. H. P. Cuddigan and C. Sweetland, </w:t>
      </w:r>
      <w:r w:rsidRPr="00DB1BCE">
        <w:rPr>
          <w:rFonts w:cs="Times New Roman"/>
          <w:i/>
          <w:iCs/>
          <w:noProof/>
          <w:lang w:val="en-US"/>
        </w:rPr>
        <w:t>Br. Med. J.</w:t>
      </w:r>
      <w:r w:rsidRPr="00DB1BCE">
        <w:rPr>
          <w:rFonts w:cs="Times New Roman"/>
          <w:noProof/>
          <w:lang w:val="en-US"/>
        </w:rPr>
        <w:t xml:space="preserve">, 1972, </w:t>
      </w:r>
      <w:r w:rsidRPr="00DB1BCE">
        <w:rPr>
          <w:rFonts w:cs="Times New Roman"/>
          <w:b/>
          <w:bCs/>
          <w:noProof/>
          <w:lang w:val="en-US"/>
        </w:rPr>
        <w:t>3</w:t>
      </w:r>
      <w:r w:rsidRPr="00DB1BCE">
        <w:rPr>
          <w:rFonts w:cs="Times New Roman"/>
          <w:noProof/>
          <w:lang w:val="en-US"/>
        </w:rPr>
        <w:t>, 545–547.</w:t>
      </w:r>
    </w:p>
    <w:p w14:paraId="0421695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135</w:t>
      </w:r>
      <w:r w:rsidRPr="00DB1BCE">
        <w:rPr>
          <w:rFonts w:cs="Times New Roman"/>
          <w:noProof/>
          <w:lang w:val="en-US"/>
        </w:rPr>
        <w:tab/>
        <w:t xml:space="preserve">F. Haddad, M. Sawalha, Y. Khawaja, A. Najjar and R. Karaman, </w:t>
      </w:r>
      <w:r w:rsidRPr="00DB1BCE">
        <w:rPr>
          <w:rFonts w:cs="Times New Roman"/>
          <w:i/>
          <w:iCs/>
          <w:noProof/>
          <w:lang w:val="en-US"/>
        </w:rPr>
        <w:t>Molecules</w:t>
      </w:r>
      <w:r w:rsidRPr="00DB1BCE">
        <w:rPr>
          <w:rFonts w:cs="Times New Roman"/>
          <w:noProof/>
          <w:lang w:val="en-US"/>
        </w:rPr>
        <w:t xml:space="preserve">, 2018, </w:t>
      </w:r>
      <w:r w:rsidRPr="00DB1BCE">
        <w:rPr>
          <w:rFonts w:cs="Times New Roman"/>
          <w:b/>
          <w:bCs/>
          <w:noProof/>
          <w:lang w:val="en-US"/>
        </w:rPr>
        <w:t>23</w:t>
      </w:r>
      <w:r w:rsidRPr="00DB1BCE">
        <w:rPr>
          <w:rFonts w:cs="Times New Roman"/>
          <w:noProof/>
          <w:lang w:val="en-US"/>
        </w:rPr>
        <w:t>.</w:t>
      </w:r>
    </w:p>
    <w:p w14:paraId="10D3811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136</w:t>
      </w:r>
      <w:r w:rsidRPr="00DB1BCE">
        <w:rPr>
          <w:rFonts w:cs="Times New Roman"/>
          <w:noProof/>
          <w:lang w:val="en-US"/>
        </w:rPr>
        <w:tab/>
        <w:t xml:space="preserve">K. M. Huttunen, H. Raunio and J. Rautio, </w:t>
      </w:r>
      <w:r w:rsidRPr="00DB1BCE">
        <w:rPr>
          <w:rFonts w:cs="Times New Roman"/>
          <w:i/>
          <w:iCs/>
          <w:noProof/>
          <w:lang w:val="en-US"/>
        </w:rPr>
        <w:t>Pharmacol. Rev.</w:t>
      </w:r>
      <w:r w:rsidRPr="00DB1BCE">
        <w:rPr>
          <w:rFonts w:cs="Times New Roman"/>
          <w:noProof/>
          <w:lang w:val="en-US"/>
        </w:rPr>
        <w:t xml:space="preserve">, 2011, </w:t>
      </w:r>
      <w:r w:rsidRPr="00DB1BCE">
        <w:rPr>
          <w:rFonts w:cs="Times New Roman"/>
          <w:b/>
          <w:bCs/>
          <w:noProof/>
          <w:lang w:val="en-US"/>
        </w:rPr>
        <w:t>63</w:t>
      </w:r>
      <w:r w:rsidRPr="00DB1BCE">
        <w:rPr>
          <w:rFonts w:cs="Times New Roman"/>
          <w:noProof/>
          <w:lang w:val="en-US"/>
        </w:rPr>
        <w:t>, 750–71.</w:t>
      </w:r>
    </w:p>
    <w:p w14:paraId="1D0BBEE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137</w:t>
      </w:r>
      <w:r w:rsidRPr="00DB1BCE">
        <w:rPr>
          <w:rFonts w:cs="Times New Roman"/>
          <w:noProof/>
          <w:lang w:val="en-US"/>
        </w:rPr>
        <w:tab/>
        <w:t xml:space="preserve">R. Mahato, W. Tai and K. Cheng, </w:t>
      </w:r>
      <w:r w:rsidRPr="00DB1BCE">
        <w:rPr>
          <w:rFonts w:cs="Times New Roman"/>
          <w:i/>
          <w:iCs/>
          <w:noProof/>
          <w:lang w:val="en-US"/>
        </w:rPr>
        <w:t>Adv. Drug Deliv. Rev.</w:t>
      </w:r>
      <w:r w:rsidRPr="00DB1BCE">
        <w:rPr>
          <w:rFonts w:cs="Times New Roman"/>
          <w:noProof/>
          <w:lang w:val="en-US"/>
        </w:rPr>
        <w:t xml:space="preserve">, 2011, </w:t>
      </w:r>
      <w:r w:rsidRPr="00DB1BCE">
        <w:rPr>
          <w:rFonts w:cs="Times New Roman"/>
          <w:b/>
          <w:bCs/>
          <w:noProof/>
          <w:lang w:val="en-US"/>
        </w:rPr>
        <w:t>63</w:t>
      </w:r>
      <w:r w:rsidRPr="00DB1BCE">
        <w:rPr>
          <w:rFonts w:cs="Times New Roman"/>
          <w:noProof/>
          <w:lang w:val="en-US"/>
        </w:rPr>
        <w:t>, 659–670.</w:t>
      </w:r>
    </w:p>
    <w:p w14:paraId="66A64C5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138</w:t>
      </w:r>
      <w:r w:rsidRPr="00DB1BCE">
        <w:rPr>
          <w:rFonts w:cs="Times New Roman"/>
          <w:noProof/>
          <w:lang w:val="en-US"/>
        </w:rPr>
        <w:tab/>
        <w:t xml:space="preserve">V. J. Stella and K. W. Nti-Addae, </w:t>
      </w:r>
      <w:r w:rsidRPr="00DB1BCE">
        <w:rPr>
          <w:rFonts w:cs="Times New Roman"/>
          <w:i/>
          <w:iCs/>
          <w:noProof/>
          <w:lang w:val="en-US"/>
        </w:rPr>
        <w:t>Adv. Drug Deliv. Rev.</w:t>
      </w:r>
      <w:r w:rsidRPr="00DB1BCE">
        <w:rPr>
          <w:rFonts w:cs="Times New Roman"/>
          <w:noProof/>
          <w:lang w:val="en-US"/>
        </w:rPr>
        <w:t xml:space="preserve">, 2007, </w:t>
      </w:r>
      <w:r w:rsidRPr="00DB1BCE">
        <w:rPr>
          <w:rFonts w:cs="Times New Roman"/>
          <w:b/>
          <w:bCs/>
          <w:noProof/>
          <w:lang w:val="en-US"/>
        </w:rPr>
        <w:t>59</w:t>
      </w:r>
      <w:r w:rsidRPr="00DB1BCE">
        <w:rPr>
          <w:rFonts w:cs="Times New Roman"/>
          <w:noProof/>
          <w:lang w:val="en-US"/>
        </w:rPr>
        <w:t>, 677–694.</w:t>
      </w:r>
    </w:p>
    <w:p w14:paraId="14CBDC4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139</w:t>
      </w:r>
      <w:r w:rsidRPr="00DB1BCE">
        <w:rPr>
          <w:rFonts w:cs="Times New Roman"/>
          <w:noProof/>
          <w:lang w:val="en-US"/>
        </w:rPr>
        <w:tab/>
        <w:t xml:space="preserve">B. S. Vig, K. M. Huttunen, K. Laine and J. Rautio, </w:t>
      </w:r>
      <w:r w:rsidRPr="00DB1BCE">
        <w:rPr>
          <w:rFonts w:cs="Times New Roman"/>
          <w:i/>
          <w:iCs/>
          <w:noProof/>
          <w:lang w:val="en-US"/>
        </w:rPr>
        <w:t>Adv. Drug Deliv. Rev.</w:t>
      </w:r>
      <w:r w:rsidRPr="00DB1BCE">
        <w:rPr>
          <w:rFonts w:cs="Times New Roman"/>
          <w:noProof/>
          <w:lang w:val="en-US"/>
        </w:rPr>
        <w:t xml:space="preserve">, 2013, </w:t>
      </w:r>
      <w:r w:rsidRPr="00DB1BCE">
        <w:rPr>
          <w:rFonts w:cs="Times New Roman"/>
          <w:b/>
          <w:bCs/>
          <w:noProof/>
          <w:lang w:val="en-US"/>
        </w:rPr>
        <w:t>65</w:t>
      </w:r>
      <w:r w:rsidRPr="00DB1BCE">
        <w:rPr>
          <w:rFonts w:cs="Times New Roman"/>
          <w:noProof/>
          <w:lang w:val="en-US"/>
        </w:rPr>
        <w:t>, 1370–1385.</w:t>
      </w:r>
    </w:p>
    <w:p w14:paraId="6BCE89D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140</w:t>
      </w:r>
      <w:r w:rsidRPr="00DB1BCE">
        <w:rPr>
          <w:rFonts w:cs="Times New Roman"/>
          <w:noProof/>
          <w:lang w:val="en-US"/>
        </w:rPr>
        <w:tab/>
        <w:t>J. Gong, J. Gan, J. Caceres-cortes, L. J. Christopher, V. Arora, E. Masson, D. Williams, J. Pursley, A. Allentoff, M. Lago, S. B. Tran and R. a Iyer, 2011.</w:t>
      </w:r>
    </w:p>
    <w:p w14:paraId="6D8B45E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141</w:t>
      </w:r>
      <w:r w:rsidRPr="00DB1BCE">
        <w:rPr>
          <w:rFonts w:cs="Times New Roman"/>
          <w:noProof/>
          <w:lang w:val="en-US"/>
        </w:rPr>
        <w:tab/>
        <w:t xml:space="preserve">S. Ben-Shabat, R. Benisty, U. Wormser and A. C. Sintov, </w:t>
      </w:r>
      <w:r w:rsidRPr="00DB1BCE">
        <w:rPr>
          <w:rFonts w:cs="Times New Roman"/>
          <w:i/>
          <w:iCs/>
          <w:noProof/>
          <w:lang w:val="en-US"/>
        </w:rPr>
        <w:t>Pharm. Res.</w:t>
      </w:r>
      <w:r w:rsidRPr="00DB1BCE">
        <w:rPr>
          <w:rFonts w:cs="Times New Roman"/>
          <w:noProof/>
          <w:lang w:val="en-US"/>
        </w:rPr>
        <w:t xml:space="preserve">, 2005, </w:t>
      </w:r>
      <w:r w:rsidRPr="00DB1BCE">
        <w:rPr>
          <w:rFonts w:cs="Times New Roman"/>
          <w:b/>
          <w:bCs/>
          <w:noProof/>
          <w:lang w:val="en-US"/>
        </w:rPr>
        <w:t>22</w:t>
      </w:r>
      <w:r w:rsidRPr="00DB1BCE">
        <w:rPr>
          <w:rFonts w:cs="Times New Roman"/>
          <w:noProof/>
          <w:lang w:val="en-US"/>
        </w:rPr>
        <w:t>, 50–57.</w:t>
      </w:r>
    </w:p>
    <w:p w14:paraId="1305F40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142</w:t>
      </w:r>
      <w:r w:rsidRPr="00DB1BCE">
        <w:rPr>
          <w:rFonts w:cs="Times New Roman"/>
          <w:noProof/>
          <w:lang w:val="en-US"/>
        </w:rPr>
        <w:tab/>
        <w:t xml:space="preserve">K. Bhandari, M. Newa and S. Yoon, </w:t>
      </w:r>
      <w:r w:rsidRPr="00DB1BCE">
        <w:rPr>
          <w:rFonts w:cs="Times New Roman"/>
          <w:i/>
          <w:iCs/>
          <w:noProof/>
          <w:lang w:val="en-US"/>
        </w:rPr>
        <w:t>Biol. …</w:t>
      </w:r>
      <w:r w:rsidRPr="00DB1BCE">
        <w:rPr>
          <w:rFonts w:cs="Times New Roman"/>
          <w:noProof/>
          <w:lang w:val="en-US"/>
        </w:rPr>
        <w:t xml:space="preserve">, 2007, </w:t>
      </w:r>
      <w:r w:rsidRPr="00DB1BCE">
        <w:rPr>
          <w:rFonts w:cs="Times New Roman"/>
          <w:b/>
          <w:bCs/>
          <w:noProof/>
          <w:lang w:val="en-US"/>
        </w:rPr>
        <w:t>30</w:t>
      </w:r>
      <w:r w:rsidRPr="00DB1BCE">
        <w:rPr>
          <w:rFonts w:cs="Times New Roman"/>
          <w:noProof/>
          <w:lang w:val="en-US"/>
        </w:rPr>
        <w:t>, 2211–2216.</w:t>
      </w:r>
    </w:p>
    <w:p w14:paraId="6670930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143</w:t>
      </w:r>
      <w:r w:rsidRPr="00DB1BCE">
        <w:rPr>
          <w:rFonts w:cs="Times New Roman"/>
          <w:noProof/>
          <w:lang w:val="en-US"/>
        </w:rPr>
        <w:tab/>
        <w:t xml:space="preserve">G. W. Bean and C. B. Camras, </w:t>
      </w:r>
      <w:r w:rsidRPr="00DB1BCE">
        <w:rPr>
          <w:rFonts w:cs="Times New Roman"/>
          <w:i/>
          <w:iCs/>
          <w:noProof/>
          <w:lang w:val="en-US"/>
        </w:rPr>
        <w:t>Surv. Ophthalmol.</w:t>
      </w:r>
      <w:r w:rsidRPr="00DB1BCE">
        <w:rPr>
          <w:rFonts w:cs="Times New Roman"/>
          <w:noProof/>
          <w:lang w:val="en-US"/>
        </w:rPr>
        <w:t xml:space="preserve">, 2008, </w:t>
      </w:r>
      <w:r w:rsidRPr="00DB1BCE">
        <w:rPr>
          <w:rFonts w:cs="Times New Roman"/>
          <w:b/>
          <w:bCs/>
          <w:noProof/>
          <w:lang w:val="en-US"/>
        </w:rPr>
        <w:t>53</w:t>
      </w:r>
      <w:r w:rsidRPr="00DB1BCE">
        <w:rPr>
          <w:rFonts w:cs="Times New Roman"/>
          <w:noProof/>
          <w:lang w:val="en-US"/>
        </w:rPr>
        <w:t>, 69–84.</w:t>
      </w:r>
    </w:p>
    <w:p w14:paraId="07C55A8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144</w:t>
      </w:r>
      <w:r w:rsidRPr="00DB1BCE">
        <w:rPr>
          <w:rFonts w:cs="Times New Roman"/>
          <w:noProof/>
          <w:lang w:val="en-US"/>
        </w:rPr>
        <w:tab/>
        <w:t xml:space="preserve">C. Granchi, T. Funaioli, J. T. Erler, A. J. Giaccia, M. Macchia and F. Minutolo, </w:t>
      </w:r>
      <w:r w:rsidRPr="00DB1BCE">
        <w:rPr>
          <w:rFonts w:cs="Times New Roman"/>
          <w:i/>
          <w:iCs/>
          <w:noProof/>
          <w:lang w:val="en-US"/>
        </w:rPr>
        <w:t>ChemMedChem</w:t>
      </w:r>
      <w:r w:rsidRPr="00DB1BCE">
        <w:rPr>
          <w:rFonts w:cs="Times New Roman"/>
          <w:noProof/>
          <w:lang w:val="en-US"/>
        </w:rPr>
        <w:t xml:space="preserve">, 2009, </w:t>
      </w:r>
      <w:r w:rsidRPr="00DB1BCE">
        <w:rPr>
          <w:rFonts w:cs="Times New Roman"/>
          <w:b/>
          <w:bCs/>
          <w:noProof/>
          <w:lang w:val="en-US"/>
        </w:rPr>
        <w:t>4</w:t>
      </w:r>
      <w:r w:rsidRPr="00DB1BCE">
        <w:rPr>
          <w:rFonts w:cs="Times New Roman"/>
          <w:noProof/>
          <w:lang w:val="en-US"/>
        </w:rPr>
        <w:t>, 6197–6214.</w:t>
      </w:r>
    </w:p>
    <w:p w14:paraId="392D83A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145</w:t>
      </w:r>
      <w:r w:rsidRPr="00DB1BCE">
        <w:rPr>
          <w:rFonts w:cs="Times New Roman"/>
          <w:noProof/>
          <w:lang w:val="en-US"/>
        </w:rPr>
        <w:tab/>
        <w:t xml:space="preserve">Y. Chen and L. Hu, </w:t>
      </w:r>
      <w:r w:rsidRPr="00DB1BCE">
        <w:rPr>
          <w:rFonts w:cs="Times New Roman"/>
          <w:i/>
          <w:iCs/>
          <w:noProof/>
          <w:lang w:val="en-US"/>
        </w:rPr>
        <w:t>Med. Res. Rev.</w:t>
      </w:r>
      <w:r w:rsidRPr="00DB1BCE">
        <w:rPr>
          <w:rFonts w:cs="Times New Roman"/>
          <w:noProof/>
          <w:lang w:val="en-US"/>
        </w:rPr>
        <w:t xml:space="preserve">, 2009, </w:t>
      </w:r>
      <w:r w:rsidRPr="00DB1BCE">
        <w:rPr>
          <w:rFonts w:cs="Times New Roman"/>
          <w:b/>
          <w:bCs/>
          <w:noProof/>
          <w:lang w:val="en-US"/>
        </w:rPr>
        <w:t>29</w:t>
      </w:r>
      <w:r w:rsidRPr="00DB1BCE">
        <w:rPr>
          <w:rFonts w:cs="Times New Roman"/>
          <w:noProof/>
          <w:lang w:val="en-US"/>
        </w:rPr>
        <w:t>, 29–64.</w:t>
      </w:r>
    </w:p>
    <w:p w14:paraId="22200BB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146</w:t>
      </w:r>
      <w:r w:rsidRPr="00DB1BCE">
        <w:rPr>
          <w:rFonts w:cs="Times New Roman"/>
          <w:noProof/>
          <w:lang w:val="en-US"/>
        </w:rPr>
        <w:tab/>
        <w:t xml:space="preserve">Y. Bao, E. Guégain, J. Mougin and J. Nicolas, </w:t>
      </w:r>
      <w:r w:rsidRPr="00DB1BCE">
        <w:rPr>
          <w:rFonts w:cs="Times New Roman"/>
          <w:i/>
          <w:iCs/>
          <w:noProof/>
          <w:lang w:val="en-US"/>
        </w:rPr>
        <w:t>Polym. Chem.</w:t>
      </w:r>
      <w:r w:rsidRPr="00DB1BCE">
        <w:rPr>
          <w:rFonts w:cs="Times New Roman"/>
          <w:noProof/>
          <w:lang w:val="en-US"/>
        </w:rPr>
        <w:t xml:space="preserve">, 2018, </w:t>
      </w:r>
      <w:r w:rsidRPr="00DB1BCE">
        <w:rPr>
          <w:rFonts w:cs="Times New Roman"/>
          <w:b/>
          <w:bCs/>
          <w:noProof/>
          <w:lang w:val="en-US"/>
        </w:rPr>
        <w:t>9</w:t>
      </w:r>
      <w:r w:rsidRPr="00DB1BCE">
        <w:rPr>
          <w:rFonts w:cs="Times New Roman"/>
          <w:noProof/>
          <w:lang w:val="en-US"/>
        </w:rPr>
        <w:t>, 687–698.</w:t>
      </w:r>
    </w:p>
    <w:p w14:paraId="426D220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147</w:t>
      </w:r>
      <w:r w:rsidRPr="00DB1BCE">
        <w:rPr>
          <w:rFonts w:cs="Times New Roman"/>
          <w:noProof/>
          <w:lang w:val="en-US"/>
        </w:rPr>
        <w:tab/>
        <w:t xml:space="preserve">V. Abet, F. Filace, J. Recio, J. Alvarez-Builla and C. Burgos, </w:t>
      </w:r>
      <w:r w:rsidRPr="00DB1BCE">
        <w:rPr>
          <w:rFonts w:cs="Times New Roman"/>
          <w:i/>
          <w:iCs/>
          <w:noProof/>
          <w:lang w:val="en-US"/>
        </w:rPr>
        <w:t>Eur. J. Med. Chem.</w:t>
      </w:r>
      <w:r w:rsidRPr="00DB1BCE">
        <w:rPr>
          <w:rFonts w:cs="Times New Roman"/>
          <w:noProof/>
          <w:lang w:val="en-US"/>
        </w:rPr>
        <w:t xml:space="preserve">, 2017, </w:t>
      </w:r>
      <w:r w:rsidRPr="00DB1BCE">
        <w:rPr>
          <w:rFonts w:cs="Times New Roman"/>
          <w:b/>
          <w:bCs/>
          <w:noProof/>
          <w:lang w:val="en-US"/>
        </w:rPr>
        <w:t>127</w:t>
      </w:r>
      <w:r w:rsidRPr="00DB1BCE">
        <w:rPr>
          <w:rFonts w:cs="Times New Roman"/>
          <w:noProof/>
          <w:lang w:val="en-US"/>
        </w:rPr>
        <w:t>, 810–827.</w:t>
      </w:r>
    </w:p>
    <w:p w14:paraId="6FBE234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148</w:t>
      </w:r>
      <w:r w:rsidRPr="00DB1BCE">
        <w:rPr>
          <w:rFonts w:cs="Times New Roman"/>
          <w:noProof/>
          <w:lang w:val="en-US"/>
        </w:rPr>
        <w:tab/>
        <w:t xml:space="preserve">A. Berteotti, F. Vacondio, A. Lodola, M. Bassi, C. Silva, M. Mor and A. Cavalli, </w:t>
      </w:r>
      <w:r w:rsidRPr="00DB1BCE">
        <w:rPr>
          <w:rFonts w:cs="Times New Roman"/>
          <w:i/>
          <w:iCs/>
          <w:noProof/>
          <w:lang w:val="en-US"/>
        </w:rPr>
        <w:t>ACS Med. Chem. Lett.</w:t>
      </w:r>
      <w:r w:rsidRPr="00DB1BCE">
        <w:rPr>
          <w:rFonts w:cs="Times New Roman"/>
          <w:noProof/>
          <w:lang w:val="en-US"/>
        </w:rPr>
        <w:t xml:space="preserve">, 2014, </w:t>
      </w:r>
      <w:r w:rsidRPr="00DB1BCE">
        <w:rPr>
          <w:rFonts w:cs="Times New Roman"/>
          <w:b/>
          <w:bCs/>
          <w:noProof/>
          <w:lang w:val="en-US"/>
        </w:rPr>
        <w:t>5</w:t>
      </w:r>
      <w:r w:rsidRPr="00DB1BCE">
        <w:rPr>
          <w:rFonts w:cs="Times New Roman"/>
          <w:noProof/>
          <w:lang w:val="en-US"/>
        </w:rPr>
        <w:t>, 501–505.</w:t>
      </w:r>
    </w:p>
    <w:p w14:paraId="6C5C4D5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149</w:t>
      </w:r>
      <w:r w:rsidRPr="00DB1BCE">
        <w:rPr>
          <w:rFonts w:cs="Times New Roman"/>
          <w:noProof/>
          <w:lang w:val="en-US"/>
        </w:rPr>
        <w:tab/>
        <w:t xml:space="preserve">B. S. Hall, C. Bot and S. R. Wilkinson, </w:t>
      </w:r>
      <w:r w:rsidRPr="00DB1BCE">
        <w:rPr>
          <w:rFonts w:cs="Times New Roman"/>
          <w:i/>
          <w:iCs/>
          <w:noProof/>
          <w:lang w:val="en-US"/>
        </w:rPr>
        <w:t>J. Biol. Chem.</w:t>
      </w:r>
      <w:r w:rsidRPr="00DB1BCE">
        <w:rPr>
          <w:rFonts w:cs="Times New Roman"/>
          <w:noProof/>
          <w:lang w:val="en-US"/>
        </w:rPr>
        <w:t xml:space="preserve">, 2011, </w:t>
      </w:r>
      <w:r w:rsidRPr="00DB1BCE">
        <w:rPr>
          <w:rFonts w:cs="Times New Roman"/>
          <w:b/>
          <w:bCs/>
          <w:noProof/>
          <w:lang w:val="en-US"/>
        </w:rPr>
        <w:t>286</w:t>
      </w:r>
      <w:r w:rsidRPr="00DB1BCE">
        <w:rPr>
          <w:rFonts w:cs="Times New Roman"/>
          <w:noProof/>
          <w:lang w:val="en-US"/>
        </w:rPr>
        <w:t>, 13088–13095.</w:t>
      </w:r>
    </w:p>
    <w:p w14:paraId="2C1091E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150</w:t>
      </w:r>
      <w:r w:rsidRPr="00DB1BCE">
        <w:rPr>
          <w:rFonts w:cs="Times New Roman"/>
          <w:noProof/>
          <w:lang w:val="en-US"/>
        </w:rPr>
        <w:tab/>
        <w:t xml:space="preserve">A. L. Simplício, J. M. Clancy and J. F. Gilmer, </w:t>
      </w:r>
      <w:r w:rsidRPr="00DB1BCE">
        <w:rPr>
          <w:rFonts w:cs="Times New Roman"/>
          <w:i/>
          <w:iCs/>
          <w:noProof/>
          <w:lang w:val="en-US"/>
        </w:rPr>
        <w:t>Molecules</w:t>
      </w:r>
      <w:r w:rsidRPr="00DB1BCE">
        <w:rPr>
          <w:rFonts w:cs="Times New Roman"/>
          <w:noProof/>
          <w:lang w:val="en-US"/>
        </w:rPr>
        <w:t xml:space="preserve">, 2008, </w:t>
      </w:r>
      <w:r w:rsidRPr="00DB1BCE">
        <w:rPr>
          <w:rFonts w:cs="Times New Roman"/>
          <w:b/>
          <w:bCs/>
          <w:noProof/>
          <w:lang w:val="en-US"/>
        </w:rPr>
        <w:t>13</w:t>
      </w:r>
      <w:r w:rsidRPr="00DB1BCE">
        <w:rPr>
          <w:rFonts w:cs="Times New Roman"/>
          <w:noProof/>
          <w:lang w:val="en-US"/>
        </w:rPr>
        <w:t>, 519–547.</w:t>
      </w:r>
    </w:p>
    <w:p w14:paraId="12BAD9F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151</w:t>
      </w:r>
      <w:r w:rsidRPr="00DB1BCE">
        <w:rPr>
          <w:rFonts w:cs="Times New Roman"/>
          <w:noProof/>
          <w:lang w:val="en-US"/>
        </w:rPr>
        <w:tab/>
        <w:t xml:space="preserve">J. Clayden, N. Greeves, S. Warren and P. Wothers, </w:t>
      </w:r>
      <w:r w:rsidRPr="00DB1BCE">
        <w:rPr>
          <w:rFonts w:cs="Times New Roman"/>
          <w:i/>
          <w:iCs/>
          <w:noProof/>
          <w:lang w:val="en-US"/>
        </w:rPr>
        <w:t>Organic Chemistry</w:t>
      </w:r>
      <w:r w:rsidRPr="00DB1BCE">
        <w:rPr>
          <w:rFonts w:cs="Times New Roman"/>
          <w:noProof/>
          <w:lang w:val="en-US"/>
        </w:rPr>
        <w:t>, Oxford University Press, New York, Second Edi., 2012.</w:t>
      </w:r>
    </w:p>
    <w:p w14:paraId="25477F7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152</w:t>
      </w:r>
      <w:r w:rsidRPr="00DB1BCE">
        <w:rPr>
          <w:rFonts w:cs="Times New Roman"/>
          <w:noProof/>
          <w:lang w:val="en-US"/>
        </w:rPr>
        <w:tab/>
        <w:t xml:space="preserve">I. A. Müller, F. Kratz, M. Jung and A. Warnecke, </w:t>
      </w:r>
      <w:r w:rsidRPr="00DB1BCE">
        <w:rPr>
          <w:rFonts w:cs="Times New Roman"/>
          <w:i/>
          <w:iCs/>
          <w:noProof/>
          <w:lang w:val="en-US"/>
        </w:rPr>
        <w:t>Tetrahedron Lett.</w:t>
      </w:r>
      <w:r w:rsidRPr="00DB1BCE">
        <w:rPr>
          <w:rFonts w:cs="Times New Roman"/>
          <w:noProof/>
          <w:lang w:val="en-US"/>
        </w:rPr>
        <w:t xml:space="preserve">, 2010, </w:t>
      </w:r>
      <w:r w:rsidRPr="00DB1BCE">
        <w:rPr>
          <w:rFonts w:cs="Times New Roman"/>
          <w:b/>
          <w:bCs/>
          <w:noProof/>
          <w:lang w:val="en-US"/>
        </w:rPr>
        <w:t>51</w:t>
      </w:r>
      <w:r w:rsidRPr="00DB1BCE">
        <w:rPr>
          <w:rFonts w:cs="Times New Roman"/>
          <w:noProof/>
          <w:lang w:val="en-US"/>
        </w:rPr>
        <w:t>, 4371–4374.</w:t>
      </w:r>
    </w:p>
    <w:p w14:paraId="42F0CED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153</w:t>
      </w:r>
      <w:r w:rsidRPr="00DB1BCE">
        <w:rPr>
          <w:rFonts w:cs="Times New Roman"/>
          <w:noProof/>
          <w:lang w:val="en-US"/>
        </w:rPr>
        <w:tab/>
        <w:t xml:space="preserve">J. Li, L. Zhang, Y. Lin, H. Xiao, M. Zuo, D. Cheng and X. Shuai, </w:t>
      </w:r>
      <w:r w:rsidRPr="00DB1BCE">
        <w:rPr>
          <w:rFonts w:cs="Times New Roman"/>
          <w:i/>
          <w:iCs/>
          <w:noProof/>
          <w:lang w:val="en-US"/>
        </w:rPr>
        <w:t>RSC Adv.</w:t>
      </w:r>
      <w:r w:rsidRPr="00DB1BCE">
        <w:rPr>
          <w:rFonts w:cs="Times New Roman"/>
          <w:noProof/>
          <w:lang w:val="en-US"/>
        </w:rPr>
        <w:t xml:space="preserve">, 2016, </w:t>
      </w:r>
      <w:r w:rsidRPr="00DB1BCE">
        <w:rPr>
          <w:rFonts w:cs="Times New Roman"/>
          <w:b/>
          <w:bCs/>
          <w:noProof/>
          <w:lang w:val="en-US"/>
        </w:rPr>
        <w:t>6</w:t>
      </w:r>
      <w:r w:rsidRPr="00DB1BCE">
        <w:rPr>
          <w:rFonts w:cs="Times New Roman"/>
          <w:noProof/>
          <w:lang w:val="en-US"/>
        </w:rPr>
        <w:t>, 9160–9163.</w:t>
      </w:r>
    </w:p>
    <w:p w14:paraId="2B3B0DA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154</w:t>
      </w:r>
      <w:r w:rsidRPr="00DB1BCE">
        <w:rPr>
          <w:rFonts w:cs="Times New Roman"/>
          <w:noProof/>
          <w:lang w:val="en-US"/>
        </w:rPr>
        <w:tab/>
        <w:t xml:space="preserve">D. Li, J. Ding, X. Zhuang, L. Chen and X. Chen, </w:t>
      </w:r>
      <w:r w:rsidRPr="00DB1BCE">
        <w:rPr>
          <w:rFonts w:cs="Times New Roman"/>
          <w:i/>
          <w:iCs/>
          <w:noProof/>
          <w:lang w:val="en-US"/>
        </w:rPr>
        <w:t>J. Mater. Chem. B</w:t>
      </w:r>
      <w:r w:rsidRPr="00DB1BCE">
        <w:rPr>
          <w:rFonts w:cs="Times New Roman"/>
          <w:noProof/>
          <w:lang w:val="en-US"/>
        </w:rPr>
        <w:t xml:space="preserve">, 2016, </w:t>
      </w:r>
      <w:r w:rsidRPr="00DB1BCE">
        <w:rPr>
          <w:rFonts w:cs="Times New Roman"/>
          <w:b/>
          <w:bCs/>
          <w:noProof/>
          <w:lang w:val="en-US"/>
        </w:rPr>
        <w:t>4</w:t>
      </w:r>
      <w:r w:rsidRPr="00DB1BCE">
        <w:rPr>
          <w:rFonts w:cs="Times New Roman"/>
          <w:noProof/>
          <w:lang w:val="en-US"/>
        </w:rPr>
        <w:t>, 5167–5177.</w:t>
      </w:r>
    </w:p>
    <w:p w14:paraId="1388995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155</w:t>
      </w:r>
      <w:r w:rsidRPr="00DB1BCE">
        <w:rPr>
          <w:rFonts w:cs="Times New Roman"/>
          <w:noProof/>
          <w:lang w:val="en-US"/>
        </w:rPr>
        <w:tab/>
        <w:t xml:space="preserve">X. Feng, D. Li, J. Han, X. Zhuang and J. Ding, </w:t>
      </w:r>
      <w:r w:rsidRPr="00DB1BCE">
        <w:rPr>
          <w:rFonts w:cs="Times New Roman"/>
          <w:i/>
          <w:iCs/>
          <w:noProof/>
          <w:lang w:val="en-US"/>
        </w:rPr>
        <w:t>Mater. Sci. Eng. C</w:t>
      </w:r>
      <w:r w:rsidRPr="00DB1BCE">
        <w:rPr>
          <w:rFonts w:cs="Times New Roman"/>
          <w:noProof/>
          <w:lang w:val="en-US"/>
        </w:rPr>
        <w:t xml:space="preserve">, 2017, </w:t>
      </w:r>
      <w:r w:rsidRPr="00DB1BCE">
        <w:rPr>
          <w:rFonts w:cs="Times New Roman"/>
          <w:b/>
          <w:bCs/>
          <w:noProof/>
          <w:lang w:val="en-US"/>
        </w:rPr>
        <w:t>76</w:t>
      </w:r>
      <w:r w:rsidRPr="00DB1BCE">
        <w:rPr>
          <w:rFonts w:cs="Times New Roman"/>
          <w:noProof/>
          <w:lang w:val="en-US"/>
        </w:rPr>
        <w:t>, 1121–1128.</w:t>
      </w:r>
    </w:p>
    <w:p w14:paraId="7A6E686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156</w:t>
      </w:r>
      <w:r w:rsidRPr="00DB1BCE">
        <w:rPr>
          <w:rFonts w:cs="Times New Roman"/>
          <w:noProof/>
          <w:lang w:val="en-US"/>
        </w:rPr>
        <w:tab/>
        <w:t>Bruker, 2016.</w:t>
      </w:r>
    </w:p>
    <w:p w14:paraId="78A734A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157</w:t>
      </w:r>
      <w:r w:rsidRPr="00DB1BCE">
        <w:rPr>
          <w:rFonts w:cs="Times New Roman"/>
          <w:noProof/>
          <w:lang w:val="en-US"/>
        </w:rPr>
        <w:tab/>
        <w:t xml:space="preserve">L. Krause, R. Herbst-Irmer, G. M. Sheldrick and D. Stalke, </w:t>
      </w:r>
      <w:r w:rsidRPr="00DB1BCE">
        <w:rPr>
          <w:rFonts w:cs="Times New Roman"/>
          <w:i/>
          <w:iCs/>
          <w:noProof/>
          <w:lang w:val="en-US"/>
        </w:rPr>
        <w:t>J. Appl. Crystallogr.</w:t>
      </w:r>
      <w:r w:rsidRPr="00DB1BCE">
        <w:rPr>
          <w:rFonts w:cs="Times New Roman"/>
          <w:noProof/>
          <w:lang w:val="en-US"/>
        </w:rPr>
        <w:t xml:space="preserve">, 2015, </w:t>
      </w:r>
      <w:r w:rsidRPr="00DB1BCE">
        <w:rPr>
          <w:rFonts w:cs="Times New Roman"/>
          <w:b/>
          <w:bCs/>
          <w:noProof/>
          <w:lang w:val="en-US"/>
        </w:rPr>
        <w:t>48</w:t>
      </w:r>
      <w:r w:rsidRPr="00DB1BCE">
        <w:rPr>
          <w:rFonts w:cs="Times New Roman"/>
          <w:noProof/>
          <w:lang w:val="en-US"/>
        </w:rPr>
        <w:t>, 3–10.</w:t>
      </w:r>
    </w:p>
    <w:p w14:paraId="419C5F7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158</w:t>
      </w:r>
      <w:r w:rsidRPr="00DB1BCE">
        <w:rPr>
          <w:rFonts w:cs="Times New Roman"/>
          <w:noProof/>
          <w:lang w:val="en-US"/>
        </w:rPr>
        <w:tab/>
        <w:t xml:space="preserve">G. M. Sheldrick, </w:t>
      </w:r>
      <w:r w:rsidRPr="00DB1BCE">
        <w:rPr>
          <w:rFonts w:cs="Times New Roman"/>
          <w:i/>
          <w:iCs/>
          <w:noProof/>
          <w:lang w:val="en-US"/>
        </w:rPr>
        <w:t>Acta Crystallogr. Sect. A Found. Crystallogr.</w:t>
      </w:r>
      <w:r w:rsidRPr="00DB1BCE">
        <w:rPr>
          <w:rFonts w:cs="Times New Roman"/>
          <w:noProof/>
          <w:lang w:val="en-US"/>
        </w:rPr>
        <w:t xml:space="preserve">, 2015, </w:t>
      </w:r>
      <w:r w:rsidRPr="00DB1BCE">
        <w:rPr>
          <w:rFonts w:cs="Times New Roman"/>
          <w:b/>
          <w:bCs/>
          <w:noProof/>
          <w:lang w:val="en-US"/>
        </w:rPr>
        <w:t>71</w:t>
      </w:r>
      <w:r w:rsidRPr="00DB1BCE">
        <w:rPr>
          <w:rFonts w:cs="Times New Roman"/>
          <w:noProof/>
          <w:lang w:val="en-US"/>
        </w:rPr>
        <w:t>, 3–8.</w:t>
      </w:r>
    </w:p>
    <w:p w14:paraId="2706F58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159</w:t>
      </w:r>
      <w:r w:rsidRPr="00DB1BCE">
        <w:rPr>
          <w:rFonts w:cs="Times New Roman"/>
          <w:noProof/>
          <w:lang w:val="en-US"/>
        </w:rPr>
        <w:tab/>
        <w:t xml:space="preserve">G. M. Sheldrick, </w:t>
      </w:r>
      <w:r w:rsidRPr="00DB1BCE">
        <w:rPr>
          <w:rFonts w:cs="Times New Roman"/>
          <w:i/>
          <w:iCs/>
          <w:noProof/>
          <w:lang w:val="en-US"/>
        </w:rPr>
        <w:t>Acta Crystallogr. Sect. C Struct. Chem.</w:t>
      </w:r>
      <w:r w:rsidRPr="00DB1BCE">
        <w:rPr>
          <w:rFonts w:cs="Times New Roman"/>
          <w:noProof/>
          <w:lang w:val="en-US"/>
        </w:rPr>
        <w:t xml:space="preserve">, 2015, </w:t>
      </w:r>
      <w:r w:rsidRPr="00DB1BCE">
        <w:rPr>
          <w:rFonts w:cs="Times New Roman"/>
          <w:b/>
          <w:bCs/>
          <w:noProof/>
          <w:lang w:val="en-US"/>
        </w:rPr>
        <w:t>71</w:t>
      </w:r>
      <w:r w:rsidRPr="00DB1BCE">
        <w:rPr>
          <w:rFonts w:cs="Times New Roman"/>
          <w:noProof/>
          <w:lang w:val="en-US"/>
        </w:rPr>
        <w:t>, 3–8.</w:t>
      </w:r>
    </w:p>
    <w:p w14:paraId="510616B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160</w:t>
      </w:r>
      <w:r w:rsidRPr="00DB1BCE">
        <w:rPr>
          <w:rFonts w:cs="Times New Roman"/>
          <w:noProof/>
          <w:lang w:val="en-US"/>
        </w:rPr>
        <w:tab/>
        <w:t xml:space="preserve">O. V. Dolomanov, L. J. Bourhis, R. J. Gildea, J. A. K. Howard and H. Puschmann, </w:t>
      </w:r>
      <w:r w:rsidRPr="00DB1BCE">
        <w:rPr>
          <w:rFonts w:cs="Times New Roman"/>
          <w:i/>
          <w:iCs/>
          <w:noProof/>
          <w:lang w:val="en-US"/>
        </w:rPr>
        <w:t>J. Appl. Crystallogr.</w:t>
      </w:r>
      <w:r w:rsidRPr="00DB1BCE">
        <w:rPr>
          <w:rFonts w:cs="Times New Roman"/>
          <w:noProof/>
          <w:lang w:val="en-US"/>
        </w:rPr>
        <w:t xml:space="preserve">, 2009, </w:t>
      </w:r>
      <w:r w:rsidRPr="00DB1BCE">
        <w:rPr>
          <w:rFonts w:cs="Times New Roman"/>
          <w:b/>
          <w:bCs/>
          <w:noProof/>
          <w:lang w:val="en-US"/>
        </w:rPr>
        <w:t>42</w:t>
      </w:r>
      <w:r w:rsidRPr="00DB1BCE">
        <w:rPr>
          <w:rFonts w:cs="Times New Roman"/>
          <w:noProof/>
          <w:lang w:val="en-US"/>
        </w:rPr>
        <w:t>, 339–341.</w:t>
      </w:r>
    </w:p>
    <w:p w14:paraId="71A1EF5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161</w:t>
      </w:r>
      <w:r w:rsidRPr="00DB1BCE">
        <w:rPr>
          <w:rFonts w:cs="Times New Roman"/>
          <w:noProof/>
          <w:lang w:val="en-US"/>
        </w:rPr>
        <w:tab/>
        <w:t xml:space="preserve">M. E. Belowich and J. F. Stoddart, </w:t>
      </w:r>
      <w:r w:rsidRPr="00DB1BCE">
        <w:rPr>
          <w:rFonts w:cs="Times New Roman"/>
          <w:i/>
          <w:iCs/>
          <w:noProof/>
          <w:lang w:val="en-US"/>
        </w:rPr>
        <w:t>Chem. Soc. Rev.</w:t>
      </w:r>
      <w:r w:rsidRPr="00DB1BCE">
        <w:rPr>
          <w:rFonts w:cs="Times New Roman"/>
          <w:noProof/>
          <w:lang w:val="en-US"/>
        </w:rPr>
        <w:t xml:space="preserve">, 2012, </w:t>
      </w:r>
      <w:r w:rsidRPr="00DB1BCE">
        <w:rPr>
          <w:rFonts w:cs="Times New Roman"/>
          <w:b/>
          <w:bCs/>
          <w:noProof/>
          <w:lang w:val="en-US"/>
        </w:rPr>
        <w:t>41</w:t>
      </w:r>
      <w:r w:rsidRPr="00DB1BCE">
        <w:rPr>
          <w:rFonts w:cs="Times New Roman"/>
          <w:noProof/>
          <w:lang w:val="en-US"/>
        </w:rPr>
        <w:t>, 2003–2024.</w:t>
      </w:r>
    </w:p>
    <w:p w14:paraId="6C68221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162</w:t>
      </w:r>
      <w:r w:rsidRPr="00DB1BCE">
        <w:rPr>
          <w:rFonts w:cs="Times New Roman"/>
          <w:noProof/>
          <w:lang w:val="en-US"/>
        </w:rPr>
        <w:tab/>
        <w:t xml:space="preserve">S. Gocan, </w:t>
      </w:r>
      <w:r w:rsidRPr="00DB1BCE">
        <w:rPr>
          <w:rFonts w:cs="Times New Roman"/>
          <w:i/>
          <w:iCs/>
          <w:noProof/>
          <w:lang w:val="en-US"/>
        </w:rPr>
        <w:t>J. Chromatogr. Sci.</w:t>
      </w:r>
      <w:r w:rsidRPr="00DB1BCE">
        <w:rPr>
          <w:rFonts w:cs="Times New Roman"/>
          <w:noProof/>
          <w:lang w:val="en-US"/>
        </w:rPr>
        <w:t xml:space="preserve">, 2002, </w:t>
      </w:r>
      <w:r w:rsidRPr="00DB1BCE">
        <w:rPr>
          <w:rFonts w:cs="Times New Roman"/>
          <w:b/>
          <w:bCs/>
          <w:noProof/>
          <w:lang w:val="en-US"/>
        </w:rPr>
        <w:t>40</w:t>
      </w:r>
      <w:r w:rsidRPr="00DB1BCE">
        <w:rPr>
          <w:rFonts w:cs="Times New Roman"/>
          <w:noProof/>
          <w:lang w:val="en-US"/>
        </w:rPr>
        <w:t>, 538–549.</w:t>
      </w:r>
    </w:p>
    <w:p w14:paraId="71F1AB3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163</w:t>
      </w:r>
      <w:r w:rsidRPr="00DB1BCE">
        <w:rPr>
          <w:rFonts w:cs="Times New Roman"/>
          <w:noProof/>
          <w:lang w:val="en-US"/>
        </w:rPr>
        <w:tab/>
        <w:t xml:space="preserve">J. Clayden, N. Greeves, S. Warren and P. Wothers, </w:t>
      </w:r>
      <w:r w:rsidRPr="00DB1BCE">
        <w:rPr>
          <w:rFonts w:cs="Times New Roman"/>
          <w:i/>
          <w:iCs/>
          <w:noProof/>
          <w:lang w:val="en-US"/>
        </w:rPr>
        <w:t>Organic Chemistry</w:t>
      </w:r>
      <w:r w:rsidRPr="00DB1BCE">
        <w:rPr>
          <w:rFonts w:cs="Times New Roman"/>
          <w:noProof/>
          <w:lang w:val="en-US"/>
        </w:rPr>
        <w:t>, Oxford University Press, New York, 2009.</w:t>
      </w:r>
    </w:p>
    <w:p w14:paraId="5F435B5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164</w:t>
      </w:r>
      <w:r w:rsidRPr="00DB1BCE">
        <w:rPr>
          <w:rFonts w:cs="Times New Roman"/>
          <w:noProof/>
          <w:lang w:val="en-US"/>
        </w:rPr>
        <w:tab/>
        <w:t xml:space="preserve">L. J. Silverberg, D. J. Coyle, K. C. Cannon, R. T. Mathers, J. A. Richards and J. Tierney, </w:t>
      </w:r>
      <w:r w:rsidRPr="00DB1BCE">
        <w:rPr>
          <w:rFonts w:cs="Times New Roman"/>
          <w:i/>
          <w:iCs/>
          <w:noProof/>
          <w:lang w:val="en-US"/>
        </w:rPr>
        <w:t>J. Chem. Educ.</w:t>
      </w:r>
      <w:r w:rsidRPr="00DB1BCE">
        <w:rPr>
          <w:rFonts w:cs="Times New Roman"/>
          <w:noProof/>
          <w:lang w:val="en-US"/>
        </w:rPr>
        <w:t xml:space="preserve">, 2016, </w:t>
      </w:r>
      <w:r w:rsidRPr="00DB1BCE">
        <w:rPr>
          <w:rFonts w:cs="Times New Roman"/>
          <w:b/>
          <w:bCs/>
          <w:noProof/>
          <w:lang w:val="en-US"/>
        </w:rPr>
        <w:t>93</w:t>
      </w:r>
      <w:r w:rsidRPr="00DB1BCE">
        <w:rPr>
          <w:rFonts w:cs="Times New Roman"/>
          <w:noProof/>
          <w:lang w:val="en-US"/>
        </w:rPr>
        <w:t>, 941–944.</w:t>
      </w:r>
    </w:p>
    <w:p w14:paraId="3613EF2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165</w:t>
      </w:r>
      <w:r w:rsidRPr="00DB1BCE">
        <w:rPr>
          <w:rFonts w:cs="Times New Roman"/>
          <w:noProof/>
          <w:lang w:val="en-US"/>
        </w:rPr>
        <w:tab/>
        <w:t xml:space="preserve">V. Saggiomo and U. Lüning, </w:t>
      </w:r>
      <w:r w:rsidRPr="00DB1BCE">
        <w:rPr>
          <w:rFonts w:cs="Times New Roman"/>
          <w:i/>
          <w:iCs/>
          <w:noProof/>
          <w:lang w:val="en-US"/>
        </w:rPr>
        <w:t>Tetrahedron Lett.</w:t>
      </w:r>
      <w:r w:rsidRPr="00DB1BCE">
        <w:rPr>
          <w:rFonts w:cs="Times New Roman"/>
          <w:noProof/>
          <w:lang w:val="en-US"/>
        </w:rPr>
        <w:t xml:space="preserve">, 2009, </w:t>
      </w:r>
      <w:r w:rsidRPr="00DB1BCE">
        <w:rPr>
          <w:rFonts w:cs="Times New Roman"/>
          <w:b/>
          <w:bCs/>
          <w:noProof/>
          <w:lang w:val="en-US"/>
        </w:rPr>
        <w:t>50</w:t>
      </w:r>
      <w:r w:rsidRPr="00DB1BCE">
        <w:rPr>
          <w:rFonts w:cs="Times New Roman"/>
          <w:noProof/>
          <w:lang w:val="en-US"/>
        </w:rPr>
        <w:t>, 4663–4665.</w:t>
      </w:r>
    </w:p>
    <w:p w14:paraId="35CA56C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166</w:t>
      </w:r>
      <w:r w:rsidRPr="00DB1BCE">
        <w:rPr>
          <w:rFonts w:cs="Times New Roman"/>
          <w:noProof/>
          <w:lang w:val="en-US"/>
        </w:rPr>
        <w:tab/>
        <w:t>Aldrich, 2015.</w:t>
      </w:r>
    </w:p>
    <w:p w14:paraId="2E6FDF3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167</w:t>
      </w:r>
      <w:r w:rsidRPr="00DB1BCE">
        <w:rPr>
          <w:rFonts w:cs="Times New Roman"/>
          <w:noProof/>
          <w:lang w:val="en-US"/>
        </w:rPr>
        <w:tab/>
        <w:t>Aldrich, 2014, 1–8.</w:t>
      </w:r>
    </w:p>
    <w:p w14:paraId="14D23EE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168</w:t>
      </w:r>
      <w:r w:rsidRPr="00DB1BCE">
        <w:rPr>
          <w:rFonts w:cs="Times New Roman"/>
          <w:noProof/>
          <w:lang w:val="en-US"/>
        </w:rPr>
        <w:tab/>
        <w:t xml:space="preserve">A. Simion, C. Simion, T. Kanda, S. Nagashima, Y. Mitoma, T. Yamada, K. Mimura and M. Tashiro, </w:t>
      </w:r>
      <w:r w:rsidRPr="00DB1BCE">
        <w:rPr>
          <w:rFonts w:cs="Times New Roman"/>
          <w:i/>
          <w:iCs/>
          <w:noProof/>
          <w:lang w:val="en-US"/>
        </w:rPr>
        <w:t>J. Chem. Soc. Perkin 1</w:t>
      </w:r>
      <w:r w:rsidRPr="00DB1BCE">
        <w:rPr>
          <w:rFonts w:cs="Times New Roman"/>
          <w:noProof/>
          <w:lang w:val="en-US"/>
        </w:rPr>
        <w:t xml:space="preserve">, 2001, </w:t>
      </w:r>
      <w:r w:rsidRPr="00DB1BCE">
        <w:rPr>
          <w:rFonts w:cs="Times New Roman"/>
          <w:b/>
          <w:bCs/>
          <w:noProof/>
          <w:lang w:val="en-US"/>
        </w:rPr>
        <w:t>17</w:t>
      </w:r>
      <w:r w:rsidRPr="00DB1BCE">
        <w:rPr>
          <w:rFonts w:cs="Times New Roman"/>
          <w:noProof/>
          <w:lang w:val="en-US"/>
        </w:rPr>
        <w:t>, 2071–2078.</w:t>
      </w:r>
    </w:p>
    <w:p w14:paraId="60C4178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169</w:t>
      </w:r>
      <w:r w:rsidRPr="00DB1BCE">
        <w:rPr>
          <w:rFonts w:cs="Times New Roman"/>
          <w:noProof/>
          <w:lang w:val="en-US"/>
        </w:rPr>
        <w:tab/>
        <w:t xml:space="preserve">S. A. Abdel-latif, H. B. Hassib and Y. M. Issa, </w:t>
      </w:r>
      <w:r w:rsidRPr="00DB1BCE">
        <w:rPr>
          <w:rFonts w:cs="Times New Roman"/>
          <w:i/>
          <w:iCs/>
          <w:noProof/>
          <w:lang w:val="en-US"/>
        </w:rPr>
        <w:t>Spectrochim. Acta Part A</w:t>
      </w:r>
      <w:r w:rsidRPr="00DB1BCE">
        <w:rPr>
          <w:rFonts w:cs="Times New Roman"/>
          <w:noProof/>
          <w:lang w:val="en-US"/>
        </w:rPr>
        <w:t xml:space="preserve">, 2007, </w:t>
      </w:r>
      <w:r w:rsidRPr="00DB1BCE">
        <w:rPr>
          <w:rFonts w:cs="Times New Roman"/>
          <w:b/>
          <w:bCs/>
          <w:noProof/>
          <w:lang w:val="en-US"/>
        </w:rPr>
        <w:t>67</w:t>
      </w:r>
      <w:r w:rsidRPr="00DB1BCE">
        <w:rPr>
          <w:rFonts w:cs="Times New Roman"/>
          <w:noProof/>
          <w:lang w:val="en-US"/>
        </w:rPr>
        <w:t>, 950–957.</w:t>
      </w:r>
    </w:p>
    <w:p w14:paraId="5DC7A0A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170</w:t>
      </w:r>
      <w:r w:rsidRPr="00DB1BCE">
        <w:rPr>
          <w:rFonts w:cs="Times New Roman"/>
          <w:noProof/>
          <w:lang w:val="en-US"/>
        </w:rPr>
        <w:tab/>
        <w:t>ACD Labs, 2018.</w:t>
      </w:r>
    </w:p>
    <w:p w14:paraId="4E6B4E9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171</w:t>
      </w:r>
      <w:r w:rsidRPr="00DB1BCE">
        <w:rPr>
          <w:rFonts w:cs="Times New Roman"/>
          <w:noProof/>
          <w:lang w:val="en-US"/>
        </w:rPr>
        <w:tab/>
        <w:t xml:space="preserve">V. K. Rao, S. S. Reddy, B. S. Krishna, K. R. M. Naidu, C. N. Raju and S. K. Ghosh, </w:t>
      </w:r>
      <w:r w:rsidRPr="00DB1BCE">
        <w:rPr>
          <w:rFonts w:cs="Times New Roman"/>
          <w:i/>
          <w:iCs/>
          <w:noProof/>
          <w:lang w:val="en-US"/>
        </w:rPr>
        <w:t>Green Chem. Lett. Rev.</w:t>
      </w:r>
      <w:r w:rsidRPr="00DB1BCE">
        <w:rPr>
          <w:rFonts w:cs="Times New Roman"/>
          <w:noProof/>
          <w:lang w:val="en-US"/>
        </w:rPr>
        <w:t xml:space="preserve">, 2010, </w:t>
      </w:r>
      <w:r w:rsidRPr="00DB1BCE">
        <w:rPr>
          <w:rFonts w:cs="Times New Roman"/>
          <w:b/>
          <w:bCs/>
          <w:noProof/>
          <w:lang w:val="en-US"/>
        </w:rPr>
        <w:t>3</w:t>
      </w:r>
      <w:r w:rsidRPr="00DB1BCE">
        <w:rPr>
          <w:rFonts w:cs="Times New Roman"/>
          <w:noProof/>
          <w:lang w:val="en-US"/>
        </w:rPr>
        <w:t>, 217–223.</w:t>
      </w:r>
    </w:p>
    <w:p w14:paraId="05B2862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172</w:t>
      </w:r>
      <w:r w:rsidRPr="00DB1BCE">
        <w:rPr>
          <w:rFonts w:cs="Times New Roman"/>
          <w:noProof/>
          <w:lang w:val="en-US"/>
        </w:rPr>
        <w:tab/>
        <w:t xml:space="preserve">S. Bhagat, N. Sharma and T. S. Chundawat, </w:t>
      </w:r>
      <w:r w:rsidRPr="00DB1BCE">
        <w:rPr>
          <w:rFonts w:cs="Times New Roman"/>
          <w:i/>
          <w:iCs/>
          <w:noProof/>
          <w:lang w:val="en-US"/>
        </w:rPr>
        <w:t>J. Chem.</w:t>
      </w:r>
      <w:r w:rsidRPr="00DB1BCE">
        <w:rPr>
          <w:rFonts w:cs="Times New Roman"/>
          <w:noProof/>
          <w:lang w:val="en-US"/>
        </w:rPr>
        <w:t xml:space="preserve">, 2013, </w:t>
      </w:r>
      <w:r w:rsidRPr="00DB1BCE">
        <w:rPr>
          <w:rFonts w:cs="Times New Roman"/>
          <w:b/>
          <w:bCs/>
          <w:noProof/>
          <w:lang w:val="en-US"/>
        </w:rPr>
        <w:t>2013</w:t>
      </w:r>
      <w:r w:rsidRPr="00DB1BCE">
        <w:rPr>
          <w:rFonts w:cs="Times New Roman"/>
          <w:noProof/>
          <w:lang w:val="en-US"/>
        </w:rPr>
        <w:t>.</w:t>
      </w:r>
    </w:p>
    <w:p w14:paraId="2CD0EF0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173</w:t>
      </w:r>
      <w:r w:rsidRPr="00DB1BCE">
        <w:rPr>
          <w:rFonts w:cs="Times New Roman"/>
          <w:noProof/>
          <w:lang w:val="en-US"/>
        </w:rPr>
        <w:tab/>
        <w:t xml:space="preserve">P. Shamly, M. P. Nelson, A. Antony and J. T. Varkey, </w:t>
      </w:r>
      <w:r w:rsidRPr="00DB1BCE">
        <w:rPr>
          <w:rFonts w:cs="Times New Roman"/>
          <w:i/>
          <w:iCs/>
          <w:noProof/>
          <w:lang w:val="en-US"/>
        </w:rPr>
        <w:t>Int. J. Recent Sci. Res.</w:t>
      </w:r>
      <w:r w:rsidRPr="00DB1BCE">
        <w:rPr>
          <w:rFonts w:cs="Times New Roman"/>
          <w:noProof/>
          <w:lang w:val="en-US"/>
        </w:rPr>
        <w:t xml:space="preserve">, 2018, </w:t>
      </w:r>
      <w:r w:rsidRPr="00DB1BCE">
        <w:rPr>
          <w:rFonts w:cs="Times New Roman"/>
          <w:b/>
          <w:bCs/>
          <w:noProof/>
          <w:lang w:val="en-US"/>
        </w:rPr>
        <w:t>9</w:t>
      </w:r>
      <w:r w:rsidRPr="00DB1BCE">
        <w:rPr>
          <w:rFonts w:cs="Times New Roman"/>
          <w:noProof/>
          <w:lang w:val="en-US"/>
        </w:rPr>
        <w:t>, 26566–26570.</w:t>
      </w:r>
    </w:p>
    <w:p w14:paraId="666E416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174</w:t>
      </w:r>
      <w:r w:rsidRPr="00DB1BCE">
        <w:rPr>
          <w:rFonts w:cs="Times New Roman"/>
          <w:noProof/>
          <w:lang w:val="en-US"/>
        </w:rPr>
        <w:tab/>
        <w:t xml:space="preserve">J. Crugeiras, A. Rios, E. Riveiros and J. P. Richard, </w:t>
      </w:r>
      <w:r w:rsidRPr="00DB1BCE">
        <w:rPr>
          <w:rFonts w:cs="Times New Roman"/>
          <w:i/>
          <w:iCs/>
          <w:noProof/>
          <w:lang w:val="en-US"/>
        </w:rPr>
        <w:t>J. Am. Chem. Soc.</w:t>
      </w:r>
      <w:r w:rsidRPr="00DB1BCE">
        <w:rPr>
          <w:rFonts w:cs="Times New Roman"/>
          <w:noProof/>
          <w:lang w:val="en-US"/>
        </w:rPr>
        <w:t xml:space="preserve">, 2010, </w:t>
      </w:r>
      <w:r w:rsidRPr="00DB1BCE">
        <w:rPr>
          <w:rFonts w:cs="Times New Roman"/>
          <w:b/>
          <w:bCs/>
          <w:noProof/>
          <w:lang w:val="en-US"/>
        </w:rPr>
        <w:t>131</w:t>
      </w:r>
      <w:r w:rsidRPr="00DB1BCE">
        <w:rPr>
          <w:rFonts w:cs="Times New Roman"/>
          <w:noProof/>
          <w:lang w:val="en-US"/>
        </w:rPr>
        <w:t>, 15815–15824.</w:t>
      </w:r>
    </w:p>
    <w:p w14:paraId="2ED0A55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175</w:t>
      </w:r>
      <w:r w:rsidRPr="00DB1BCE">
        <w:rPr>
          <w:rFonts w:cs="Times New Roman"/>
          <w:noProof/>
          <w:lang w:val="en-US"/>
        </w:rPr>
        <w:tab/>
        <w:t xml:space="preserve">J. Clayden, N. Greeves, S. Warren and P. Wothers, </w:t>
      </w:r>
      <w:r w:rsidRPr="00DB1BCE">
        <w:rPr>
          <w:rFonts w:cs="Times New Roman"/>
          <w:i/>
          <w:iCs/>
          <w:noProof/>
          <w:lang w:val="en-US"/>
        </w:rPr>
        <w:t>Organic Chemistry</w:t>
      </w:r>
      <w:r w:rsidRPr="00DB1BCE">
        <w:rPr>
          <w:rFonts w:cs="Times New Roman"/>
          <w:noProof/>
          <w:lang w:val="en-US"/>
        </w:rPr>
        <w:t>, Oxford University Press, New York, Second Edi., 2012.</w:t>
      </w:r>
    </w:p>
    <w:p w14:paraId="156339D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176</w:t>
      </w:r>
      <w:r w:rsidRPr="00DB1BCE">
        <w:rPr>
          <w:rFonts w:cs="Times New Roman"/>
          <w:noProof/>
          <w:lang w:val="en-US"/>
        </w:rPr>
        <w:tab/>
        <w:t xml:space="preserve">K. Frederiksen, R. H. Guy and K. Petersson, </w:t>
      </w:r>
      <w:r w:rsidRPr="00DB1BCE">
        <w:rPr>
          <w:rFonts w:cs="Times New Roman"/>
          <w:i/>
          <w:iCs/>
          <w:noProof/>
          <w:lang w:val="en-US"/>
        </w:rPr>
        <w:t>Eur. J. Pharm. Biopharm.</w:t>
      </w:r>
      <w:r w:rsidRPr="00DB1BCE">
        <w:rPr>
          <w:rFonts w:cs="Times New Roman"/>
          <w:noProof/>
          <w:lang w:val="en-US"/>
        </w:rPr>
        <w:t xml:space="preserve">, 2015, </w:t>
      </w:r>
      <w:r w:rsidRPr="00DB1BCE">
        <w:rPr>
          <w:rFonts w:cs="Times New Roman"/>
          <w:b/>
          <w:bCs/>
          <w:noProof/>
          <w:lang w:val="en-US"/>
        </w:rPr>
        <w:t>91</w:t>
      </w:r>
      <w:r w:rsidRPr="00DB1BCE">
        <w:rPr>
          <w:rFonts w:cs="Times New Roman"/>
          <w:noProof/>
          <w:lang w:val="en-US"/>
        </w:rPr>
        <w:t>, 9–15.</w:t>
      </w:r>
    </w:p>
    <w:p w14:paraId="1AAFD5E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177</w:t>
      </w:r>
      <w:r w:rsidRPr="00DB1BCE">
        <w:rPr>
          <w:rFonts w:cs="Times New Roman"/>
          <w:noProof/>
          <w:lang w:val="en-US"/>
        </w:rPr>
        <w:tab/>
        <w:t xml:space="preserve">I. Zurdo Schroeder, P. Franke, U. F. Schaefer and C. M. Lehr, </w:t>
      </w:r>
      <w:r w:rsidRPr="00DB1BCE">
        <w:rPr>
          <w:rFonts w:cs="Times New Roman"/>
          <w:i/>
          <w:iCs/>
          <w:noProof/>
          <w:lang w:val="en-US"/>
        </w:rPr>
        <w:t>Eur. J. Pharm. Biopharm.</w:t>
      </w:r>
      <w:r w:rsidRPr="00DB1BCE">
        <w:rPr>
          <w:rFonts w:cs="Times New Roman"/>
          <w:noProof/>
          <w:lang w:val="en-US"/>
        </w:rPr>
        <w:t xml:space="preserve">, 2007, </w:t>
      </w:r>
      <w:r w:rsidRPr="00DB1BCE">
        <w:rPr>
          <w:rFonts w:cs="Times New Roman"/>
          <w:b/>
          <w:bCs/>
          <w:noProof/>
          <w:lang w:val="en-US"/>
        </w:rPr>
        <w:t>65</w:t>
      </w:r>
      <w:r w:rsidRPr="00DB1BCE">
        <w:rPr>
          <w:rFonts w:cs="Times New Roman"/>
          <w:noProof/>
          <w:lang w:val="en-US"/>
        </w:rPr>
        <w:t>, 111–121.</w:t>
      </w:r>
    </w:p>
    <w:p w14:paraId="66AD2FF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178</w:t>
      </w:r>
      <w:r w:rsidRPr="00DB1BCE">
        <w:rPr>
          <w:rFonts w:cs="Times New Roman"/>
          <w:noProof/>
          <w:lang w:val="en-US"/>
        </w:rPr>
        <w:tab/>
        <w:t xml:space="preserve">H. E. Barker, T. R. Cox and J. T. Erler, </w:t>
      </w:r>
      <w:r w:rsidRPr="00DB1BCE">
        <w:rPr>
          <w:rFonts w:cs="Times New Roman"/>
          <w:i/>
          <w:iCs/>
          <w:noProof/>
          <w:lang w:val="en-US"/>
        </w:rPr>
        <w:t>Nat. Rev. Cancer</w:t>
      </w:r>
      <w:r w:rsidRPr="00DB1BCE">
        <w:rPr>
          <w:rFonts w:cs="Times New Roman"/>
          <w:noProof/>
          <w:lang w:val="en-US"/>
        </w:rPr>
        <w:t xml:space="preserve">, 2012, </w:t>
      </w:r>
      <w:r w:rsidRPr="00DB1BCE">
        <w:rPr>
          <w:rFonts w:cs="Times New Roman"/>
          <w:b/>
          <w:bCs/>
          <w:noProof/>
          <w:lang w:val="en-US"/>
        </w:rPr>
        <w:t>12</w:t>
      </w:r>
      <w:r w:rsidRPr="00DB1BCE">
        <w:rPr>
          <w:rFonts w:cs="Times New Roman"/>
          <w:noProof/>
          <w:lang w:val="en-US"/>
        </w:rPr>
        <w:t>, 540–552.</w:t>
      </w:r>
    </w:p>
    <w:p w14:paraId="1D151F8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179</w:t>
      </w:r>
      <w:r w:rsidRPr="00DB1BCE">
        <w:rPr>
          <w:rFonts w:cs="Times New Roman"/>
          <w:noProof/>
          <w:lang w:val="en-US"/>
        </w:rPr>
        <w:tab/>
        <w:t xml:space="preserve">T. R. Knapp, R. J. Daniels and E. N. Kaplan, </w:t>
      </w:r>
      <w:r w:rsidRPr="00DB1BCE">
        <w:rPr>
          <w:rFonts w:cs="Times New Roman"/>
          <w:i/>
          <w:iCs/>
          <w:noProof/>
          <w:lang w:val="en-US"/>
        </w:rPr>
        <w:t>Am. J. Pathol.</w:t>
      </w:r>
      <w:r w:rsidRPr="00DB1BCE">
        <w:rPr>
          <w:rFonts w:cs="Times New Roman"/>
          <w:noProof/>
          <w:lang w:val="en-US"/>
        </w:rPr>
        <w:t xml:space="preserve">, 1977, </w:t>
      </w:r>
      <w:r w:rsidRPr="00DB1BCE">
        <w:rPr>
          <w:rFonts w:cs="Times New Roman"/>
          <w:b/>
          <w:bCs/>
          <w:noProof/>
          <w:lang w:val="en-US"/>
        </w:rPr>
        <w:t>86</w:t>
      </w:r>
      <w:r w:rsidRPr="00DB1BCE">
        <w:rPr>
          <w:rFonts w:cs="Times New Roman"/>
          <w:noProof/>
          <w:lang w:val="en-US"/>
        </w:rPr>
        <w:t>, 47–70.</w:t>
      </w:r>
    </w:p>
    <w:p w14:paraId="4E670B8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180</w:t>
      </w:r>
      <w:r w:rsidRPr="00DB1BCE">
        <w:rPr>
          <w:rFonts w:cs="Times New Roman"/>
          <w:noProof/>
          <w:lang w:val="en-US"/>
        </w:rPr>
        <w:tab/>
        <w:t xml:space="preserve">M. Chanoki, M. Ishii, H. Kobayashi, H. Fushida, N. Yashiro, T. Hamada and A. Ooshima, </w:t>
      </w:r>
      <w:r w:rsidRPr="00DB1BCE">
        <w:rPr>
          <w:rFonts w:cs="Times New Roman"/>
          <w:i/>
          <w:iCs/>
          <w:noProof/>
          <w:lang w:val="en-US"/>
        </w:rPr>
        <w:t>Br. J. Dermatol.</w:t>
      </w:r>
      <w:r w:rsidRPr="00DB1BCE">
        <w:rPr>
          <w:rFonts w:cs="Times New Roman"/>
          <w:noProof/>
          <w:lang w:val="en-US"/>
        </w:rPr>
        <w:t xml:space="preserve">, 1995, </w:t>
      </w:r>
      <w:r w:rsidRPr="00DB1BCE">
        <w:rPr>
          <w:rFonts w:cs="Times New Roman"/>
          <w:b/>
          <w:bCs/>
          <w:noProof/>
          <w:lang w:val="en-US"/>
        </w:rPr>
        <w:t>133</w:t>
      </w:r>
      <w:r w:rsidRPr="00DB1BCE">
        <w:rPr>
          <w:rFonts w:cs="Times New Roman"/>
          <w:noProof/>
          <w:lang w:val="en-US"/>
        </w:rPr>
        <w:t>, 710–5.</w:t>
      </w:r>
    </w:p>
    <w:p w14:paraId="62322E8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181</w:t>
      </w:r>
      <w:r w:rsidRPr="00DB1BCE">
        <w:rPr>
          <w:rFonts w:cs="Times New Roman"/>
          <w:noProof/>
          <w:lang w:val="en-US"/>
        </w:rPr>
        <w:tab/>
        <w:t xml:space="preserve">B. Buckingham and K. M. Reiser, </w:t>
      </w:r>
      <w:r w:rsidRPr="00DB1BCE">
        <w:rPr>
          <w:rFonts w:cs="Times New Roman"/>
          <w:i/>
          <w:iCs/>
          <w:noProof/>
          <w:lang w:val="en-US"/>
        </w:rPr>
        <w:t>J. Clin. Invest.</w:t>
      </w:r>
      <w:r w:rsidRPr="00DB1BCE">
        <w:rPr>
          <w:rFonts w:cs="Times New Roman"/>
          <w:noProof/>
          <w:lang w:val="en-US"/>
        </w:rPr>
        <w:t xml:space="preserve">, 1990, </w:t>
      </w:r>
      <w:r w:rsidRPr="00DB1BCE">
        <w:rPr>
          <w:rFonts w:cs="Times New Roman"/>
          <w:b/>
          <w:bCs/>
          <w:noProof/>
          <w:lang w:val="en-US"/>
        </w:rPr>
        <w:t>86</w:t>
      </w:r>
      <w:r w:rsidRPr="00DB1BCE">
        <w:rPr>
          <w:rFonts w:cs="Times New Roman"/>
          <w:noProof/>
          <w:lang w:val="en-US"/>
        </w:rPr>
        <w:t>, 1046–1054.</w:t>
      </w:r>
    </w:p>
    <w:p w14:paraId="3A30E8B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182</w:t>
      </w:r>
      <w:r w:rsidRPr="00DB1BCE">
        <w:rPr>
          <w:rFonts w:cs="Times New Roman"/>
          <w:noProof/>
          <w:lang w:val="en-US"/>
        </w:rPr>
        <w:tab/>
        <w:t xml:space="preserve">D. L. Layman, A. S. Narayanan and G. R. Martin, </w:t>
      </w:r>
      <w:r w:rsidRPr="00DB1BCE">
        <w:rPr>
          <w:rFonts w:cs="Times New Roman"/>
          <w:i/>
          <w:iCs/>
          <w:noProof/>
          <w:lang w:val="en-US"/>
        </w:rPr>
        <w:t>Arch. Biochem. Biophys.</w:t>
      </w:r>
      <w:r w:rsidRPr="00DB1BCE">
        <w:rPr>
          <w:rFonts w:cs="Times New Roman"/>
          <w:noProof/>
          <w:lang w:val="en-US"/>
        </w:rPr>
        <w:t xml:space="preserve">, 1972, </w:t>
      </w:r>
      <w:r w:rsidRPr="00DB1BCE">
        <w:rPr>
          <w:rFonts w:cs="Times New Roman"/>
          <w:b/>
          <w:bCs/>
          <w:noProof/>
          <w:lang w:val="en-US"/>
        </w:rPr>
        <w:t>149</w:t>
      </w:r>
      <w:r w:rsidRPr="00DB1BCE">
        <w:rPr>
          <w:rFonts w:cs="Times New Roman"/>
          <w:noProof/>
          <w:lang w:val="en-US"/>
        </w:rPr>
        <w:t>, 97–101.</w:t>
      </w:r>
    </w:p>
    <w:p w14:paraId="015D446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183</w:t>
      </w:r>
      <w:r w:rsidRPr="00DB1BCE">
        <w:rPr>
          <w:rFonts w:cs="Times New Roman"/>
          <w:noProof/>
          <w:lang w:val="en-US"/>
        </w:rPr>
        <w:tab/>
        <w:t xml:space="preserve">E. D. Harris and J. K. Rayton, </w:t>
      </w:r>
      <w:r w:rsidRPr="00DB1BCE">
        <w:rPr>
          <w:rFonts w:cs="Times New Roman"/>
          <w:i/>
          <w:iCs/>
          <w:noProof/>
          <w:lang w:val="en-US"/>
        </w:rPr>
        <w:t>J. Biol. Chem.</w:t>
      </w:r>
      <w:r w:rsidRPr="00DB1BCE">
        <w:rPr>
          <w:rFonts w:cs="Times New Roman"/>
          <w:noProof/>
          <w:lang w:val="en-US"/>
        </w:rPr>
        <w:t xml:space="preserve">, 1979, </w:t>
      </w:r>
      <w:r w:rsidRPr="00DB1BCE">
        <w:rPr>
          <w:rFonts w:cs="Times New Roman"/>
          <w:b/>
          <w:bCs/>
          <w:noProof/>
          <w:lang w:val="en-US"/>
        </w:rPr>
        <w:t>254</w:t>
      </w:r>
      <w:r w:rsidRPr="00DB1BCE">
        <w:rPr>
          <w:rFonts w:cs="Times New Roman"/>
          <w:noProof/>
          <w:lang w:val="en-US"/>
        </w:rPr>
        <w:t>, 621–626.</w:t>
      </w:r>
    </w:p>
    <w:p w14:paraId="7215B73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184</w:t>
      </w:r>
      <w:r w:rsidRPr="00DB1BCE">
        <w:rPr>
          <w:rFonts w:cs="Times New Roman"/>
          <w:noProof/>
          <w:lang w:val="en-US"/>
        </w:rPr>
        <w:tab/>
        <w:t xml:space="preserve">J. Melet, G. D. N. E. Vianden and B. N. Bachra, </w:t>
      </w:r>
      <w:r w:rsidRPr="00DB1BCE">
        <w:rPr>
          <w:rFonts w:cs="Times New Roman"/>
          <w:i/>
          <w:iCs/>
          <w:noProof/>
          <w:lang w:val="en-US"/>
        </w:rPr>
        <w:t>Anal. Biochem.</w:t>
      </w:r>
      <w:r w:rsidRPr="00DB1BCE">
        <w:rPr>
          <w:rFonts w:cs="Times New Roman"/>
          <w:noProof/>
          <w:lang w:val="en-US"/>
        </w:rPr>
        <w:t xml:space="preserve">, 1977, </w:t>
      </w:r>
      <w:r w:rsidRPr="00DB1BCE">
        <w:rPr>
          <w:rFonts w:cs="Times New Roman"/>
          <w:b/>
          <w:bCs/>
          <w:noProof/>
          <w:lang w:val="en-US"/>
        </w:rPr>
        <w:t>77</w:t>
      </w:r>
      <w:r w:rsidRPr="00DB1BCE">
        <w:rPr>
          <w:rFonts w:cs="Times New Roman"/>
          <w:noProof/>
          <w:lang w:val="en-US"/>
        </w:rPr>
        <w:t>, 141–146.</w:t>
      </w:r>
    </w:p>
    <w:p w14:paraId="4621F79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185</w:t>
      </w:r>
      <w:r w:rsidRPr="00DB1BCE">
        <w:rPr>
          <w:rFonts w:cs="Times New Roman"/>
          <w:noProof/>
          <w:lang w:val="en-US"/>
        </w:rPr>
        <w:tab/>
        <w:t xml:space="preserve">R. A. Clark, S. Szot, M. A. Williams and H. M. Kagan, </w:t>
      </w:r>
      <w:r w:rsidRPr="00DB1BCE">
        <w:rPr>
          <w:rFonts w:cs="Times New Roman"/>
          <w:i/>
          <w:iCs/>
          <w:noProof/>
          <w:lang w:val="en-US"/>
        </w:rPr>
        <w:t>Biochem. Biophys. Res. Commun.</w:t>
      </w:r>
      <w:r w:rsidRPr="00DB1BCE">
        <w:rPr>
          <w:rFonts w:cs="Times New Roman"/>
          <w:noProof/>
          <w:lang w:val="en-US"/>
        </w:rPr>
        <w:t xml:space="preserve">, 1986, </w:t>
      </w:r>
      <w:r w:rsidRPr="00DB1BCE">
        <w:rPr>
          <w:rFonts w:cs="Times New Roman"/>
          <w:b/>
          <w:bCs/>
          <w:noProof/>
          <w:lang w:val="en-US"/>
        </w:rPr>
        <w:t>135</w:t>
      </w:r>
      <w:r w:rsidRPr="00DB1BCE">
        <w:rPr>
          <w:rFonts w:cs="Times New Roman"/>
          <w:noProof/>
          <w:lang w:val="en-US"/>
        </w:rPr>
        <w:t>, 451–457.</w:t>
      </w:r>
    </w:p>
    <w:p w14:paraId="20236B8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186</w:t>
      </w:r>
      <w:r w:rsidRPr="00DB1BCE">
        <w:rPr>
          <w:rFonts w:cs="Times New Roman"/>
          <w:noProof/>
          <w:lang w:val="en-US"/>
        </w:rPr>
        <w:tab/>
        <w:t xml:space="preserve">P. C. Trackman, C. G. Zoski and H. M. Kagan, </w:t>
      </w:r>
      <w:r w:rsidRPr="00DB1BCE">
        <w:rPr>
          <w:rFonts w:cs="Times New Roman"/>
          <w:i/>
          <w:iCs/>
          <w:noProof/>
          <w:lang w:val="en-US"/>
        </w:rPr>
        <w:t>Anal. Biochem.</w:t>
      </w:r>
      <w:r w:rsidRPr="00DB1BCE">
        <w:rPr>
          <w:rFonts w:cs="Times New Roman"/>
          <w:noProof/>
          <w:lang w:val="en-US"/>
        </w:rPr>
        <w:t xml:space="preserve">, 1981, </w:t>
      </w:r>
      <w:r w:rsidRPr="00DB1BCE">
        <w:rPr>
          <w:rFonts w:cs="Times New Roman"/>
          <w:b/>
          <w:bCs/>
          <w:noProof/>
          <w:lang w:val="en-US"/>
        </w:rPr>
        <w:t>342</w:t>
      </w:r>
      <w:r w:rsidRPr="00DB1BCE">
        <w:rPr>
          <w:rFonts w:cs="Times New Roman"/>
          <w:noProof/>
          <w:lang w:val="en-US"/>
        </w:rPr>
        <w:t>, 336–342.</w:t>
      </w:r>
    </w:p>
    <w:p w14:paraId="09E15C4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187</w:t>
      </w:r>
      <w:r w:rsidRPr="00DB1BCE">
        <w:rPr>
          <w:rFonts w:cs="Times New Roman"/>
          <w:noProof/>
          <w:lang w:val="en-US"/>
        </w:rPr>
        <w:tab/>
        <w:t xml:space="preserve">A. H. Palamakumbura and P. C. Trackman, </w:t>
      </w:r>
      <w:r w:rsidRPr="00DB1BCE">
        <w:rPr>
          <w:rFonts w:cs="Times New Roman"/>
          <w:i/>
          <w:iCs/>
          <w:noProof/>
          <w:lang w:val="en-US"/>
        </w:rPr>
        <w:t>Anal. Biochem.</w:t>
      </w:r>
      <w:r w:rsidRPr="00DB1BCE">
        <w:rPr>
          <w:rFonts w:cs="Times New Roman"/>
          <w:noProof/>
          <w:lang w:val="en-US"/>
        </w:rPr>
        <w:t xml:space="preserve">, 2002, </w:t>
      </w:r>
      <w:r w:rsidRPr="00DB1BCE">
        <w:rPr>
          <w:rFonts w:cs="Times New Roman"/>
          <w:b/>
          <w:bCs/>
          <w:noProof/>
          <w:lang w:val="en-US"/>
        </w:rPr>
        <w:t>300</w:t>
      </w:r>
      <w:r w:rsidRPr="00DB1BCE">
        <w:rPr>
          <w:rFonts w:cs="Times New Roman"/>
          <w:noProof/>
          <w:lang w:val="en-US"/>
        </w:rPr>
        <w:t>, 245–251.</w:t>
      </w:r>
    </w:p>
    <w:p w14:paraId="259D22A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188</w:t>
      </w:r>
      <w:r w:rsidRPr="00DB1BCE">
        <w:rPr>
          <w:rFonts w:cs="Times New Roman"/>
          <w:noProof/>
          <w:lang w:val="en-US"/>
        </w:rPr>
        <w:tab/>
        <w:t xml:space="preserve">B. Fogelgren, N. Polgár, K. M. Szauter, Z. Újfaludi, R. Laczkó, K. S. K. Fong and K. Csiszar, </w:t>
      </w:r>
      <w:r w:rsidRPr="00DB1BCE">
        <w:rPr>
          <w:rFonts w:cs="Times New Roman"/>
          <w:i/>
          <w:iCs/>
          <w:noProof/>
          <w:lang w:val="en-US"/>
        </w:rPr>
        <w:t>J. Biol. Chem.</w:t>
      </w:r>
      <w:r w:rsidRPr="00DB1BCE">
        <w:rPr>
          <w:rFonts w:cs="Times New Roman"/>
          <w:noProof/>
          <w:lang w:val="en-US"/>
        </w:rPr>
        <w:t xml:space="preserve">, 2005, </w:t>
      </w:r>
      <w:r w:rsidRPr="00DB1BCE">
        <w:rPr>
          <w:rFonts w:cs="Times New Roman"/>
          <w:b/>
          <w:bCs/>
          <w:noProof/>
          <w:lang w:val="en-US"/>
        </w:rPr>
        <w:t>280</w:t>
      </w:r>
      <w:r w:rsidRPr="00DB1BCE">
        <w:rPr>
          <w:rFonts w:cs="Times New Roman"/>
          <w:noProof/>
          <w:lang w:val="en-US"/>
        </w:rPr>
        <w:t>, 24690–24697.</w:t>
      </w:r>
    </w:p>
    <w:p w14:paraId="1846150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189</w:t>
      </w:r>
      <w:r w:rsidRPr="00DB1BCE">
        <w:rPr>
          <w:rFonts w:cs="Times New Roman"/>
          <w:noProof/>
          <w:lang w:val="en-US"/>
        </w:rPr>
        <w:tab/>
        <w:t xml:space="preserve">B. K. Giersing, F. Dubovsky, A. Saul, F. Denamur, P. Minor and B. Meade, </w:t>
      </w:r>
      <w:r w:rsidRPr="00DB1BCE">
        <w:rPr>
          <w:rFonts w:cs="Times New Roman"/>
          <w:i/>
          <w:iCs/>
          <w:noProof/>
          <w:lang w:val="en-US"/>
        </w:rPr>
        <w:t>Vaccine</w:t>
      </w:r>
      <w:r w:rsidRPr="00DB1BCE">
        <w:rPr>
          <w:rFonts w:cs="Times New Roman"/>
          <w:noProof/>
          <w:lang w:val="en-US"/>
        </w:rPr>
        <w:t xml:space="preserve">, 2006, </w:t>
      </w:r>
      <w:r w:rsidRPr="00DB1BCE">
        <w:rPr>
          <w:rFonts w:cs="Times New Roman"/>
          <w:b/>
          <w:bCs/>
          <w:noProof/>
          <w:lang w:val="en-US"/>
        </w:rPr>
        <w:t>24</w:t>
      </w:r>
      <w:r w:rsidRPr="00DB1BCE">
        <w:rPr>
          <w:rFonts w:cs="Times New Roman"/>
          <w:noProof/>
          <w:lang w:val="en-US"/>
        </w:rPr>
        <w:t>, 4264–4270.</w:t>
      </w:r>
    </w:p>
    <w:p w14:paraId="53A0F97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190</w:t>
      </w:r>
      <w:r w:rsidRPr="00DB1BCE">
        <w:rPr>
          <w:rFonts w:cs="Times New Roman"/>
          <w:noProof/>
          <w:lang w:val="en-US"/>
        </w:rPr>
        <w:tab/>
        <w:t xml:space="preserve">C. Yung-Chi and W. H. Prusoff, </w:t>
      </w:r>
      <w:r w:rsidRPr="00DB1BCE">
        <w:rPr>
          <w:rFonts w:cs="Times New Roman"/>
          <w:i/>
          <w:iCs/>
          <w:noProof/>
          <w:lang w:val="en-US"/>
        </w:rPr>
        <w:t>Biochem. Pharmacol.</w:t>
      </w:r>
      <w:r w:rsidRPr="00DB1BCE">
        <w:rPr>
          <w:rFonts w:cs="Times New Roman"/>
          <w:noProof/>
          <w:lang w:val="en-US"/>
        </w:rPr>
        <w:t xml:space="preserve">, 1973, </w:t>
      </w:r>
      <w:r w:rsidRPr="00DB1BCE">
        <w:rPr>
          <w:rFonts w:cs="Times New Roman"/>
          <w:b/>
          <w:bCs/>
          <w:noProof/>
          <w:lang w:val="en-US"/>
        </w:rPr>
        <w:t>22</w:t>
      </w:r>
      <w:r w:rsidRPr="00DB1BCE">
        <w:rPr>
          <w:rFonts w:cs="Times New Roman"/>
          <w:noProof/>
          <w:lang w:val="en-US"/>
        </w:rPr>
        <w:t>, 3099–3108.</w:t>
      </w:r>
    </w:p>
    <w:p w14:paraId="618F413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191</w:t>
      </w:r>
      <w:r w:rsidRPr="00DB1BCE">
        <w:rPr>
          <w:rFonts w:cs="Times New Roman"/>
          <w:noProof/>
          <w:lang w:val="en-US"/>
        </w:rPr>
        <w:tab/>
        <w:t xml:space="preserve">J. L. Sebaugh, </w:t>
      </w:r>
      <w:r w:rsidRPr="00DB1BCE">
        <w:rPr>
          <w:rFonts w:cs="Times New Roman"/>
          <w:i/>
          <w:iCs/>
          <w:noProof/>
          <w:lang w:val="en-US"/>
        </w:rPr>
        <w:t>Pharm. Stat.</w:t>
      </w:r>
      <w:r w:rsidRPr="00DB1BCE">
        <w:rPr>
          <w:rFonts w:cs="Times New Roman"/>
          <w:noProof/>
          <w:lang w:val="en-US"/>
        </w:rPr>
        <w:t xml:space="preserve">, 2011, </w:t>
      </w:r>
      <w:r w:rsidRPr="00DB1BCE">
        <w:rPr>
          <w:rFonts w:cs="Times New Roman"/>
          <w:b/>
          <w:bCs/>
          <w:noProof/>
          <w:lang w:val="en-US"/>
        </w:rPr>
        <w:t>10</w:t>
      </w:r>
      <w:r w:rsidRPr="00DB1BCE">
        <w:rPr>
          <w:rFonts w:cs="Times New Roman"/>
          <w:noProof/>
          <w:lang w:val="en-US"/>
        </w:rPr>
        <w:t>, 128–134.</w:t>
      </w:r>
    </w:p>
    <w:p w14:paraId="4FC5C5E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192</w:t>
      </w:r>
      <w:r w:rsidRPr="00DB1BCE">
        <w:rPr>
          <w:rFonts w:cs="Times New Roman"/>
          <w:noProof/>
          <w:lang w:val="en-US"/>
        </w:rPr>
        <w:tab/>
        <w:t xml:space="preserve">M. Fallahi-Sichani, S. Honarnejad, L. M. Heiser, J. W. Gray and P. K. Sorger, </w:t>
      </w:r>
      <w:r w:rsidRPr="00DB1BCE">
        <w:rPr>
          <w:rFonts w:cs="Times New Roman"/>
          <w:i/>
          <w:iCs/>
          <w:noProof/>
          <w:lang w:val="en-US"/>
        </w:rPr>
        <w:t>Nat. Chem. Biol.</w:t>
      </w:r>
      <w:r w:rsidRPr="00DB1BCE">
        <w:rPr>
          <w:rFonts w:cs="Times New Roman"/>
          <w:noProof/>
          <w:lang w:val="en-US"/>
        </w:rPr>
        <w:t xml:space="preserve">, 2013, </w:t>
      </w:r>
      <w:r w:rsidRPr="00DB1BCE">
        <w:rPr>
          <w:rFonts w:cs="Times New Roman"/>
          <w:b/>
          <w:bCs/>
          <w:noProof/>
          <w:lang w:val="en-US"/>
        </w:rPr>
        <w:t>9</w:t>
      </w:r>
      <w:r w:rsidRPr="00DB1BCE">
        <w:rPr>
          <w:rFonts w:cs="Times New Roman"/>
          <w:noProof/>
          <w:lang w:val="en-US"/>
        </w:rPr>
        <w:t>, 708–714.</w:t>
      </w:r>
    </w:p>
    <w:p w14:paraId="7146107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193</w:t>
      </w:r>
      <w:r w:rsidRPr="00DB1BCE">
        <w:rPr>
          <w:rFonts w:cs="Times New Roman"/>
          <w:noProof/>
          <w:lang w:val="en-US"/>
        </w:rPr>
        <w:tab/>
        <w:t xml:space="preserve">R. R. Neubig, M. Spedding, T. Kenakin and A. Christopoulos, </w:t>
      </w:r>
      <w:r w:rsidRPr="00DB1BCE">
        <w:rPr>
          <w:rFonts w:cs="Times New Roman"/>
          <w:i/>
          <w:iCs/>
          <w:noProof/>
          <w:lang w:val="en-US"/>
        </w:rPr>
        <w:t>Pharmacol. Rev.</w:t>
      </w:r>
      <w:r w:rsidRPr="00DB1BCE">
        <w:rPr>
          <w:rFonts w:cs="Times New Roman"/>
          <w:noProof/>
          <w:lang w:val="en-US"/>
        </w:rPr>
        <w:t xml:space="preserve">, 2003, </w:t>
      </w:r>
      <w:r w:rsidRPr="00DB1BCE">
        <w:rPr>
          <w:rFonts w:cs="Times New Roman"/>
          <w:b/>
          <w:bCs/>
          <w:noProof/>
          <w:lang w:val="en-US"/>
        </w:rPr>
        <w:t>55</w:t>
      </w:r>
      <w:r w:rsidRPr="00DB1BCE">
        <w:rPr>
          <w:rFonts w:cs="Times New Roman"/>
          <w:noProof/>
          <w:lang w:val="en-US"/>
        </w:rPr>
        <w:t>, 597 LP-606.</w:t>
      </w:r>
    </w:p>
    <w:p w14:paraId="27F2DED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194</w:t>
      </w:r>
      <w:r w:rsidRPr="00DB1BCE">
        <w:rPr>
          <w:rFonts w:cs="Times New Roman"/>
          <w:noProof/>
          <w:lang w:val="en-US"/>
        </w:rPr>
        <w:tab/>
        <w:t xml:space="preserve">A. P. Li, </w:t>
      </w:r>
      <w:r w:rsidRPr="00DB1BCE">
        <w:rPr>
          <w:rFonts w:cs="Times New Roman"/>
          <w:i/>
          <w:iCs/>
          <w:noProof/>
          <w:lang w:val="en-US"/>
        </w:rPr>
        <w:t>Chem. Biol. Interact.</w:t>
      </w:r>
      <w:r w:rsidRPr="00DB1BCE">
        <w:rPr>
          <w:rFonts w:cs="Times New Roman"/>
          <w:noProof/>
          <w:lang w:val="en-US"/>
        </w:rPr>
        <w:t xml:space="preserve">, 2004, </w:t>
      </w:r>
      <w:r w:rsidRPr="00DB1BCE">
        <w:rPr>
          <w:rFonts w:cs="Times New Roman"/>
          <w:b/>
          <w:bCs/>
          <w:noProof/>
          <w:lang w:val="en-US"/>
        </w:rPr>
        <w:t>150</w:t>
      </w:r>
      <w:r w:rsidRPr="00DB1BCE">
        <w:rPr>
          <w:rFonts w:cs="Times New Roman"/>
          <w:noProof/>
          <w:lang w:val="en-US"/>
        </w:rPr>
        <w:t>, 3–7.</w:t>
      </w:r>
    </w:p>
    <w:p w14:paraId="2B5B420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195</w:t>
      </w:r>
      <w:r w:rsidRPr="00DB1BCE">
        <w:rPr>
          <w:rFonts w:cs="Times New Roman"/>
          <w:noProof/>
          <w:lang w:val="en-US"/>
        </w:rPr>
        <w:tab/>
        <w:t xml:space="preserve">T. L. Riss, R. A. Moravec and A. L. Niles, in </w:t>
      </w:r>
      <w:r w:rsidRPr="00DB1BCE">
        <w:rPr>
          <w:rFonts w:cs="Times New Roman"/>
          <w:i/>
          <w:iCs/>
          <w:noProof/>
          <w:lang w:val="en-US"/>
        </w:rPr>
        <w:t>Mammalian Cell Viability: Methods and Protocols</w:t>
      </w:r>
      <w:r w:rsidRPr="00DB1BCE">
        <w:rPr>
          <w:rFonts w:cs="Times New Roman"/>
          <w:noProof/>
          <w:lang w:val="en-US"/>
        </w:rPr>
        <w:t>, ed. M. J. Stoddart, Humana Press, Totowa, NJ, 2011, pp. 103–114.</w:t>
      </w:r>
    </w:p>
    <w:p w14:paraId="67001C2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196</w:t>
      </w:r>
      <w:r w:rsidRPr="00DB1BCE">
        <w:rPr>
          <w:rFonts w:cs="Times New Roman"/>
          <w:noProof/>
          <w:lang w:val="en-US"/>
        </w:rPr>
        <w:tab/>
        <w:t xml:space="preserve">L. J. Nelson, M. Navarro, P. Treskes, K. Samuel, O. Tura-Ceide, S. D. Morley, P. C. Hayes and J. N. Plevris, </w:t>
      </w:r>
      <w:r w:rsidRPr="00DB1BCE">
        <w:rPr>
          <w:rFonts w:cs="Times New Roman"/>
          <w:i/>
          <w:iCs/>
          <w:noProof/>
          <w:lang w:val="en-US"/>
        </w:rPr>
        <w:t>Sci. Rep.</w:t>
      </w:r>
      <w:r w:rsidRPr="00DB1BCE">
        <w:rPr>
          <w:rFonts w:cs="Times New Roman"/>
          <w:noProof/>
          <w:lang w:val="en-US"/>
        </w:rPr>
        <w:t xml:space="preserve">, 2015, </w:t>
      </w:r>
      <w:r w:rsidRPr="00DB1BCE">
        <w:rPr>
          <w:rFonts w:cs="Times New Roman"/>
          <w:b/>
          <w:bCs/>
          <w:noProof/>
          <w:lang w:val="en-US"/>
        </w:rPr>
        <w:t>5</w:t>
      </w:r>
      <w:r w:rsidRPr="00DB1BCE">
        <w:rPr>
          <w:rFonts w:cs="Times New Roman"/>
          <w:noProof/>
          <w:lang w:val="en-US"/>
        </w:rPr>
        <w:t>, 17455.</w:t>
      </w:r>
    </w:p>
    <w:p w14:paraId="0A4493F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197</w:t>
      </w:r>
      <w:r w:rsidRPr="00DB1BCE">
        <w:rPr>
          <w:rFonts w:cs="Times New Roman"/>
          <w:noProof/>
          <w:lang w:val="en-US"/>
        </w:rPr>
        <w:tab/>
        <w:t xml:space="preserve">U. De Simone, M. Roccio, L. Gribaldo, A. Spinillo, F. Caloni, T. Coccini, U. De Simone, M. Roccio, L. Gribaldo, A. Spinillo, F. C. Id and T. Coccini, </w:t>
      </w:r>
      <w:r w:rsidRPr="00DB1BCE">
        <w:rPr>
          <w:rFonts w:cs="Times New Roman"/>
          <w:i/>
          <w:iCs/>
          <w:noProof/>
          <w:lang w:val="en-US"/>
        </w:rPr>
        <w:t xml:space="preserve">Int. J. Mol. Sci. </w:t>
      </w:r>
      <w:r w:rsidRPr="00DB1BCE">
        <w:rPr>
          <w:rFonts w:cs="Times New Roman"/>
          <w:noProof/>
          <w:lang w:val="en-US"/>
        </w:rPr>
        <w:t xml:space="preserve">, 2018, </w:t>
      </w:r>
      <w:r w:rsidRPr="00DB1BCE">
        <w:rPr>
          <w:rFonts w:cs="Times New Roman"/>
          <w:b/>
          <w:bCs/>
          <w:noProof/>
          <w:lang w:val="en-US"/>
        </w:rPr>
        <w:t>19</w:t>
      </w:r>
      <w:r w:rsidRPr="00DB1BCE">
        <w:rPr>
          <w:rFonts w:cs="Times New Roman"/>
          <w:noProof/>
          <w:lang w:val="en-US"/>
        </w:rPr>
        <w:t>.</w:t>
      </w:r>
    </w:p>
    <w:p w14:paraId="03EDC42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198</w:t>
      </w:r>
      <w:r w:rsidRPr="00DB1BCE">
        <w:rPr>
          <w:rFonts w:cs="Times New Roman"/>
          <w:noProof/>
          <w:lang w:val="en-US"/>
        </w:rPr>
        <w:tab/>
        <w:t xml:space="preserve">S. Ghasempour, M. A. Shokrgozar, R. Ghasempour and M. Alipour, </w:t>
      </w:r>
      <w:r w:rsidRPr="00DB1BCE">
        <w:rPr>
          <w:rFonts w:cs="Times New Roman"/>
          <w:i/>
          <w:iCs/>
          <w:noProof/>
          <w:lang w:val="en-US"/>
        </w:rPr>
        <w:t>Exp. Toxicol. Pathol.</w:t>
      </w:r>
      <w:r w:rsidRPr="00DB1BCE">
        <w:rPr>
          <w:rFonts w:cs="Times New Roman"/>
          <w:noProof/>
          <w:lang w:val="en-US"/>
        </w:rPr>
        <w:t xml:space="preserve">, 2015, </w:t>
      </w:r>
      <w:r w:rsidRPr="00DB1BCE">
        <w:rPr>
          <w:rFonts w:cs="Times New Roman"/>
          <w:b/>
          <w:bCs/>
          <w:noProof/>
          <w:lang w:val="en-US"/>
        </w:rPr>
        <w:t>67</w:t>
      </w:r>
      <w:r w:rsidRPr="00DB1BCE">
        <w:rPr>
          <w:rFonts w:cs="Times New Roman"/>
          <w:noProof/>
          <w:lang w:val="en-US"/>
        </w:rPr>
        <w:t>, 509–515.</w:t>
      </w:r>
    </w:p>
    <w:p w14:paraId="538BAA7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199</w:t>
      </w:r>
      <w:r w:rsidRPr="00DB1BCE">
        <w:rPr>
          <w:rFonts w:cs="Times New Roman"/>
          <w:noProof/>
          <w:lang w:val="en-US"/>
        </w:rPr>
        <w:tab/>
        <w:t xml:space="preserve">S. George, S. Pokhrel, T. Xia, B. Gilbert, Z. Ji, M. Schowalter, A. Rosenauer, R. Damoiseaux, K. A. Bradley, L. Mädler and A. E. Nel, </w:t>
      </w:r>
      <w:r w:rsidRPr="00DB1BCE">
        <w:rPr>
          <w:rFonts w:cs="Times New Roman"/>
          <w:i/>
          <w:iCs/>
          <w:noProof/>
          <w:lang w:val="en-US"/>
        </w:rPr>
        <w:t>ACS Nano</w:t>
      </w:r>
      <w:r w:rsidRPr="00DB1BCE">
        <w:rPr>
          <w:rFonts w:cs="Times New Roman"/>
          <w:noProof/>
          <w:lang w:val="en-US"/>
        </w:rPr>
        <w:t xml:space="preserve">, 2010, </w:t>
      </w:r>
      <w:r w:rsidRPr="00DB1BCE">
        <w:rPr>
          <w:rFonts w:cs="Times New Roman"/>
          <w:b/>
          <w:bCs/>
          <w:noProof/>
          <w:lang w:val="en-US"/>
        </w:rPr>
        <w:t>4</w:t>
      </w:r>
      <w:r w:rsidRPr="00DB1BCE">
        <w:rPr>
          <w:rFonts w:cs="Times New Roman"/>
          <w:noProof/>
          <w:lang w:val="en-US"/>
        </w:rPr>
        <w:t>, 15–29.</w:t>
      </w:r>
    </w:p>
    <w:p w14:paraId="3017994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200</w:t>
      </w:r>
      <w:r w:rsidRPr="00DB1BCE">
        <w:rPr>
          <w:rFonts w:cs="Times New Roman"/>
          <w:noProof/>
          <w:lang w:val="en-US"/>
        </w:rPr>
        <w:tab/>
        <w:t xml:space="preserve">I. A. Cree and P. E. Andreotti, </w:t>
      </w:r>
      <w:r w:rsidRPr="00DB1BCE">
        <w:rPr>
          <w:rFonts w:cs="Times New Roman"/>
          <w:i/>
          <w:iCs/>
          <w:noProof/>
          <w:lang w:val="en-US"/>
        </w:rPr>
        <w:t>Toxicol. Vitr.</w:t>
      </w:r>
      <w:r w:rsidRPr="00DB1BCE">
        <w:rPr>
          <w:rFonts w:cs="Times New Roman"/>
          <w:noProof/>
          <w:lang w:val="en-US"/>
        </w:rPr>
        <w:t xml:space="preserve">, 1997, </w:t>
      </w:r>
      <w:r w:rsidRPr="00DB1BCE">
        <w:rPr>
          <w:rFonts w:cs="Times New Roman"/>
          <w:b/>
          <w:bCs/>
          <w:noProof/>
          <w:lang w:val="en-US"/>
        </w:rPr>
        <w:t>11</w:t>
      </w:r>
      <w:r w:rsidRPr="00DB1BCE">
        <w:rPr>
          <w:rFonts w:cs="Times New Roman"/>
          <w:noProof/>
          <w:lang w:val="en-US"/>
        </w:rPr>
        <w:t>, 553–556.</w:t>
      </w:r>
    </w:p>
    <w:p w14:paraId="14612BC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201</w:t>
      </w:r>
      <w:r w:rsidRPr="00DB1BCE">
        <w:rPr>
          <w:rFonts w:cs="Times New Roman"/>
          <w:noProof/>
          <w:lang w:val="en-US"/>
        </w:rPr>
        <w:tab/>
        <w:t xml:space="preserve">A. L. Niles, R. A. Moravec and T. L. Riss, </w:t>
      </w:r>
      <w:r w:rsidRPr="00DB1BCE">
        <w:rPr>
          <w:rFonts w:cs="Times New Roman"/>
          <w:i/>
          <w:iCs/>
          <w:noProof/>
          <w:lang w:val="en-US"/>
        </w:rPr>
        <w:t>Curr. Chem. Genomics</w:t>
      </w:r>
      <w:r w:rsidRPr="00DB1BCE">
        <w:rPr>
          <w:rFonts w:cs="Times New Roman"/>
          <w:noProof/>
          <w:lang w:val="en-US"/>
        </w:rPr>
        <w:t xml:space="preserve">, 2009, </w:t>
      </w:r>
      <w:r w:rsidRPr="00DB1BCE">
        <w:rPr>
          <w:rFonts w:cs="Times New Roman"/>
          <w:b/>
          <w:bCs/>
          <w:noProof/>
          <w:lang w:val="en-US"/>
        </w:rPr>
        <w:t>3</w:t>
      </w:r>
      <w:r w:rsidRPr="00DB1BCE">
        <w:rPr>
          <w:rFonts w:cs="Times New Roman"/>
          <w:noProof/>
          <w:lang w:val="en-US"/>
        </w:rPr>
        <w:t>, 33–41.</w:t>
      </w:r>
    </w:p>
    <w:p w14:paraId="6ED8BD4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202</w:t>
      </w:r>
      <w:r w:rsidRPr="00DB1BCE">
        <w:rPr>
          <w:rFonts w:cs="Times New Roman"/>
          <w:noProof/>
          <w:lang w:val="en-US"/>
        </w:rPr>
        <w:tab/>
        <w:t xml:space="preserve">A. L. Niles, R. A. Moravec and T. L. Riss, </w:t>
      </w:r>
      <w:r w:rsidRPr="00DB1BCE">
        <w:rPr>
          <w:rFonts w:cs="Times New Roman"/>
          <w:i/>
          <w:iCs/>
          <w:noProof/>
          <w:lang w:val="en-US"/>
        </w:rPr>
        <w:t>Expert Opin. Drug Discov.</w:t>
      </w:r>
      <w:r w:rsidRPr="00DB1BCE">
        <w:rPr>
          <w:rFonts w:cs="Times New Roman"/>
          <w:noProof/>
          <w:lang w:val="en-US"/>
        </w:rPr>
        <w:t xml:space="preserve">, 2008, </w:t>
      </w:r>
      <w:r w:rsidRPr="00DB1BCE">
        <w:rPr>
          <w:rFonts w:cs="Times New Roman"/>
          <w:b/>
          <w:bCs/>
          <w:noProof/>
          <w:lang w:val="en-US"/>
        </w:rPr>
        <w:t>3</w:t>
      </w:r>
      <w:r w:rsidRPr="00DB1BCE">
        <w:rPr>
          <w:rFonts w:cs="Times New Roman"/>
          <w:noProof/>
          <w:lang w:val="en-US"/>
        </w:rPr>
        <w:t>, 655–669.</w:t>
      </w:r>
    </w:p>
    <w:p w14:paraId="0BE2BDD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203</w:t>
      </w:r>
      <w:r w:rsidRPr="00DB1BCE">
        <w:rPr>
          <w:rFonts w:cs="Times New Roman"/>
          <w:noProof/>
          <w:lang w:val="en-US"/>
        </w:rPr>
        <w:tab/>
        <w:t xml:space="preserve">S. Miret, E. M. De Groene and W. Klaffke, </w:t>
      </w:r>
      <w:r w:rsidRPr="00DB1BCE">
        <w:rPr>
          <w:rFonts w:cs="Times New Roman"/>
          <w:i/>
          <w:iCs/>
          <w:noProof/>
          <w:lang w:val="en-US"/>
        </w:rPr>
        <w:t>J. Biomol. Screen.</w:t>
      </w:r>
      <w:r w:rsidRPr="00DB1BCE">
        <w:rPr>
          <w:rFonts w:cs="Times New Roman"/>
          <w:noProof/>
          <w:lang w:val="en-US"/>
        </w:rPr>
        <w:t xml:space="preserve">, 2006, </w:t>
      </w:r>
      <w:r w:rsidRPr="00DB1BCE">
        <w:rPr>
          <w:rFonts w:cs="Times New Roman"/>
          <w:b/>
          <w:bCs/>
          <w:noProof/>
          <w:lang w:val="en-US"/>
        </w:rPr>
        <w:t>11</w:t>
      </w:r>
      <w:r w:rsidRPr="00DB1BCE">
        <w:rPr>
          <w:rFonts w:cs="Times New Roman"/>
          <w:noProof/>
          <w:lang w:val="en-US"/>
        </w:rPr>
        <w:t>, 184–193.</w:t>
      </w:r>
    </w:p>
    <w:p w14:paraId="1499A19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204</w:t>
      </w:r>
      <w:r w:rsidRPr="00DB1BCE">
        <w:rPr>
          <w:rFonts w:cs="Times New Roman"/>
          <w:noProof/>
          <w:lang w:val="en-US"/>
        </w:rPr>
        <w:tab/>
        <w:t xml:space="preserve">J. G. Rheinwald and H. Green, </w:t>
      </w:r>
      <w:r w:rsidRPr="00DB1BCE">
        <w:rPr>
          <w:rFonts w:cs="Times New Roman"/>
          <w:i/>
          <w:iCs/>
          <w:noProof/>
          <w:lang w:val="en-US"/>
        </w:rPr>
        <w:t>Cell</w:t>
      </w:r>
      <w:r w:rsidRPr="00DB1BCE">
        <w:rPr>
          <w:rFonts w:cs="Times New Roman"/>
          <w:noProof/>
          <w:lang w:val="en-US"/>
        </w:rPr>
        <w:t xml:space="preserve">, 1975, </w:t>
      </w:r>
      <w:r w:rsidRPr="00DB1BCE">
        <w:rPr>
          <w:rFonts w:cs="Times New Roman"/>
          <w:b/>
          <w:bCs/>
          <w:noProof/>
          <w:lang w:val="en-US"/>
        </w:rPr>
        <w:t>6</w:t>
      </w:r>
      <w:r w:rsidRPr="00DB1BCE">
        <w:rPr>
          <w:rFonts w:cs="Times New Roman"/>
          <w:noProof/>
          <w:lang w:val="en-US"/>
        </w:rPr>
        <w:t>, 331–343.</w:t>
      </w:r>
    </w:p>
    <w:p w14:paraId="64DA134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205</w:t>
      </w:r>
      <w:r w:rsidRPr="00DB1BCE">
        <w:rPr>
          <w:rFonts w:cs="Times New Roman"/>
          <w:noProof/>
          <w:lang w:val="en-US"/>
        </w:rPr>
        <w:tab/>
        <w:t xml:space="preserve">H. M. Rodriguez, M. Vaysberg, A. Mikels, S. McCauley, A. C. Velayo, C. Garcia and V. Smith, </w:t>
      </w:r>
      <w:r w:rsidRPr="00DB1BCE">
        <w:rPr>
          <w:rFonts w:cs="Times New Roman"/>
          <w:i/>
          <w:iCs/>
          <w:noProof/>
          <w:lang w:val="en-US"/>
        </w:rPr>
        <w:t>J. Biol. Chem.</w:t>
      </w:r>
      <w:r w:rsidRPr="00DB1BCE">
        <w:rPr>
          <w:rFonts w:cs="Times New Roman"/>
          <w:noProof/>
          <w:lang w:val="en-US"/>
        </w:rPr>
        <w:t xml:space="preserve">, 2010, </w:t>
      </w:r>
      <w:r w:rsidRPr="00DB1BCE">
        <w:rPr>
          <w:rFonts w:cs="Times New Roman"/>
          <w:b/>
          <w:bCs/>
          <w:noProof/>
          <w:lang w:val="en-US"/>
        </w:rPr>
        <w:t>285</w:t>
      </w:r>
      <w:r w:rsidRPr="00DB1BCE">
        <w:rPr>
          <w:rFonts w:cs="Times New Roman"/>
          <w:noProof/>
          <w:lang w:val="en-US"/>
        </w:rPr>
        <w:t>, 20964–20974.</w:t>
      </w:r>
    </w:p>
    <w:p w14:paraId="1D232FD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206</w:t>
      </w:r>
      <w:r w:rsidRPr="00DB1BCE">
        <w:rPr>
          <w:rFonts w:cs="Times New Roman"/>
          <w:noProof/>
          <w:lang w:val="en-US"/>
        </w:rPr>
        <w:tab/>
        <w:t xml:space="preserve">H. M. Kagan, </w:t>
      </w:r>
      <w:r w:rsidRPr="00DB1BCE">
        <w:rPr>
          <w:rFonts w:cs="Times New Roman"/>
          <w:i/>
          <w:iCs/>
          <w:noProof/>
          <w:lang w:val="en-US"/>
        </w:rPr>
        <w:t>Pathol. Res. Pract.</w:t>
      </w:r>
      <w:r w:rsidRPr="00DB1BCE">
        <w:rPr>
          <w:rFonts w:cs="Times New Roman"/>
          <w:noProof/>
          <w:lang w:val="en-US"/>
        </w:rPr>
        <w:t xml:space="preserve">, 1994, </w:t>
      </w:r>
      <w:r w:rsidRPr="00DB1BCE">
        <w:rPr>
          <w:rFonts w:cs="Times New Roman"/>
          <w:b/>
          <w:bCs/>
          <w:noProof/>
          <w:lang w:val="en-US"/>
        </w:rPr>
        <w:t>190</w:t>
      </w:r>
      <w:r w:rsidRPr="00DB1BCE">
        <w:rPr>
          <w:rFonts w:cs="Times New Roman"/>
          <w:noProof/>
          <w:lang w:val="en-US"/>
        </w:rPr>
        <w:t>, 910–919.</w:t>
      </w:r>
    </w:p>
    <w:p w14:paraId="69EF0DC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207</w:t>
      </w:r>
      <w:r w:rsidRPr="00DB1BCE">
        <w:rPr>
          <w:rFonts w:cs="Times New Roman"/>
          <w:noProof/>
          <w:lang w:val="en-US"/>
        </w:rPr>
        <w:tab/>
        <w:t xml:space="preserve">D. A. Volpe, S. S. Hamed and L. K. Zhang, </w:t>
      </w:r>
      <w:r w:rsidRPr="00DB1BCE">
        <w:rPr>
          <w:rFonts w:cs="Times New Roman"/>
          <w:i/>
          <w:iCs/>
          <w:noProof/>
          <w:lang w:val="en-US"/>
        </w:rPr>
        <w:t>AAPS J</w:t>
      </w:r>
      <w:r w:rsidRPr="00DB1BCE">
        <w:rPr>
          <w:rFonts w:cs="Times New Roman"/>
          <w:noProof/>
          <w:lang w:val="en-US"/>
        </w:rPr>
        <w:t xml:space="preserve">, 2014, </w:t>
      </w:r>
      <w:r w:rsidRPr="00DB1BCE">
        <w:rPr>
          <w:rFonts w:cs="Times New Roman"/>
          <w:b/>
          <w:bCs/>
          <w:noProof/>
          <w:lang w:val="en-US"/>
        </w:rPr>
        <w:t>16</w:t>
      </w:r>
      <w:r w:rsidRPr="00DB1BCE">
        <w:rPr>
          <w:rFonts w:cs="Times New Roman"/>
          <w:noProof/>
          <w:lang w:val="en-US"/>
        </w:rPr>
        <w:t>, 12–14.</w:t>
      </w:r>
    </w:p>
    <w:p w14:paraId="12F0F18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208</w:t>
      </w:r>
      <w:r w:rsidRPr="00DB1BCE">
        <w:rPr>
          <w:rFonts w:cs="Times New Roman"/>
          <w:noProof/>
          <w:lang w:val="en-US"/>
        </w:rPr>
        <w:tab/>
        <w:t xml:space="preserve">J. O’Brien, I. Wilson, T. Orton and F. Pognan, </w:t>
      </w:r>
      <w:r w:rsidRPr="00DB1BCE">
        <w:rPr>
          <w:rFonts w:cs="Times New Roman"/>
          <w:i/>
          <w:iCs/>
          <w:noProof/>
          <w:lang w:val="en-US"/>
        </w:rPr>
        <w:t>Eur. J. Biochem.</w:t>
      </w:r>
      <w:r w:rsidRPr="00DB1BCE">
        <w:rPr>
          <w:rFonts w:cs="Times New Roman"/>
          <w:noProof/>
          <w:lang w:val="en-US"/>
        </w:rPr>
        <w:t xml:space="preserve">, 2000, </w:t>
      </w:r>
      <w:r w:rsidRPr="00DB1BCE">
        <w:rPr>
          <w:rFonts w:cs="Times New Roman"/>
          <w:b/>
          <w:bCs/>
          <w:noProof/>
          <w:lang w:val="en-US"/>
        </w:rPr>
        <w:t>267</w:t>
      </w:r>
      <w:r w:rsidRPr="00DB1BCE">
        <w:rPr>
          <w:rFonts w:cs="Times New Roman"/>
          <w:noProof/>
          <w:lang w:val="en-US"/>
        </w:rPr>
        <w:t>, 5421–5426.</w:t>
      </w:r>
    </w:p>
    <w:p w14:paraId="406F68A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209</w:t>
      </w:r>
      <w:r w:rsidRPr="00DB1BCE">
        <w:rPr>
          <w:rFonts w:cs="Times New Roman"/>
          <w:noProof/>
          <w:lang w:val="en-US"/>
        </w:rPr>
        <w:tab/>
        <w:t xml:space="preserve">K. C. D. S. Gasque, L. P. Al-Ahj, R. C. Oliveira and A. C. Magalhães, </w:t>
      </w:r>
      <w:r w:rsidRPr="00DB1BCE">
        <w:rPr>
          <w:rFonts w:cs="Times New Roman"/>
          <w:i/>
          <w:iCs/>
          <w:noProof/>
          <w:lang w:val="en-US"/>
        </w:rPr>
        <w:t>Brazilian Arch. Biol. Technol.</w:t>
      </w:r>
      <w:r w:rsidRPr="00DB1BCE">
        <w:rPr>
          <w:rFonts w:cs="Times New Roman"/>
          <w:noProof/>
          <w:lang w:val="en-US"/>
        </w:rPr>
        <w:t xml:space="preserve">, 2014, </w:t>
      </w:r>
      <w:r w:rsidRPr="00DB1BCE">
        <w:rPr>
          <w:rFonts w:cs="Times New Roman"/>
          <w:b/>
          <w:bCs/>
          <w:noProof/>
          <w:lang w:val="en-US"/>
        </w:rPr>
        <w:t>57</w:t>
      </w:r>
      <w:r w:rsidRPr="00DB1BCE">
        <w:rPr>
          <w:rFonts w:cs="Times New Roman"/>
          <w:noProof/>
          <w:lang w:val="en-US"/>
        </w:rPr>
        <w:t>, 381–385.</w:t>
      </w:r>
    </w:p>
    <w:p w14:paraId="0D0F35AD"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210</w:t>
      </w:r>
      <w:r w:rsidRPr="00DB1BCE">
        <w:rPr>
          <w:rFonts w:cs="Times New Roman"/>
          <w:noProof/>
          <w:lang w:val="en-US"/>
        </w:rPr>
        <w:tab/>
        <w:t xml:space="preserve">J. C. Stockert, A. Blázquez-Castro, M. Cañete, R. W. Horobin and Á. Villanueva, </w:t>
      </w:r>
      <w:r w:rsidRPr="00DB1BCE">
        <w:rPr>
          <w:rFonts w:cs="Times New Roman"/>
          <w:i/>
          <w:iCs/>
          <w:noProof/>
          <w:lang w:val="en-US"/>
        </w:rPr>
        <w:t>Acta Histochem.</w:t>
      </w:r>
      <w:r w:rsidRPr="00DB1BCE">
        <w:rPr>
          <w:rFonts w:cs="Times New Roman"/>
          <w:noProof/>
          <w:lang w:val="en-US"/>
        </w:rPr>
        <w:t xml:space="preserve">, 2012, </w:t>
      </w:r>
      <w:r w:rsidRPr="00DB1BCE">
        <w:rPr>
          <w:rFonts w:cs="Times New Roman"/>
          <w:b/>
          <w:bCs/>
          <w:noProof/>
          <w:lang w:val="en-US"/>
        </w:rPr>
        <w:t>114</w:t>
      </w:r>
      <w:r w:rsidRPr="00DB1BCE">
        <w:rPr>
          <w:rFonts w:cs="Times New Roman"/>
          <w:noProof/>
          <w:lang w:val="en-US"/>
        </w:rPr>
        <w:t>, 785–796.</w:t>
      </w:r>
    </w:p>
    <w:p w14:paraId="1B8AE14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211</w:t>
      </w:r>
      <w:r w:rsidRPr="00DB1BCE">
        <w:rPr>
          <w:rFonts w:cs="Times New Roman"/>
          <w:noProof/>
          <w:lang w:val="en-US"/>
        </w:rPr>
        <w:tab/>
        <w:t xml:space="preserve">O. V. Leontieva, Z. N. Demidenko and M. V. Blagosklonny, </w:t>
      </w:r>
      <w:r w:rsidRPr="00DB1BCE">
        <w:rPr>
          <w:rFonts w:cs="Times New Roman"/>
          <w:i/>
          <w:iCs/>
          <w:noProof/>
          <w:lang w:val="en-US"/>
        </w:rPr>
        <w:t>Proc. Natl. Acad. Sci.</w:t>
      </w:r>
      <w:r w:rsidRPr="00DB1BCE">
        <w:rPr>
          <w:rFonts w:cs="Times New Roman"/>
          <w:noProof/>
          <w:lang w:val="en-US"/>
        </w:rPr>
        <w:t xml:space="preserve">, 2014, </w:t>
      </w:r>
      <w:r w:rsidRPr="00DB1BCE">
        <w:rPr>
          <w:rFonts w:cs="Times New Roman"/>
          <w:b/>
          <w:bCs/>
          <w:noProof/>
          <w:lang w:val="en-US"/>
        </w:rPr>
        <w:t>111</w:t>
      </w:r>
      <w:r w:rsidRPr="00DB1BCE">
        <w:rPr>
          <w:rFonts w:cs="Times New Roman"/>
          <w:noProof/>
          <w:lang w:val="en-US"/>
        </w:rPr>
        <w:t>, 8832–8837.</w:t>
      </w:r>
    </w:p>
    <w:p w14:paraId="39F01EF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212</w:t>
      </w:r>
      <w:r w:rsidRPr="00DB1BCE">
        <w:rPr>
          <w:rFonts w:cs="Times New Roman"/>
          <w:noProof/>
          <w:lang w:val="en-US"/>
        </w:rPr>
        <w:tab/>
        <w:t xml:space="preserve">S. K. Mahto, P. Chandra and S. W. Rhee, </w:t>
      </w:r>
      <w:r w:rsidRPr="00DB1BCE">
        <w:rPr>
          <w:rFonts w:cs="Times New Roman"/>
          <w:i/>
          <w:iCs/>
          <w:noProof/>
          <w:lang w:val="en-US"/>
        </w:rPr>
        <w:t>Toxicol. Environ. Health Sci.</w:t>
      </w:r>
      <w:r w:rsidRPr="00DB1BCE">
        <w:rPr>
          <w:rFonts w:cs="Times New Roman"/>
          <w:noProof/>
          <w:lang w:val="en-US"/>
        </w:rPr>
        <w:t xml:space="preserve">, 2010, </w:t>
      </w:r>
      <w:r w:rsidRPr="00DB1BCE">
        <w:rPr>
          <w:rFonts w:cs="Times New Roman"/>
          <w:b/>
          <w:bCs/>
          <w:noProof/>
          <w:lang w:val="en-US"/>
        </w:rPr>
        <w:t>2</w:t>
      </w:r>
      <w:r w:rsidRPr="00DB1BCE">
        <w:rPr>
          <w:rFonts w:cs="Times New Roman"/>
          <w:noProof/>
          <w:lang w:val="en-US"/>
        </w:rPr>
        <w:t>, 87–93.</w:t>
      </w:r>
    </w:p>
    <w:p w14:paraId="4BE0542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213</w:t>
      </w:r>
      <w:r w:rsidRPr="00DB1BCE">
        <w:rPr>
          <w:rFonts w:cs="Times New Roman"/>
          <w:noProof/>
          <w:lang w:val="en-US"/>
        </w:rPr>
        <w:tab/>
        <w:t xml:space="preserve">G. Fotakis and J. A. Timbrell, </w:t>
      </w:r>
      <w:r w:rsidRPr="00DB1BCE">
        <w:rPr>
          <w:rFonts w:cs="Times New Roman"/>
          <w:i/>
          <w:iCs/>
          <w:noProof/>
          <w:lang w:val="en-US"/>
        </w:rPr>
        <w:t>Toxicol. Lett.</w:t>
      </w:r>
      <w:r w:rsidRPr="00DB1BCE">
        <w:rPr>
          <w:rFonts w:cs="Times New Roman"/>
          <w:noProof/>
          <w:lang w:val="en-US"/>
        </w:rPr>
        <w:t xml:space="preserve">, 2006, </w:t>
      </w:r>
      <w:r w:rsidRPr="00DB1BCE">
        <w:rPr>
          <w:rFonts w:cs="Times New Roman"/>
          <w:b/>
          <w:bCs/>
          <w:noProof/>
          <w:lang w:val="en-US"/>
        </w:rPr>
        <w:t>160</w:t>
      </w:r>
      <w:r w:rsidRPr="00DB1BCE">
        <w:rPr>
          <w:rFonts w:cs="Times New Roman"/>
          <w:noProof/>
          <w:lang w:val="en-US"/>
        </w:rPr>
        <w:t>, 171–177.</w:t>
      </w:r>
    </w:p>
    <w:p w14:paraId="78092A0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214</w:t>
      </w:r>
      <w:r w:rsidRPr="00DB1BCE">
        <w:rPr>
          <w:rFonts w:cs="Times New Roman"/>
          <w:noProof/>
          <w:lang w:val="en-US"/>
        </w:rPr>
        <w:tab/>
        <w:t xml:space="preserve">X. Liu, B. Testa and A. Fahr, </w:t>
      </w:r>
      <w:r w:rsidRPr="00DB1BCE">
        <w:rPr>
          <w:rFonts w:cs="Times New Roman"/>
          <w:i/>
          <w:iCs/>
          <w:noProof/>
          <w:lang w:val="en-US"/>
        </w:rPr>
        <w:t>Pharm. Res.</w:t>
      </w:r>
      <w:r w:rsidRPr="00DB1BCE">
        <w:rPr>
          <w:rFonts w:cs="Times New Roman"/>
          <w:noProof/>
          <w:lang w:val="en-US"/>
        </w:rPr>
        <w:t xml:space="preserve">, 2011, </w:t>
      </w:r>
      <w:r w:rsidRPr="00DB1BCE">
        <w:rPr>
          <w:rFonts w:cs="Times New Roman"/>
          <w:b/>
          <w:bCs/>
          <w:noProof/>
          <w:lang w:val="en-US"/>
        </w:rPr>
        <w:t>28</w:t>
      </w:r>
      <w:r w:rsidRPr="00DB1BCE">
        <w:rPr>
          <w:rFonts w:cs="Times New Roman"/>
          <w:noProof/>
          <w:lang w:val="en-US"/>
        </w:rPr>
        <w:t>, 962–977.</w:t>
      </w:r>
    </w:p>
    <w:p w14:paraId="129DD11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215</w:t>
      </w:r>
      <w:r w:rsidRPr="00DB1BCE">
        <w:rPr>
          <w:rFonts w:cs="Times New Roman"/>
          <w:noProof/>
          <w:lang w:val="en-US"/>
        </w:rPr>
        <w:tab/>
        <w:t xml:space="preserve">S. Breslin and L. O’Driscoll, </w:t>
      </w:r>
      <w:r w:rsidRPr="00DB1BCE">
        <w:rPr>
          <w:rFonts w:cs="Times New Roman"/>
          <w:i/>
          <w:iCs/>
          <w:noProof/>
          <w:lang w:val="en-US"/>
        </w:rPr>
        <w:t>Oncotarget</w:t>
      </w:r>
      <w:r w:rsidRPr="00DB1BCE">
        <w:rPr>
          <w:rFonts w:cs="Times New Roman"/>
          <w:noProof/>
          <w:lang w:val="en-US"/>
        </w:rPr>
        <w:t xml:space="preserve">, 2016, </w:t>
      </w:r>
      <w:r w:rsidRPr="00DB1BCE">
        <w:rPr>
          <w:rFonts w:cs="Times New Roman"/>
          <w:b/>
          <w:bCs/>
          <w:noProof/>
          <w:lang w:val="en-US"/>
        </w:rPr>
        <w:t>7</w:t>
      </w:r>
      <w:r w:rsidRPr="00DB1BCE">
        <w:rPr>
          <w:rFonts w:cs="Times New Roman"/>
          <w:noProof/>
          <w:lang w:val="en-US"/>
        </w:rPr>
        <w:t>, 45745–45756.</w:t>
      </w:r>
    </w:p>
    <w:p w14:paraId="4B6B401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216</w:t>
      </w:r>
      <w:r w:rsidRPr="00DB1BCE">
        <w:rPr>
          <w:rFonts w:cs="Times New Roman"/>
          <w:noProof/>
          <w:lang w:val="en-US"/>
        </w:rPr>
        <w:tab/>
        <w:t xml:space="preserve">L. J. Yu, Y. Chen, J. L. Treadway, R. K. Mcpherson, S. C. Mccoid, E. M. Gibbs and D. J. Hoover, </w:t>
      </w:r>
      <w:r w:rsidRPr="00DB1BCE">
        <w:rPr>
          <w:rFonts w:cs="Times New Roman"/>
          <w:i/>
          <w:iCs/>
          <w:noProof/>
          <w:lang w:val="en-US"/>
        </w:rPr>
        <w:t>J. Pharmacol. Exp. Ther.</w:t>
      </w:r>
      <w:r w:rsidRPr="00DB1BCE">
        <w:rPr>
          <w:rFonts w:cs="Times New Roman"/>
          <w:noProof/>
          <w:lang w:val="en-US"/>
        </w:rPr>
        <w:t xml:space="preserve">, 2006, </w:t>
      </w:r>
      <w:r w:rsidRPr="00DB1BCE">
        <w:rPr>
          <w:rFonts w:cs="Times New Roman"/>
          <w:b/>
          <w:bCs/>
          <w:noProof/>
          <w:lang w:val="en-US"/>
        </w:rPr>
        <w:t>317</w:t>
      </w:r>
      <w:r w:rsidRPr="00DB1BCE">
        <w:rPr>
          <w:rFonts w:cs="Times New Roman"/>
          <w:noProof/>
          <w:lang w:val="en-US"/>
        </w:rPr>
        <w:t>, 1230–1237.</w:t>
      </w:r>
    </w:p>
    <w:p w14:paraId="6C8678E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217</w:t>
      </w:r>
      <w:r w:rsidRPr="00DB1BCE">
        <w:rPr>
          <w:rFonts w:cs="Times New Roman"/>
          <w:noProof/>
          <w:lang w:val="en-US"/>
        </w:rPr>
        <w:tab/>
        <w:t xml:space="preserve">S. C. McKarns, C. Hansch, W. S. Caldwell, W. T. Morgan, S. K. Moore and D. J. Doolittle, </w:t>
      </w:r>
      <w:r w:rsidRPr="00DB1BCE">
        <w:rPr>
          <w:rFonts w:cs="Times New Roman"/>
          <w:i/>
          <w:iCs/>
          <w:noProof/>
          <w:lang w:val="en-US"/>
        </w:rPr>
        <w:t>Fundam. Appl. Toxicol.</w:t>
      </w:r>
      <w:r w:rsidRPr="00DB1BCE">
        <w:rPr>
          <w:rFonts w:cs="Times New Roman"/>
          <w:noProof/>
          <w:lang w:val="en-US"/>
        </w:rPr>
        <w:t xml:space="preserve">, 1997, </w:t>
      </w:r>
      <w:r w:rsidRPr="00DB1BCE">
        <w:rPr>
          <w:rFonts w:cs="Times New Roman"/>
          <w:b/>
          <w:bCs/>
          <w:noProof/>
          <w:lang w:val="en-US"/>
        </w:rPr>
        <w:t>36</w:t>
      </w:r>
      <w:r w:rsidRPr="00DB1BCE">
        <w:rPr>
          <w:rFonts w:cs="Times New Roman"/>
          <w:noProof/>
          <w:lang w:val="en-US"/>
        </w:rPr>
        <w:t>, 62–70.</w:t>
      </w:r>
    </w:p>
    <w:p w14:paraId="7DDA6D1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218</w:t>
      </w:r>
      <w:r w:rsidRPr="00DB1BCE">
        <w:rPr>
          <w:rFonts w:cs="Times New Roman"/>
          <w:noProof/>
          <w:lang w:val="en-US"/>
        </w:rPr>
        <w:tab/>
        <w:t xml:space="preserve">R. Edmondson, J. J. Broglie, A. F. Adcock and L. Yang, </w:t>
      </w:r>
      <w:r w:rsidRPr="00DB1BCE">
        <w:rPr>
          <w:rFonts w:cs="Times New Roman"/>
          <w:i/>
          <w:iCs/>
          <w:noProof/>
          <w:lang w:val="en-US"/>
        </w:rPr>
        <w:t>Assay Drug Dev. Technol.</w:t>
      </w:r>
      <w:r w:rsidRPr="00DB1BCE">
        <w:rPr>
          <w:rFonts w:cs="Times New Roman"/>
          <w:noProof/>
          <w:lang w:val="en-US"/>
        </w:rPr>
        <w:t xml:space="preserve">, 2014, </w:t>
      </w:r>
      <w:r w:rsidRPr="00DB1BCE">
        <w:rPr>
          <w:rFonts w:cs="Times New Roman"/>
          <w:b/>
          <w:bCs/>
          <w:noProof/>
          <w:lang w:val="en-US"/>
        </w:rPr>
        <w:t>12</w:t>
      </w:r>
      <w:r w:rsidRPr="00DB1BCE">
        <w:rPr>
          <w:rFonts w:cs="Times New Roman"/>
          <w:noProof/>
          <w:lang w:val="en-US"/>
        </w:rPr>
        <w:t>, 207–218.</w:t>
      </w:r>
    </w:p>
    <w:p w14:paraId="3F973C4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219</w:t>
      </w:r>
      <w:r w:rsidRPr="00DB1BCE">
        <w:rPr>
          <w:rFonts w:cs="Times New Roman"/>
          <w:noProof/>
          <w:lang w:val="en-US"/>
        </w:rPr>
        <w:tab/>
        <w:t xml:space="preserve">D. Loessner, K. S. Stok, M. P. Lutolf, D. W. Hutmacher, J. A. Clements and S. C. Rizzi, </w:t>
      </w:r>
      <w:r w:rsidRPr="00DB1BCE">
        <w:rPr>
          <w:rFonts w:cs="Times New Roman"/>
          <w:i/>
          <w:iCs/>
          <w:noProof/>
          <w:lang w:val="en-US"/>
        </w:rPr>
        <w:t>Biomaterials</w:t>
      </w:r>
      <w:r w:rsidRPr="00DB1BCE">
        <w:rPr>
          <w:rFonts w:cs="Times New Roman"/>
          <w:noProof/>
          <w:lang w:val="en-US"/>
        </w:rPr>
        <w:t xml:space="preserve">, 2010, </w:t>
      </w:r>
      <w:r w:rsidRPr="00DB1BCE">
        <w:rPr>
          <w:rFonts w:cs="Times New Roman"/>
          <w:b/>
          <w:bCs/>
          <w:noProof/>
          <w:lang w:val="en-US"/>
        </w:rPr>
        <w:t>31</w:t>
      </w:r>
      <w:r w:rsidRPr="00DB1BCE">
        <w:rPr>
          <w:rFonts w:cs="Times New Roman"/>
          <w:noProof/>
          <w:lang w:val="en-US"/>
        </w:rPr>
        <w:t>, 8494–8506.</w:t>
      </w:r>
    </w:p>
    <w:p w14:paraId="27F1646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220</w:t>
      </w:r>
      <w:r w:rsidRPr="00DB1BCE">
        <w:rPr>
          <w:rFonts w:cs="Times New Roman"/>
          <w:noProof/>
          <w:lang w:val="en-US"/>
        </w:rPr>
        <w:tab/>
        <w:t xml:space="preserve">H. Karlsson, M. Fryknäs, R. Larsson and P. Nygren, </w:t>
      </w:r>
      <w:r w:rsidRPr="00DB1BCE">
        <w:rPr>
          <w:rFonts w:cs="Times New Roman"/>
          <w:i/>
          <w:iCs/>
          <w:noProof/>
          <w:lang w:val="en-US"/>
        </w:rPr>
        <w:t>Exp. Cell Res.</w:t>
      </w:r>
      <w:r w:rsidRPr="00DB1BCE">
        <w:rPr>
          <w:rFonts w:cs="Times New Roman"/>
          <w:noProof/>
          <w:lang w:val="en-US"/>
        </w:rPr>
        <w:t xml:space="preserve">, 2012, </w:t>
      </w:r>
      <w:r w:rsidRPr="00DB1BCE">
        <w:rPr>
          <w:rFonts w:cs="Times New Roman"/>
          <w:b/>
          <w:bCs/>
          <w:noProof/>
          <w:lang w:val="en-US"/>
        </w:rPr>
        <w:t>318</w:t>
      </w:r>
      <w:r w:rsidRPr="00DB1BCE">
        <w:rPr>
          <w:rFonts w:cs="Times New Roman"/>
          <w:noProof/>
          <w:lang w:val="en-US"/>
        </w:rPr>
        <w:t>, 1577–1585.</w:t>
      </w:r>
    </w:p>
    <w:p w14:paraId="72A5F57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221</w:t>
      </w:r>
      <w:r w:rsidRPr="00DB1BCE">
        <w:rPr>
          <w:rFonts w:cs="Times New Roman"/>
          <w:noProof/>
          <w:lang w:val="en-US"/>
        </w:rPr>
        <w:tab/>
        <w:t xml:space="preserve">Y. Ding, D. L. Kaplan, S. Lu and X. Wang, </w:t>
      </w:r>
      <w:r w:rsidRPr="00DB1BCE">
        <w:rPr>
          <w:rFonts w:cs="Times New Roman"/>
          <w:i/>
          <w:iCs/>
          <w:noProof/>
          <w:lang w:val="en-US"/>
        </w:rPr>
        <w:t>J Tissue Eng Regen Med</w:t>
      </w:r>
      <w:r w:rsidRPr="00DB1BCE">
        <w:rPr>
          <w:rFonts w:cs="Times New Roman"/>
          <w:noProof/>
          <w:lang w:val="en-US"/>
        </w:rPr>
        <w:t xml:space="preserve">, 2018, </w:t>
      </w:r>
      <w:r w:rsidRPr="00DB1BCE">
        <w:rPr>
          <w:rFonts w:cs="Times New Roman"/>
          <w:b/>
          <w:bCs/>
          <w:noProof/>
          <w:lang w:val="en-US"/>
        </w:rPr>
        <w:t>12</w:t>
      </w:r>
      <w:r w:rsidRPr="00DB1BCE">
        <w:rPr>
          <w:rFonts w:cs="Times New Roman"/>
          <w:noProof/>
          <w:lang w:val="en-US"/>
        </w:rPr>
        <w:t>, 1959–1971.</w:t>
      </w:r>
    </w:p>
    <w:p w14:paraId="63C6066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222</w:t>
      </w:r>
      <w:r w:rsidRPr="00DB1BCE">
        <w:rPr>
          <w:rFonts w:cs="Times New Roman"/>
          <w:noProof/>
          <w:lang w:val="en-US"/>
        </w:rPr>
        <w:tab/>
        <w:t xml:space="preserve">P. Longati, X. Jia, J. Eimer, A. Wagman, M. Witt, S. Rehnmark, C. Verbeke, R. Toftgård, M. Löhr and R. L. Heuchel, </w:t>
      </w:r>
      <w:r w:rsidRPr="00DB1BCE">
        <w:rPr>
          <w:rFonts w:cs="Times New Roman"/>
          <w:i/>
          <w:iCs/>
          <w:noProof/>
          <w:lang w:val="en-US"/>
        </w:rPr>
        <w:t>BMC Cancer</w:t>
      </w:r>
      <w:r w:rsidRPr="00DB1BCE">
        <w:rPr>
          <w:rFonts w:cs="Times New Roman"/>
          <w:noProof/>
          <w:lang w:val="en-US"/>
        </w:rPr>
        <w:t xml:space="preserve">, 2013, </w:t>
      </w:r>
      <w:r w:rsidRPr="00DB1BCE">
        <w:rPr>
          <w:rFonts w:cs="Times New Roman"/>
          <w:b/>
          <w:bCs/>
          <w:noProof/>
          <w:lang w:val="en-US"/>
        </w:rPr>
        <w:t>13</w:t>
      </w:r>
      <w:r w:rsidRPr="00DB1BCE">
        <w:rPr>
          <w:rFonts w:cs="Times New Roman"/>
          <w:noProof/>
          <w:lang w:val="en-US"/>
        </w:rPr>
        <w:t>, 1–13.</w:t>
      </w:r>
    </w:p>
    <w:p w14:paraId="3EF1991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223</w:t>
      </w:r>
      <w:r w:rsidRPr="00DB1BCE">
        <w:rPr>
          <w:rFonts w:cs="Times New Roman"/>
          <w:noProof/>
          <w:lang w:val="en-US"/>
        </w:rPr>
        <w:tab/>
        <w:t xml:space="preserve">C. J. Lovitt, T. B. Shelper and V. M. Avery, </w:t>
      </w:r>
      <w:r w:rsidRPr="00DB1BCE">
        <w:rPr>
          <w:rFonts w:cs="Times New Roman"/>
          <w:i/>
          <w:iCs/>
          <w:noProof/>
          <w:lang w:val="en-US"/>
        </w:rPr>
        <w:t>BMC Cancer</w:t>
      </w:r>
      <w:r w:rsidRPr="00DB1BCE">
        <w:rPr>
          <w:rFonts w:cs="Times New Roman"/>
          <w:noProof/>
          <w:lang w:val="en-US"/>
        </w:rPr>
        <w:t xml:space="preserve">, 2018, </w:t>
      </w:r>
      <w:r w:rsidRPr="00DB1BCE">
        <w:rPr>
          <w:rFonts w:cs="Times New Roman"/>
          <w:b/>
          <w:bCs/>
          <w:noProof/>
          <w:lang w:val="en-US"/>
        </w:rPr>
        <w:t>18</w:t>
      </w:r>
      <w:r w:rsidRPr="00DB1BCE">
        <w:rPr>
          <w:rFonts w:cs="Times New Roman"/>
          <w:noProof/>
          <w:lang w:val="en-US"/>
        </w:rPr>
        <w:t>, 1–11.</w:t>
      </w:r>
    </w:p>
    <w:p w14:paraId="558A7C6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224</w:t>
      </w:r>
      <w:r w:rsidRPr="00DB1BCE">
        <w:rPr>
          <w:rFonts w:cs="Times New Roman"/>
          <w:noProof/>
          <w:lang w:val="en-US"/>
        </w:rPr>
        <w:tab/>
        <w:t xml:space="preserve">T. Sun, S. Jackson, J. W. Haycock and S. MacNeil, </w:t>
      </w:r>
      <w:r w:rsidRPr="00DB1BCE">
        <w:rPr>
          <w:rFonts w:cs="Times New Roman"/>
          <w:i/>
          <w:iCs/>
          <w:noProof/>
          <w:lang w:val="en-US"/>
        </w:rPr>
        <w:t>J. Biotechnol.</w:t>
      </w:r>
      <w:r w:rsidRPr="00DB1BCE">
        <w:rPr>
          <w:rFonts w:cs="Times New Roman"/>
          <w:noProof/>
          <w:lang w:val="en-US"/>
        </w:rPr>
        <w:t xml:space="preserve">, 2006, </w:t>
      </w:r>
      <w:r w:rsidRPr="00DB1BCE">
        <w:rPr>
          <w:rFonts w:cs="Times New Roman"/>
          <w:b/>
          <w:bCs/>
          <w:noProof/>
          <w:lang w:val="en-US"/>
        </w:rPr>
        <w:t>122</w:t>
      </w:r>
      <w:r w:rsidRPr="00DB1BCE">
        <w:rPr>
          <w:rFonts w:cs="Times New Roman"/>
          <w:noProof/>
          <w:lang w:val="en-US"/>
        </w:rPr>
        <w:t>, 372–381.</w:t>
      </w:r>
    </w:p>
    <w:p w14:paraId="3CD3DAC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225</w:t>
      </w:r>
      <w:r w:rsidRPr="00DB1BCE">
        <w:rPr>
          <w:rFonts w:cs="Times New Roman"/>
          <w:noProof/>
          <w:lang w:val="en-US"/>
        </w:rPr>
        <w:tab/>
        <w:t xml:space="preserve">R. Clarke, </w:t>
      </w:r>
      <w:r w:rsidRPr="00DB1BCE">
        <w:rPr>
          <w:rFonts w:cs="Times New Roman"/>
          <w:i/>
          <w:iCs/>
          <w:noProof/>
          <w:lang w:val="en-US"/>
        </w:rPr>
        <w:t>Breast Cancer Res.</w:t>
      </w:r>
      <w:r w:rsidRPr="00DB1BCE">
        <w:rPr>
          <w:rFonts w:cs="Times New Roman"/>
          <w:noProof/>
          <w:lang w:val="en-US"/>
        </w:rPr>
        <w:t xml:space="preserve">, 2009, </w:t>
      </w:r>
      <w:r w:rsidRPr="00DB1BCE">
        <w:rPr>
          <w:rFonts w:cs="Times New Roman"/>
          <w:b/>
          <w:bCs/>
          <w:noProof/>
          <w:lang w:val="en-US"/>
        </w:rPr>
        <w:t>11</w:t>
      </w:r>
      <w:r w:rsidRPr="00DB1BCE">
        <w:rPr>
          <w:rFonts w:cs="Times New Roman"/>
          <w:noProof/>
          <w:lang w:val="en-US"/>
        </w:rPr>
        <w:t>, 11–13.</w:t>
      </w:r>
    </w:p>
    <w:p w14:paraId="267CF03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226</w:t>
      </w:r>
      <w:r w:rsidRPr="00DB1BCE">
        <w:rPr>
          <w:rFonts w:cs="Times New Roman"/>
          <w:noProof/>
          <w:lang w:val="en-US"/>
        </w:rPr>
        <w:tab/>
        <w:t xml:space="preserve">M. M. Ibrahim, J. Bond, A. Bergeron, K. J. Miller, T. Ehanire, C. Quiles, E. R. Lorden, M. A. Medina, M. Fisher, B. Klitzman, M. A. Selim, K. W. Leong and H. Levinson, </w:t>
      </w:r>
      <w:r w:rsidRPr="00DB1BCE">
        <w:rPr>
          <w:rFonts w:cs="Times New Roman"/>
          <w:i/>
          <w:iCs/>
          <w:noProof/>
          <w:lang w:val="en-US"/>
        </w:rPr>
        <w:t>Wound Repair Regen.</w:t>
      </w:r>
      <w:r w:rsidRPr="00DB1BCE">
        <w:rPr>
          <w:rFonts w:cs="Times New Roman"/>
          <w:noProof/>
          <w:lang w:val="en-US"/>
        </w:rPr>
        <w:t xml:space="preserve">, 2014, </w:t>
      </w:r>
      <w:r w:rsidRPr="00DB1BCE">
        <w:rPr>
          <w:rFonts w:cs="Times New Roman"/>
          <w:b/>
          <w:bCs/>
          <w:noProof/>
          <w:lang w:val="en-US"/>
        </w:rPr>
        <w:t>22</w:t>
      </w:r>
      <w:r w:rsidRPr="00DB1BCE">
        <w:rPr>
          <w:rFonts w:cs="Times New Roman"/>
          <w:noProof/>
          <w:lang w:val="en-US"/>
        </w:rPr>
        <w:t>, 755–764.</w:t>
      </w:r>
    </w:p>
    <w:p w14:paraId="221750D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227</w:t>
      </w:r>
      <w:r w:rsidRPr="00DB1BCE">
        <w:rPr>
          <w:rFonts w:cs="Times New Roman"/>
          <w:noProof/>
          <w:lang w:val="en-US"/>
        </w:rPr>
        <w:tab/>
        <w:t xml:space="preserve">N. Naldaiz-Gastesi, M. Goicoechea, S. Alonso-Martín, A. Aiastui, M. López-Mayorga, P. García-Belda, J. Lacalle, C. San José, M. J. Araúzo-Bravo, L. Trouilh, V. Anton-Leberre, D. Herrero, A. Matheu, A. Bernad, J. M. García-Verdugo, J. J. Carvajal, F. Relaix, A. Lopez de Munain, P. García-Parra and A. Izeta, </w:t>
      </w:r>
      <w:r w:rsidRPr="00DB1BCE">
        <w:rPr>
          <w:rFonts w:cs="Times New Roman"/>
          <w:i/>
          <w:iCs/>
          <w:noProof/>
          <w:lang w:val="en-US"/>
        </w:rPr>
        <w:t>Stem Cell Reports</w:t>
      </w:r>
      <w:r w:rsidRPr="00DB1BCE">
        <w:rPr>
          <w:rFonts w:cs="Times New Roman"/>
          <w:noProof/>
          <w:lang w:val="en-US"/>
        </w:rPr>
        <w:t xml:space="preserve">, 2016, </w:t>
      </w:r>
      <w:r w:rsidRPr="00DB1BCE">
        <w:rPr>
          <w:rFonts w:cs="Times New Roman"/>
          <w:b/>
          <w:bCs/>
          <w:noProof/>
          <w:lang w:val="en-US"/>
        </w:rPr>
        <w:t>7</w:t>
      </w:r>
      <w:r w:rsidRPr="00DB1BCE">
        <w:rPr>
          <w:rFonts w:cs="Times New Roman"/>
          <w:noProof/>
          <w:lang w:val="en-US"/>
        </w:rPr>
        <w:t>, 411–424.</w:t>
      </w:r>
    </w:p>
    <w:p w14:paraId="7385BF37"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228</w:t>
      </w:r>
      <w:r w:rsidRPr="00DB1BCE">
        <w:rPr>
          <w:rFonts w:cs="Times New Roman"/>
          <w:noProof/>
          <w:lang w:val="en-US"/>
        </w:rPr>
        <w:tab/>
        <w:t xml:space="preserve">N. Naldaiz-Gastesi, O. A. Bahri, A. López de Munain, K. J. A. McCullagh and A. Izeta, </w:t>
      </w:r>
      <w:r w:rsidRPr="00DB1BCE">
        <w:rPr>
          <w:rFonts w:cs="Times New Roman"/>
          <w:i/>
          <w:iCs/>
          <w:noProof/>
          <w:lang w:val="en-US"/>
        </w:rPr>
        <w:t>J. Anat.</w:t>
      </w:r>
      <w:r w:rsidRPr="00DB1BCE">
        <w:rPr>
          <w:rFonts w:cs="Times New Roman"/>
          <w:noProof/>
          <w:lang w:val="en-US"/>
        </w:rPr>
        <w:t xml:space="preserve">, 2018, </w:t>
      </w:r>
      <w:r w:rsidRPr="00DB1BCE">
        <w:rPr>
          <w:rFonts w:cs="Times New Roman"/>
          <w:b/>
          <w:bCs/>
          <w:noProof/>
          <w:lang w:val="en-US"/>
        </w:rPr>
        <w:t>233</w:t>
      </w:r>
      <w:r w:rsidRPr="00DB1BCE">
        <w:rPr>
          <w:rFonts w:cs="Times New Roman"/>
          <w:noProof/>
          <w:lang w:val="en-US"/>
        </w:rPr>
        <w:t>, 275–288.</w:t>
      </w:r>
    </w:p>
    <w:p w14:paraId="6D05A32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229</w:t>
      </w:r>
      <w:r w:rsidRPr="00DB1BCE">
        <w:rPr>
          <w:rFonts w:cs="Times New Roman"/>
          <w:noProof/>
          <w:lang w:val="en-US"/>
        </w:rPr>
        <w:tab/>
        <w:t xml:space="preserve">C. Flynn and B. A. O. McCormack, </w:t>
      </w:r>
      <w:r w:rsidRPr="00DB1BCE">
        <w:rPr>
          <w:rFonts w:cs="Times New Roman"/>
          <w:i/>
          <w:iCs/>
          <w:noProof/>
          <w:lang w:val="en-US"/>
        </w:rPr>
        <w:t>J. Biomech.</w:t>
      </w:r>
      <w:r w:rsidRPr="00DB1BCE">
        <w:rPr>
          <w:rFonts w:cs="Times New Roman"/>
          <w:noProof/>
          <w:lang w:val="en-US"/>
        </w:rPr>
        <w:t xml:space="preserve">, 2008, </w:t>
      </w:r>
      <w:r w:rsidRPr="00DB1BCE">
        <w:rPr>
          <w:rFonts w:cs="Times New Roman"/>
          <w:b/>
          <w:bCs/>
          <w:noProof/>
          <w:lang w:val="en-US"/>
        </w:rPr>
        <w:t>41</w:t>
      </w:r>
      <w:r w:rsidRPr="00DB1BCE">
        <w:rPr>
          <w:rFonts w:cs="Times New Roman"/>
          <w:noProof/>
          <w:lang w:val="en-US"/>
        </w:rPr>
        <w:t>, 1582–1589.</w:t>
      </w:r>
    </w:p>
    <w:p w14:paraId="0C50167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230</w:t>
      </w:r>
      <w:r w:rsidRPr="00DB1BCE">
        <w:rPr>
          <w:rFonts w:cs="Times New Roman"/>
          <w:noProof/>
          <w:lang w:val="en-US"/>
        </w:rPr>
        <w:tab/>
        <w:t xml:space="preserve">L. Yang, T. M. Witten and R. M. Pidaparti, </w:t>
      </w:r>
      <w:r w:rsidRPr="00DB1BCE">
        <w:rPr>
          <w:rFonts w:cs="Times New Roman"/>
          <w:i/>
          <w:iCs/>
          <w:noProof/>
          <w:lang w:val="en-US"/>
        </w:rPr>
        <w:t>J. Theor. Biol.</w:t>
      </w:r>
      <w:r w:rsidRPr="00DB1BCE">
        <w:rPr>
          <w:rFonts w:cs="Times New Roman"/>
          <w:noProof/>
          <w:lang w:val="en-US"/>
        </w:rPr>
        <w:t xml:space="preserve">, 2013, </w:t>
      </w:r>
      <w:r w:rsidRPr="00DB1BCE">
        <w:rPr>
          <w:rFonts w:cs="Times New Roman"/>
          <w:b/>
          <w:bCs/>
          <w:noProof/>
          <w:lang w:val="en-US"/>
        </w:rPr>
        <w:t>332</w:t>
      </w:r>
      <w:r w:rsidRPr="00DB1BCE">
        <w:rPr>
          <w:rFonts w:cs="Times New Roman"/>
          <w:noProof/>
          <w:lang w:val="en-US"/>
        </w:rPr>
        <w:t>, 228–248.</w:t>
      </w:r>
    </w:p>
    <w:p w14:paraId="777A6EE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231</w:t>
      </w:r>
      <w:r w:rsidRPr="00DB1BCE">
        <w:rPr>
          <w:rFonts w:cs="Times New Roman"/>
          <w:noProof/>
          <w:lang w:val="en-US"/>
        </w:rPr>
        <w:tab/>
        <w:t xml:space="preserve">W. M. Boon, D. C. Koppenol and F. J. Vermolen, </w:t>
      </w:r>
      <w:r w:rsidRPr="00DB1BCE">
        <w:rPr>
          <w:rFonts w:cs="Times New Roman"/>
          <w:i/>
          <w:iCs/>
          <w:noProof/>
          <w:lang w:val="en-US"/>
        </w:rPr>
        <w:t>J. Biomech.</w:t>
      </w:r>
      <w:r w:rsidRPr="00DB1BCE">
        <w:rPr>
          <w:rFonts w:cs="Times New Roman"/>
          <w:noProof/>
          <w:lang w:val="en-US"/>
        </w:rPr>
        <w:t xml:space="preserve">, 2016, </w:t>
      </w:r>
      <w:r w:rsidRPr="00DB1BCE">
        <w:rPr>
          <w:rFonts w:cs="Times New Roman"/>
          <w:b/>
          <w:bCs/>
          <w:noProof/>
          <w:lang w:val="en-US"/>
        </w:rPr>
        <w:t>49</w:t>
      </w:r>
      <w:r w:rsidRPr="00DB1BCE">
        <w:rPr>
          <w:rFonts w:cs="Times New Roman"/>
          <w:noProof/>
          <w:lang w:val="en-US"/>
        </w:rPr>
        <w:t>, 1388–1401.</w:t>
      </w:r>
    </w:p>
    <w:p w14:paraId="2EFC888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232</w:t>
      </w:r>
      <w:r w:rsidRPr="00DB1BCE">
        <w:rPr>
          <w:rFonts w:cs="Times New Roman"/>
          <w:noProof/>
          <w:lang w:val="en-US"/>
        </w:rPr>
        <w:tab/>
        <w:t xml:space="preserve">E. Bell, H. P. Ehrlich, D. J. Buttle and T. Nakatsuji, </w:t>
      </w:r>
      <w:r w:rsidRPr="00DB1BCE">
        <w:rPr>
          <w:rFonts w:cs="Times New Roman"/>
          <w:i/>
          <w:iCs/>
          <w:noProof/>
          <w:lang w:val="en-US"/>
        </w:rPr>
        <w:t>Science (80-. ).</w:t>
      </w:r>
      <w:r w:rsidRPr="00DB1BCE">
        <w:rPr>
          <w:rFonts w:cs="Times New Roman"/>
          <w:noProof/>
          <w:lang w:val="en-US"/>
        </w:rPr>
        <w:t xml:space="preserve">, 1981, </w:t>
      </w:r>
      <w:r w:rsidRPr="00DB1BCE">
        <w:rPr>
          <w:rFonts w:cs="Times New Roman"/>
          <w:b/>
          <w:bCs/>
          <w:noProof/>
          <w:lang w:val="en-US"/>
        </w:rPr>
        <w:t>211</w:t>
      </w:r>
      <w:r w:rsidRPr="00DB1BCE">
        <w:rPr>
          <w:rFonts w:cs="Times New Roman"/>
          <w:noProof/>
          <w:lang w:val="en-US"/>
        </w:rPr>
        <w:t>, 1052–1054.</w:t>
      </w:r>
    </w:p>
    <w:p w14:paraId="290F68C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233</w:t>
      </w:r>
      <w:r w:rsidRPr="00DB1BCE">
        <w:rPr>
          <w:rFonts w:cs="Times New Roman"/>
          <w:noProof/>
          <w:lang w:val="en-US"/>
        </w:rPr>
        <w:tab/>
        <w:t xml:space="preserve">S. Kondo, S. Kagami, M. Urushihara, A. Kitamura, M. Shimizu, F. Strutz, G. A. Müller and Y. Kuroda, </w:t>
      </w:r>
      <w:r w:rsidRPr="00DB1BCE">
        <w:rPr>
          <w:rFonts w:cs="Times New Roman"/>
          <w:i/>
          <w:iCs/>
          <w:noProof/>
          <w:lang w:val="en-US"/>
        </w:rPr>
        <w:t>Biochim. Biophys. Acta - Mol. Cell Res.</w:t>
      </w:r>
      <w:r w:rsidRPr="00DB1BCE">
        <w:rPr>
          <w:rFonts w:cs="Times New Roman"/>
          <w:noProof/>
          <w:lang w:val="en-US"/>
        </w:rPr>
        <w:t xml:space="preserve">, 2004, </w:t>
      </w:r>
      <w:r w:rsidRPr="00DB1BCE">
        <w:rPr>
          <w:rFonts w:cs="Times New Roman"/>
          <w:b/>
          <w:bCs/>
          <w:noProof/>
          <w:lang w:val="en-US"/>
        </w:rPr>
        <w:t>1693</w:t>
      </w:r>
      <w:r w:rsidRPr="00DB1BCE">
        <w:rPr>
          <w:rFonts w:cs="Times New Roman"/>
          <w:noProof/>
          <w:lang w:val="en-US"/>
        </w:rPr>
        <w:t>, 91–100.</w:t>
      </w:r>
    </w:p>
    <w:p w14:paraId="4F32A4A8"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234</w:t>
      </w:r>
      <w:r w:rsidRPr="00DB1BCE">
        <w:rPr>
          <w:rFonts w:cs="Times New Roman"/>
          <w:noProof/>
          <w:lang w:val="en-US"/>
        </w:rPr>
        <w:tab/>
        <w:t xml:space="preserve">A. Tingström, C. H. Heldin and K. Rubin, </w:t>
      </w:r>
      <w:r w:rsidRPr="00DB1BCE">
        <w:rPr>
          <w:rFonts w:cs="Times New Roman"/>
          <w:i/>
          <w:iCs/>
          <w:noProof/>
          <w:lang w:val="en-US"/>
        </w:rPr>
        <w:t>J. Cell Sci.</w:t>
      </w:r>
      <w:r w:rsidRPr="00DB1BCE">
        <w:rPr>
          <w:rFonts w:cs="Times New Roman"/>
          <w:noProof/>
          <w:lang w:val="en-US"/>
        </w:rPr>
        <w:t xml:space="preserve">, 2005, </w:t>
      </w:r>
      <w:r w:rsidRPr="00DB1BCE">
        <w:rPr>
          <w:rFonts w:cs="Times New Roman"/>
          <w:b/>
          <w:bCs/>
          <w:noProof/>
          <w:lang w:val="en-US"/>
        </w:rPr>
        <w:t>102 ( Pt 2</w:t>
      </w:r>
      <w:r w:rsidRPr="00DB1BCE">
        <w:rPr>
          <w:rFonts w:cs="Times New Roman"/>
          <w:noProof/>
          <w:lang w:val="en-US"/>
        </w:rPr>
        <w:t>, 315–322.</w:t>
      </w:r>
    </w:p>
    <w:p w14:paraId="64E3942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235</w:t>
      </w:r>
      <w:r w:rsidRPr="00DB1BCE">
        <w:rPr>
          <w:rFonts w:cs="Times New Roman"/>
          <w:noProof/>
          <w:lang w:val="en-US"/>
        </w:rPr>
        <w:tab/>
        <w:t xml:space="preserve">D. Shin and K. W. Minn, </w:t>
      </w:r>
      <w:r w:rsidRPr="00DB1BCE">
        <w:rPr>
          <w:rFonts w:cs="Times New Roman"/>
          <w:i/>
          <w:iCs/>
          <w:noProof/>
          <w:lang w:val="en-US"/>
        </w:rPr>
        <w:t>Plast. Reconstr. Surg.</w:t>
      </w:r>
      <w:r w:rsidRPr="00DB1BCE">
        <w:rPr>
          <w:rFonts w:cs="Times New Roman"/>
          <w:noProof/>
          <w:lang w:val="en-US"/>
        </w:rPr>
        <w:t xml:space="preserve">, 2004, </w:t>
      </w:r>
      <w:r w:rsidRPr="00DB1BCE">
        <w:rPr>
          <w:rFonts w:cs="Times New Roman"/>
          <w:b/>
          <w:bCs/>
          <w:noProof/>
          <w:lang w:val="en-US"/>
        </w:rPr>
        <w:t>113</w:t>
      </w:r>
      <w:r w:rsidRPr="00DB1BCE">
        <w:rPr>
          <w:rFonts w:cs="Times New Roman"/>
          <w:noProof/>
          <w:lang w:val="en-US"/>
        </w:rPr>
        <w:t>, 633–640.</w:t>
      </w:r>
    </w:p>
    <w:p w14:paraId="09B67A5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236</w:t>
      </w:r>
      <w:r w:rsidRPr="00DB1BCE">
        <w:rPr>
          <w:rFonts w:cs="Times New Roman"/>
          <w:noProof/>
          <w:lang w:val="en-US"/>
        </w:rPr>
        <w:tab/>
        <w:t xml:space="preserve">Y. Sakota, Y. Ozawa, H. Yamashita, H. Tanaka and N. Inagaki, </w:t>
      </w:r>
      <w:r w:rsidRPr="00DB1BCE">
        <w:rPr>
          <w:rFonts w:cs="Times New Roman"/>
          <w:i/>
          <w:iCs/>
          <w:noProof/>
          <w:lang w:val="en-US"/>
        </w:rPr>
        <w:t>Biol. Pharm. Bull.</w:t>
      </w:r>
      <w:r w:rsidRPr="00DB1BCE">
        <w:rPr>
          <w:rFonts w:cs="Times New Roman"/>
          <w:noProof/>
          <w:lang w:val="en-US"/>
        </w:rPr>
        <w:t xml:space="preserve">, 2014, </w:t>
      </w:r>
      <w:r w:rsidRPr="00DB1BCE">
        <w:rPr>
          <w:rFonts w:cs="Times New Roman"/>
          <w:b/>
          <w:bCs/>
          <w:noProof/>
          <w:lang w:val="en-US"/>
        </w:rPr>
        <w:t>37</w:t>
      </w:r>
      <w:r w:rsidRPr="00DB1BCE">
        <w:rPr>
          <w:rFonts w:cs="Times New Roman"/>
          <w:noProof/>
          <w:lang w:val="en-US"/>
        </w:rPr>
        <w:t>, 1014–20.</w:t>
      </w:r>
    </w:p>
    <w:p w14:paraId="387F8EC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237</w:t>
      </w:r>
      <w:r w:rsidRPr="00DB1BCE">
        <w:rPr>
          <w:rFonts w:cs="Times New Roman"/>
          <w:noProof/>
          <w:lang w:val="en-US"/>
        </w:rPr>
        <w:tab/>
        <w:t xml:space="preserve">T. Nishiyama, N. Tominaga, K. Nakajima and T. Hayashi, </w:t>
      </w:r>
      <w:r w:rsidRPr="00DB1BCE">
        <w:rPr>
          <w:rFonts w:cs="Times New Roman"/>
          <w:i/>
          <w:iCs/>
          <w:noProof/>
          <w:lang w:val="en-US"/>
        </w:rPr>
        <w:t>Coll. Relat. Res.</w:t>
      </w:r>
      <w:r w:rsidRPr="00DB1BCE">
        <w:rPr>
          <w:rFonts w:cs="Times New Roman"/>
          <w:noProof/>
          <w:lang w:val="en-US"/>
        </w:rPr>
        <w:t xml:space="preserve">, 1988, </w:t>
      </w:r>
      <w:r w:rsidRPr="00DB1BCE">
        <w:rPr>
          <w:rFonts w:cs="Times New Roman"/>
          <w:b/>
          <w:bCs/>
          <w:noProof/>
          <w:lang w:val="en-US"/>
        </w:rPr>
        <w:t>8</w:t>
      </w:r>
      <w:r w:rsidRPr="00DB1BCE">
        <w:rPr>
          <w:rFonts w:cs="Times New Roman"/>
          <w:noProof/>
          <w:lang w:val="en-US"/>
        </w:rPr>
        <w:t>, 259–273.</w:t>
      </w:r>
    </w:p>
    <w:p w14:paraId="109647B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238</w:t>
      </w:r>
      <w:r w:rsidRPr="00DB1BCE">
        <w:rPr>
          <w:rFonts w:cs="Times New Roman"/>
          <w:noProof/>
          <w:lang w:val="en-US"/>
        </w:rPr>
        <w:tab/>
        <w:t xml:space="preserve">T. H. Yang, A. R. Thoreson, A. Gingery, K. N. An, D. R. Larson, C. Zhao and P. C. Amadio, </w:t>
      </w:r>
      <w:r w:rsidRPr="00DB1BCE">
        <w:rPr>
          <w:rFonts w:cs="Times New Roman"/>
          <w:i/>
          <w:iCs/>
          <w:noProof/>
          <w:lang w:val="en-US"/>
        </w:rPr>
        <w:t>J. Biomed. Mater. Res. - Part A</w:t>
      </w:r>
      <w:r w:rsidRPr="00DB1BCE">
        <w:rPr>
          <w:rFonts w:cs="Times New Roman"/>
          <w:noProof/>
          <w:lang w:val="en-US"/>
        </w:rPr>
        <w:t xml:space="preserve">, 2015, </w:t>
      </w:r>
      <w:r w:rsidRPr="00DB1BCE">
        <w:rPr>
          <w:rFonts w:cs="Times New Roman"/>
          <w:b/>
          <w:bCs/>
          <w:noProof/>
          <w:lang w:val="en-US"/>
        </w:rPr>
        <w:t>103</w:t>
      </w:r>
      <w:r w:rsidRPr="00DB1BCE">
        <w:rPr>
          <w:rFonts w:cs="Times New Roman"/>
          <w:noProof/>
          <w:lang w:val="en-US"/>
        </w:rPr>
        <w:t>, 574–580.</w:t>
      </w:r>
    </w:p>
    <w:p w14:paraId="7049C08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239</w:t>
      </w:r>
      <w:r w:rsidRPr="00DB1BCE">
        <w:rPr>
          <w:rFonts w:cs="Times New Roman"/>
          <w:noProof/>
          <w:lang w:val="en-US"/>
        </w:rPr>
        <w:tab/>
        <w:t xml:space="preserve">D. T. Woodley, M. Yamauchi, K. C. Wynn, G. Mechanic and R. A. Briggaman, </w:t>
      </w:r>
      <w:r w:rsidRPr="00DB1BCE">
        <w:rPr>
          <w:rFonts w:cs="Times New Roman"/>
          <w:i/>
          <w:iCs/>
          <w:noProof/>
          <w:lang w:val="en-US"/>
        </w:rPr>
        <w:t>J. Invest. Dermatol.</w:t>
      </w:r>
      <w:r w:rsidRPr="00DB1BCE">
        <w:rPr>
          <w:rFonts w:cs="Times New Roman"/>
          <w:noProof/>
          <w:lang w:val="en-US"/>
        </w:rPr>
        <w:t>, 1991, 97, 580–585.</w:t>
      </w:r>
    </w:p>
    <w:p w14:paraId="586C93D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240</w:t>
      </w:r>
      <w:r w:rsidRPr="00DB1BCE">
        <w:rPr>
          <w:rFonts w:cs="Times New Roman"/>
          <w:noProof/>
          <w:lang w:val="en-US"/>
        </w:rPr>
        <w:tab/>
        <w:t xml:space="preserve">S. MacNeil, </w:t>
      </w:r>
      <w:r w:rsidRPr="00DB1BCE">
        <w:rPr>
          <w:rFonts w:cs="Times New Roman"/>
          <w:i/>
          <w:iCs/>
          <w:noProof/>
          <w:lang w:val="en-US"/>
        </w:rPr>
        <w:t>Nature</w:t>
      </w:r>
      <w:r w:rsidRPr="00DB1BCE">
        <w:rPr>
          <w:rFonts w:cs="Times New Roman"/>
          <w:noProof/>
          <w:lang w:val="en-US"/>
        </w:rPr>
        <w:t xml:space="preserve">, 2007, </w:t>
      </w:r>
      <w:r w:rsidRPr="00DB1BCE">
        <w:rPr>
          <w:rFonts w:cs="Times New Roman"/>
          <w:b/>
          <w:bCs/>
          <w:noProof/>
          <w:lang w:val="en-US"/>
        </w:rPr>
        <w:t>445</w:t>
      </w:r>
      <w:r w:rsidRPr="00DB1BCE">
        <w:rPr>
          <w:rFonts w:cs="Times New Roman"/>
          <w:noProof/>
          <w:lang w:val="en-US"/>
        </w:rPr>
        <w:t>, 874–880.</w:t>
      </w:r>
    </w:p>
    <w:p w14:paraId="5871CA1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241</w:t>
      </w:r>
      <w:r w:rsidRPr="00DB1BCE">
        <w:rPr>
          <w:rFonts w:cs="Times New Roman"/>
          <w:noProof/>
          <w:lang w:val="en-US"/>
        </w:rPr>
        <w:tab/>
        <w:t xml:space="preserve">S. H. Mathes, H. Ruffner and U. Graf-Hausner, </w:t>
      </w:r>
      <w:r w:rsidRPr="00DB1BCE">
        <w:rPr>
          <w:rFonts w:cs="Times New Roman"/>
          <w:i/>
          <w:iCs/>
          <w:noProof/>
          <w:lang w:val="en-US"/>
        </w:rPr>
        <w:t>Adv. Drug Deliv. Rev.</w:t>
      </w:r>
      <w:r w:rsidRPr="00DB1BCE">
        <w:rPr>
          <w:rFonts w:cs="Times New Roman"/>
          <w:noProof/>
          <w:lang w:val="en-US"/>
        </w:rPr>
        <w:t xml:space="preserve">, 2014, </w:t>
      </w:r>
      <w:r w:rsidRPr="00DB1BCE">
        <w:rPr>
          <w:rFonts w:cs="Times New Roman"/>
          <w:b/>
          <w:bCs/>
          <w:noProof/>
          <w:lang w:val="en-US"/>
        </w:rPr>
        <w:lastRenderedPageBreak/>
        <w:t>69</w:t>
      </w:r>
      <w:r w:rsidRPr="00DB1BCE">
        <w:rPr>
          <w:rFonts w:cs="Times New Roman"/>
          <w:noProof/>
          <w:lang w:val="en-US"/>
        </w:rPr>
        <w:t>–</w:t>
      </w:r>
      <w:r w:rsidRPr="00DB1BCE">
        <w:rPr>
          <w:rFonts w:cs="Times New Roman"/>
          <w:b/>
          <w:bCs/>
          <w:noProof/>
          <w:lang w:val="en-US"/>
        </w:rPr>
        <w:t>70</w:t>
      </w:r>
      <w:r w:rsidRPr="00DB1BCE">
        <w:rPr>
          <w:rFonts w:cs="Times New Roman"/>
          <w:noProof/>
          <w:lang w:val="en-US"/>
        </w:rPr>
        <w:t>, 81–102.</w:t>
      </w:r>
    </w:p>
    <w:p w14:paraId="2063E79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242</w:t>
      </w:r>
      <w:r w:rsidRPr="00DB1BCE">
        <w:rPr>
          <w:rFonts w:cs="Times New Roman"/>
          <w:noProof/>
          <w:lang w:val="en-US"/>
        </w:rPr>
        <w:tab/>
        <w:t xml:space="preserve">K. H. Chakrabarty, R. A. Dawson, P. Harris, C. Layton, M. Babu, L. Gould, J. Phillips, I. Leigh, C. Green and S. M. A. C. Neil, </w:t>
      </w:r>
      <w:r w:rsidRPr="00DB1BCE">
        <w:rPr>
          <w:rFonts w:cs="Times New Roman"/>
          <w:i/>
          <w:iCs/>
          <w:noProof/>
          <w:lang w:val="en-US"/>
        </w:rPr>
        <w:t>Br. J. Dermatol.</w:t>
      </w:r>
      <w:r w:rsidRPr="00DB1BCE">
        <w:rPr>
          <w:rFonts w:cs="Times New Roman"/>
          <w:noProof/>
          <w:lang w:val="en-US"/>
        </w:rPr>
        <w:t xml:space="preserve">, 1999, </w:t>
      </w:r>
      <w:r w:rsidRPr="00DB1BCE">
        <w:rPr>
          <w:rFonts w:cs="Times New Roman"/>
          <w:b/>
          <w:bCs/>
          <w:noProof/>
          <w:lang w:val="en-US"/>
        </w:rPr>
        <w:t>141</w:t>
      </w:r>
      <w:r w:rsidRPr="00DB1BCE">
        <w:rPr>
          <w:rFonts w:cs="Times New Roman"/>
          <w:noProof/>
          <w:lang w:val="en-US"/>
        </w:rPr>
        <w:t>, 811–823.</w:t>
      </w:r>
    </w:p>
    <w:p w14:paraId="33B988D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243</w:t>
      </w:r>
      <w:r w:rsidRPr="00DB1BCE">
        <w:rPr>
          <w:rFonts w:cs="Times New Roman"/>
          <w:noProof/>
          <w:lang w:val="en-US"/>
        </w:rPr>
        <w:tab/>
        <w:t xml:space="preserve">C. A. Harrison, M. J. Heaton, C. M. Layton and S. Mac Neil, </w:t>
      </w:r>
      <w:r w:rsidRPr="00DB1BCE">
        <w:rPr>
          <w:rFonts w:cs="Times New Roman"/>
          <w:i/>
          <w:iCs/>
          <w:noProof/>
          <w:lang w:val="en-US"/>
        </w:rPr>
        <w:t>Wound Repair Regen.</w:t>
      </w:r>
      <w:r w:rsidRPr="00DB1BCE">
        <w:rPr>
          <w:rFonts w:cs="Times New Roman"/>
          <w:noProof/>
          <w:lang w:val="en-US"/>
        </w:rPr>
        <w:t xml:space="preserve">, 2006, </w:t>
      </w:r>
      <w:r w:rsidRPr="00DB1BCE">
        <w:rPr>
          <w:rFonts w:cs="Times New Roman"/>
          <w:b/>
          <w:bCs/>
          <w:noProof/>
          <w:lang w:val="en-US"/>
        </w:rPr>
        <w:t>14</w:t>
      </w:r>
      <w:r w:rsidRPr="00DB1BCE">
        <w:rPr>
          <w:rFonts w:cs="Times New Roman"/>
          <w:noProof/>
          <w:lang w:val="en-US"/>
        </w:rPr>
        <w:t>, 203–209.</w:t>
      </w:r>
    </w:p>
    <w:p w14:paraId="6FC478C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244</w:t>
      </w:r>
      <w:r w:rsidRPr="00DB1BCE">
        <w:rPr>
          <w:rFonts w:cs="Times New Roman"/>
          <w:noProof/>
          <w:lang w:val="en-US"/>
        </w:rPr>
        <w:tab/>
        <w:t xml:space="preserve">S. Macneil, J. Shepherd and L. Smith, in </w:t>
      </w:r>
      <w:r w:rsidRPr="00DB1BCE">
        <w:rPr>
          <w:rFonts w:cs="Times New Roman"/>
          <w:i/>
          <w:iCs/>
          <w:noProof/>
          <w:lang w:val="en-US"/>
        </w:rPr>
        <w:t>3D Cell Culture: Methods and Protocols, Methods in Molecular Biology</w:t>
      </w:r>
      <w:r w:rsidRPr="00DB1BCE">
        <w:rPr>
          <w:rFonts w:cs="Times New Roman"/>
          <w:noProof/>
          <w:lang w:val="en-US"/>
        </w:rPr>
        <w:t>, ed. J. W. Haycock, Humana Press Inc, 2011th edn., 2011, vol. 695, pp. 129–153.</w:t>
      </w:r>
    </w:p>
    <w:p w14:paraId="5F5A32B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245</w:t>
      </w:r>
      <w:r w:rsidRPr="00DB1BCE">
        <w:rPr>
          <w:rFonts w:cs="Times New Roman"/>
          <w:noProof/>
          <w:lang w:val="en-US"/>
        </w:rPr>
        <w:tab/>
        <w:t xml:space="preserve">P. S. Sahota, J. L. Burn, M. Heaton, E. Freedlander, S. K. Suvarna, N. J. Brown and S. Mac Neil, </w:t>
      </w:r>
      <w:r w:rsidRPr="00DB1BCE">
        <w:rPr>
          <w:rFonts w:cs="Times New Roman"/>
          <w:i/>
          <w:iCs/>
          <w:noProof/>
          <w:lang w:val="en-US"/>
        </w:rPr>
        <w:t>Wound Repair Regen.</w:t>
      </w:r>
      <w:r w:rsidRPr="00DB1BCE">
        <w:rPr>
          <w:rFonts w:cs="Times New Roman"/>
          <w:noProof/>
          <w:lang w:val="en-US"/>
        </w:rPr>
        <w:t xml:space="preserve">, 2003, </w:t>
      </w:r>
      <w:r w:rsidRPr="00DB1BCE">
        <w:rPr>
          <w:rFonts w:cs="Times New Roman"/>
          <w:b/>
          <w:bCs/>
          <w:noProof/>
          <w:lang w:val="en-US"/>
        </w:rPr>
        <w:t>11</w:t>
      </w:r>
      <w:r w:rsidRPr="00DB1BCE">
        <w:rPr>
          <w:rFonts w:cs="Times New Roman"/>
          <w:noProof/>
          <w:lang w:val="en-US"/>
        </w:rPr>
        <w:t>, 275–284.</w:t>
      </w:r>
    </w:p>
    <w:p w14:paraId="2259BC1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246</w:t>
      </w:r>
      <w:r w:rsidRPr="00DB1BCE">
        <w:rPr>
          <w:rFonts w:cs="Times New Roman"/>
          <w:noProof/>
          <w:lang w:val="en-US"/>
        </w:rPr>
        <w:tab/>
        <w:t xml:space="preserve">S. Bhargava, C. R. Chapple, A. J. Bullock, C. Layton and S. MacNeil, </w:t>
      </w:r>
      <w:r w:rsidRPr="00DB1BCE">
        <w:rPr>
          <w:rFonts w:cs="Times New Roman"/>
          <w:i/>
          <w:iCs/>
          <w:noProof/>
          <w:lang w:val="en-US"/>
        </w:rPr>
        <w:t>BJU Int.</w:t>
      </w:r>
      <w:r w:rsidRPr="00DB1BCE">
        <w:rPr>
          <w:rFonts w:cs="Times New Roman"/>
          <w:noProof/>
          <w:lang w:val="en-US"/>
        </w:rPr>
        <w:t xml:space="preserve">, 2004, </w:t>
      </w:r>
      <w:r w:rsidRPr="00DB1BCE">
        <w:rPr>
          <w:rFonts w:cs="Times New Roman"/>
          <w:b/>
          <w:bCs/>
          <w:noProof/>
          <w:lang w:val="en-US"/>
        </w:rPr>
        <w:t>93</w:t>
      </w:r>
      <w:r w:rsidRPr="00DB1BCE">
        <w:rPr>
          <w:rFonts w:cs="Times New Roman"/>
          <w:noProof/>
          <w:lang w:val="en-US"/>
        </w:rPr>
        <w:t>, 807–811.</w:t>
      </w:r>
    </w:p>
    <w:p w14:paraId="67920EC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247</w:t>
      </w:r>
      <w:r w:rsidRPr="00DB1BCE">
        <w:rPr>
          <w:rFonts w:cs="Times New Roman"/>
          <w:noProof/>
          <w:lang w:val="en-US"/>
        </w:rPr>
        <w:tab/>
        <w:t xml:space="preserve">S. Bhargava, J. M. Patterson, R. D. Inman, S. MacNeil and C. R. Chapple, </w:t>
      </w:r>
      <w:r w:rsidRPr="00DB1BCE">
        <w:rPr>
          <w:rFonts w:cs="Times New Roman"/>
          <w:i/>
          <w:iCs/>
          <w:noProof/>
          <w:lang w:val="en-US"/>
        </w:rPr>
        <w:t>Eur. Urol.</w:t>
      </w:r>
      <w:r w:rsidRPr="00DB1BCE">
        <w:rPr>
          <w:rFonts w:cs="Times New Roman"/>
          <w:noProof/>
          <w:lang w:val="en-US"/>
        </w:rPr>
        <w:t xml:space="preserve">, 2008, </w:t>
      </w:r>
      <w:r w:rsidRPr="00DB1BCE">
        <w:rPr>
          <w:rFonts w:cs="Times New Roman"/>
          <w:b/>
          <w:bCs/>
          <w:noProof/>
          <w:lang w:val="en-US"/>
        </w:rPr>
        <w:t>53</w:t>
      </w:r>
      <w:r w:rsidRPr="00DB1BCE">
        <w:rPr>
          <w:rFonts w:cs="Times New Roman"/>
          <w:noProof/>
          <w:lang w:val="en-US"/>
        </w:rPr>
        <w:t>, 1263–1271.</w:t>
      </w:r>
    </w:p>
    <w:p w14:paraId="694EDB1C"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248</w:t>
      </w:r>
      <w:r w:rsidRPr="00DB1BCE">
        <w:rPr>
          <w:rFonts w:cs="Times New Roman"/>
          <w:noProof/>
          <w:lang w:val="en-US"/>
        </w:rPr>
        <w:tab/>
        <w:t xml:space="preserve">J. S. Davis and E. Kitlowski, </w:t>
      </w:r>
      <w:r w:rsidRPr="00DB1BCE">
        <w:rPr>
          <w:rFonts w:cs="Times New Roman"/>
          <w:i/>
          <w:iCs/>
          <w:noProof/>
          <w:lang w:val="en-US"/>
        </w:rPr>
        <w:t>Arch. Surg.</w:t>
      </w:r>
      <w:r w:rsidRPr="00DB1BCE">
        <w:rPr>
          <w:rFonts w:cs="Times New Roman"/>
          <w:noProof/>
          <w:lang w:val="en-US"/>
        </w:rPr>
        <w:t xml:space="preserve">, 1931, </w:t>
      </w:r>
      <w:r w:rsidRPr="00DB1BCE">
        <w:rPr>
          <w:rFonts w:cs="Times New Roman"/>
          <w:b/>
          <w:bCs/>
          <w:noProof/>
          <w:lang w:val="en-US"/>
        </w:rPr>
        <w:t>23</w:t>
      </w:r>
      <w:r w:rsidRPr="00DB1BCE">
        <w:rPr>
          <w:rFonts w:cs="Times New Roman"/>
          <w:noProof/>
          <w:lang w:val="en-US"/>
        </w:rPr>
        <w:t>, 954–965.</w:t>
      </w:r>
    </w:p>
    <w:p w14:paraId="1138BF0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249</w:t>
      </w:r>
      <w:r w:rsidRPr="00DB1BCE">
        <w:rPr>
          <w:rFonts w:cs="Times New Roman"/>
          <w:noProof/>
          <w:lang w:val="en-US"/>
        </w:rPr>
        <w:tab/>
        <w:t xml:space="preserve">T. Seyhan, </w:t>
      </w:r>
      <w:r w:rsidRPr="00DB1BCE">
        <w:rPr>
          <w:rFonts w:cs="Times New Roman"/>
          <w:i/>
          <w:iCs/>
          <w:noProof/>
          <w:lang w:val="en-US"/>
        </w:rPr>
        <w:t>Ski. Grafts - Indic. Appl. Curr. Res.</w:t>
      </w:r>
      <w:r w:rsidRPr="00DB1BCE">
        <w:rPr>
          <w:rFonts w:cs="Times New Roman"/>
          <w:noProof/>
          <w:lang w:val="en-US"/>
        </w:rPr>
        <w:t>, 2011, 3–17.</w:t>
      </w:r>
    </w:p>
    <w:p w14:paraId="4906358E"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250</w:t>
      </w:r>
      <w:r w:rsidRPr="00DB1BCE">
        <w:rPr>
          <w:rFonts w:cs="Times New Roman"/>
          <w:noProof/>
          <w:lang w:val="en-US"/>
        </w:rPr>
        <w:tab/>
        <w:t xml:space="preserve">J. M. Patterson, A. J. Bullock, S. MacNeil and C. R. Chapple, </w:t>
      </w:r>
      <w:r w:rsidRPr="00DB1BCE">
        <w:rPr>
          <w:rFonts w:cs="Times New Roman"/>
          <w:i/>
          <w:iCs/>
          <w:noProof/>
          <w:lang w:val="en-US"/>
        </w:rPr>
        <w:t>Eur. Urol.</w:t>
      </w:r>
      <w:r w:rsidRPr="00DB1BCE">
        <w:rPr>
          <w:rFonts w:cs="Times New Roman"/>
          <w:noProof/>
          <w:lang w:val="en-US"/>
        </w:rPr>
        <w:t xml:space="preserve">, 2011, </w:t>
      </w:r>
      <w:r w:rsidRPr="00DB1BCE">
        <w:rPr>
          <w:rFonts w:cs="Times New Roman"/>
          <w:b/>
          <w:bCs/>
          <w:noProof/>
          <w:lang w:val="en-US"/>
        </w:rPr>
        <w:t>60</w:t>
      </w:r>
      <w:r w:rsidRPr="00DB1BCE">
        <w:rPr>
          <w:rFonts w:cs="Times New Roman"/>
          <w:noProof/>
          <w:lang w:val="en-US"/>
        </w:rPr>
        <w:t>, 856–861.</w:t>
      </w:r>
    </w:p>
    <w:p w14:paraId="0E416EA4"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251</w:t>
      </w:r>
      <w:r w:rsidRPr="00DB1BCE">
        <w:rPr>
          <w:rFonts w:cs="Times New Roman"/>
          <w:noProof/>
          <w:lang w:val="en-US"/>
        </w:rPr>
        <w:tab/>
        <w:t xml:space="preserve">P. Deshpande, D. R. Ralston and S. Macneil, </w:t>
      </w:r>
      <w:r w:rsidRPr="00DB1BCE">
        <w:rPr>
          <w:rFonts w:cs="Times New Roman"/>
          <w:i/>
          <w:iCs/>
          <w:noProof/>
          <w:lang w:val="en-US"/>
        </w:rPr>
        <w:t>Burns</w:t>
      </w:r>
      <w:r w:rsidRPr="00DB1BCE">
        <w:rPr>
          <w:rFonts w:cs="Times New Roman"/>
          <w:noProof/>
          <w:lang w:val="en-US"/>
        </w:rPr>
        <w:t xml:space="preserve">, 2013, </w:t>
      </w:r>
      <w:r w:rsidRPr="00DB1BCE">
        <w:rPr>
          <w:rFonts w:cs="Times New Roman"/>
          <w:b/>
          <w:bCs/>
          <w:noProof/>
          <w:lang w:val="en-US"/>
        </w:rPr>
        <w:t>39</w:t>
      </w:r>
      <w:r w:rsidRPr="00DB1BCE">
        <w:rPr>
          <w:rFonts w:cs="Times New Roman"/>
          <w:noProof/>
          <w:lang w:val="en-US"/>
        </w:rPr>
        <w:t>, 1170–1177.</w:t>
      </w:r>
    </w:p>
    <w:p w14:paraId="7F3E4C3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252</w:t>
      </w:r>
      <w:r w:rsidRPr="00DB1BCE">
        <w:rPr>
          <w:rFonts w:cs="Times New Roman"/>
          <w:noProof/>
          <w:lang w:val="en-US"/>
        </w:rPr>
        <w:tab/>
        <w:t xml:space="preserve">M. Guo and F. Grinnell, </w:t>
      </w:r>
      <w:r w:rsidRPr="00DB1BCE">
        <w:rPr>
          <w:rFonts w:cs="Times New Roman"/>
          <w:i/>
          <w:iCs/>
          <w:noProof/>
          <w:lang w:val="en-US"/>
        </w:rPr>
        <w:t>J. Invest. Dermatol.</w:t>
      </w:r>
      <w:r w:rsidRPr="00DB1BCE">
        <w:rPr>
          <w:rFonts w:cs="Times New Roman"/>
          <w:noProof/>
          <w:lang w:val="en-US"/>
        </w:rPr>
        <w:t xml:space="preserve">, 1989, </w:t>
      </w:r>
      <w:r w:rsidRPr="00DB1BCE">
        <w:rPr>
          <w:rFonts w:cs="Times New Roman"/>
          <w:b/>
          <w:bCs/>
          <w:noProof/>
          <w:lang w:val="en-US"/>
        </w:rPr>
        <w:t>93</w:t>
      </w:r>
      <w:r w:rsidRPr="00DB1BCE">
        <w:rPr>
          <w:rFonts w:cs="Times New Roman"/>
          <w:noProof/>
          <w:lang w:val="en-US"/>
        </w:rPr>
        <w:t>, 372–8.</w:t>
      </w:r>
    </w:p>
    <w:p w14:paraId="13FDB9A3"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253</w:t>
      </w:r>
      <w:r w:rsidRPr="00DB1BCE">
        <w:rPr>
          <w:rFonts w:cs="Times New Roman"/>
          <w:noProof/>
          <w:lang w:val="en-US"/>
        </w:rPr>
        <w:tab/>
        <w:t xml:space="preserve">D. R. Ralston, C. Layton, A. J. Dalley, S. G. Boyce, E. Freedlander and S. M. A. C. Neil, </w:t>
      </w:r>
      <w:r w:rsidRPr="00DB1BCE">
        <w:rPr>
          <w:rFonts w:cs="Times New Roman"/>
          <w:i/>
          <w:iCs/>
          <w:noProof/>
          <w:lang w:val="en-US"/>
        </w:rPr>
        <w:t>Br. J. Dermatol.</w:t>
      </w:r>
      <w:r w:rsidRPr="00DB1BCE">
        <w:rPr>
          <w:rFonts w:cs="Times New Roman"/>
          <w:noProof/>
          <w:lang w:val="en-US"/>
        </w:rPr>
        <w:t xml:space="preserve">, 1999, </w:t>
      </w:r>
      <w:r w:rsidRPr="00DB1BCE">
        <w:rPr>
          <w:rFonts w:cs="Times New Roman"/>
          <w:b/>
          <w:bCs/>
          <w:noProof/>
          <w:lang w:val="en-US"/>
        </w:rPr>
        <w:t>140</w:t>
      </w:r>
      <w:r w:rsidRPr="00DB1BCE">
        <w:rPr>
          <w:rFonts w:cs="Times New Roman"/>
          <w:noProof/>
          <w:lang w:val="en-US"/>
        </w:rPr>
        <w:t>, 605–615.</w:t>
      </w:r>
    </w:p>
    <w:p w14:paraId="07C760C9"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254</w:t>
      </w:r>
      <w:r w:rsidRPr="00DB1BCE">
        <w:rPr>
          <w:rFonts w:cs="Times New Roman"/>
          <w:noProof/>
          <w:lang w:val="en-US"/>
        </w:rPr>
        <w:tab/>
        <w:t xml:space="preserve">O. A. Kobayashi H, Ishii M, Chanoki M, Yashiro N, Fushida H, Fukai K, Kono T, Hamada T, Wakasaki H, </w:t>
      </w:r>
      <w:r w:rsidRPr="00DB1BCE">
        <w:rPr>
          <w:rFonts w:cs="Times New Roman"/>
          <w:i/>
          <w:iCs/>
          <w:noProof/>
          <w:lang w:val="en-US"/>
        </w:rPr>
        <w:t>Br. J. Dermatol.</w:t>
      </w:r>
      <w:r w:rsidRPr="00DB1BCE">
        <w:rPr>
          <w:rFonts w:cs="Times New Roman"/>
          <w:noProof/>
          <w:lang w:val="en-US"/>
        </w:rPr>
        <w:t xml:space="preserve">, 1994, </w:t>
      </w:r>
      <w:r w:rsidRPr="00DB1BCE">
        <w:rPr>
          <w:rFonts w:cs="Times New Roman"/>
          <w:b/>
          <w:bCs/>
          <w:noProof/>
          <w:lang w:val="en-US"/>
        </w:rPr>
        <w:t>131</w:t>
      </w:r>
      <w:r w:rsidRPr="00DB1BCE">
        <w:rPr>
          <w:rFonts w:cs="Times New Roman"/>
          <w:noProof/>
          <w:lang w:val="en-US"/>
        </w:rPr>
        <w:t>, 325–330.</w:t>
      </w:r>
    </w:p>
    <w:p w14:paraId="06D8A5D6"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255</w:t>
      </w:r>
      <w:r w:rsidRPr="00DB1BCE">
        <w:rPr>
          <w:rFonts w:cs="Times New Roman"/>
          <w:noProof/>
          <w:lang w:val="en-US"/>
        </w:rPr>
        <w:tab/>
        <w:t xml:space="preserve">E. Fujimoto and S. Tajima, </w:t>
      </w:r>
      <w:r w:rsidRPr="00DB1BCE">
        <w:rPr>
          <w:rFonts w:cs="Times New Roman"/>
          <w:i/>
          <w:iCs/>
          <w:noProof/>
          <w:lang w:val="en-US"/>
        </w:rPr>
        <w:t>J. Dermatol. Sci.</w:t>
      </w:r>
      <w:r w:rsidRPr="00DB1BCE">
        <w:rPr>
          <w:rFonts w:cs="Times New Roman"/>
          <w:noProof/>
          <w:lang w:val="en-US"/>
        </w:rPr>
        <w:t xml:space="preserve">, 2009, </w:t>
      </w:r>
      <w:r w:rsidRPr="00DB1BCE">
        <w:rPr>
          <w:rFonts w:cs="Times New Roman"/>
          <w:b/>
          <w:bCs/>
          <w:noProof/>
          <w:lang w:val="en-US"/>
        </w:rPr>
        <w:t>55</w:t>
      </w:r>
      <w:r w:rsidRPr="00DB1BCE">
        <w:rPr>
          <w:rFonts w:cs="Times New Roman"/>
          <w:noProof/>
          <w:lang w:val="en-US"/>
        </w:rPr>
        <w:t>, 91–98.</w:t>
      </w:r>
    </w:p>
    <w:p w14:paraId="405EB9A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256</w:t>
      </w:r>
      <w:r w:rsidRPr="00DB1BCE">
        <w:rPr>
          <w:rFonts w:cs="Times New Roman"/>
          <w:noProof/>
          <w:lang w:val="en-US"/>
        </w:rPr>
        <w:tab/>
        <w:t xml:space="preserve">E. Noblesse, V. Cenizo, C. Bouez, A. Borel, C. Gleyzal, S. Peyrol, M. P. Jacob, P. Sommer and O. Damour, </w:t>
      </w:r>
      <w:r w:rsidRPr="00DB1BCE">
        <w:rPr>
          <w:rFonts w:cs="Times New Roman"/>
          <w:i/>
          <w:iCs/>
          <w:noProof/>
          <w:lang w:val="en-US"/>
        </w:rPr>
        <w:t>J. Invest. Dermatol.</w:t>
      </w:r>
      <w:r w:rsidRPr="00DB1BCE">
        <w:rPr>
          <w:rFonts w:cs="Times New Roman"/>
          <w:noProof/>
          <w:lang w:val="en-US"/>
        </w:rPr>
        <w:t xml:space="preserve">, 2004, </w:t>
      </w:r>
      <w:r w:rsidRPr="00DB1BCE">
        <w:rPr>
          <w:rFonts w:cs="Times New Roman"/>
          <w:b/>
          <w:bCs/>
          <w:noProof/>
          <w:lang w:val="en-US"/>
        </w:rPr>
        <w:t>122</w:t>
      </w:r>
      <w:r w:rsidRPr="00DB1BCE">
        <w:rPr>
          <w:rFonts w:cs="Times New Roman"/>
          <w:noProof/>
          <w:lang w:val="en-US"/>
        </w:rPr>
        <w:t>, 621–630.</w:t>
      </w:r>
    </w:p>
    <w:p w14:paraId="0D058E1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257</w:t>
      </w:r>
      <w:r w:rsidRPr="00DB1BCE">
        <w:rPr>
          <w:rFonts w:cs="Times New Roman"/>
          <w:noProof/>
          <w:lang w:val="en-US"/>
        </w:rPr>
        <w:tab/>
        <w:t xml:space="preserve">A. K. Langton, C. E. M. Griffiths, M. J. Sherratt and R. E. B. Watson, </w:t>
      </w:r>
      <w:r w:rsidRPr="00DB1BCE">
        <w:rPr>
          <w:rFonts w:cs="Times New Roman"/>
          <w:i/>
          <w:iCs/>
          <w:noProof/>
          <w:lang w:val="en-US"/>
        </w:rPr>
        <w:t>Biogerontology</w:t>
      </w:r>
      <w:r w:rsidRPr="00DB1BCE">
        <w:rPr>
          <w:rFonts w:cs="Times New Roman"/>
          <w:noProof/>
          <w:lang w:val="en-US"/>
        </w:rPr>
        <w:t xml:space="preserve">, 2013, </w:t>
      </w:r>
      <w:r w:rsidRPr="00DB1BCE">
        <w:rPr>
          <w:rFonts w:cs="Times New Roman"/>
          <w:b/>
          <w:bCs/>
          <w:noProof/>
          <w:lang w:val="en-US"/>
        </w:rPr>
        <w:t>14</w:t>
      </w:r>
      <w:r w:rsidRPr="00DB1BCE">
        <w:rPr>
          <w:rFonts w:cs="Times New Roman"/>
          <w:noProof/>
          <w:lang w:val="en-US"/>
        </w:rPr>
        <w:t>, 89–97.</w:t>
      </w:r>
    </w:p>
    <w:p w14:paraId="2927FDD1"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258</w:t>
      </w:r>
      <w:r w:rsidRPr="00DB1BCE">
        <w:rPr>
          <w:rFonts w:cs="Times New Roman"/>
          <w:noProof/>
          <w:lang w:val="en-US"/>
        </w:rPr>
        <w:tab/>
        <w:t xml:space="preserve">C. R. Irwin, T. Myrillas, M. Smyth, J. Doogan, C. Rice and S. L. Schor, </w:t>
      </w:r>
      <w:r w:rsidRPr="00DB1BCE">
        <w:rPr>
          <w:rFonts w:cs="Times New Roman"/>
          <w:i/>
          <w:iCs/>
          <w:noProof/>
          <w:lang w:val="en-US"/>
        </w:rPr>
        <w:t>J. Oral Pathol. Med.</w:t>
      </w:r>
      <w:r w:rsidRPr="00DB1BCE">
        <w:rPr>
          <w:rFonts w:cs="Times New Roman"/>
          <w:noProof/>
          <w:lang w:val="en-US"/>
        </w:rPr>
        <w:t xml:space="preserve">, 1998, </w:t>
      </w:r>
      <w:r w:rsidRPr="00DB1BCE">
        <w:rPr>
          <w:rFonts w:cs="Times New Roman"/>
          <w:b/>
          <w:bCs/>
          <w:noProof/>
          <w:lang w:val="en-US"/>
        </w:rPr>
        <w:t>27</w:t>
      </w:r>
      <w:r w:rsidRPr="00DB1BCE">
        <w:rPr>
          <w:rFonts w:cs="Times New Roman"/>
          <w:noProof/>
          <w:lang w:val="en-US"/>
        </w:rPr>
        <w:t>, 255–259.</w:t>
      </w:r>
    </w:p>
    <w:p w14:paraId="7E40F40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259</w:t>
      </w:r>
      <w:r w:rsidRPr="00DB1BCE">
        <w:rPr>
          <w:rFonts w:cs="Times New Roman"/>
          <w:noProof/>
          <w:lang w:val="en-US"/>
        </w:rPr>
        <w:tab/>
        <w:t xml:space="preserve">G. Erdag and R. L. Sheridan, </w:t>
      </w:r>
      <w:r w:rsidRPr="00DB1BCE">
        <w:rPr>
          <w:rFonts w:cs="Times New Roman"/>
          <w:i/>
          <w:iCs/>
          <w:noProof/>
          <w:lang w:val="en-US"/>
        </w:rPr>
        <w:t>Burns</w:t>
      </w:r>
      <w:r w:rsidRPr="00DB1BCE">
        <w:rPr>
          <w:rFonts w:cs="Times New Roman"/>
          <w:noProof/>
          <w:lang w:val="en-US"/>
        </w:rPr>
        <w:t xml:space="preserve">, 2004, </w:t>
      </w:r>
      <w:r w:rsidRPr="00DB1BCE">
        <w:rPr>
          <w:rFonts w:cs="Times New Roman"/>
          <w:b/>
          <w:bCs/>
          <w:noProof/>
          <w:lang w:val="en-US"/>
        </w:rPr>
        <w:t>30</w:t>
      </w:r>
      <w:r w:rsidRPr="00DB1BCE">
        <w:rPr>
          <w:rFonts w:cs="Times New Roman"/>
          <w:noProof/>
          <w:lang w:val="en-US"/>
        </w:rPr>
        <w:t>, 322–328.</w:t>
      </w:r>
    </w:p>
    <w:p w14:paraId="1CDE4D65"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260</w:t>
      </w:r>
      <w:r w:rsidRPr="00DB1BCE">
        <w:rPr>
          <w:rFonts w:cs="Times New Roman"/>
          <w:noProof/>
          <w:lang w:val="en-US"/>
        </w:rPr>
        <w:tab/>
        <w:t xml:space="preserve">D. J. A. Thornton, C. A. Harrison, M. J. Heaton, A. J. Bullock and S. MacNeil, </w:t>
      </w:r>
      <w:r w:rsidRPr="00DB1BCE">
        <w:rPr>
          <w:rFonts w:cs="Times New Roman"/>
          <w:i/>
          <w:iCs/>
          <w:noProof/>
          <w:lang w:val="en-US"/>
        </w:rPr>
        <w:t>J. Burn Care Res.</w:t>
      </w:r>
      <w:r w:rsidRPr="00DB1BCE">
        <w:rPr>
          <w:rFonts w:cs="Times New Roman"/>
          <w:noProof/>
          <w:lang w:val="en-US"/>
        </w:rPr>
        <w:t xml:space="preserve">, 2008, </w:t>
      </w:r>
      <w:r w:rsidRPr="00DB1BCE">
        <w:rPr>
          <w:rFonts w:cs="Times New Roman"/>
          <w:b/>
          <w:bCs/>
          <w:noProof/>
          <w:lang w:val="en-US"/>
        </w:rPr>
        <w:t>29</w:t>
      </w:r>
      <w:r w:rsidRPr="00DB1BCE">
        <w:rPr>
          <w:rFonts w:cs="Times New Roman"/>
          <w:noProof/>
          <w:lang w:val="en-US"/>
        </w:rPr>
        <w:t>, 369–377.</w:t>
      </w:r>
    </w:p>
    <w:p w14:paraId="174BCC9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261</w:t>
      </w:r>
      <w:r w:rsidRPr="00DB1BCE">
        <w:rPr>
          <w:rFonts w:cs="Times New Roman"/>
          <w:noProof/>
          <w:lang w:val="en-US"/>
        </w:rPr>
        <w:tab/>
        <w:t xml:space="preserve">C. O’Rourke, R. A. L. Drake, G. W. W. Cameron, A. J. Loughlin and J. B. Phillips, </w:t>
      </w:r>
      <w:r w:rsidRPr="00DB1BCE">
        <w:rPr>
          <w:rFonts w:cs="Times New Roman"/>
          <w:i/>
          <w:iCs/>
          <w:noProof/>
          <w:lang w:val="en-US"/>
        </w:rPr>
        <w:t>J. Biomater. Appl.</w:t>
      </w:r>
      <w:r w:rsidRPr="00DB1BCE">
        <w:rPr>
          <w:rFonts w:cs="Times New Roman"/>
          <w:noProof/>
          <w:lang w:val="en-US"/>
        </w:rPr>
        <w:t xml:space="preserve">, 2015, </w:t>
      </w:r>
      <w:r w:rsidRPr="00DB1BCE">
        <w:rPr>
          <w:rFonts w:cs="Times New Roman"/>
          <w:b/>
          <w:bCs/>
          <w:noProof/>
          <w:lang w:val="en-US"/>
        </w:rPr>
        <w:t>30</w:t>
      </w:r>
      <w:r w:rsidRPr="00DB1BCE">
        <w:rPr>
          <w:rFonts w:cs="Times New Roman"/>
          <w:noProof/>
          <w:lang w:val="en-US"/>
        </w:rPr>
        <w:t>, 599–607.</w:t>
      </w:r>
    </w:p>
    <w:p w14:paraId="51F5BAB0"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262</w:t>
      </w:r>
      <w:r w:rsidRPr="00DB1BCE">
        <w:rPr>
          <w:rFonts w:cs="Times New Roman"/>
          <w:noProof/>
          <w:lang w:val="en-US"/>
        </w:rPr>
        <w:tab/>
        <w:t xml:space="preserve">T. Umino, H. Wang, Y. Zhu, X. Liu, L. S. Manouilova, J. R. Spurzem, M. P. Leuschen and S. I. Rennard, </w:t>
      </w:r>
      <w:r w:rsidRPr="00DB1BCE">
        <w:rPr>
          <w:rFonts w:cs="Times New Roman"/>
          <w:i/>
          <w:iCs/>
          <w:noProof/>
          <w:lang w:val="en-US"/>
        </w:rPr>
        <w:t>Am. J. Respir. Cell Mol. Biol.</w:t>
      </w:r>
      <w:r w:rsidRPr="00DB1BCE">
        <w:rPr>
          <w:rFonts w:cs="Times New Roman"/>
          <w:noProof/>
          <w:lang w:val="en-US"/>
        </w:rPr>
        <w:t xml:space="preserve">, 2000, </w:t>
      </w:r>
      <w:r w:rsidRPr="00DB1BCE">
        <w:rPr>
          <w:rFonts w:cs="Times New Roman"/>
          <w:b/>
          <w:bCs/>
          <w:noProof/>
          <w:lang w:val="en-US"/>
        </w:rPr>
        <w:t>22</w:t>
      </w:r>
      <w:r w:rsidRPr="00DB1BCE">
        <w:rPr>
          <w:rFonts w:cs="Times New Roman"/>
          <w:noProof/>
          <w:lang w:val="en-US"/>
        </w:rPr>
        <w:t>, 702–707.</w:t>
      </w:r>
    </w:p>
    <w:p w14:paraId="5B07E45A"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263</w:t>
      </w:r>
      <w:r w:rsidRPr="00DB1BCE">
        <w:rPr>
          <w:rFonts w:cs="Times New Roman"/>
          <w:noProof/>
          <w:lang w:val="en-US"/>
        </w:rPr>
        <w:tab/>
        <w:t xml:space="preserve">U. Zagai, K. Fredriksson, S. I. Rennard, J. Lundahl and C. M. Sköld, </w:t>
      </w:r>
      <w:r w:rsidRPr="00DB1BCE">
        <w:rPr>
          <w:rFonts w:cs="Times New Roman"/>
          <w:i/>
          <w:iCs/>
          <w:noProof/>
          <w:lang w:val="en-US"/>
        </w:rPr>
        <w:t>Respir. Res.</w:t>
      </w:r>
      <w:r w:rsidRPr="00DB1BCE">
        <w:rPr>
          <w:rFonts w:cs="Times New Roman"/>
          <w:noProof/>
          <w:lang w:val="en-US"/>
        </w:rPr>
        <w:t xml:space="preserve">, 2003, </w:t>
      </w:r>
      <w:r w:rsidRPr="00DB1BCE">
        <w:rPr>
          <w:rFonts w:cs="Times New Roman"/>
          <w:b/>
          <w:bCs/>
          <w:noProof/>
          <w:lang w:val="en-US"/>
        </w:rPr>
        <w:t>4</w:t>
      </w:r>
      <w:r w:rsidRPr="00DB1BCE">
        <w:rPr>
          <w:rFonts w:cs="Times New Roman"/>
          <w:noProof/>
          <w:lang w:val="en-US"/>
        </w:rPr>
        <w:t>, 1–10.</w:t>
      </w:r>
    </w:p>
    <w:p w14:paraId="58D0388B"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lastRenderedPageBreak/>
        <w:t>264</w:t>
      </w:r>
      <w:r w:rsidRPr="00DB1BCE">
        <w:rPr>
          <w:rFonts w:cs="Times New Roman"/>
          <w:noProof/>
          <w:lang w:val="en-US"/>
        </w:rPr>
        <w:tab/>
        <w:t xml:space="preserve">M. H. Schmid-Wendtner and H. C. Korting, </w:t>
      </w:r>
      <w:r w:rsidRPr="00DB1BCE">
        <w:rPr>
          <w:rFonts w:cs="Times New Roman"/>
          <w:i/>
          <w:iCs/>
          <w:noProof/>
          <w:lang w:val="en-US"/>
        </w:rPr>
        <w:t>Skin Pharmacol. Physiol.</w:t>
      </w:r>
      <w:r w:rsidRPr="00DB1BCE">
        <w:rPr>
          <w:rFonts w:cs="Times New Roman"/>
          <w:noProof/>
          <w:lang w:val="en-US"/>
        </w:rPr>
        <w:t xml:space="preserve">, 2006, </w:t>
      </w:r>
      <w:r w:rsidRPr="00DB1BCE">
        <w:rPr>
          <w:rFonts w:cs="Times New Roman"/>
          <w:b/>
          <w:bCs/>
          <w:noProof/>
          <w:lang w:val="en-US"/>
        </w:rPr>
        <w:t>19</w:t>
      </w:r>
      <w:r w:rsidRPr="00DB1BCE">
        <w:rPr>
          <w:rFonts w:cs="Times New Roman"/>
          <w:noProof/>
          <w:lang w:val="en-US"/>
        </w:rPr>
        <w:t>, 296–302.</w:t>
      </w:r>
    </w:p>
    <w:p w14:paraId="47162342"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265</w:t>
      </w:r>
      <w:r w:rsidRPr="00DB1BCE">
        <w:rPr>
          <w:rFonts w:cs="Times New Roman"/>
          <w:noProof/>
          <w:lang w:val="en-US"/>
        </w:rPr>
        <w:tab/>
        <w:t xml:space="preserve">J. H. Hutchinson, M. W. Rowbottom, D. Lonergan, J. Darlington, P. Prodanovich, C. D. King, J. F. Evans and G. Bain, </w:t>
      </w:r>
      <w:r w:rsidRPr="00DB1BCE">
        <w:rPr>
          <w:rFonts w:cs="Times New Roman"/>
          <w:i/>
          <w:iCs/>
          <w:noProof/>
          <w:lang w:val="en-US"/>
        </w:rPr>
        <w:t>ACS Med. Chem. Lett.</w:t>
      </w:r>
      <w:r w:rsidRPr="00DB1BCE">
        <w:rPr>
          <w:rFonts w:cs="Times New Roman"/>
          <w:noProof/>
          <w:lang w:val="en-US"/>
        </w:rPr>
        <w:t xml:space="preserve">, 2017, </w:t>
      </w:r>
      <w:r w:rsidRPr="00DB1BCE">
        <w:rPr>
          <w:rFonts w:cs="Times New Roman"/>
          <w:b/>
          <w:bCs/>
          <w:noProof/>
          <w:lang w:val="en-US"/>
        </w:rPr>
        <w:t>8</w:t>
      </w:r>
      <w:r w:rsidRPr="00DB1BCE">
        <w:rPr>
          <w:rFonts w:cs="Times New Roman"/>
          <w:noProof/>
          <w:lang w:val="en-US"/>
        </w:rPr>
        <w:t>, 423–427.</w:t>
      </w:r>
    </w:p>
    <w:p w14:paraId="375370FF" w14:textId="77777777" w:rsidR="00DB1BCE" w:rsidRPr="00DB1BCE" w:rsidRDefault="00DB1BCE" w:rsidP="00DB1BCE">
      <w:pPr>
        <w:widowControl w:val="0"/>
        <w:autoSpaceDE w:val="0"/>
        <w:autoSpaceDN w:val="0"/>
        <w:adjustRightInd w:val="0"/>
        <w:spacing w:line="240" w:lineRule="auto"/>
        <w:ind w:left="640" w:hanging="640"/>
        <w:rPr>
          <w:rFonts w:cs="Times New Roman"/>
          <w:noProof/>
          <w:lang w:val="en-US"/>
        </w:rPr>
      </w:pPr>
      <w:r w:rsidRPr="00DB1BCE">
        <w:rPr>
          <w:rFonts w:cs="Times New Roman"/>
          <w:noProof/>
          <w:lang w:val="en-US"/>
        </w:rPr>
        <w:t>266</w:t>
      </w:r>
      <w:r w:rsidRPr="00DB1BCE">
        <w:rPr>
          <w:rFonts w:cs="Times New Roman"/>
          <w:noProof/>
          <w:lang w:val="en-US"/>
        </w:rPr>
        <w:tab/>
        <w:t xml:space="preserve">N. Sekkat, Y. N. Kalia and R. H. Guy, </w:t>
      </w:r>
      <w:r w:rsidRPr="00DB1BCE">
        <w:rPr>
          <w:rFonts w:cs="Times New Roman"/>
          <w:i/>
          <w:iCs/>
          <w:noProof/>
          <w:lang w:val="en-US"/>
        </w:rPr>
        <w:t>J. Pharm. Sci.</w:t>
      </w:r>
      <w:r w:rsidRPr="00DB1BCE">
        <w:rPr>
          <w:rFonts w:cs="Times New Roman"/>
          <w:noProof/>
          <w:lang w:val="en-US"/>
        </w:rPr>
        <w:t xml:space="preserve">, 2002, </w:t>
      </w:r>
      <w:r w:rsidRPr="00DB1BCE">
        <w:rPr>
          <w:rFonts w:cs="Times New Roman"/>
          <w:b/>
          <w:bCs/>
          <w:noProof/>
          <w:lang w:val="en-US"/>
        </w:rPr>
        <w:t>91</w:t>
      </w:r>
      <w:r w:rsidRPr="00DB1BCE">
        <w:rPr>
          <w:rFonts w:cs="Times New Roman"/>
          <w:noProof/>
          <w:lang w:val="en-US"/>
        </w:rPr>
        <w:t>, 2376–2381.</w:t>
      </w:r>
    </w:p>
    <w:p w14:paraId="1722AE32" w14:textId="77777777" w:rsidR="00DB1BCE" w:rsidRPr="00DB1BCE" w:rsidRDefault="00DB1BCE" w:rsidP="00DB1BCE">
      <w:pPr>
        <w:widowControl w:val="0"/>
        <w:autoSpaceDE w:val="0"/>
        <w:autoSpaceDN w:val="0"/>
        <w:adjustRightInd w:val="0"/>
        <w:spacing w:line="240" w:lineRule="auto"/>
        <w:ind w:left="640" w:hanging="640"/>
        <w:rPr>
          <w:rFonts w:cs="Times New Roman"/>
          <w:noProof/>
        </w:rPr>
      </w:pPr>
      <w:r w:rsidRPr="00DB1BCE">
        <w:rPr>
          <w:rFonts w:cs="Times New Roman"/>
          <w:noProof/>
          <w:lang w:val="en-US"/>
        </w:rPr>
        <w:t>267</w:t>
      </w:r>
      <w:r w:rsidRPr="00DB1BCE">
        <w:rPr>
          <w:rFonts w:cs="Times New Roman"/>
          <w:noProof/>
          <w:lang w:val="en-US"/>
        </w:rPr>
        <w:tab/>
        <w:t xml:space="preserve">S. Amini-Nik, Y. Yousuf and M. G. Jeschke, </w:t>
      </w:r>
      <w:r w:rsidRPr="00DB1BCE">
        <w:rPr>
          <w:rFonts w:cs="Times New Roman"/>
          <w:i/>
          <w:iCs/>
          <w:noProof/>
          <w:lang w:val="en-US"/>
        </w:rPr>
        <w:t>Adv. Drug Deliv. Rev.</w:t>
      </w:r>
      <w:r w:rsidRPr="00DB1BCE">
        <w:rPr>
          <w:rFonts w:cs="Times New Roman"/>
          <w:noProof/>
          <w:lang w:val="en-US"/>
        </w:rPr>
        <w:t xml:space="preserve">, 2018, </w:t>
      </w:r>
      <w:r w:rsidRPr="00DB1BCE">
        <w:rPr>
          <w:rFonts w:cs="Times New Roman"/>
          <w:b/>
          <w:bCs/>
          <w:noProof/>
          <w:lang w:val="en-US"/>
        </w:rPr>
        <w:t>123</w:t>
      </w:r>
      <w:r w:rsidRPr="00DB1BCE">
        <w:rPr>
          <w:rFonts w:cs="Times New Roman"/>
          <w:noProof/>
          <w:lang w:val="en-US"/>
        </w:rPr>
        <w:t>, 135–154.</w:t>
      </w:r>
    </w:p>
    <w:p w14:paraId="5B640139" w14:textId="507FBDD6" w:rsidR="00195A60" w:rsidRDefault="004C37DC" w:rsidP="00DB1BCE">
      <w:pPr>
        <w:widowControl w:val="0"/>
        <w:autoSpaceDE w:val="0"/>
        <w:autoSpaceDN w:val="0"/>
        <w:adjustRightInd w:val="0"/>
        <w:spacing w:line="240" w:lineRule="auto"/>
        <w:ind w:left="640" w:hanging="640"/>
        <w:rPr>
          <w:rFonts w:eastAsiaTheme="majorEastAsia" w:cs="Times New Roman"/>
          <w:b/>
          <w:color w:val="000000" w:themeColor="text1"/>
          <w:sz w:val="36"/>
          <w:szCs w:val="32"/>
        </w:rPr>
      </w:pPr>
      <w:r>
        <w:fldChar w:fldCharType="end"/>
      </w:r>
      <w:r>
        <w:rPr>
          <w:rFonts w:cs="Times New Roman"/>
        </w:rPr>
        <w:br w:type="page"/>
      </w:r>
    </w:p>
    <w:p w14:paraId="369D5B0A" w14:textId="2101C15E" w:rsidR="009F4041" w:rsidRDefault="009F4041" w:rsidP="009F4041">
      <w:pPr>
        <w:pStyle w:val="Heading1"/>
        <w:numPr>
          <w:ilvl w:val="0"/>
          <w:numId w:val="0"/>
        </w:numPr>
        <w:ind w:left="576" w:hanging="576"/>
        <w:rPr>
          <w:rFonts w:cs="Times New Roman"/>
        </w:rPr>
      </w:pPr>
      <w:bookmarkStart w:id="270" w:name="_Toc2451065"/>
      <w:r w:rsidRPr="00C317F9">
        <w:rPr>
          <w:rFonts w:cs="Times New Roman"/>
        </w:rPr>
        <w:lastRenderedPageBreak/>
        <w:t>Appendix One</w:t>
      </w:r>
      <w:bookmarkEnd w:id="270"/>
    </w:p>
    <w:p w14:paraId="4DBA646D" w14:textId="77777777" w:rsidR="009F4041" w:rsidRDefault="009F4041" w:rsidP="009F4041">
      <w:pPr>
        <w:rPr>
          <w:rFonts w:cs="Times New Roman"/>
        </w:rPr>
      </w:pPr>
    </w:p>
    <w:p w14:paraId="02AB829E" w14:textId="77777777" w:rsidR="009F4041" w:rsidRPr="00C317F9" w:rsidRDefault="009F4041" w:rsidP="009F4041">
      <w:pPr>
        <w:ind w:left="360"/>
        <w:jc w:val="center"/>
        <w:rPr>
          <w:rFonts w:cs="Times New Roman"/>
        </w:rPr>
      </w:pPr>
      <w:r w:rsidRPr="00F7244B">
        <w:rPr>
          <w:rFonts w:cs="Times New Roman"/>
          <w:noProof/>
        </w:rPr>
        <w:drawing>
          <wp:inline distT="0" distB="0" distL="0" distR="0" wp14:anchorId="432BC625" wp14:editId="015D5F6C">
            <wp:extent cx="3410672" cy="2361235"/>
            <wp:effectExtent l="0" t="0" r="571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10672" cy="2361235"/>
                    </a:xfrm>
                    <a:prstGeom prst="rect">
                      <a:avLst/>
                    </a:prstGeom>
                  </pic:spPr>
                </pic:pic>
              </a:graphicData>
            </a:graphic>
          </wp:inline>
        </w:drawing>
      </w:r>
    </w:p>
    <w:p w14:paraId="08BE92C9" w14:textId="77777777" w:rsidR="009F4041" w:rsidRPr="00150691" w:rsidRDefault="009F4041" w:rsidP="009F4041">
      <w:pPr>
        <w:jc w:val="center"/>
        <w:rPr>
          <w:rFonts w:cs="Times New Roman"/>
          <w:sz w:val="22"/>
        </w:rPr>
      </w:pPr>
      <w:r w:rsidRPr="00150691">
        <w:rPr>
          <w:rFonts w:cs="Times New Roman"/>
          <w:b/>
          <w:sz w:val="22"/>
        </w:rPr>
        <w:t>Appendix 1.1</w:t>
      </w:r>
      <w:r w:rsidRPr="00150691">
        <w:rPr>
          <w:rFonts w:cs="Times New Roman"/>
          <w:sz w:val="22"/>
        </w:rPr>
        <w:t xml:space="preserve"> Results of temperature investigation on imine conversion</w:t>
      </w:r>
      <w:r>
        <w:rPr>
          <w:rFonts w:cs="Times New Roman"/>
          <w:sz w:val="22"/>
        </w:rPr>
        <w:t>.</w:t>
      </w:r>
    </w:p>
    <w:p w14:paraId="1211E305" w14:textId="77777777" w:rsidR="009F4041" w:rsidRPr="00C317F9" w:rsidRDefault="009F4041" w:rsidP="009F4041">
      <w:pPr>
        <w:jc w:val="center"/>
        <w:rPr>
          <w:rFonts w:cs="Times New Roman"/>
        </w:rPr>
      </w:pPr>
    </w:p>
    <w:p w14:paraId="30C58866" w14:textId="2A0AC464" w:rsidR="009F4041" w:rsidRDefault="009F4041" w:rsidP="009F4041">
      <w:pPr>
        <w:spacing w:after="0" w:line="240" w:lineRule="auto"/>
        <w:rPr>
          <w:rFonts w:cs="Times New Roman"/>
        </w:rPr>
      </w:pPr>
      <w:r>
        <w:rPr>
          <w:rFonts w:cs="Times New Roman"/>
        </w:rPr>
        <w:br w:type="page"/>
      </w:r>
    </w:p>
    <w:p w14:paraId="250E8EDE" w14:textId="77777777" w:rsidR="009F4041" w:rsidRPr="00E40B05" w:rsidRDefault="009F4041" w:rsidP="009F4041">
      <w:pPr>
        <w:spacing w:after="0" w:line="240" w:lineRule="auto"/>
        <w:rPr>
          <w:rFonts w:cs="Times New Roman"/>
        </w:rPr>
      </w:pPr>
    </w:p>
    <w:p w14:paraId="3A8B9E02" w14:textId="77777777" w:rsidR="009F4041" w:rsidRPr="00C317F9" w:rsidRDefault="009F4041" w:rsidP="009F4041">
      <w:pPr>
        <w:pStyle w:val="ListParagraph"/>
        <w:ind w:left="360"/>
        <w:jc w:val="center"/>
        <w:rPr>
          <w:rFonts w:cs="Times New Roman"/>
        </w:rPr>
      </w:pPr>
      <w:r w:rsidRPr="00C317F9">
        <w:rPr>
          <w:rFonts w:cs="Times New Roman"/>
          <w:noProof/>
        </w:rPr>
        <w:drawing>
          <wp:inline distT="0" distB="0" distL="0" distR="0" wp14:anchorId="76226DE0" wp14:editId="21DE1AB2">
            <wp:extent cx="5201920" cy="3719195"/>
            <wp:effectExtent l="0" t="0" r="508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01920" cy="3719195"/>
                    </a:xfrm>
                    <a:prstGeom prst="rect">
                      <a:avLst/>
                    </a:prstGeom>
                  </pic:spPr>
                </pic:pic>
              </a:graphicData>
            </a:graphic>
          </wp:inline>
        </w:drawing>
      </w:r>
    </w:p>
    <w:p w14:paraId="193997E2" w14:textId="77777777" w:rsidR="009F4041" w:rsidRPr="00150691" w:rsidRDefault="009F4041" w:rsidP="009F4041">
      <w:pPr>
        <w:spacing w:after="0"/>
        <w:rPr>
          <w:rFonts w:cs="Times New Roman"/>
          <w:sz w:val="22"/>
        </w:rPr>
      </w:pPr>
      <w:r w:rsidRPr="00150691">
        <w:rPr>
          <w:rFonts w:cs="Times New Roman"/>
          <w:b/>
          <w:sz w:val="22"/>
        </w:rPr>
        <w:t>Appendix 1.2</w:t>
      </w:r>
      <w:r w:rsidRPr="00150691">
        <w:rPr>
          <w:rFonts w:cs="Times New Roman"/>
          <w:sz w:val="22"/>
        </w:rPr>
        <w:t xml:space="preserve"> </w:t>
      </w:r>
      <w:r w:rsidRPr="00150691">
        <w:rPr>
          <w:rFonts w:cs="Times New Roman"/>
          <w:sz w:val="22"/>
          <w:vertAlign w:val="superscript"/>
        </w:rPr>
        <w:t>1</w:t>
      </w:r>
      <w:r w:rsidRPr="00150691">
        <w:rPr>
          <w:rFonts w:cs="Times New Roman"/>
          <w:sz w:val="22"/>
        </w:rPr>
        <w:t xml:space="preserve">H NMR spectrum of 5-methoxy-2-(2-cyanoethyliminomethyl) phenol  (compound </w:t>
      </w:r>
      <w:r w:rsidRPr="00150691">
        <w:rPr>
          <w:rFonts w:cs="Times New Roman"/>
          <w:b/>
          <w:sz w:val="22"/>
        </w:rPr>
        <w:t>2b</w:t>
      </w:r>
      <w:r w:rsidRPr="00150691">
        <w:rPr>
          <w:rFonts w:cs="Times New Roman"/>
          <w:sz w:val="22"/>
        </w:rPr>
        <w:t>) in CDCl</w:t>
      </w:r>
      <w:r w:rsidRPr="00150691">
        <w:rPr>
          <w:rFonts w:cs="Times New Roman"/>
          <w:sz w:val="22"/>
          <w:vertAlign w:val="subscript"/>
        </w:rPr>
        <w:t>3</w:t>
      </w:r>
      <w:r>
        <w:rPr>
          <w:rFonts w:cs="Times New Roman"/>
          <w:sz w:val="22"/>
        </w:rPr>
        <w:t>.</w:t>
      </w:r>
    </w:p>
    <w:p w14:paraId="518474D2" w14:textId="77777777" w:rsidR="009F4041" w:rsidRDefault="009F4041" w:rsidP="009F4041">
      <w:pPr>
        <w:rPr>
          <w:rFonts w:cs="Times New Roman"/>
        </w:rPr>
      </w:pPr>
    </w:p>
    <w:p w14:paraId="61826D36" w14:textId="77777777" w:rsidR="009F4041" w:rsidRDefault="009F4041" w:rsidP="009F4041">
      <w:pPr>
        <w:rPr>
          <w:rFonts w:cs="Times New Roman"/>
        </w:rPr>
      </w:pPr>
    </w:p>
    <w:p w14:paraId="63A4910C" w14:textId="77777777" w:rsidR="009F4041" w:rsidRDefault="009F4041" w:rsidP="009F4041">
      <w:pPr>
        <w:rPr>
          <w:rFonts w:cs="Times New Roman"/>
        </w:rPr>
      </w:pPr>
    </w:p>
    <w:p w14:paraId="3B5D70CC" w14:textId="77777777" w:rsidR="009F4041" w:rsidRPr="00150691" w:rsidRDefault="009F4041" w:rsidP="009F4041">
      <w:pPr>
        <w:rPr>
          <w:rFonts w:cs="Times New Roman"/>
        </w:rPr>
      </w:pPr>
    </w:p>
    <w:p w14:paraId="0ABD0A1E" w14:textId="77777777" w:rsidR="009F4041" w:rsidRPr="00C317F9" w:rsidRDefault="009F4041" w:rsidP="009F4041">
      <w:pPr>
        <w:pStyle w:val="ListParagraph"/>
        <w:ind w:left="360"/>
        <w:rPr>
          <w:rFonts w:cs="Times New Roman"/>
        </w:rPr>
      </w:pPr>
    </w:p>
    <w:p w14:paraId="1139E9BB" w14:textId="77777777" w:rsidR="009F4041" w:rsidRPr="00B31F95" w:rsidRDefault="009F4041" w:rsidP="009F4041">
      <w:pPr>
        <w:rPr>
          <w:rFonts w:cs="Times New Roman"/>
        </w:rPr>
      </w:pPr>
      <w:r>
        <w:rPr>
          <w:rFonts w:cs="Times New Roman"/>
          <w:noProof/>
        </w:rPr>
        <w:lastRenderedPageBreak/>
        <w:drawing>
          <wp:inline distT="0" distB="0" distL="0" distR="0" wp14:anchorId="60B2E877" wp14:editId="4A8D1A36">
            <wp:extent cx="5201920" cy="285051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1ss10.jpeg"/>
                    <pic:cNvPicPr/>
                  </pic:nvPicPr>
                  <pic:blipFill>
                    <a:blip r:embed="rId63">
                      <a:extLst>
                        <a:ext uri="{28A0092B-C50C-407E-A947-70E740481C1C}">
                          <a14:useLocalDpi xmlns:a14="http://schemas.microsoft.com/office/drawing/2010/main" val="0"/>
                        </a:ext>
                      </a:extLst>
                    </a:blip>
                    <a:stretch>
                      <a:fillRect/>
                    </a:stretch>
                  </pic:blipFill>
                  <pic:spPr>
                    <a:xfrm>
                      <a:off x="0" y="0"/>
                      <a:ext cx="5201920" cy="2850515"/>
                    </a:xfrm>
                    <a:prstGeom prst="rect">
                      <a:avLst/>
                    </a:prstGeom>
                  </pic:spPr>
                </pic:pic>
              </a:graphicData>
            </a:graphic>
          </wp:inline>
        </w:drawing>
      </w:r>
    </w:p>
    <w:p w14:paraId="75C873B0" w14:textId="77777777" w:rsidR="009F4041" w:rsidRDefault="009F4041" w:rsidP="009F4041">
      <w:pPr>
        <w:spacing w:after="0"/>
        <w:rPr>
          <w:rFonts w:cs="Times New Roman"/>
          <w:sz w:val="22"/>
        </w:rPr>
      </w:pPr>
      <w:r w:rsidRPr="00150691">
        <w:rPr>
          <w:rFonts w:cs="Times New Roman"/>
          <w:b/>
          <w:sz w:val="22"/>
        </w:rPr>
        <w:t>Appendix 1.3</w:t>
      </w:r>
      <w:r w:rsidRPr="00150691">
        <w:rPr>
          <w:rFonts w:cs="Times New Roman"/>
          <w:sz w:val="22"/>
        </w:rPr>
        <w:t xml:space="preserve"> Single crystal x-ray structure of 5-methoxy-2-(2-cyanoethyliminomethyl) phenol (compound </w:t>
      </w:r>
      <w:r w:rsidRPr="00150691">
        <w:rPr>
          <w:rFonts w:cs="Times New Roman"/>
          <w:b/>
          <w:sz w:val="22"/>
        </w:rPr>
        <w:t>2b</w:t>
      </w:r>
      <w:r w:rsidRPr="00150691">
        <w:rPr>
          <w:rFonts w:cs="Times New Roman"/>
          <w:sz w:val="22"/>
        </w:rPr>
        <w:t>)</w:t>
      </w:r>
      <w:r>
        <w:rPr>
          <w:rFonts w:cs="Times New Roman"/>
          <w:sz w:val="22"/>
        </w:rPr>
        <w:t>.</w:t>
      </w:r>
    </w:p>
    <w:p w14:paraId="260B0F17" w14:textId="77777777" w:rsidR="009F4041" w:rsidRDefault="009F4041" w:rsidP="009F4041">
      <w:pPr>
        <w:spacing w:after="0"/>
        <w:rPr>
          <w:rFonts w:cs="Times New Roman"/>
          <w:sz w:val="22"/>
        </w:rPr>
      </w:pPr>
    </w:p>
    <w:p w14:paraId="114EAB6B" w14:textId="77777777" w:rsidR="009F4041" w:rsidRDefault="009F4041" w:rsidP="009F4041">
      <w:pPr>
        <w:spacing w:after="0"/>
        <w:rPr>
          <w:rFonts w:cs="Times New Roman"/>
          <w:sz w:val="22"/>
        </w:rPr>
      </w:pPr>
    </w:p>
    <w:p w14:paraId="1212D4FB" w14:textId="77777777" w:rsidR="009F4041" w:rsidRPr="00150691" w:rsidRDefault="009F4041" w:rsidP="009F4041">
      <w:pPr>
        <w:spacing w:after="0"/>
        <w:rPr>
          <w:rFonts w:cs="Times New Roman"/>
          <w:sz w:val="22"/>
        </w:rPr>
      </w:pPr>
    </w:p>
    <w:p w14:paraId="778161FE" w14:textId="77777777" w:rsidR="009F4041" w:rsidRDefault="009F4041" w:rsidP="009F4041">
      <w:pPr>
        <w:spacing w:after="0" w:line="240" w:lineRule="auto"/>
        <w:jc w:val="left"/>
        <w:rPr>
          <w:rFonts w:cs="Times New Roman"/>
        </w:rPr>
      </w:pPr>
    </w:p>
    <w:p w14:paraId="3999520C" w14:textId="77777777" w:rsidR="009F4041" w:rsidRPr="00C317F9" w:rsidRDefault="009F4041" w:rsidP="009F4041">
      <w:pPr>
        <w:rPr>
          <w:rFonts w:cs="Times New Roman"/>
        </w:rPr>
      </w:pPr>
      <w:r w:rsidRPr="00C317F9">
        <w:rPr>
          <w:rFonts w:cs="Times New Roman"/>
          <w:noProof/>
        </w:rPr>
        <w:lastRenderedPageBreak/>
        <w:drawing>
          <wp:inline distT="0" distB="0" distL="0" distR="0" wp14:anchorId="2233628F" wp14:editId="2858D2BB">
            <wp:extent cx="5201920" cy="44843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01920" cy="4484370"/>
                    </a:xfrm>
                    <a:prstGeom prst="rect">
                      <a:avLst/>
                    </a:prstGeom>
                  </pic:spPr>
                </pic:pic>
              </a:graphicData>
            </a:graphic>
          </wp:inline>
        </w:drawing>
      </w:r>
    </w:p>
    <w:p w14:paraId="49ED6B1A" w14:textId="77777777" w:rsidR="009F4041" w:rsidRPr="00150691" w:rsidRDefault="009F4041" w:rsidP="009F4041">
      <w:pPr>
        <w:spacing w:after="0"/>
        <w:rPr>
          <w:rFonts w:cs="Times New Roman"/>
          <w:sz w:val="22"/>
        </w:rPr>
      </w:pPr>
      <w:r w:rsidRPr="00150691">
        <w:rPr>
          <w:rFonts w:cs="Times New Roman"/>
          <w:b/>
          <w:sz w:val="22"/>
        </w:rPr>
        <w:t>Appendix 1.4</w:t>
      </w:r>
      <w:r w:rsidRPr="00150691">
        <w:rPr>
          <w:rFonts w:cs="Times New Roman"/>
          <w:sz w:val="22"/>
        </w:rPr>
        <w:t xml:space="preserve"> </w:t>
      </w:r>
      <w:r w:rsidRPr="00150691">
        <w:rPr>
          <w:rFonts w:cs="Times New Roman"/>
          <w:sz w:val="22"/>
          <w:vertAlign w:val="superscript"/>
        </w:rPr>
        <w:t>1</w:t>
      </w:r>
      <w:r w:rsidRPr="00150691">
        <w:rPr>
          <w:rFonts w:cs="Times New Roman"/>
          <w:sz w:val="22"/>
        </w:rPr>
        <w:t xml:space="preserve">H NMR spectrum of (6-tert-butyl-2-(2-cyanoethyliminomethyl) phenol (compound </w:t>
      </w:r>
      <w:r w:rsidRPr="00150691">
        <w:rPr>
          <w:rFonts w:cs="Times New Roman"/>
          <w:b/>
          <w:sz w:val="22"/>
        </w:rPr>
        <w:t>3b</w:t>
      </w:r>
      <w:r w:rsidRPr="00150691">
        <w:rPr>
          <w:rFonts w:cs="Times New Roman"/>
          <w:sz w:val="22"/>
        </w:rPr>
        <w:t>) in CDCl</w:t>
      </w:r>
      <w:r w:rsidRPr="00150691">
        <w:rPr>
          <w:rFonts w:cs="Times New Roman"/>
          <w:sz w:val="22"/>
          <w:vertAlign w:val="subscript"/>
        </w:rPr>
        <w:t>3</w:t>
      </w:r>
      <w:r>
        <w:rPr>
          <w:rFonts w:cs="Times New Roman"/>
          <w:sz w:val="22"/>
        </w:rPr>
        <w:t>.</w:t>
      </w:r>
    </w:p>
    <w:p w14:paraId="3432AEFF" w14:textId="77777777" w:rsidR="009F4041" w:rsidRPr="00325156" w:rsidRDefault="009F4041" w:rsidP="009F4041">
      <w:pPr>
        <w:spacing w:after="0"/>
        <w:jc w:val="center"/>
        <w:rPr>
          <w:rFonts w:cs="Times New Roman"/>
        </w:rPr>
      </w:pPr>
    </w:p>
    <w:p w14:paraId="17702B5B" w14:textId="77777777" w:rsidR="009F4041" w:rsidRDefault="009F4041" w:rsidP="009F4041">
      <w:pPr>
        <w:spacing w:after="0" w:line="240" w:lineRule="auto"/>
        <w:jc w:val="left"/>
        <w:rPr>
          <w:rFonts w:cs="Times New Roman"/>
        </w:rPr>
      </w:pPr>
    </w:p>
    <w:p w14:paraId="453BF6CF" w14:textId="77777777" w:rsidR="009F4041" w:rsidRDefault="009F4041" w:rsidP="009F4041">
      <w:pPr>
        <w:spacing w:after="0" w:line="240" w:lineRule="auto"/>
        <w:jc w:val="left"/>
        <w:rPr>
          <w:rFonts w:cs="Times New Roman"/>
        </w:rPr>
      </w:pPr>
    </w:p>
    <w:p w14:paraId="2878383F" w14:textId="77777777" w:rsidR="009F4041" w:rsidRDefault="009F4041" w:rsidP="009F4041">
      <w:pPr>
        <w:spacing w:after="0" w:line="240" w:lineRule="auto"/>
        <w:jc w:val="left"/>
        <w:rPr>
          <w:rFonts w:cs="Times New Roman"/>
        </w:rPr>
      </w:pPr>
    </w:p>
    <w:p w14:paraId="27128295" w14:textId="77777777" w:rsidR="009F4041" w:rsidRDefault="009F4041" w:rsidP="009F4041">
      <w:pPr>
        <w:spacing w:after="0" w:line="240" w:lineRule="auto"/>
        <w:jc w:val="left"/>
        <w:rPr>
          <w:rFonts w:cs="Times New Roman"/>
        </w:rPr>
      </w:pPr>
    </w:p>
    <w:p w14:paraId="0C2862BA" w14:textId="77777777" w:rsidR="009F4041" w:rsidRPr="00B31F95" w:rsidRDefault="009F4041" w:rsidP="009F4041">
      <w:pPr>
        <w:jc w:val="center"/>
        <w:rPr>
          <w:rFonts w:cs="Times New Roman"/>
        </w:rPr>
      </w:pPr>
      <w:r>
        <w:rPr>
          <w:rFonts w:cs="Times New Roman"/>
          <w:noProof/>
        </w:rPr>
        <w:lastRenderedPageBreak/>
        <w:drawing>
          <wp:inline distT="0" distB="0" distL="0" distR="0" wp14:anchorId="72990E0C" wp14:editId="74BCD273">
            <wp:extent cx="4794676" cy="3032567"/>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1SS11_a.jpeg"/>
                    <pic:cNvPicPr/>
                  </pic:nvPicPr>
                  <pic:blipFill rotWithShape="1">
                    <a:blip r:embed="rId65">
                      <a:extLst>
                        <a:ext uri="{28A0092B-C50C-407E-A947-70E740481C1C}">
                          <a14:useLocalDpi xmlns:a14="http://schemas.microsoft.com/office/drawing/2010/main" val="0"/>
                        </a:ext>
                      </a:extLst>
                    </a:blip>
                    <a:srcRect t="7420" b="8042"/>
                    <a:stretch/>
                  </pic:blipFill>
                  <pic:spPr bwMode="auto">
                    <a:xfrm>
                      <a:off x="0" y="0"/>
                      <a:ext cx="4819260" cy="3048116"/>
                    </a:xfrm>
                    <a:prstGeom prst="rect">
                      <a:avLst/>
                    </a:prstGeom>
                    <a:ln>
                      <a:noFill/>
                    </a:ln>
                    <a:extLst>
                      <a:ext uri="{53640926-AAD7-44D8-BBD7-CCE9431645EC}">
                        <a14:shadowObscured xmlns:a14="http://schemas.microsoft.com/office/drawing/2010/main"/>
                      </a:ext>
                    </a:extLst>
                  </pic:spPr>
                </pic:pic>
              </a:graphicData>
            </a:graphic>
          </wp:inline>
        </w:drawing>
      </w:r>
    </w:p>
    <w:p w14:paraId="04602FD3" w14:textId="77777777" w:rsidR="009F4041" w:rsidRPr="00150691" w:rsidRDefault="009F4041" w:rsidP="009F4041">
      <w:pPr>
        <w:spacing w:after="0"/>
        <w:rPr>
          <w:rFonts w:cs="Times New Roman"/>
          <w:sz w:val="22"/>
        </w:rPr>
      </w:pPr>
      <w:r w:rsidRPr="00150691">
        <w:rPr>
          <w:rFonts w:cs="Times New Roman"/>
          <w:b/>
          <w:sz w:val="22"/>
        </w:rPr>
        <w:t>Appendix 1.5</w:t>
      </w:r>
      <w:r w:rsidRPr="00150691">
        <w:rPr>
          <w:rFonts w:cs="Times New Roman"/>
          <w:sz w:val="22"/>
        </w:rPr>
        <w:t xml:space="preserve"> Single crystal x-ray structure of 6-</w:t>
      </w:r>
      <w:r w:rsidRPr="00150691">
        <w:rPr>
          <w:rFonts w:cs="Times New Roman"/>
          <w:i/>
          <w:sz w:val="22"/>
        </w:rPr>
        <w:t>tert-butyl</w:t>
      </w:r>
      <w:r w:rsidRPr="00150691">
        <w:rPr>
          <w:rFonts w:cs="Times New Roman"/>
          <w:sz w:val="22"/>
        </w:rPr>
        <w:t xml:space="preserve">-2-(2-cyanoethyl iminomethyl) phenol (compound </w:t>
      </w:r>
      <w:r w:rsidRPr="00150691">
        <w:rPr>
          <w:rFonts w:cs="Times New Roman"/>
          <w:b/>
          <w:sz w:val="22"/>
        </w:rPr>
        <w:t>3b</w:t>
      </w:r>
      <w:r w:rsidRPr="00150691">
        <w:rPr>
          <w:rFonts w:cs="Times New Roman"/>
          <w:sz w:val="22"/>
        </w:rPr>
        <w:t>)</w:t>
      </w:r>
      <w:r>
        <w:rPr>
          <w:rFonts w:cs="Times New Roman"/>
          <w:sz w:val="22"/>
        </w:rPr>
        <w:t>.</w:t>
      </w:r>
    </w:p>
    <w:p w14:paraId="7917523E" w14:textId="77777777" w:rsidR="009F4041" w:rsidRPr="00C317F9" w:rsidRDefault="009F4041" w:rsidP="009F4041">
      <w:pPr>
        <w:pStyle w:val="ListParagraph"/>
        <w:ind w:left="360"/>
        <w:rPr>
          <w:rFonts w:cs="Times New Roman"/>
        </w:rPr>
      </w:pPr>
    </w:p>
    <w:p w14:paraId="0EBB1541" w14:textId="77777777" w:rsidR="009F4041" w:rsidRDefault="009F4041" w:rsidP="009F4041">
      <w:pPr>
        <w:rPr>
          <w:rFonts w:cs="Times New Roman"/>
        </w:rPr>
      </w:pPr>
    </w:p>
    <w:p w14:paraId="3A2B147D" w14:textId="77777777" w:rsidR="009F4041" w:rsidRDefault="009F4041" w:rsidP="009F4041">
      <w:pPr>
        <w:rPr>
          <w:rFonts w:cs="Times New Roman"/>
        </w:rPr>
      </w:pPr>
    </w:p>
    <w:p w14:paraId="21BDC9E4" w14:textId="77777777" w:rsidR="009F4041" w:rsidRDefault="009F4041" w:rsidP="009F4041">
      <w:pPr>
        <w:rPr>
          <w:rFonts w:cs="Times New Roman"/>
        </w:rPr>
      </w:pPr>
    </w:p>
    <w:p w14:paraId="08F6F870" w14:textId="77777777" w:rsidR="009F4041" w:rsidRDefault="009F4041" w:rsidP="009F4041">
      <w:pPr>
        <w:rPr>
          <w:rFonts w:cs="Times New Roman"/>
        </w:rPr>
      </w:pPr>
    </w:p>
    <w:p w14:paraId="05A5948B" w14:textId="77777777" w:rsidR="009F4041" w:rsidRDefault="009F4041" w:rsidP="009F4041">
      <w:pPr>
        <w:rPr>
          <w:rFonts w:cs="Times New Roman"/>
        </w:rPr>
      </w:pPr>
    </w:p>
    <w:p w14:paraId="3C404049" w14:textId="77777777" w:rsidR="009F4041" w:rsidRDefault="009F4041" w:rsidP="009F4041">
      <w:pPr>
        <w:rPr>
          <w:rFonts w:cs="Times New Roman"/>
        </w:rPr>
      </w:pPr>
    </w:p>
    <w:p w14:paraId="07EEF54F" w14:textId="77777777" w:rsidR="009F4041" w:rsidRDefault="009F4041" w:rsidP="009F4041">
      <w:pPr>
        <w:rPr>
          <w:rFonts w:cs="Times New Roman"/>
        </w:rPr>
      </w:pPr>
    </w:p>
    <w:p w14:paraId="7545816E" w14:textId="77777777" w:rsidR="009F4041" w:rsidRDefault="009F4041" w:rsidP="009F4041">
      <w:pPr>
        <w:rPr>
          <w:rFonts w:cs="Times New Roman"/>
        </w:rPr>
      </w:pPr>
    </w:p>
    <w:p w14:paraId="06835FD6" w14:textId="77777777" w:rsidR="009F4041" w:rsidRDefault="009F4041" w:rsidP="009F4041">
      <w:pPr>
        <w:spacing w:after="0" w:line="240" w:lineRule="auto"/>
        <w:jc w:val="left"/>
        <w:rPr>
          <w:rFonts w:cs="Times New Roman"/>
        </w:rPr>
      </w:pPr>
    </w:p>
    <w:p w14:paraId="7900466B" w14:textId="77777777" w:rsidR="009F4041" w:rsidRDefault="009F4041" w:rsidP="009F4041">
      <w:pPr>
        <w:spacing w:after="0" w:line="240" w:lineRule="auto"/>
        <w:jc w:val="left"/>
        <w:rPr>
          <w:rFonts w:cs="Times New Roman"/>
        </w:rPr>
      </w:pPr>
    </w:p>
    <w:p w14:paraId="1A9A611F" w14:textId="77777777" w:rsidR="009F4041" w:rsidRDefault="009F4041" w:rsidP="009F4041">
      <w:pPr>
        <w:spacing w:after="0" w:line="240" w:lineRule="auto"/>
        <w:jc w:val="left"/>
        <w:rPr>
          <w:rFonts w:cs="Times New Roman"/>
        </w:rPr>
      </w:pPr>
    </w:p>
    <w:p w14:paraId="2F8CAB9E" w14:textId="77777777" w:rsidR="009F4041" w:rsidRDefault="009F4041" w:rsidP="009F4041">
      <w:pPr>
        <w:spacing w:after="0" w:line="240" w:lineRule="auto"/>
        <w:jc w:val="left"/>
        <w:rPr>
          <w:rFonts w:cs="Times New Roman"/>
        </w:rPr>
      </w:pPr>
    </w:p>
    <w:p w14:paraId="42A09F92" w14:textId="77777777" w:rsidR="009F4041" w:rsidRDefault="009F4041" w:rsidP="009F4041">
      <w:pPr>
        <w:spacing w:after="0" w:line="240" w:lineRule="auto"/>
        <w:jc w:val="left"/>
        <w:rPr>
          <w:rFonts w:cs="Times New Roman"/>
        </w:rPr>
      </w:pPr>
    </w:p>
    <w:p w14:paraId="27166F58" w14:textId="77777777" w:rsidR="009F4041" w:rsidRDefault="009F4041" w:rsidP="009F4041">
      <w:pPr>
        <w:spacing w:after="0" w:line="240" w:lineRule="auto"/>
        <w:jc w:val="left"/>
        <w:rPr>
          <w:rFonts w:cs="Times New Roman"/>
        </w:rPr>
      </w:pPr>
    </w:p>
    <w:p w14:paraId="22BA4B80" w14:textId="77777777" w:rsidR="009F4041" w:rsidRDefault="009F4041" w:rsidP="009F4041">
      <w:pPr>
        <w:spacing w:after="0" w:line="240" w:lineRule="auto"/>
        <w:jc w:val="left"/>
        <w:rPr>
          <w:rFonts w:cs="Times New Roman"/>
        </w:rPr>
      </w:pPr>
    </w:p>
    <w:p w14:paraId="5FEF40BE" w14:textId="77777777" w:rsidR="009F4041" w:rsidRDefault="009F4041" w:rsidP="009F4041">
      <w:pPr>
        <w:spacing w:after="0" w:line="240" w:lineRule="auto"/>
        <w:jc w:val="left"/>
        <w:rPr>
          <w:rFonts w:cs="Times New Roman"/>
        </w:rPr>
      </w:pPr>
    </w:p>
    <w:p w14:paraId="7893B1A8" w14:textId="77777777" w:rsidR="009F4041" w:rsidRDefault="009F4041" w:rsidP="009F4041">
      <w:pPr>
        <w:spacing w:after="0" w:line="240" w:lineRule="auto"/>
        <w:jc w:val="left"/>
        <w:rPr>
          <w:rFonts w:cs="Times New Roman"/>
        </w:rPr>
      </w:pPr>
    </w:p>
    <w:p w14:paraId="551364CE" w14:textId="77777777" w:rsidR="009F4041" w:rsidRPr="00C317F9" w:rsidRDefault="009F4041" w:rsidP="009F4041">
      <w:pPr>
        <w:rPr>
          <w:rFonts w:cs="Times New Roman"/>
        </w:rPr>
      </w:pPr>
      <w:r w:rsidRPr="00C317F9">
        <w:rPr>
          <w:rFonts w:cs="Times New Roman"/>
          <w:noProof/>
        </w:rPr>
        <w:lastRenderedPageBreak/>
        <w:drawing>
          <wp:inline distT="0" distB="0" distL="0" distR="0" wp14:anchorId="0AE27BCB" wp14:editId="2DB3D185">
            <wp:extent cx="5201920" cy="3719195"/>
            <wp:effectExtent l="0" t="0" r="508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01920" cy="3719195"/>
                    </a:xfrm>
                    <a:prstGeom prst="rect">
                      <a:avLst/>
                    </a:prstGeom>
                  </pic:spPr>
                </pic:pic>
              </a:graphicData>
            </a:graphic>
          </wp:inline>
        </w:drawing>
      </w:r>
    </w:p>
    <w:p w14:paraId="640F0687" w14:textId="77777777" w:rsidR="009F4041" w:rsidRPr="00150691" w:rsidRDefault="009F4041" w:rsidP="009F4041">
      <w:pPr>
        <w:spacing w:after="0"/>
        <w:rPr>
          <w:rFonts w:cs="Times New Roman"/>
          <w:sz w:val="22"/>
        </w:rPr>
      </w:pPr>
      <w:r w:rsidRPr="00150691">
        <w:rPr>
          <w:rFonts w:cs="Times New Roman"/>
          <w:b/>
          <w:sz w:val="22"/>
        </w:rPr>
        <w:t>Appendix 1.6</w:t>
      </w:r>
      <w:r w:rsidRPr="00150691">
        <w:rPr>
          <w:rFonts w:cs="Times New Roman"/>
          <w:sz w:val="22"/>
        </w:rPr>
        <w:t xml:space="preserve"> </w:t>
      </w:r>
      <w:r w:rsidRPr="00150691">
        <w:rPr>
          <w:rFonts w:cs="Times New Roman"/>
          <w:sz w:val="22"/>
          <w:vertAlign w:val="superscript"/>
        </w:rPr>
        <w:t>1</w:t>
      </w:r>
      <w:r w:rsidRPr="00150691">
        <w:rPr>
          <w:rFonts w:cs="Times New Roman"/>
          <w:sz w:val="22"/>
        </w:rPr>
        <w:t xml:space="preserve">H NMR spectrum of 4-nitro-2-(2-cyanoethyliminomethyl) phenol (compound </w:t>
      </w:r>
      <w:r w:rsidRPr="00150691">
        <w:rPr>
          <w:rFonts w:cs="Times New Roman"/>
          <w:b/>
          <w:sz w:val="22"/>
        </w:rPr>
        <w:t>4b</w:t>
      </w:r>
      <w:r w:rsidRPr="00150691">
        <w:rPr>
          <w:rFonts w:cs="Times New Roman"/>
          <w:sz w:val="22"/>
        </w:rPr>
        <w:t>) in CDCl</w:t>
      </w:r>
      <w:r w:rsidRPr="00150691">
        <w:rPr>
          <w:rFonts w:cs="Times New Roman"/>
          <w:sz w:val="22"/>
          <w:vertAlign w:val="subscript"/>
        </w:rPr>
        <w:t>3</w:t>
      </w:r>
      <w:r>
        <w:rPr>
          <w:rFonts w:cs="Times New Roman"/>
          <w:sz w:val="22"/>
        </w:rPr>
        <w:t>.</w:t>
      </w:r>
    </w:p>
    <w:p w14:paraId="2F7A6520" w14:textId="77777777" w:rsidR="009F4041" w:rsidRDefault="009F4041" w:rsidP="009F4041">
      <w:pPr>
        <w:spacing w:after="0"/>
        <w:rPr>
          <w:rFonts w:cs="Times New Roman"/>
          <w:sz w:val="22"/>
        </w:rPr>
      </w:pPr>
    </w:p>
    <w:p w14:paraId="05864EAD" w14:textId="77777777" w:rsidR="009F4041" w:rsidRDefault="009F4041" w:rsidP="009F4041">
      <w:pPr>
        <w:spacing w:after="0"/>
        <w:rPr>
          <w:rFonts w:cs="Times New Roman"/>
          <w:sz w:val="22"/>
        </w:rPr>
      </w:pPr>
    </w:p>
    <w:p w14:paraId="0C84F25B" w14:textId="77777777" w:rsidR="009F4041" w:rsidRDefault="009F4041" w:rsidP="009F4041">
      <w:pPr>
        <w:spacing w:after="0"/>
        <w:rPr>
          <w:rFonts w:cs="Times New Roman"/>
          <w:sz w:val="22"/>
        </w:rPr>
      </w:pPr>
    </w:p>
    <w:p w14:paraId="635246AD" w14:textId="77777777" w:rsidR="009F4041" w:rsidRDefault="009F4041" w:rsidP="009F4041">
      <w:pPr>
        <w:spacing w:after="0"/>
        <w:rPr>
          <w:rFonts w:cs="Times New Roman"/>
          <w:sz w:val="22"/>
        </w:rPr>
      </w:pPr>
    </w:p>
    <w:p w14:paraId="666E4ED6" w14:textId="77777777" w:rsidR="009F4041" w:rsidRDefault="009F4041" w:rsidP="009F4041">
      <w:pPr>
        <w:spacing w:after="0"/>
        <w:rPr>
          <w:rFonts w:cs="Times New Roman"/>
          <w:sz w:val="22"/>
        </w:rPr>
      </w:pPr>
    </w:p>
    <w:p w14:paraId="30D3487A" w14:textId="77777777" w:rsidR="009F4041" w:rsidRDefault="009F4041" w:rsidP="009F4041">
      <w:pPr>
        <w:spacing w:after="0"/>
        <w:rPr>
          <w:rFonts w:cs="Times New Roman"/>
          <w:sz w:val="22"/>
        </w:rPr>
      </w:pPr>
    </w:p>
    <w:p w14:paraId="349036E7" w14:textId="77777777" w:rsidR="009F4041" w:rsidRDefault="009F4041" w:rsidP="009F4041">
      <w:pPr>
        <w:spacing w:after="0"/>
        <w:rPr>
          <w:rFonts w:cs="Times New Roman"/>
          <w:sz w:val="22"/>
        </w:rPr>
      </w:pPr>
    </w:p>
    <w:p w14:paraId="1B9719CE" w14:textId="77777777" w:rsidR="009F4041" w:rsidRDefault="009F4041" w:rsidP="009F4041">
      <w:pPr>
        <w:spacing w:after="0"/>
        <w:rPr>
          <w:rFonts w:cs="Times New Roman"/>
          <w:sz w:val="22"/>
        </w:rPr>
      </w:pPr>
    </w:p>
    <w:p w14:paraId="0EC5BE2B" w14:textId="77777777" w:rsidR="009F4041" w:rsidRDefault="009F4041" w:rsidP="009F4041">
      <w:pPr>
        <w:spacing w:after="0"/>
        <w:rPr>
          <w:rFonts w:cs="Times New Roman"/>
          <w:sz w:val="22"/>
        </w:rPr>
      </w:pPr>
    </w:p>
    <w:p w14:paraId="531D324A" w14:textId="77777777" w:rsidR="009F4041" w:rsidRDefault="009F4041" w:rsidP="009F4041">
      <w:pPr>
        <w:spacing w:after="0"/>
        <w:rPr>
          <w:rFonts w:cs="Times New Roman"/>
          <w:sz w:val="22"/>
        </w:rPr>
      </w:pPr>
    </w:p>
    <w:p w14:paraId="221F2357" w14:textId="77777777" w:rsidR="009F4041" w:rsidRDefault="009F4041" w:rsidP="009F4041">
      <w:pPr>
        <w:spacing w:after="0"/>
        <w:rPr>
          <w:rFonts w:cs="Times New Roman"/>
          <w:sz w:val="22"/>
        </w:rPr>
      </w:pPr>
    </w:p>
    <w:p w14:paraId="1F9B8E02" w14:textId="77777777" w:rsidR="009F4041" w:rsidRDefault="009F4041" w:rsidP="009F4041">
      <w:pPr>
        <w:spacing w:after="0"/>
        <w:rPr>
          <w:rFonts w:cs="Times New Roman"/>
          <w:sz w:val="22"/>
        </w:rPr>
      </w:pPr>
    </w:p>
    <w:p w14:paraId="2DA3AE8E" w14:textId="77777777" w:rsidR="009F4041" w:rsidRDefault="009F4041" w:rsidP="009F4041">
      <w:pPr>
        <w:spacing w:after="0"/>
        <w:rPr>
          <w:rFonts w:cs="Times New Roman"/>
          <w:sz w:val="22"/>
        </w:rPr>
      </w:pPr>
    </w:p>
    <w:p w14:paraId="7B6C5087" w14:textId="77777777" w:rsidR="009F4041" w:rsidRDefault="009F4041" w:rsidP="009F4041">
      <w:pPr>
        <w:spacing w:after="0"/>
        <w:rPr>
          <w:rFonts w:cs="Times New Roman"/>
          <w:sz w:val="22"/>
        </w:rPr>
      </w:pPr>
    </w:p>
    <w:p w14:paraId="055A4E2C" w14:textId="77777777" w:rsidR="009F4041" w:rsidRDefault="009F4041" w:rsidP="009F4041">
      <w:pPr>
        <w:spacing w:after="0"/>
        <w:rPr>
          <w:rFonts w:cs="Times New Roman"/>
          <w:sz w:val="22"/>
        </w:rPr>
      </w:pPr>
    </w:p>
    <w:p w14:paraId="74759CA9" w14:textId="77777777" w:rsidR="009F4041" w:rsidRDefault="009F4041" w:rsidP="009F4041">
      <w:pPr>
        <w:spacing w:after="0"/>
        <w:rPr>
          <w:rFonts w:cs="Times New Roman"/>
          <w:sz w:val="22"/>
        </w:rPr>
      </w:pPr>
    </w:p>
    <w:p w14:paraId="5F0805D0" w14:textId="77777777" w:rsidR="009F4041" w:rsidRPr="00150691" w:rsidRDefault="009F4041" w:rsidP="009F4041">
      <w:pPr>
        <w:spacing w:after="0"/>
        <w:rPr>
          <w:rFonts w:cs="Times New Roman"/>
          <w:sz w:val="22"/>
        </w:rPr>
      </w:pPr>
    </w:p>
    <w:p w14:paraId="51D3F7AB" w14:textId="77777777" w:rsidR="009F4041" w:rsidRPr="00C317F9" w:rsidRDefault="009F4041" w:rsidP="009F4041">
      <w:pPr>
        <w:pStyle w:val="ListParagraph"/>
        <w:ind w:left="360"/>
        <w:rPr>
          <w:rFonts w:cs="Times New Roman"/>
        </w:rPr>
      </w:pPr>
    </w:p>
    <w:p w14:paraId="4BD145AB" w14:textId="77777777" w:rsidR="009F4041" w:rsidRDefault="009F4041" w:rsidP="009F4041">
      <w:pPr>
        <w:rPr>
          <w:rFonts w:cs="Times New Roman"/>
        </w:rPr>
      </w:pPr>
      <w:r>
        <w:rPr>
          <w:rFonts w:cs="Times New Roman"/>
          <w:noProof/>
        </w:rPr>
        <w:lastRenderedPageBreak/>
        <w:drawing>
          <wp:inline distT="0" distB="0" distL="0" distR="0" wp14:anchorId="6679ACB0" wp14:editId="64E2BFD1">
            <wp:extent cx="5201920" cy="2378075"/>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1sskm1_0m_a.jpeg"/>
                    <pic:cNvPicPr/>
                  </pic:nvPicPr>
                  <pic:blipFill>
                    <a:blip r:embed="rId67">
                      <a:extLst>
                        <a:ext uri="{28A0092B-C50C-407E-A947-70E740481C1C}">
                          <a14:useLocalDpi xmlns:a14="http://schemas.microsoft.com/office/drawing/2010/main" val="0"/>
                        </a:ext>
                      </a:extLst>
                    </a:blip>
                    <a:stretch>
                      <a:fillRect/>
                    </a:stretch>
                  </pic:blipFill>
                  <pic:spPr>
                    <a:xfrm>
                      <a:off x="0" y="0"/>
                      <a:ext cx="5201920" cy="2378075"/>
                    </a:xfrm>
                    <a:prstGeom prst="rect">
                      <a:avLst/>
                    </a:prstGeom>
                  </pic:spPr>
                </pic:pic>
              </a:graphicData>
            </a:graphic>
          </wp:inline>
        </w:drawing>
      </w:r>
    </w:p>
    <w:p w14:paraId="366A9633" w14:textId="77777777" w:rsidR="009F4041" w:rsidRDefault="009F4041" w:rsidP="009F4041">
      <w:pPr>
        <w:rPr>
          <w:rFonts w:cs="Times New Roman"/>
        </w:rPr>
      </w:pPr>
      <w:r w:rsidRPr="00150691">
        <w:rPr>
          <w:rFonts w:cs="Times New Roman"/>
          <w:b/>
          <w:sz w:val="22"/>
        </w:rPr>
        <w:t>Appendix 1.</w:t>
      </w:r>
      <w:r>
        <w:rPr>
          <w:rFonts w:cs="Times New Roman"/>
          <w:b/>
          <w:sz w:val="22"/>
        </w:rPr>
        <w:t>7</w:t>
      </w:r>
      <w:r w:rsidRPr="00150691">
        <w:rPr>
          <w:rFonts w:cs="Times New Roman"/>
          <w:sz w:val="22"/>
        </w:rPr>
        <w:t xml:space="preserve"> Single crystal x-ray structure of 4-nitro-2-(2-cyanoethyliminomethyl) phenol (compound </w:t>
      </w:r>
      <w:r w:rsidRPr="00150691">
        <w:rPr>
          <w:rFonts w:cs="Times New Roman"/>
          <w:b/>
          <w:sz w:val="22"/>
        </w:rPr>
        <w:t>4b</w:t>
      </w:r>
      <w:r w:rsidRPr="00150691">
        <w:rPr>
          <w:rFonts w:cs="Times New Roman"/>
          <w:sz w:val="22"/>
        </w:rPr>
        <w:t>)</w:t>
      </w:r>
      <w:r>
        <w:rPr>
          <w:rFonts w:cs="Times New Roman"/>
          <w:sz w:val="22"/>
        </w:rPr>
        <w:t>.</w:t>
      </w:r>
    </w:p>
    <w:p w14:paraId="3210FDA4" w14:textId="77777777" w:rsidR="009F4041" w:rsidRDefault="009F4041" w:rsidP="009F4041">
      <w:pPr>
        <w:rPr>
          <w:rFonts w:cs="Times New Roman"/>
        </w:rPr>
      </w:pPr>
    </w:p>
    <w:p w14:paraId="50DF519F" w14:textId="77777777" w:rsidR="009F4041" w:rsidRDefault="009F4041" w:rsidP="009F4041">
      <w:pPr>
        <w:rPr>
          <w:rFonts w:cs="Times New Roman"/>
        </w:rPr>
      </w:pPr>
    </w:p>
    <w:p w14:paraId="224B20D2" w14:textId="77777777" w:rsidR="009F4041" w:rsidRDefault="009F4041" w:rsidP="009F4041">
      <w:pPr>
        <w:rPr>
          <w:rFonts w:cs="Times New Roman"/>
        </w:rPr>
      </w:pPr>
    </w:p>
    <w:p w14:paraId="3736ECE2" w14:textId="77777777" w:rsidR="009F4041" w:rsidRDefault="009F4041" w:rsidP="009F4041">
      <w:pPr>
        <w:rPr>
          <w:rFonts w:cs="Times New Roman"/>
        </w:rPr>
      </w:pPr>
    </w:p>
    <w:p w14:paraId="512A76B6" w14:textId="77777777" w:rsidR="009F4041" w:rsidRDefault="009F4041" w:rsidP="009F4041">
      <w:pPr>
        <w:rPr>
          <w:rFonts w:cs="Times New Roman"/>
        </w:rPr>
      </w:pPr>
    </w:p>
    <w:p w14:paraId="65191170" w14:textId="77777777" w:rsidR="009F4041" w:rsidRDefault="009F4041" w:rsidP="009F4041">
      <w:pPr>
        <w:rPr>
          <w:rFonts w:cs="Times New Roman"/>
        </w:rPr>
      </w:pPr>
    </w:p>
    <w:p w14:paraId="0DBED00E" w14:textId="77777777" w:rsidR="009F4041" w:rsidRDefault="009F4041" w:rsidP="009F4041">
      <w:pPr>
        <w:rPr>
          <w:rFonts w:cs="Times New Roman"/>
        </w:rPr>
      </w:pPr>
    </w:p>
    <w:p w14:paraId="6C405ECF" w14:textId="77777777" w:rsidR="009F4041" w:rsidRDefault="009F4041" w:rsidP="009F4041">
      <w:pPr>
        <w:rPr>
          <w:rFonts w:cs="Times New Roman"/>
        </w:rPr>
      </w:pPr>
    </w:p>
    <w:p w14:paraId="7C820E1A" w14:textId="77777777" w:rsidR="009F4041" w:rsidRPr="00C317F9" w:rsidRDefault="009F4041" w:rsidP="009F4041">
      <w:pPr>
        <w:rPr>
          <w:rFonts w:cs="Times New Roman"/>
        </w:rPr>
      </w:pPr>
      <w:r w:rsidRPr="00C317F9">
        <w:rPr>
          <w:rFonts w:cs="Times New Roman"/>
          <w:noProof/>
        </w:rPr>
        <w:lastRenderedPageBreak/>
        <w:drawing>
          <wp:inline distT="0" distB="0" distL="0" distR="0" wp14:anchorId="69E593A2" wp14:editId="275D9E78">
            <wp:extent cx="5201920" cy="3982085"/>
            <wp:effectExtent l="0" t="0" r="508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01920" cy="3982085"/>
                    </a:xfrm>
                    <a:prstGeom prst="rect">
                      <a:avLst/>
                    </a:prstGeom>
                  </pic:spPr>
                </pic:pic>
              </a:graphicData>
            </a:graphic>
          </wp:inline>
        </w:drawing>
      </w:r>
    </w:p>
    <w:p w14:paraId="2463F2A9" w14:textId="77777777" w:rsidR="009F4041" w:rsidRDefault="009F4041" w:rsidP="009F4041">
      <w:pPr>
        <w:rPr>
          <w:rFonts w:cs="Times New Roman"/>
          <w:sz w:val="22"/>
        </w:rPr>
      </w:pPr>
      <w:r w:rsidRPr="00150691">
        <w:rPr>
          <w:rFonts w:cs="Times New Roman"/>
          <w:b/>
          <w:sz w:val="22"/>
        </w:rPr>
        <w:t>Appendix 1</w:t>
      </w:r>
      <w:r>
        <w:rPr>
          <w:rFonts w:cs="Times New Roman"/>
          <w:b/>
          <w:sz w:val="22"/>
        </w:rPr>
        <w:t>.8</w:t>
      </w:r>
      <w:r w:rsidRPr="00150691">
        <w:rPr>
          <w:rFonts w:cs="Times New Roman"/>
          <w:sz w:val="22"/>
        </w:rPr>
        <w:t xml:space="preserve"> </w:t>
      </w:r>
      <w:r w:rsidRPr="00150691">
        <w:rPr>
          <w:rFonts w:cs="Times New Roman"/>
          <w:sz w:val="22"/>
          <w:vertAlign w:val="superscript"/>
        </w:rPr>
        <w:t>1</w:t>
      </w:r>
      <w:r w:rsidRPr="00150691">
        <w:rPr>
          <w:rFonts w:cs="Times New Roman"/>
          <w:sz w:val="22"/>
        </w:rPr>
        <w:t xml:space="preserve">H NMR spectrum of 6-methoxy-2-(2-cyanoethyliminomethyl) phenol (compound </w:t>
      </w:r>
      <w:r w:rsidRPr="00150691">
        <w:rPr>
          <w:rFonts w:cs="Times New Roman"/>
          <w:b/>
          <w:sz w:val="22"/>
        </w:rPr>
        <w:t>5b</w:t>
      </w:r>
      <w:r w:rsidRPr="00150691">
        <w:rPr>
          <w:rFonts w:cs="Times New Roman"/>
          <w:sz w:val="22"/>
        </w:rPr>
        <w:t>) in CDCl</w:t>
      </w:r>
      <w:r w:rsidRPr="00150691">
        <w:rPr>
          <w:rFonts w:cs="Times New Roman"/>
          <w:sz w:val="22"/>
          <w:vertAlign w:val="subscript"/>
        </w:rPr>
        <w:t>3</w:t>
      </w:r>
      <w:r>
        <w:rPr>
          <w:rFonts w:cs="Times New Roman"/>
          <w:sz w:val="22"/>
        </w:rPr>
        <w:t>.</w:t>
      </w:r>
    </w:p>
    <w:p w14:paraId="2960F092" w14:textId="77777777" w:rsidR="009F4041" w:rsidRDefault="009F4041" w:rsidP="009F4041">
      <w:pPr>
        <w:rPr>
          <w:rFonts w:cs="Times New Roman"/>
          <w:sz w:val="22"/>
        </w:rPr>
      </w:pPr>
    </w:p>
    <w:p w14:paraId="06F9ED34" w14:textId="77777777" w:rsidR="009F4041" w:rsidRDefault="009F4041" w:rsidP="009F4041">
      <w:pPr>
        <w:rPr>
          <w:rFonts w:cs="Times New Roman"/>
          <w:sz w:val="22"/>
        </w:rPr>
      </w:pPr>
    </w:p>
    <w:p w14:paraId="3D0DA767" w14:textId="77777777" w:rsidR="009F4041" w:rsidRDefault="009F4041" w:rsidP="009F4041">
      <w:pPr>
        <w:rPr>
          <w:rFonts w:cs="Times New Roman"/>
          <w:sz w:val="22"/>
        </w:rPr>
      </w:pPr>
    </w:p>
    <w:p w14:paraId="4FDBE725" w14:textId="77777777" w:rsidR="009F4041" w:rsidRDefault="009F4041" w:rsidP="009F4041">
      <w:pPr>
        <w:rPr>
          <w:rFonts w:cs="Times New Roman"/>
          <w:sz w:val="22"/>
        </w:rPr>
      </w:pPr>
    </w:p>
    <w:p w14:paraId="423F5048" w14:textId="77777777" w:rsidR="009F4041" w:rsidRDefault="009F4041" w:rsidP="009F4041">
      <w:pPr>
        <w:rPr>
          <w:rFonts w:cs="Times New Roman"/>
          <w:sz w:val="22"/>
        </w:rPr>
      </w:pPr>
    </w:p>
    <w:p w14:paraId="11F7ABD5" w14:textId="77777777" w:rsidR="009F4041" w:rsidRDefault="009F4041" w:rsidP="009F4041">
      <w:pPr>
        <w:rPr>
          <w:rFonts w:cs="Times New Roman"/>
          <w:sz w:val="22"/>
        </w:rPr>
      </w:pPr>
    </w:p>
    <w:p w14:paraId="6587BD67" w14:textId="77777777" w:rsidR="009F4041" w:rsidRDefault="009F4041" w:rsidP="009F4041">
      <w:pPr>
        <w:rPr>
          <w:rFonts w:cs="Times New Roman"/>
          <w:sz w:val="22"/>
        </w:rPr>
      </w:pPr>
    </w:p>
    <w:p w14:paraId="237A0D02" w14:textId="77777777" w:rsidR="009F4041" w:rsidRDefault="009F4041" w:rsidP="009F4041">
      <w:pPr>
        <w:rPr>
          <w:rFonts w:cs="Times New Roman"/>
          <w:sz w:val="22"/>
        </w:rPr>
      </w:pPr>
    </w:p>
    <w:p w14:paraId="1C51D17B" w14:textId="77777777" w:rsidR="009F4041" w:rsidRDefault="009F4041" w:rsidP="009F4041">
      <w:pPr>
        <w:rPr>
          <w:rFonts w:cs="Times New Roman"/>
          <w:sz w:val="22"/>
        </w:rPr>
      </w:pPr>
    </w:p>
    <w:p w14:paraId="09DE27AA" w14:textId="77777777" w:rsidR="009F4041" w:rsidRDefault="009F4041" w:rsidP="009F4041">
      <w:pPr>
        <w:rPr>
          <w:rFonts w:cs="Times New Roman"/>
          <w:sz w:val="22"/>
        </w:rPr>
      </w:pPr>
    </w:p>
    <w:p w14:paraId="2AA45F47" w14:textId="77777777" w:rsidR="009F4041" w:rsidRDefault="009F4041" w:rsidP="009F4041">
      <w:pPr>
        <w:rPr>
          <w:rFonts w:cs="Times New Roman"/>
          <w:sz w:val="22"/>
        </w:rPr>
      </w:pPr>
    </w:p>
    <w:p w14:paraId="7EE7FB4F" w14:textId="77777777" w:rsidR="009F4041" w:rsidRDefault="009F4041" w:rsidP="009F4041">
      <w:pPr>
        <w:rPr>
          <w:rFonts w:cs="Times New Roman"/>
          <w:sz w:val="22"/>
        </w:rPr>
      </w:pPr>
    </w:p>
    <w:p w14:paraId="24A101B5" w14:textId="77777777" w:rsidR="009F4041" w:rsidRDefault="009F4041" w:rsidP="009F4041">
      <w:pPr>
        <w:rPr>
          <w:rFonts w:cs="Times New Roman"/>
          <w:sz w:val="22"/>
        </w:rPr>
      </w:pPr>
    </w:p>
    <w:p w14:paraId="4FCB47E8" w14:textId="77777777" w:rsidR="009F4041" w:rsidRPr="00C317F9" w:rsidRDefault="009F4041" w:rsidP="009F4041">
      <w:pPr>
        <w:rPr>
          <w:rFonts w:cs="Times New Roman"/>
        </w:rPr>
      </w:pPr>
      <w:r>
        <w:rPr>
          <w:rFonts w:cs="Times New Roman"/>
          <w:noProof/>
        </w:rPr>
        <w:lastRenderedPageBreak/>
        <w:drawing>
          <wp:inline distT="0" distB="0" distL="0" distR="0" wp14:anchorId="4D953BA8" wp14:editId="711E829B">
            <wp:extent cx="5201920" cy="2378075"/>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1sskm1_0m_a.jpeg"/>
                    <pic:cNvPicPr/>
                  </pic:nvPicPr>
                  <pic:blipFill>
                    <a:blip r:embed="rId67">
                      <a:extLst>
                        <a:ext uri="{28A0092B-C50C-407E-A947-70E740481C1C}">
                          <a14:useLocalDpi xmlns:a14="http://schemas.microsoft.com/office/drawing/2010/main" val="0"/>
                        </a:ext>
                      </a:extLst>
                    </a:blip>
                    <a:stretch>
                      <a:fillRect/>
                    </a:stretch>
                  </pic:blipFill>
                  <pic:spPr>
                    <a:xfrm>
                      <a:off x="0" y="0"/>
                      <a:ext cx="5201920" cy="2378075"/>
                    </a:xfrm>
                    <a:prstGeom prst="rect">
                      <a:avLst/>
                    </a:prstGeom>
                  </pic:spPr>
                </pic:pic>
              </a:graphicData>
            </a:graphic>
          </wp:inline>
        </w:drawing>
      </w:r>
    </w:p>
    <w:p w14:paraId="4492703D" w14:textId="77777777" w:rsidR="009F4041" w:rsidRDefault="009F4041" w:rsidP="009F4041">
      <w:pPr>
        <w:rPr>
          <w:rFonts w:cs="Times New Roman"/>
          <w:sz w:val="22"/>
        </w:rPr>
      </w:pPr>
      <w:r w:rsidRPr="00150691">
        <w:rPr>
          <w:rFonts w:cs="Times New Roman"/>
          <w:b/>
          <w:sz w:val="22"/>
        </w:rPr>
        <w:t>Appendix 1.</w:t>
      </w:r>
      <w:r>
        <w:rPr>
          <w:rFonts w:cs="Times New Roman"/>
          <w:b/>
          <w:sz w:val="22"/>
        </w:rPr>
        <w:t>9</w:t>
      </w:r>
      <w:r w:rsidRPr="00150691">
        <w:rPr>
          <w:rFonts w:cs="Times New Roman"/>
          <w:sz w:val="22"/>
        </w:rPr>
        <w:t xml:space="preserve"> Single crystal x-ray structure of 6-methoxy-2-(2-cyanoethyliminomethyl) phenol (compound </w:t>
      </w:r>
      <w:r w:rsidRPr="00150691">
        <w:rPr>
          <w:rFonts w:cs="Times New Roman"/>
          <w:b/>
          <w:sz w:val="22"/>
        </w:rPr>
        <w:t>5b</w:t>
      </w:r>
      <w:r w:rsidRPr="00150691">
        <w:rPr>
          <w:rFonts w:cs="Times New Roman"/>
          <w:sz w:val="22"/>
        </w:rPr>
        <w:t>)</w:t>
      </w:r>
      <w:r>
        <w:rPr>
          <w:rFonts w:cs="Times New Roman"/>
          <w:sz w:val="22"/>
        </w:rPr>
        <w:t>.</w:t>
      </w:r>
    </w:p>
    <w:p w14:paraId="40E8AFA6" w14:textId="77777777" w:rsidR="009F4041" w:rsidRDefault="009F4041" w:rsidP="009F4041">
      <w:pPr>
        <w:spacing w:after="0" w:line="240" w:lineRule="auto"/>
        <w:jc w:val="left"/>
        <w:rPr>
          <w:rFonts w:cs="Times New Roman"/>
          <w:sz w:val="22"/>
        </w:rPr>
      </w:pPr>
      <w:r>
        <w:rPr>
          <w:rFonts w:cs="Times New Roman"/>
          <w:sz w:val="22"/>
        </w:rPr>
        <w:br w:type="page"/>
      </w:r>
    </w:p>
    <w:p w14:paraId="39A744D4" w14:textId="6AD55700" w:rsidR="009F4041" w:rsidRDefault="009F4041" w:rsidP="009F4041">
      <w:pPr>
        <w:rPr>
          <w:rFonts w:cs="Times New Roman"/>
          <w:sz w:val="22"/>
        </w:rPr>
      </w:pPr>
      <w:r w:rsidRPr="00150691">
        <w:rPr>
          <w:rFonts w:cs="Times New Roman"/>
          <w:b/>
          <w:sz w:val="22"/>
        </w:rPr>
        <w:lastRenderedPageBreak/>
        <w:t>Appendix 1.</w:t>
      </w:r>
      <w:r>
        <w:rPr>
          <w:rFonts w:cs="Times New Roman"/>
          <w:b/>
          <w:sz w:val="22"/>
        </w:rPr>
        <w:t>10</w:t>
      </w:r>
      <w:r w:rsidRPr="00150691">
        <w:rPr>
          <w:rFonts w:cs="Times New Roman"/>
          <w:sz w:val="22"/>
        </w:rPr>
        <w:t xml:space="preserve"> </w:t>
      </w:r>
      <w:r>
        <w:rPr>
          <w:rFonts w:cs="Times New Roman"/>
          <w:sz w:val="22"/>
        </w:rPr>
        <w:t>Hydrogen bond tables from single crystal X-ray structure analysis of the synthesised prodrugs.</w:t>
      </w:r>
    </w:p>
    <w:p w14:paraId="15779104" w14:textId="77777777" w:rsidR="00B45966" w:rsidRDefault="00B45966" w:rsidP="009F4041">
      <w:pPr>
        <w:rPr>
          <w:rFonts w:cs="Times New Roman"/>
          <w:sz w:val="22"/>
        </w:rPr>
      </w:pPr>
    </w:p>
    <w:p w14:paraId="6DBE4010" w14:textId="0B51E1E0" w:rsidR="00B45966" w:rsidRPr="00B45966" w:rsidRDefault="00B45966" w:rsidP="00B45966">
      <w:pPr>
        <w:pStyle w:val="Caption"/>
        <w:keepNext/>
        <w:jc w:val="center"/>
        <w:rPr>
          <w:rFonts w:cs="Times New Roman"/>
          <w:color w:val="000000" w:themeColor="text1"/>
          <w:sz w:val="20"/>
          <w:szCs w:val="22"/>
        </w:rPr>
      </w:pPr>
      <w:r>
        <w:rPr>
          <w:rFonts w:cs="Times New Roman"/>
          <w:color w:val="000000" w:themeColor="text1"/>
          <w:sz w:val="20"/>
          <w:szCs w:val="22"/>
        </w:rPr>
        <w:t>Table 1.</w:t>
      </w:r>
      <w:r w:rsidRPr="00CB53FF">
        <w:rPr>
          <w:rFonts w:cs="Times New Roman"/>
          <w:color w:val="000000" w:themeColor="text1"/>
          <w:sz w:val="20"/>
          <w:szCs w:val="22"/>
        </w:rPr>
        <w:t xml:space="preserve"> </w:t>
      </w:r>
      <w:r w:rsidRPr="00492435">
        <w:rPr>
          <w:rFonts w:cs="Times New Roman"/>
          <w:b w:val="0"/>
          <w:color w:val="000000" w:themeColor="text1"/>
          <w:sz w:val="20"/>
          <w:szCs w:val="22"/>
        </w:rPr>
        <w:t>Hydrogen bond lengths and angle for</w:t>
      </w:r>
      <w:r>
        <w:rPr>
          <w:rFonts w:cs="Times New Roman"/>
          <w:b w:val="0"/>
          <w:color w:val="000000" w:themeColor="text1"/>
          <w:sz w:val="20"/>
          <w:szCs w:val="22"/>
        </w:rPr>
        <w:t xml:space="preserve"> </w:t>
      </w:r>
      <w:r w:rsidRPr="00AF26DB">
        <w:rPr>
          <w:b w:val="0"/>
        </w:rPr>
        <w:t>2-(2-cyanoethyliminomethyl)phenol</w:t>
      </w:r>
      <w:r w:rsidRPr="00492435">
        <w:rPr>
          <w:rFonts w:cs="Times New Roman"/>
          <w:b w:val="0"/>
          <w:color w:val="000000" w:themeColor="text1"/>
          <w:sz w:val="20"/>
          <w:szCs w:val="22"/>
        </w:rPr>
        <w:t xml:space="preserve"> (compound </w:t>
      </w:r>
      <w:r>
        <w:rPr>
          <w:rFonts w:cs="Times New Roman"/>
          <w:color w:val="000000" w:themeColor="text1"/>
          <w:sz w:val="20"/>
          <w:szCs w:val="22"/>
        </w:rPr>
        <w:t>1</w:t>
      </w:r>
      <w:r w:rsidRPr="00492435">
        <w:rPr>
          <w:rFonts w:cs="Times New Roman"/>
          <w:color w:val="000000" w:themeColor="text1"/>
          <w:sz w:val="20"/>
          <w:szCs w:val="22"/>
        </w:rPr>
        <w:t>b</w:t>
      </w:r>
      <w:r w:rsidRPr="00492435">
        <w:rPr>
          <w:rFonts w:cs="Times New Roman"/>
          <w:b w:val="0"/>
          <w:color w:val="000000" w:themeColor="text1"/>
          <w:sz w:val="20"/>
          <w:szCs w:val="22"/>
        </w:rPr>
        <w:t>)</w:t>
      </w:r>
      <w:r>
        <w:rPr>
          <w:rFonts w:cs="Times New Roman"/>
          <w:b w:val="0"/>
          <w:color w:val="000000" w:themeColor="text1"/>
          <w:sz w:val="20"/>
          <w:szCs w:val="22"/>
        </w:rPr>
        <w:t>. D = donor atom, H = hydrogen atom, A = acceptor atom.</w:t>
      </w:r>
    </w:p>
    <w:tbl>
      <w:tblPr>
        <w:tblW w:w="0" w:type="auto"/>
        <w:jc w:val="center"/>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324"/>
        <w:gridCol w:w="324"/>
        <w:gridCol w:w="1440"/>
        <w:gridCol w:w="1440"/>
        <w:gridCol w:w="1440"/>
        <w:gridCol w:w="1440"/>
      </w:tblGrid>
      <w:tr w:rsidR="00B45966" w:rsidRPr="00DB10A5" w14:paraId="433F5E70" w14:textId="77777777" w:rsidTr="009352BF">
        <w:trPr>
          <w:jc w:val="center"/>
        </w:trPr>
        <w:tc>
          <w:tcPr>
            <w:tcW w:w="0" w:type="auto"/>
            <w:vAlign w:val="center"/>
            <w:hideMark/>
          </w:tcPr>
          <w:p w14:paraId="43D39555"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D</w:t>
            </w:r>
          </w:p>
        </w:tc>
        <w:tc>
          <w:tcPr>
            <w:tcW w:w="0" w:type="auto"/>
            <w:vAlign w:val="center"/>
            <w:hideMark/>
          </w:tcPr>
          <w:p w14:paraId="2714C9C7"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H</w:t>
            </w:r>
          </w:p>
        </w:tc>
        <w:tc>
          <w:tcPr>
            <w:tcW w:w="0" w:type="auto"/>
            <w:vAlign w:val="center"/>
            <w:hideMark/>
          </w:tcPr>
          <w:p w14:paraId="638DA059"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A</w:t>
            </w:r>
          </w:p>
        </w:tc>
        <w:tc>
          <w:tcPr>
            <w:tcW w:w="0" w:type="auto"/>
            <w:vAlign w:val="center"/>
            <w:hideMark/>
          </w:tcPr>
          <w:p w14:paraId="4B4D53FE"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d(D-H)/Å</w:t>
            </w:r>
          </w:p>
        </w:tc>
        <w:tc>
          <w:tcPr>
            <w:tcW w:w="0" w:type="auto"/>
            <w:vAlign w:val="center"/>
            <w:hideMark/>
          </w:tcPr>
          <w:p w14:paraId="709C130F"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d(H-A)/Å</w:t>
            </w:r>
          </w:p>
        </w:tc>
        <w:tc>
          <w:tcPr>
            <w:tcW w:w="0" w:type="auto"/>
            <w:vAlign w:val="center"/>
            <w:hideMark/>
          </w:tcPr>
          <w:p w14:paraId="2E9413D9"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d(D-A)/Å</w:t>
            </w:r>
          </w:p>
        </w:tc>
        <w:tc>
          <w:tcPr>
            <w:tcW w:w="0" w:type="auto"/>
            <w:vAlign w:val="center"/>
            <w:hideMark/>
          </w:tcPr>
          <w:p w14:paraId="01CA26CE" w14:textId="77777777" w:rsidR="00B45966" w:rsidRPr="00F52A0B" w:rsidRDefault="00B45966" w:rsidP="009352BF">
            <w:pPr>
              <w:spacing w:after="0" w:line="240" w:lineRule="auto"/>
              <w:jc w:val="center"/>
              <w:rPr>
                <w:rFonts w:eastAsia="Times New Roman" w:cs="Times New Roman"/>
                <w:b/>
                <w:bCs/>
              </w:rPr>
            </w:pPr>
            <w:r w:rsidRPr="00F52A0B">
              <w:rPr>
                <w:rFonts w:eastAsia="Times New Roman" w:cs="Times New Roman"/>
                <w:b/>
                <w:bCs/>
              </w:rPr>
              <w:t>D-H-A/°</w:t>
            </w:r>
          </w:p>
        </w:tc>
      </w:tr>
      <w:tr w:rsidR="00B45966" w:rsidRPr="00DB10A5" w14:paraId="65C8B898" w14:textId="77777777" w:rsidTr="009352BF">
        <w:trPr>
          <w:jc w:val="center"/>
        </w:trPr>
        <w:tc>
          <w:tcPr>
            <w:tcW w:w="0" w:type="auto"/>
            <w:noWrap/>
            <w:vAlign w:val="center"/>
            <w:hideMark/>
          </w:tcPr>
          <w:p w14:paraId="7116D1F8"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O1</w:t>
            </w:r>
          </w:p>
        </w:tc>
        <w:tc>
          <w:tcPr>
            <w:tcW w:w="0" w:type="auto"/>
            <w:noWrap/>
            <w:vAlign w:val="center"/>
            <w:hideMark/>
          </w:tcPr>
          <w:p w14:paraId="1381FB6D"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H1</w:t>
            </w:r>
          </w:p>
        </w:tc>
        <w:tc>
          <w:tcPr>
            <w:tcW w:w="0" w:type="auto"/>
            <w:noWrap/>
            <w:vAlign w:val="center"/>
            <w:hideMark/>
          </w:tcPr>
          <w:p w14:paraId="7C974076"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N1</w:t>
            </w:r>
          </w:p>
        </w:tc>
        <w:tc>
          <w:tcPr>
            <w:tcW w:w="1440" w:type="dxa"/>
            <w:vAlign w:val="center"/>
            <w:hideMark/>
          </w:tcPr>
          <w:p w14:paraId="5190F417"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0.98</w:t>
            </w:r>
          </w:p>
        </w:tc>
        <w:tc>
          <w:tcPr>
            <w:tcW w:w="1440" w:type="dxa"/>
            <w:vAlign w:val="center"/>
            <w:hideMark/>
          </w:tcPr>
          <w:p w14:paraId="40F0EEB2"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1.70</w:t>
            </w:r>
          </w:p>
        </w:tc>
        <w:tc>
          <w:tcPr>
            <w:tcW w:w="1440" w:type="dxa"/>
            <w:vAlign w:val="center"/>
            <w:hideMark/>
          </w:tcPr>
          <w:p w14:paraId="7602026B"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2.587</w:t>
            </w:r>
          </w:p>
        </w:tc>
        <w:tc>
          <w:tcPr>
            <w:tcW w:w="1440" w:type="dxa"/>
            <w:vAlign w:val="center"/>
            <w:hideMark/>
          </w:tcPr>
          <w:p w14:paraId="4623C851" w14:textId="77777777" w:rsidR="00B45966" w:rsidRPr="00F52A0B" w:rsidRDefault="00B45966" w:rsidP="009352BF">
            <w:pPr>
              <w:spacing w:after="0" w:line="240" w:lineRule="auto"/>
              <w:jc w:val="center"/>
              <w:rPr>
                <w:rFonts w:eastAsia="Times New Roman" w:cs="Times New Roman"/>
              </w:rPr>
            </w:pPr>
            <w:r w:rsidRPr="00F52A0B">
              <w:rPr>
                <w:rFonts w:eastAsia="Times New Roman" w:cs="Times New Roman"/>
              </w:rPr>
              <w:t>149</w:t>
            </w:r>
          </w:p>
        </w:tc>
      </w:tr>
    </w:tbl>
    <w:p w14:paraId="1331398A" w14:textId="77777777" w:rsidR="00B45966" w:rsidRDefault="00B45966" w:rsidP="009F4041">
      <w:pPr>
        <w:rPr>
          <w:rFonts w:cs="Times New Roman"/>
          <w:sz w:val="22"/>
        </w:rPr>
      </w:pPr>
    </w:p>
    <w:p w14:paraId="61084477" w14:textId="77777777" w:rsidR="009F4041" w:rsidRDefault="009F4041" w:rsidP="009F4041">
      <w:pPr>
        <w:pStyle w:val="Caption"/>
        <w:keepNext/>
        <w:jc w:val="center"/>
      </w:pPr>
    </w:p>
    <w:p w14:paraId="15378610" w14:textId="6BDDA32B" w:rsidR="009F4041" w:rsidRPr="00CB53FF" w:rsidRDefault="009F4041" w:rsidP="009F4041">
      <w:pPr>
        <w:pStyle w:val="Caption"/>
        <w:keepNext/>
        <w:jc w:val="center"/>
        <w:rPr>
          <w:rFonts w:cs="Times New Roman"/>
          <w:color w:val="000000" w:themeColor="text1"/>
          <w:sz w:val="20"/>
          <w:szCs w:val="22"/>
        </w:rPr>
      </w:pPr>
      <w:r w:rsidRPr="00B45966">
        <w:rPr>
          <w:rFonts w:cs="Times New Roman"/>
          <w:color w:val="000000" w:themeColor="text1"/>
          <w:sz w:val="20"/>
          <w:szCs w:val="22"/>
        </w:rPr>
        <w:t xml:space="preserve">Table </w:t>
      </w:r>
      <w:r w:rsidR="00B45966" w:rsidRPr="00B45966">
        <w:rPr>
          <w:rFonts w:cs="Times New Roman"/>
          <w:color w:val="000000" w:themeColor="text1"/>
          <w:sz w:val="20"/>
          <w:szCs w:val="22"/>
        </w:rPr>
        <w:t>2</w:t>
      </w:r>
      <w:r w:rsidRPr="00B45966">
        <w:rPr>
          <w:rFonts w:cs="Times New Roman"/>
          <w:color w:val="000000" w:themeColor="text1"/>
          <w:sz w:val="20"/>
          <w:szCs w:val="22"/>
        </w:rPr>
        <w:t>.</w:t>
      </w:r>
      <w:r w:rsidRPr="00CB53FF">
        <w:rPr>
          <w:rFonts w:cs="Times New Roman"/>
          <w:color w:val="000000" w:themeColor="text1"/>
          <w:sz w:val="20"/>
          <w:szCs w:val="22"/>
        </w:rPr>
        <w:t xml:space="preserve"> </w:t>
      </w:r>
      <w:r w:rsidRPr="00492435">
        <w:rPr>
          <w:rFonts w:cs="Times New Roman"/>
          <w:b w:val="0"/>
          <w:color w:val="000000" w:themeColor="text1"/>
          <w:sz w:val="20"/>
          <w:szCs w:val="22"/>
        </w:rPr>
        <w:t>Hydrogen bond lengths and angle for</w:t>
      </w:r>
      <w:r w:rsidR="00B45966">
        <w:rPr>
          <w:rFonts w:cs="Times New Roman"/>
          <w:b w:val="0"/>
          <w:color w:val="000000" w:themeColor="text1"/>
          <w:sz w:val="20"/>
          <w:szCs w:val="22"/>
        </w:rPr>
        <w:t xml:space="preserve"> </w:t>
      </w:r>
      <w:r w:rsidRPr="00492435">
        <w:rPr>
          <w:rFonts w:cs="Times New Roman"/>
          <w:b w:val="0"/>
          <w:color w:val="000000" w:themeColor="text1"/>
          <w:sz w:val="20"/>
          <w:szCs w:val="22"/>
        </w:rPr>
        <w:t xml:space="preserve">5-methoxy-2-(2-cyanoethyliminomethyl)phenol (compound </w:t>
      </w:r>
      <w:r w:rsidRPr="00492435">
        <w:rPr>
          <w:rFonts w:cs="Times New Roman"/>
          <w:color w:val="000000" w:themeColor="text1"/>
          <w:sz w:val="20"/>
          <w:szCs w:val="22"/>
        </w:rPr>
        <w:t>2b</w:t>
      </w:r>
      <w:r w:rsidRPr="00492435">
        <w:rPr>
          <w:rFonts w:cs="Times New Roman"/>
          <w:b w:val="0"/>
          <w:color w:val="000000" w:themeColor="text1"/>
          <w:sz w:val="20"/>
          <w:szCs w:val="22"/>
        </w:rPr>
        <w:t>)</w:t>
      </w:r>
      <w:r>
        <w:rPr>
          <w:rFonts w:cs="Times New Roman"/>
          <w:b w:val="0"/>
          <w:color w:val="000000" w:themeColor="text1"/>
          <w:sz w:val="20"/>
          <w:szCs w:val="22"/>
        </w:rPr>
        <w:t>. D = donor atom, H = hydrogen atom, A = acceptor atom.</w:t>
      </w:r>
    </w:p>
    <w:tbl>
      <w:tblPr>
        <w:tblW w:w="0" w:type="auto"/>
        <w:jc w:val="center"/>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324"/>
        <w:gridCol w:w="324"/>
        <w:gridCol w:w="1440"/>
        <w:gridCol w:w="1440"/>
        <w:gridCol w:w="1440"/>
        <w:gridCol w:w="1440"/>
      </w:tblGrid>
      <w:tr w:rsidR="009F4041" w:rsidRPr="00CB53FF" w14:paraId="0076E03A" w14:textId="77777777" w:rsidTr="000E1F37">
        <w:trPr>
          <w:jc w:val="center"/>
        </w:trPr>
        <w:tc>
          <w:tcPr>
            <w:tcW w:w="0" w:type="auto"/>
            <w:vAlign w:val="center"/>
            <w:hideMark/>
          </w:tcPr>
          <w:p w14:paraId="0E1EDED2"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w:t>
            </w:r>
          </w:p>
        </w:tc>
        <w:tc>
          <w:tcPr>
            <w:tcW w:w="0" w:type="auto"/>
            <w:vAlign w:val="center"/>
            <w:hideMark/>
          </w:tcPr>
          <w:p w14:paraId="5156CAF2"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H</w:t>
            </w:r>
          </w:p>
        </w:tc>
        <w:tc>
          <w:tcPr>
            <w:tcW w:w="0" w:type="auto"/>
            <w:vAlign w:val="center"/>
            <w:hideMark/>
          </w:tcPr>
          <w:p w14:paraId="09B489A6"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A</w:t>
            </w:r>
          </w:p>
        </w:tc>
        <w:tc>
          <w:tcPr>
            <w:tcW w:w="0" w:type="auto"/>
            <w:vAlign w:val="center"/>
            <w:hideMark/>
          </w:tcPr>
          <w:p w14:paraId="6E114FB6"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d(D-H)/Å</w:t>
            </w:r>
          </w:p>
        </w:tc>
        <w:tc>
          <w:tcPr>
            <w:tcW w:w="0" w:type="auto"/>
            <w:vAlign w:val="center"/>
            <w:hideMark/>
          </w:tcPr>
          <w:p w14:paraId="292BF1FA"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d(H-A)/Å</w:t>
            </w:r>
          </w:p>
        </w:tc>
        <w:tc>
          <w:tcPr>
            <w:tcW w:w="0" w:type="auto"/>
            <w:vAlign w:val="center"/>
            <w:hideMark/>
          </w:tcPr>
          <w:p w14:paraId="15EEDD36"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d(D-A)/Å</w:t>
            </w:r>
          </w:p>
        </w:tc>
        <w:tc>
          <w:tcPr>
            <w:tcW w:w="0" w:type="auto"/>
            <w:vAlign w:val="center"/>
            <w:hideMark/>
          </w:tcPr>
          <w:p w14:paraId="07A92ED9"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w:t>
            </w:r>
          </w:p>
        </w:tc>
      </w:tr>
      <w:tr w:rsidR="009F4041" w:rsidRPr="00CB53FF" w14:paraId="74AAAD04" w14:textId="77777777" w:rsidTr="000E1F37">
        <w:trPr>
          <w:jc w:val="center"/>
        </w:trPr>
        <w:tc>
          <w:tcPr>
            <w:tcW w:w="0" w:type="auto"/>
            <w:noWrap/>
            <w:vAlign w:val="center"/>
            <w:hideMark/>
          </w:tcPr>
          <w:p w14:paraId="6B84B6AF"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N1</w:t>
            </w:r>
          </w:p>
        </w:tc>
        <w:tc>
          <w:tcPr>
            <w:tcW w:w="0" w:type="auto"/>
            <w:noWrap/>
            <w:vAlign w:val="center"/>
            <w:hideMark/>
          </w:tcPr>
          <w:p w14:paraId="5D613875"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H1</w:t>
            </w:r>
          </w:p>
        </w:tc>
        <w:tc>
          <w:tcPr>
            <w:tcW w:w="0" w:type="auto"/>
            <w:noWrap/>
            <w:vAlign w:val="center"/>
            <w:hideMark/>
          </w:tcPr>
          <w:p w14:paraId="75BFC0A2"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O1</w:t>
            </w:r>
          </w:p>
        </w:tc>
        <w:tc>
          <w:tcPr>
            <w:tcW w:w="1440" w:type="dxa"/>
            <w:vAlign w:val="center"/>
            <w:hideMark/>
          </w:tcPr>
          <w:p w14:paraId="584E08C7"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0.88</w:t>
            </w:r>
          </w:p>
        </w:tc>
        <w:tc>
          <w:tcPr>
            <w:tcW w:w="1440" w:type="dxa"/>
            <w:vAlign w:val="center"/>
            <w:hideMark/>
          </w:tcPr>
          <w:p w14:paraId="44B392EF"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1.93</w:t>
            </w:r>
          </w:p>
        </w:tc>
        <w:tc>
          <w:tcPr>
            <w:tcW w:w="1440" w:type="dxa"/>
            <w:vAlign w:val="center"/>
            <w:hideMark/>
          </w:tcPr>
          <w:p w14:paraId="3818B018" w14:textId="7F85C604"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2.614</w:t>
            </w:r>
          </w:p>
        </w:tc>
        <w:tc>
          <w:tcPr>
            <w:tcW w:w="1440" w:type="dxa"/>
            <w:vAlign w:val="center"/>
            <w:hideMark/>
          </w:tcPr>
          <w:p w14:paraId="26285752"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133.0</w:t>
            </w:r>
          </w:p>
        </w:tc>
      </w:tr>
    </w:tbl>
    <w:p w14:paraId="52BC768D" w14:textId="77777777" w:rsidR="009F4041" w:rsidRPr="00CB53FF" w:rsidRDefault="009F4041" w:rsidP="009F4041">
      <w:pPr>
        <w:spacing w:before="100" w:beforeAutospacing="1" w:after="100" w:afterAutospacing="1" w:line="240" w:lineRule="auto"/>
        <w:rPr>
          <w:rFonts w:eastAsia="Times New Roman" w:cs="Times New Roman"/>
          <w:color w:val="000000" w:themeColor="text1"/>
        </w:rPr>
      </w:pPr>
    </w:p>
    <w:p w14:paraId="231CE20E" w14:textId="456C96C3" w:rsidR="009F4041" w:rsidRPr="00CB53FF" w:rsidRDefault="009F4041" w:rsidP="009F4041">
      <w:pPr>
        <w:pStyle w:val="Caption"/>
        <w:keepNext/>
        <w:jc w:val="center"/>
        <w:rPr>
          <w:rFonts w:cs="Times New Roman"/>
          <w:b w:val="0"/>
          <w:color w:val="000000" w:themeColor="text1"/>
          <w:sz w:val="20"/>
          <w:szCs w:val="22"/>
        </w:rPr>
      </w:pPr>
      <w:r w:rsidRPr="00CB53FF">
        <w:rPr>
          <w:rFonts w:cs="Times New Roman"/>
          <w:color w:val="000000" w:themeColor="text1"/>
          <w:sz w:val="20"/>
          <w:szCs w:val="22"/>
        </w:rPr>
        <w:t>Table</w:t>
      </w:r>
      <w:r w:rsidRPr="00B45966">
        <w:rPr>
          <w:rFonts w:cs="Times New Roman"/>
          <w:color w:val="000000" w:themeColor="text1"/>
          <w:sz w:val="20"/>
          <w:szCs w:val="22"/>
        </w:rPr>
        <w:t xml:space="preserve"> </w:t>
      </w:r>
      <w:r w:rsidR="00B45966" w:rsidRPr="00B45966">
        <w:rPr>
          <w:rFonts w:cs="Times New Roman"/>
          <w:color w:val="000000" w:themeColor="text1"/>
          <w:sz w:val="20"/>
          <w:szCs w:val="22"/>
        </w:rPr>
        <w:t>3</w:t>
      </w:r>
      <w:r w:rsidRPr="00CB53FF">
        <w:rPr>
          <w:rFonts w:cs="Times New Roman"/>
          <w:color w:val="000000" w:themeColor="text1"/>
          <w:sz w:val="20"/>
          <w:szCs w:val="22"/>
        </w:rPr>
        <w:t xml:space="preserve">. </w:t>
      </w:r>
      <w:r w:rsidRPr="00492435">
        <w:rPr>
          <w:rFonts w:cs="Times New Roman"/>
          <w:b w:val="0"/>
          <w:color w:val="000000" w:themeColor="text1"/>
          <w:sz w:val="20"/>
          <w:szCs w:val="22"/>
        </w:rPr>
        <w:t xml:space="preserve">Hydrogen bond lengths and angle for 6-tert-butyl-2-(2-cyanoethyliminomethyl)phenol (compound </w:t>
      </w:r>
      <w:r w:rsidRPr="00492435">
        <w:rPr>
          <w:rFonts w:cs="Times New Roman"/>
          <w:color w:val="000000" w:themeColor="text1"/>
          <w:sz w:val="20"/>
          <w:szCs w:val="22"/>
        </w:rPr>
        <w:t>3b</w:t>
      </w:r>
      <w:r w:rsidRPr="00492435">
        <w:rPr>
          <w:rFonts w:cs="Times New Roman"/>
          <w:b w:val="0"/>
          <w:color w:val="000000" w:themeColor="text1"/>
          <w:sz w:val="20"/>
          <w:szCs w:val="22"/>
        </w:rPr>
        <w:t>)</w:t>
      </w:r>
      <w:r>
        <w:rPr>
          <w:rFonts w:cs="Times New Roman"/>
          <w:b w:val="0"/>
          <w:color w:val="000000" w:themeColor="text1"/>
          <w:sz w:val="20"/>
          <w:szCs w:val="22"/>
        </w:rPr>
        <w:t>.</w:t>
      </w:r>
      <w:r w:rsidRPr="00630324">
        <w:rPr>
          <w:rFonts w:cs="Times New Roman"/>
          <w:b w:val="0"/>
          <w:color w:val="000000" w:themeColor="text1"/>
          <w:sz w:val="20"/>
          <w:szCs w:val="22"/>
        </w:rPr>
        <w:t xml:space="preserve"> </w:t>
      </w:r>
      <w:r>
        <w:rPr>
          <w:rFonts w:cs="Times New Roman"/>
          <w:b w:val="0"/>
          <w:color w:val="000000" w:themeColor="text1"/>
          <w:sz w:val="20"/>
          <w:szCs w:val="22"/>
        </w:rPr>
        <w:t>D = donor atom, H = hydrogen atom, A = acceptor atom.</w:t>
      </w:r>
    </w:p>
    <w:tbl>
      <w:tblPr>
        <w:tblW w:w="0" w:type="auto"/>
        <w:jc w:val="center"/>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324"/>
        <w:gridCol w:w="324"/>
        <w:gridCol w:w="1440"/>
        <w:gridCol w:w="1440"/>
        <w:gridCol w:w="1440"/>
        <w:gridCol w:w="1440"/>
      </w:tblGrid>
      <w:tr w:rsidR="009F4041" w:rsidRPr="00CB53FF" w14:paraId="2C707F3A" w14:textId="77777777" w:rsidTr="000E1F37">
        <w:trPr>
          <w:jc w:val="center"/>
        </w:trPr>
        <w:tc>
          <w:tcPr>
            <w:tcW w:w="0" w:type="auto"/>
            <w:vAlign w:val="center"/>
            <w:hideMark/>
          </w:tcPr>
          <w:p w14:paraId="2618FCF8"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w:t>
            </w:r>
          </w:p>
        </w:tc>
        <w:tc>
          <w:tcPr>
            <w:tcW w:w="0" w:type="auto"/>
            <w:vAlign w:val="center"/>
            <w:hideMark/>
          </w:tcPr>
          <w:p w14:paraId="27AD6D51"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H</w:t>
            </w:r>
          </w:p>
        </w:tc>
        <w:tc>
          <w:tcPr>
            <w:tcW w:w="0" w:type="auto"/>
            <w:vAlign w:val="center"/>
            <w:hideMark/>
          </w:tcPr>
          <w:p w14:paraId="4347913F"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A</w:t>
            </w:r>
          </w:p>
        </w:tc>
        <w:tc>
          <w:tcPr>
            <w:tcW w:w="0" w:type="auto"/>
            <w:vAlign w:val="center"/>
            <w:hideMark/>
          </w:tcPr>
          <w:p w14:paraId="2B9BE90B"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d(D-H)/Å</w:t>
            </w:r>
          </w:p>
        </w:tc>
        <w:tc>
          <w:tcPr>
            <w:tcW w:w="0" w:type="auto"/>
            <w:vAlign w:val="center"/>
            <w:hideMark/>
          </w:tcPr>
          <w:p w14:paraId="17480598"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d(H-A)/Å</w:t>
            </w:r>
          </w:p>
        </w:tc>
        <w:tc>
          <w:tcPr>
            <w:tcW w:w="0" w:type="auto"/>
            <w:vAlign w:val="center"/>
            <w:hideMark/>
          </w:tcPr>
          <w:p w14:paraId="410B4D58"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d(D-A)/Å</w:t>
            </w:r>
          </w:p>
        </w:tc>
        <w:tc>
          <w:tcPr>
            <w:tcW w:w="0" w:type="auto"/>
            <w:vAlign w:val="center"/>
            <w:hideMark/>
          </w:tcPr>
          <w:p w14:paraId="69A2FA7D"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w:t>
            </w:r>
          </w:p>
        </w:tc>
      </w:tr>
      <w:tr w:rsidR="009F4041" w:rsidRPr="00CB53FF" w14:paraId="07E59FC8" w14:textId="77777777" w:rsidTr="000E1F37">
        <w:trPr>
          <w:jc w:val="center"/>
        </w:trPr>
        <w:tc>
          <w:tcPr>
            <w:tcW w:w="0" w:type="auto"/>
            <w:noWrap/>
            <w:vAlign w:val="center"/>
            <w:hideMark/>
          </w:tcPr>
          <w:p w14:paraId="72CDAA89"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O1</w:t>
            </w:r>
          </w:p>
        </w:tc>
        <w:tc>
          <w:tcPr>
            <w:tcW w:w="0" w:type="auto"/>
            <w:noWrap/>
            <w:vAlign w:val="center"/>
            <w:hideMark/>
          </w:tcPr>
          <w:p w14:paraId="57143B23"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H1</w:t>
            </w:r>
          </w:p>
        </w:tc>
        <w:tc>
          <w:tcPr>
            <w:tcW w:w="0" w:type="auto"/>
            <w:noWrap/>
            <w:vAlign w:val="center"/>
            <w:hideMark/>
          </w:tcPr>
          <w:p w14:paraId="3E2D80D0"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N1</w:t>
            </w:r>
          </w:p>
        </w:tc>
        <w:tc>
          <w:tcPr>
            <w:tcW w:w="1440" w:type="dxa"/>
            <w:vAlign w:val="center"/>
            <w:hideMark/>
          </w:tcPr>
          <w:p w14:paraId="72B36FE5"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0.84</w:t>
            </w:r>
          </w:p>
        </w:tc>
        <w:tc>
          <w:tcPr>
            <w:tcW w:w="1440" w:type="dxa"/>
            <w:vAlign w:val="center"/>
            <w:hideMark/>
          </w:tcPr>
          <w:p w14:paraId="68D89734"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1.814</w:t>
            </w:r>
          </w:p>
        </w:tc>
        <w:tc>
          <w:tcPr>
            <w:tcW w:w="1440" w:type="dxa"/>
            <w:vAlign w:val="center"/>
            <w:hideMark/>
          </w:tcPr>
          <w:p w14:paraId="582D9F33"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2.573</w:t>
            </w:r>
          </w:p>
        </w:tc>
        <w:tc>
          <w:tcPr>
            <w:tcW w:w="1440" w:type="dxa"/>
            <w:vAlign w:val="center"/>
            <w:hideMark/>
          </w:tcPr>
          <w:p w14:paraId="69414449"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149.514</w:t>
            </w:r>
          </w:p>
        </w:tc>
      </w:tr>
    </w:tbl>
    <w:p w14:paraId="0F2F676B" w14:textId="77777777" w:rsidR="009F4041" w:rsidRPr="00CB53FF" w:rsidRDefault="009F4041" w:rsidP="009F4041">
      <w:pPr>
        <w:spacing w:before="100" w:beforeAutospacing="1" w:after="100" w:afterAutospacing="1" w:line="240" w:lineRule="auto"/>
        <w:rPr>
          <w:rFonts w:eastAsia="Times New Roman" w:cs="Times New Roman"/>
          <w:color w:val="000000" w:themeColor="text1"/>
        </w:rPr>
      </w:pPr>
    </w:p>
    <w:p w14:paraId="289F2A59" w14:textId="6C6FA1E4" w:rsidR="009F4041" w:rsidRPr="00CB53FF" w:rsidRDefault="009F4041" w:rsidP="009F4041">
      <w:pPr>
        <w:pStyle w:val="Caption"/>
        <w:keepNext/>
        <w:jc w:val="center"/>
        <w:rPr>
          <w:rFonts w:cs="Times New Roman"/>
          <w:b w:val="0"/>
          <w:color w:val="000000" w:themeColor="text1"/>
          <w:sz w:val="20"/>
          <w:szCs w:val="22"/>
        </w:rPr>
      </w:pPr>
      <w:r w:rsidRPr="00CB53FF">
        <w:rPr>
          <w:rFonts w:cs="Times New Roman"/>
          <w:color w:val="000000" w:themeColor="text1"/>
          <w:sz w:val="20"/>
          <w:szCs w:val="22"/>
        </w:rPr>
        <w:t xml:space="preserve">Table </w:t>
      </w:r>
      <w:r w:rsidR="00B45966" w:rsidRPr="00B45966">
        <w:rPr>
          <w:rFonts w:cs="Times New Roman"/>
          <w:color w:val="000000" w:themeColor="text1"/>
          <w:sz w:val="20"/>
          <w:szCs w:val="22"/>
        </w:rPr>
        <w:t>4</w:t>
      </w:r>
      <w:r w:rsidRPr="00CB53FF">
        <w:rPr>
          <w:rFonts w:cs="Times New Roman"/>
          <w:color w:val="000000" w:themeColor="text1"/>
          <w:sz w:val="20"/>
          <w:szCs w:val="22"/>
        </w:rPr>
        <w:t xml:space="preserve">. </w:t>
      </w:r>
      <w:r w:rsidRPr="00492435">
        <w:rPr>
          <w:rFonts w:cs="Times New Roman"/>
          <w:b w:val="0"/>
          <w:color w:val="000000" w:themeColor="text1"/>
          <w:sz w:val="20"/>
          <w:szCs w:val="22"/>
        </w:rPr>
        <w:t>Hydrogen bond lengths and angle for 4-nitro-2-(2-cyanoethyliminomethyl)phenol</w:t>
      </w:r>
      <w:r w:rsidRPr="00492435" w:rsidDel="007A350A">
        <w:rPr>
          <w:rFonts w:cs="Times New Roman"/>
          <w:b w:val="0"/>
          <w:color w:val="000000" w:themeColor="text1"/>
          <w:sz w:val="20"/>
          <w:szCs w:val="22"/>
        </w:rPr>
        <w:t xml:space="preserve"> </w:t>
      </w:r>
      <w:r w:rsidRPr="00492435">
        <w:rPr>
          <w:rFonts w:cs="Times New Roman"/>
          <w:b w:val="0"/>
          <w:color w:val="000000" w:themeColor="text1"/>
          <w:sz w:val="20"/>
          <w:szCs w:val="22"/>
        </w:rPr>
        <w:t xml:space="preserve">(compound </w:t>
      </w:r>
      <w:r w:rsidRPr="00492435">
        <w:rPr>
          <w:rFonts w:cs="Times New Roman"/>
          <w:color w:val="000000" w:themeColor="text1"/>
          <w:sz w:val="20"/>
          <w:szCs w:val="22"/>
        </w:rPr>
        <w:t>4b</w:t>
      </w:r>
      <w:r w:rsidRPr="00492435">
        <w:rPr>
          <w:rFonts w:cs="Times New Roman"/>
          <w:b w:val="0"/>
          <w:color w:val="000000" w:themeColor="text1"/>
          <w:sz w:val="20"/>
          <w:szCs w:val="22"/>
        </w:rPr>
        <w:t>)</w:t>
      </w:r>
      <w:r>
        <w:rPr>
          <w:rFonts w:cs="Times New Roman"/>
          <w:b w:val="0"/>
          <w:color w:val="000000" w:themeColor="text1"/>
          <w:sz w:val="20"/>
          <w:szCs w:val="22"/>
        </w:rPr>
        <w:t>.</w:t>
      </w:r>
      <w:r w:rsidRPr="00630324">
        <w:rPr>
          <w:rFonts w:cs="Times New Roman"/>
          <w:b w:val="0"/>
          <w:color w:val="000000" w:themeColor="text1"/>
          <w:sz w:val="20"/>
          <w:szCs w:val="22"/>
        </w:rPr>
        <w:t xml:space="preserve"> </w:t>
      </w:r>
      <w:r>
        <w:rPr>
          <w:rFonts w:cs="Times New Roman"/>
          <w:b w:val="0"/>
          <w:color w:val="000000" w:themeColor="text1"/>
          <w:sz w:val="20"/>
          <w:szCs w:val="22"/>
        </w:rPr>
        <w:t>D = donor atom, H = hydrogen atom, A = acceptor atom.</w:t>
      </w:r>
    </w:p>
    <w:tbl>
      <w:tblPr>
        <w:tblW w:w="0" w:type="auto"/>
        <w:jc w:val="center"/>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324"/>
        <w:gridCol w:w="324"/>
        <w:gridCol w:w="1440"/>
        <w:gridCol w:w="1440"/>
        <w:gridCol w:w="1440"/>
        <w:gridCol w:w="1440"/>
      </w:tblGrid>
      <w:tr w:rsidR="009F4041" w:rsidRPr="00CB53FF" w14:paraId="4F3685F5" w14:textId="77777777" w:rsidTr="000E1F37">
        <w:trPr>
          <w:jc w:val="center"/>
        </w:trPr>
        <w:tc>
          <w:tcPr>
            <w:tcW w:w="0" w:type="auto"/>
            <w:vAlign w:val="center"/>
            <w:hideMark/>
          </w:tcPr>
          <w:p w14:paraId="7D284DD4"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w:t>
            </w:r>
          </w:p>
        </w:tc>
        <w:tc>
          <w:tcPr>
            <w:tcW w:w="0" w:type="auto"/>
            <w:vAlign w:val="center"/>
            <w:hideMark/>
          </w:tcPr>
          <w:p w14:paraId="0E3EB262"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H</w:t>
            </w:r>
          </w:p>
        </w:tc>
        <w:tc>
          <w:tcPr>
            <w:tcW w:w="0" w:type="auto"/>
            <w:vAlign w:val="center"/>
            <w:hideMark/>
          </w:tcPr>
          <w:p w14:paraId="164E1087"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A</w:t>
            </w:r>
          </w:p>
        </w:tc>
        <w:tc>
          <w:tcPr>
            <w:tcW w:w="0" w:type="auto"/>
            <w:vAlign w:val="center"/>
            <w:hideMark/>
          </w:tcPr>
          <w:p w14:paraId="4BDCC3FD"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d(D-H)/Å</w:t>
            </w:r>
          </w:p>
        </w:tc>
        <w:tc>
          <w:tcPr>
            <w:tcW w:w="0" w:type="auto"/>
            <w:vAlign w:val="center"/>
            <w:hideMark/>
          </w:tcPr>
          <w:p w14:paraId="6F579C8B"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d(H-A)/Å</w:t>
            </w:r>
          </w:p>
        </w:tc>
        <w:tc>
          <w:tcPr>
            <w:tcW w:w="0" w:type="auto"/>
            <w:vAlign w:val="center"/>
            <w:hideMark/>
          </w:tcPr>
          <w:p w14:paraId="0F1D8652"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d(D-A)/Å</w:t>
            </w:r>
          </w:p>
        </w:tc>
        <w:tc>
          <w:tcPr>
            <w:tcW w:w="0" w:type="auto"/>
            <w:vAlign w:val="center"/>
            <w:hideMark/>
          </w:tcPr>
          <w:p w14:paraId="7AB6BB25"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w:t>
            </w:r>
          </w:p>
        </w:tc>
      </w:tr>
      <w:tr w:rsidR="009F4041" w:rsidRPr="00CB53FF" w14:paraId="5ADD8953" w14:textId="77777777" w:rsidTr="000E1F37">
        <w:trPr>
          <w:jc w:val="center"/>
        </w:trPr>
        <w:tc>
          <w:tcPr>
            <w:tcW w:w="0" w:type="auto"/>
            <w:noWrap/>
            <w:vAlign w:val="center"/>
            <w:hideMark/>
          </w:tcPr>
          <w:p w14:paraId="79BDEA3B"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N1</w:t>
            </w:r>
          </w:p>
        </w:tc>
        <w:tc>
          <w:tcPr>
            <w:tcW w:w="0" w:type="auto"/>
            <w:noWrap/>
            <w:vAlign w:val="center"/>
            <w:hideMark/>
          </w:tcPr>
          <w:p w14:paraId="05CFDEA9"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H1</w:t>
            </w:r>
          </w:p>
        </w:tc>
        <w:tc>
          <w:tcPr>
            <w:tcW w:w="0" w:type="auto"/>
            <w:noWrap/>
            <w:vAlign w:val="center"/>
            <w:hideMark/>
          </w:tcPr>
          <w:p w14:paraId="129DAB60"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O1</w:t>
            </w:r>
          </w:p>
        </w:tc>
        <w:tc>
          <w:tcPr>
            <w:tcW w:w="1440" w:type="dxa"/>
            <w:vAlign w:val="center"/>
            <w:hideMark/>
          </w:tcPr>
          <w:p w14:paraId="45C43B45" w14:textId="440AD240"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0.907</w:t>
            </w:r>
          </w:p>
        </w:tc>
        <w:tc>
          <w:tcPr>
            <w:tcW w:w="1440" w:type="dxa"/>
            <w:vAlign w:val="center"/>
            <w:hideMark/>
          </w:tcPr>
          <w:p w14:paraId="1422A527" w14:textId="0AF0F45B"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1.906</w:t>
            </w:r>
          </w:p>
        </w:tc>
        <w:tc>
          <w:tcPr>
            <w:tcW w:w="1440" w:type="dxa"/>
            <w:vAlign w:val="center"/>
            <w:hideMark/>
          </w:tcPr>
          <w:p w14:paraId="10268FE7" w14:textId="00B21B31"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2.6441</w:t>
            </w:r>
          </w:p>
        </w:tc>
        <w:tc>
          <w:tcPr>
            <w:tcW w:w="1440" w:type="dxa"/>
            <w:vAlign w:val="center"/>
            <w:hideMark/>
          </w:tcPr>
          <w:p w14:paraId="326B5661" w14:textId="5E2EF3C2"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137.3</w:t>
            </w:r>
          </w:p>
        </w:tc>
      </w:tr>
    </w:tbl>
    <w:p w14:paraId="6BA9A8E2" w14:textId="77777777" w:rsidR="009F4041" w:rsidRPr="00CB53FF" w:rsidRDefault="009F4041" w:rsidP="009F4041">
      <w:pPr>
        <w:rPr>
          <w:rFonts w:cs="Times New Roman"/>
          <w:color w:val="000000" w:themeColor="text1"/>
        </w:rPr>
      </w:pPr>
    </w:p>
    <w:p w14:paraId="66C0E0D5" w14:textId="591FC942" w:rsidR="009F4041" w:rsidRPr="00CB53FF" w:rsidRDefault="009F4041" w:rsidP="009F4041">
      <w:pPr>
        <w:pStyle w:val="Caption"/>
        <w:keepNext/>
        <w:jc w:val="center"/>
        <w:rPr>
          <w:rFonts w:cs="Times New Roman"/>
          <w:color w:val="000000" w:themeColor="text1"/>
          <w:sz w:val="20"/>
          <w:szCs w:val="22"/>
        </w:rPr>
      </w:pPr>
      <w:r w:rsidRPr="00CB53FF">
        <w:rPr>
          <w:rFonts w:cs="Times New Roman"/>
          <w:color w:val="000000" w:themeColor="text1"/>
          <w:sz w:val="20"/>
          <w:szCs w:val="22"/>
        </w:rPr>
        <w:t xml:space="preserve">Table </w:t>
      </w:r>
      <w:r w:rsidR="00B45966" w:rsidRPr="00B45966">
        <w:rPr>
          <w:rFonts w:cs="Times New Roman"/>
          <w:color w:val="000000" w:themeColor="text1"/>
          <w:sz w:val="20"/>
          <w:szCs w:val="22"/>
        </w:rPr>
        <w:t>5</w:t>
      </w:r>
      <w:r w:rsidRPr="00CB53FF">
        <w:rPr>
          <w:rFonts w:cs="Times New Roman"/>
          <w:color w:val="000000" w:themeColor="text1"/>
          <w:sz w:val="20"/>
          <w:szCs w:val="22"/>
        </w:rPr>
        <w:t xml:space="preserve">. </w:t>
      </w:r>
      <w:r w:rsidRPr="00492435">
        <w:rPr>
          <w:rFonts w:cs="Times New Roman"/>
          <w:b w:val="0"/>
          <w:color w:val="000000" w:themeColor="text1"/>
          <w:sz w:val="20"/>
          <w:szCs w:val="22"/>
        </w:rPr>
        <w:t>Hydrogen bond lengths and angle for 6-methoxy-2-(2-cyanoethyliminomethyl)phenol</w:t>
      </w:r>
      <w:r w:rsidRPr="00492435" w:rsidDel="007A350A">
        <w:rPr>
          <w:rFonts w:cs="Times New Roman"/>
          <w:b w:val="0"/>
          <w:color w:val="000000" w:themeColor="text1"/>
          <w:sz w:val="20"/>
          <w:szCs w:val="22"/>
        </w:rPr>
        <w:t xml:space="preserve"> </w:t>
      </w:r>
      <w:r w:rsidRPr="00492435">
        <w:rPr>
          <w:rFonts w:cs="Times New Roman"/>
          <w:b w:val="0"/>
          <w:color w:val="000000" w:themeColor="text1"/>
          <w:sz w:val="20"/>
          <w:szCs w:val="22"/>
        </w:rPr>
        <w:t xml:space="preserve">(compound </w:t>
      </w:r>
      <w:r w:rsidRPr="00492435">
        <w:rPr>
          <w:rFonts w:cs="Times New Roman"/>
          <w:color w:val="000000" w:themeColor="text1"/>
          <w:sz w:val="20"/>
          <w:szCs w:val="22"/>
        </w:rPr>
        <w:t>5b</w:t>
      </w:r>
      <w:r w:rsidRPr="00492435">
        <w:rPr>
          <w:rFonts w:cs="Times New Roman"/>
          <w:b w:val="0"/>
          <w:color w:val="000000" w:themeColor="text1"/>
          <w:sz w:val="20"/>
          <w:szCs w:val="22"/>
        </w:rPr>
        <w:t>)</w:t>
      </w:r>
      <w:r>
        <w:rPr>
          <w:rFonts w:cs="Times New Roman"/>
          <w:b w:val="0"/>
          <w:color w:val="000000" w:themeColor="text1"/>
          <w:sz w:val="20"/>
          <w:szCs w:val="22"/>
        </w:rPr>
        <w:t>.</w:t>
      </w:r>
      <w:r w:rsidRPr="00630324">
        <w:rPr>
          <w:rFonts w:cs="Times New Roman"/>
          <w:b w:val="0"/>
          <w:color w:val="000000" w:themeColor="text1"/>
          <w:sz w:val="20"/>
          <w:szCs w:val="22"/>
        </w:rPr>
        <w:t xml:space="preserve"> </w:t>
      </w:r>
      <w:r>
        <w:rPr>
          <w:rFonts w:cs="Times New Roman"/>
          <w:b w:val="0"/>
          <w:color w:val="000000" w:themeColor="text1"/>
          <w:sz w:val="20"/>
          <w:szCs w:val="22"/>
        </w:rPr>
        <w:t>D = donor atom, H = hydrogen atom, A = acceptor atom.</w:t>
      </w:r>
    </w:p>
    <w:tbl>
      <w:tblPr>
        <w:tblW w:w="0" w:type="auto"/>
        <w:jc w:val="center"/>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324"/>
        <w:gridCol w:w="324"/>
        <w:gridCol w:w="1440"/>
        <w:gridCol w:w="1440"/>
        <w:gridCol w:w="1440"/>
        <w:gridCol w:w="1440"/>
      </w:tblGrid>
      <w:tr w:rsidR="009F4041" w:rsidRPr="00CB53FF" w14:paraId="766D3E15" w14:textId="77777777" w:rsidTr="000E1F37">
        <w:trPr>
          <w:jc w:val="center"/>
        </w:trPr>
        <w:tc>
          <w:tcPr>
            <w:tcW w:w="0" w:type="auto"/>
            <w:vAlign w:val="center"/>
            <w:hideMark/>
          </w:tcPr>
          <w:p w14:paraId="107E399A"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w:t>
            </w:r>
          </w:p>
        </w:tc>
        <w:tc>
          <w:tcPr>
            <w:tcW w:w="0" w:type="auto"/>
            <w:vAlign w:val="center"/>
            <w:hideMark/>
          </w:tcPr>
          <w:p w14:paraId="557483D7"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H</w:t>
            </w:r>
          </w:p>
        </w:tc>
        <w:tc>
          <w:tcPr>
            <w:tcW w:w="0" w:type="auto"/>
            <w:vAlign w:val="center"/>
            <w:hideMark/>
          </w:tcPr>
          <w:p w14:paraId="71F2A01A"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A</w:t>
            </w:r>
          </w:p>
        </w:tc>
        <w:tc>
          <w:tcPr>
            <w:tcW w:w="0" w:type="auto"/>
            <w:vAlign w:val="center"/>
            <w:hideMark/>
          </w:tcPr>
          <w:p w14:paraId="03F4ECDA"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d(D-H)/Å</w:t>
            </w:r>
          </w:p>
        </w:tc>
        <w:tc>
          <w:tcPr>
            <w:tcW w:w="0" w:type="auto"/>
            <w:vAlign w:val="center"/>
            <w:hideMark/>
          </w:tcPr>
          <w:p w14:paraId="662F0DC8"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d(H-A)/Å</w:t>
            </w:r>
          </w:p>
        </w:tc>
        <w:tc>
          <w:tcPr>
            <w:tcW w:w="0" w:type="auto"/>
            <w:vAlign w:val="center"/>
            <w:hideMark/>
          </w:tcPr>
          <w:p w14:paraId="3630A067"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d(D-A)/Å</w:t>
            </w:r>
          </w:p>
        </w:tc>
        <w:tc>
          <w:tcPr>
            <w:tcW w:w="0" w:type="auto"/>
            <w:vAlign w:val="center"/>
            <w:hideMark/>
          </w:tcPr>
          <w:p w14:paraId="028654BB" w14:textId="77777777" w:rsidR="009F4041" w:rsidRPr="00CB53FF" w:rsidRDefault="009F4041" w:rsidP="009F10D8">
            <w:pPr>
              <w:spacing w:after="0" w:line="240" w:lineRule="auto"/>
              <w:jc w:val="center"/>
              <w:rPr>
                <w:rFonts w:eastAsia="Times New Roman" w:cs="Times New Roman"/>
                <w:b/>
                <w:bCs/>
                <w:color w:val="000000" w:themeColor="text1"/>
              </w:rPr>
            </w:pPr>
            <w:r w:rsidRPr="00CB53FF">
              <w:rPr>
                <w:rFonts w:eastAsia="Times New Roman" w:cs="Times New Roman"/>
                <w:b/>
                <w:bCs/>
                <w:color w:val="000000" w:themeColor="text1"/>
              </w:rPr>
              <w:t>D-H-A/°</w:t>
            </w:r>
          </w:p>
        </w:tc>
      </w:tr>
      <w:tr w:rsidR="009F4041" w:rsidRPr="00CB53FF" w14:paraId="76C352D6" w14:textId="77777777" w:rsidTr="000E1F37">
        <w:trPr>
          <w:jc w:val="center"/>
        </w:trPr>
        <w:tc>
          <w:tcPr>
            <w:tcW w:w="0" w:type="auto"/>
            <w:noWrap/>
            <w:vAlign w:val="center"/>
            <w:hideMark/>
          </w:tcPr>
          <w:p w14:paraId="57F395A7"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O1</w:t>
            </w:r>
          </w:p>
        </w:tc>
        <w:tc>
          <w:tcPr>
            <w:tcW w:w="0" w:type="auto"/>
            <w:noWrap/>
            <w:vAlign w:val="center"/>
            <w:hideMark/>
          </w:tcPr>
          <w:p w14:paraId="36C11956"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H1</w:t>
            </w:r>
          </w:p>
        </w:tc>
        <w:tc>
          <w:tcPr>
            <w:tcW w:w="0" w:type="auto"/>
            <w:noWrap/>
            <w:vAlign w:val="center"/>
            <w:hideMark/>
          </w:tcPr>
          <w:p w14:paraId="28F5C0C6"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N2</w:t>
            </w:r>
          </w:p>
        </w:tc>
        <w:tc>
          <w:tcPr>
            <w:tcW w:w="1440" w:type="dxa"/>
            <w:vAlign w:val="center"/>
            <w:hideMark/>
          </w:tcPr>
          <w:p w14:paraId="76F13F2C"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0.84</w:t>
            </w:r>
          </w:p>
        </w:tc>
        <w:tc>
          <w:tcPr>
            <w:tcW w:w="1440" w:type="dxa"/>
            <w:vAlign w:val="center"/>
            <w:hideMark/>
          </w:tcPr>
          <w:p w14:paraId="2011739F"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1.90</w:t>
            </w:r>
          </w:p>
        </w:tc>
        <w:tc>
          <w:tcPr>
            <w:tcW w:w="1440" w:type="dxa"/>
            <w:vAlign w:val="center"/>
            <w:hideMark/>
          </w:tcPr>
          <w:p w14:paraId="588D5F52" w14:textId="25989EB7" w:rsidR="009F4041" w:rsidRPr="00CB53FF" w:rsidRDefault="009F10D8" w:rsidP="009F10D8">
            <w:pPr>
              <w:spacing w:after="0" w:line="240" w:lineRule="auto"/>
              <w:jc w:val="center"/>
              <w:rPr>
                <w:rFonts w:eastAsia="Times New Roman" w:cs="Times New Roman"/>
                <w:color w:val="000000" w:themeColor="text1"/>
              </w:rPr>
            </w:pPr>
            <w:r>
              <w:rPr>
                <w:rFonts w:eastAsia="Times New Roman" w:cs="Times New Roman"/>
                <w:color w:val="000000" w:themeColor="text1"/>
              </w:rPr>
              <w:t>2.630</w:t>
            </w:r>
          </w:p>
        </w:tc>
        <w:tc>
          <w:tcPr>
            <w:tcW w:w="1440" w:type="dxa"/>
            <w:vAlign w:val="center"/>
            <w:hideMark/>
          </w:tcPr>
          <w:p w14:paraId="428EAE59" w14:textId="77777777" w:rsidR="009F4041" w:rsidRPr="00CB53FF" w:rsidRDefault="009F4041" w:rsidP="009F10D8">
            <w:pPr>
              <w:spacing w:after="0" w:line="240" w:lineRule="auto"/>
              <w:jc w:val="center"/>
              <w:rPr>
                <w:rFonts w:eastAsia="Times New Roman" w:cs="Times New Roman"/>
                <w:color w:val="000000" w:themeColor="text1"/>
              </w:rPr>
            </w:pPr>
            <w:r w:rsidRPr="00CB53FF">
              <w:rPr>
                <w:rFonts w:eastAsia="Times New Roman" w:cs="Times New Roman"/>
                <w:color w:val="000000" w:themeColor="text1"/>
              </w:rPr>
              <w:t>144.7</w:t>
            </w:r>
          </w:p>
        </w:tc>
      </w:tr>
    </w:tbl>
    <w:p w14:paraId="3E4DD906" w14:textId="77777777" w:rsidR="009F4041" w:rsidRPr="00CB53FF" w:rsidRDefault="009F4041" w:rsidP="009F4041">
      <w:pPr>
        <w:spacing w:before="100" w:beforeAutospacing="1" w:after="100" w:afterAutospacing="1" w:line="240" w:lineRule="auto"/>
        <w:rPr>
          <w:rFonts w:eastAsia="Times New Roman" w:cs="Times New Roman"/>
          <w:color w:val="000000" w:themeColor="text1"/>
        </w:rPr>
      </w:pPr>
    </w:p>
    <w:p w14:paraId="4B8B89A1" w14:textId="77777777" w:rsidR="009F4041" w:rsidRPr="00CB53FF" w:rsidRDefault="009F4041" w:rsidP="009F4041">
      <w:pPr>
        <w:rPr>
          <w:rFonts w:cs="Times New Roman"/>
          <w:color w:val="000000" w:themeColor="text1"/>
        </w:rPr>
      </w:pPr>
    </w:p>
    <w:p w14:paraId="1F88DCD9" w14:textId="77777777" w:rsidR="004440F6" w:rsidRPr="00123F68" w:rsidRDefault="004440F6" w:rsidP="0078270E">
      <w:pPr>
        <w:rPr>
          <w:sz w:val="22"/>
        </w:rPr>
      </w:pPr>
    </w:p>
    <w:p w14:paraId="254033A3" w14:textId="186F4866" w:rsidR="00067917" w:rsidRDefault="00067917">
      <w:pPr>
        <w:spacing w:after="0" w:line="240" w:lineRule="auto"/>
        <w:jc w:val="left"/>
        <w:rPr>
          <w:rFonts w:eastAsiaTheme="majorEastAsia" w:cstheme="majorBidi"/>
          <w:b/>
          <w:color w:val="000000" w:themeColor="text1"/>
          <w:sz w:val="28"/>
          <w:szCs w:val="26"/>
        </w:rPr>
      </w:pPr>
      <w:r>
        <w:br w:type="page"/>
      </w:r>
    </w:p>
    <w:p w14:paraId="1A16885B" w14:textId="4ACD1393" w:rsidR="00E71989" w:rsidRPr="00E71989" w:rsidRDefault="00067917" w:rsidP="00E71989">
      <w:pPr>
        <w:pStyle w:val="Heading1"/>
        <w:numPr>
          <w:ilvl w:val="0"/>
          <w:numId w:val="0"/>
        </w:numPr>
        <w:ind w:left="432" w:hanging="432"/>
      </w:pPr>
      <w:bookmarkStart w:id="271" w:name="_Toc2451066"/>
      <w:r>
        <w:lastRenderedPageBreak/>
        <w:t>Appendix Two</w:t>
      </w:r>
      <w:bookmarkEnd w:id="271"/>
    </w:p>
    <w:p w14:paraId="49AB41D8" w14:textId="2A1F8693" w:rsidR="00E71989" w:rsidRDefault="00E71989" w:rsidP="00067917">
      <w:pPr>
        <w:rPr>
          <w:rFonts w:cs="Times New Roman"/>
          <w:b/>
          <w:sz w:val="22"/>
        </w:rPr>
      </w:pPr>
      <w:r w:rsidRPr="00E71989">
        <w:rPr>
          <w:rFonts w:cs="Times New Roman"/>
          <w:b/>
          <w:noProof/>
          <w:sz w:val="22"/>
        </w:rPr>
        <w:drawing>
          <wp:inline distT="0" distB="0" distL="0" distR="0" wp14:anchorId="167A7DC9" wp14:editId="18612D57">
            <wp:extent cx="5201920" cy="1364615"/>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01920" cy="1364615"/>
                    </a:xfrm>
                    <a:prstGeom prst="rect">
                      <a:avLst/>
                    </a:prstGeom>
                  </pic:spPr>
                </pic:pic>
              </a:graphicData>
            </a:graphic>
          </wp:inline>
        </w:drawing>
      </w:r>
    </w:p>
    <w:p w14:paraId="3049497B" w14:textId="098DDDE4" w:rsidR="00067917" w:rsidRPr="00B55EED" w:rsidRDefault="00AF30A9" w:rsidP="00067917">
      <w:pPr>
        <w:rPr>
          <w:sz w:val="20"/>
          <w:szCs w:val="20"/>
        </w:rPr>
      </w:pPr>
      <w:r w:rsidRPr="00E71989">
        <w:rPr>
          <w:rFonts w:cs="Times New Roman"/>
          <w:b/>
          <w:sz w:val="20"/>
          <w:szCs w:val="20"/>
        </w:rPr>
        <w:t>Appendix 2.1</w:t>
      </w:r>
      <w:r w:rsidRPr="00E71989">
        <w:rPr>
          <w:rFonts w:cs="Times New Roman"/>
          <w:sz w:val="20"/>
          <w:szCs w:val="20"/>
        </w:rPr>
        <w:t xml:space="preserve"> </w:t>
      </w:r>
      <w:r w:rsidR="00067917" w:rsidRPr="00E71989">
        <w:rPr>
          <w:sz w:val="20"/>
          <w:szCs w:val="20"/>
        </w:rPr>
        <w:t>Plate map</w:t>
      </w:r>
      <w:r w:rsidR="00E71989">
        <w:rPr>
          <w:sz w:val="20"/>
          <w:szCs w:val="20"/>
        </w:rPr>
        <w:t xml:space="preserve"> for experiment</w:t>
      </w:r>
      <w:r w:rsidR="00067917" w:rsidRPr="00E71989">
        <w:rPr>
          <w:sz w:val="20"/>
          <w:szCs w:val="20"/>
        </w:rPr>
        <w:t xml:space="preserve"> to determine </w:t>
      </w:r>
      <w:r w:rsidR="00E71989">
        <w:rPr>
          <w:sz w:val="20"/>
          <w:szCs w:val="20"/>
        </w:rPr>
        <w:t>the required concentration of lysyl oxidase-like 2 (</w:t>
      </w:r>
      <w:r w:rsidR="00067917" w:rsidRPr="00E71989">
        <w:rPr>
          <w:sz w:val="20"/>
          <w:szCs w:val="20"/>
        </w:rPr>
        <w:t>LOXL2</w:t>
      </w:r>
      <w:r w:rsidR="00E71989">
        <w:rPr>
          <w:sz w:val="20"/>
          <w:szCs w:val="20"/>
        </w:rPr>
        <w:t>)</w:t>
      </w:r>
      <w:r w:rsidR="00067917" w:rsidRPr="00E71989">
        <w:rPr>
          <w:sz w:val="20"/>
          <w:szCs w:val="20"/>
        </w:rPr>
        <w:t xml:space="preserve"> in test well</w:t>
      </w:r>
      <w:r w:rsidR="00E71989">
        <w:rPr>
          <w:sz w:val="20"/>
          <w:szCs w:val="20"/>
        </w:rPr>
        <w:t>s to produce a sufficient fluorescence response</w:t>
      </w:r>
      <w:r w:rsidR="00B55EED" w:rsidRPr="00B55EED">
        <w:rPr>
          <w:sz w:val="20"/>
          <w:szCs w:val="20"/>
        </w:rPr>
        <w:t xml:space="preserve"> </w:t>
      </w:r>
      <w:r w:rsidR="00B55EED">
        <w:rPr>
          <w:sz w:val="20"/>
          <w:szCs w:val="20"/>
        </w:rPr>
        <w:t>in a fluorometric assay of enzyme activity.</w:t>
      </w:r>
    </w:p>
    <w:p w14:paraId="0694B10E" w14:textId="09572D0A" w:rsidR="00067917" w:rsidRDefault="00AF479B" w:rsidP="00067917">
      <w:r w:rsidRPr="00AF479B">
        <w:rPr>
          <w:noProof/>
        </w:rPr>
        <w:drawing>
          <wp:inline distT="0" distB="0" distL="0" distR="0" wp14:anchorId="70678C68" wp14:editId="36CD26D1">
            <wp:extent cx="5201920" cy="144018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01920" cy="1440180"/>
                    </a:xfrm>
                    <a:prstGeom prst="rect">
                      <a:avLst/>
                    </a:prstGeom>
                  </pic:spPr>
                </pic:pic>
              </a:graphicData>
            </a:graphic>
          </wp:inline>
        </w:drawing>
      </w:r>
    </w:p>
    <w:p w14:paraId="11591080" w14:textId="7E707B60" w:rsidR="00067917" w:rsidRPr="00E71989" w:rsidRDefault="00AF30A9" w:rsidP="00067917">
      <w:pPr>
        <w:rPr>
          <w:sz w:val="20"/>
          <w:szCs w:val="20"/>
        </w:rPr>
      </w:pPr>
      <w:r w:rsidRPr="00E71989">
        <w:rPr>
          <w:rFonts w:cs="Times New Roman"/>
          <w:b/>
          <w:sz w:val="20"/>
          <w:szCs w:val="20"/>
        </w:rPr>
        <w:t xml:space="preserve">Appendix 2.2 </w:t>
      </w:r>
      <w:r w:rsidR="00067917" w:rsidRPr="00E71989">
        <w:rPr>
          <w:sz w:val="20"/>
          <w:szCs w:val="20"/>
        </w:rPr>
        <w:t xml:space="preserve">Plate map </w:t>
      </w:r>
      <w:r w:rsidR="00B55EED">
        <w:rPr>
          <w:sz w:val="20"/>
          <w:szCs w:val="20"/>
        </w:rPr>
        <w:t>for experiment</w:t>
      </w:r>
      <w:r w:rsidR="00B55EED" w:rsidRPr="00E71989">
        <w:rPr>
          <w:sz w:val="20"/>
          <w:szCs w:val="20"/>
        </w:rPr>
        <w:t xml:space="preserve"> to determine </w:t>
      </w:r>
      <w:r w:rsidR="00B55EED">
        <w:rPr>
          <w:sz w:val="20"/>
          <w:szCs w:val="20"/>
        </w:rPr>
        <w:t>the ability of the synthesised prodrugs to inhibit lysyl oxidase-like 2 (LOXL2) in a fluorometric assay of enzyme activity.</w:t>
      </w:r>
    </w:p>
    <w:p w14:paraId="7FD0E22A" w14:textId="1F109C0F" w:rsidR="00067917" w:rsidRDefault="00067917" w:rsidP="00067917"/>
    <w:p w14:paraId="2E8FF7F7" w14:textId="12504A3D" w:rsidR="009E0AF7" w:rsidRDefault="009E0AF7" w:rsidP="009E0AF7">
      <w:pPr>
        <w:jc w:val="center"/>
      </w:pPr>
      <w:r w:rsidRPr="009E0AF7">
        <w:rPr>
          <w:noProof/>
        </w:rPr>
        <w:drawing>
          <wp:inline distT="0" distB="0" distL="0" distR="0" wp14:anchorId="2D3CCA6C" wp14:editId="102E56EC">
            <wp:extent cx="3619500" cy="2527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19500" cy="2527300"/>
                    </a:xfrm>
                    <a:prstGeom prst="rect">
                      <a:avLst/>
                    </a:prstGeom>
                  </pic:spPr>
                </pic:pic>
              </a:graphicData>
            </a:graphic>
          </wp:inline>
        </w:drawing>
      </w:r>
    </w:p>
    <w:p w14:paraId="1E0D3A10" w14:textId="3E05EE6A" w:rsidR="009E0AF7" w:rsidRPr="00E71989" w:rsidRDefault="009E0AF7" w:rsidP="009E0AF7">
      <w:pPr>
        <w:rPr>
          <w:sz w:val="20"/>
          <w:szCs w:val="20"/>
        </w:rPr>
      </w:pPr>
      <w:r w:rsidRPr="00E71989">
        <w:rPr>
          <w:rFonts w:cs="Times New Roman"/>
          <w:b/>
          <w:sz w:val="20"/>
          <w:szCs w:val="20"/>
        </w:rPr>
        <w:t xml:space="preserve">Appendix 2.3 </w:t>
      </w:r>
      <w:r w:rsidRPr="00E71989">
        <w:rPr>
          <w:sz w:val="20"/>
          <w:szCs w:val="20"/>
        </w:rPr>
        <w:t xml:space="preserve">Cell density screen of human dermal fibroblasts (HDF) assessed by LDH metabolic activity assay. Cells were incubated for 48 hours at 37 </w:t>
      </w:r>
      <w:r w:rsidRPr="00E71989">
        <w:rPr>
          <w:sz w:val="20"/>
          <w:szCs w:val="20"/>
        </w:rPr>
        <w:sym w:font="Symbol" w:char="F0B0"/>
      </w:r>
      <w:r w:rsidRPr="00E71989">
        <w:rPr>
          <w:sz w:val="20"/>
          <w:szCs w:val="20"/>
        </w:rPr>
        <w:t>C, 5 % CO</w:t>
      </w:r>
      <w:r w:rsidRPr="00E71989">
        <w:rPr>
          <w:sz w:val="20"/>
          <w:szCs w:val="20"/>
          <w:vertAlign w:val="subscript"/>
        </w:rPr>
        <w:t>2</w:t>
      </w:r>
      <w:r w:rsidRPr="00E71989">
        <w:rPr>
          <w:sz w:val="20"/>
          <w:szCs w:val="20"/>
        </w:rPr>
        <w:t>. Samples were prepared in triplicate and the results are expressed as mean values ± standard deviation.</w:t>
      </w:r>
    </w:p>
    <w:p w14:paraId="6CF11F95" w14:textId="77777777" w:rsidR="00067917" w:rsidRPr="00067917" w:rsidRDefault="00067917" w:rsidP="00067917"/>
    <w:sectPr w:rsidR="00067917" w:rsidRPr="00067917" w:rsidSect="008A122E">
      <w:pgSz w:w="11900" w:h="16840"/>
      <w:pgMar w:top="1440" w:right="1440" w:bottom="1440" w:left="2268" w:header="720" w:footer="720" w:gutter="0"/>
      <w:pgNumType w:start="3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24BD47" w14:textId="77777777" w:rsidR="007F0288" w:rsidRDefault="007F0288" w:rsidP="008D6975">
      <w:pPr>
        <w:spacing w:after="0" w:line="240" w:lineRule="auto"/>
      </w:pPr>
      <w:r>
        <w:separator/>
      </w:r>
    </w:p>
  </w:endnote>
  <w:endnote w:type="continuationSeparator" w:id="0">
    <w:p w14:paraId="12AAC35A" w14:textId="77777777" w:rsidR="007F0288" w:rsidRDefault="007F0288" w:rsidP="008D69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29539479"/>
      <w:docPartObj>
        <w:docPartGallery w:val="Page Numbers (Bottom of Page)"/>
        <w:docPartUnique/>
      </w:docPartObj>
    </w:sdtPr>
    <w:sdtContent>
      <w:p w14:paraId="562F75A1" w14:textId="67DFB87B" w:rsidR="00322955" w:rsidRDefault="00322955" w:rsidP="00EB7B70">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D739531" w14:textId="77777777" w:rsidR="00322955" w:rsidRDefault="00322955" w:rsidP="00F05285">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76359606"/>
      <w:docPartObj>
        <w:docPartGallery w:val="Page Numbers (Bottom of Page)"/>
        <w:docPartUnique/>
      </w:docPartObj>
    </w:sdtPr>
    <w:sdtContent>
      <w:p w14:paraId="10A28333" w14:textId="03E7EC8F" w:rsidR="00322955" w:rsidRDefault="00322955" w:rsidP="00EB7B70">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32</w:t>
        </w:r>
        <w:r>
          <w:rPr>
            <w:rStyle w:val="PageNumber"/>
          </w:rPr>
          <w:fldChar w:fldCharType="end"/>
        </w:r>
      </w:p>
    </w:sdtContent>
  </w:sdt>
  <w:p w14:paraId="35517281" w14:textId="77777777" w:rsidR="00322955" w:rsidRDefault="00322955" w:rsidP="0052761B">
    <w:pPr>
      <w:pStyle w:val="Footer"/>
      <w:pBdr>
        <w:top w:val="single" w:sz="4" w:space="1" w:color="auto"/>
      </w:pBd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B985B6" w14:textId="77777777" w:rsidR="007F0288" w:rsidRDefault="007F0288" w:rsidP="008D6975">
      <w:pPr>
        <w:spacing w:after="0" w:line="240" w:lineRule="auto"/>
      </w:pPr>
      <w:r>
        <w:separator/>
      </w:r>
    </w:p>
  </w:footnote>
  <w:footnote w:type="continuationSeparator" w:id="0">
    <w:p w14:paraId="2708C8E6" w14:textId="77777777" w:rsidR="007F0288" w:rsidRDefault="007F0288" w:rsidP="008D69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0650AA" w14:textId="76568146" w:rsidR="00322955" w:rsidRDefault="00322955" w:rsidP="00311816">
    <w:pPr>
      <w:pStyle w:val="Header"/>
      <w:pBdr>
        <w:bottom w:val="single" w:sz="4" w:space="1" w:color="auto"/>
      </w:pBdr>
    </w:pPr>
    <w:r>
      <w:rPr>
        <w:noProof/>
      </w:rPr>
      <w:fldChar w:fldCharType="begin"/>
    </w:r>
    <w:r>
      <w:rPr>
        <w:noProof/>
      </w:rPr>
      <w:instrText xml:space="preserve"> STYLEREF "Heading 1" \* MERGEFORMAT </w:instrText>
    </w:r>
    <w:r w:rsidR="00E6157A">
      <w:rPr>
        <w:noProof/>
      </w:rPr>
      <w:fldChar w:fldCharType="separate"/>
    </w:r>
    <w:r w:rsidR="00462FA3">
      <w:rPr>
        <w:noProof/>
      </w:rPr>
      <w:t>Chapter Three: Effect of prodrugs on enzyme activity and cytotoxicity</w:t>
    </w:r>
    <w:r>
      <w:rPr>
        <w:noProof/>
      </w:rPr>
      <w:fldChar w:fldCharType="end"/>
    </w:r>
    <w:bookmarkStart w:id="0" w:name="_Toc530598802"/>
    <w:bookmarkEnd w:id="0"/>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F38C34" w14:textId="63AEA5DC" w:rsidR="00322955" w:rsidRDefault="00322955" w:rsidP="00766A5F">
    <w:pPr>
      <w:pStyle w:val="Header"/>
      <w:tabs>
        <w:tab w:val="clear" w:pos="4513"/>
        <w:tab w:val="clear" w:pos="9026"/>
        <w:tab w:val="left" w:pos="166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97644"/>
    <w:multiLevelType w:val="hybridMultilevel"/>
    <w:tmpl w:val="5EB24436"/>
    <w:lvl w:ilvl="0" w:tplc="82487A5A">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56F2BF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7D82908"/>
    <w:multiLevelType w:val="hybridMultilevel"/>
    <w:tmpl w:val="73B445E4"/>
    <w:lvl w:ilvl="0" w:tplc="343AFF4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A30D4A"/>
    <w:multiLevelType w:val="multilevel"/>
    <w:tmpl w:val="7FC4224E"/>
    <w:lvl w:ilvl="0">
      <w:start w:val="1"/>
      <w:numFmt w:val="decimal"/>
      <w:pStyle w:val="Title"/>
      <w:lvlText w:val="%1"/>
      <w:lvlJc w:val="left"/>
      <w:pPr>
        <w:ind w:left="360" w:hanging="360"/>
      </w:pPr>
      <w:rPr>
        <w:rFonts w:ascii="Helvetica" w:hAnsi="Helvetica"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D54A9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B171664"/>
    <w:multiLevelType w:val="hybridMultilevel"/>
    <w:tmpl w:val="52F4CF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457690"/>
    <w:multiLevelType w:val="hybridMultilevel"/>
    <w:tmpl w:val="71E4C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6C26C7"/>
    <w:multiLevelType w:val="hybridMultilevel"/>
    <w:tmpl w:val="760C34F2"/>
    <w:lvl w:ilvl="0" w:tplc="612C590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4D331E"/>
    <w:multiLevelType w:val="multilevel"/>
    <w:tmpl w:val="F038322C"/>
    <w:styleLink w:val="Style1"/>
    <w:lvl w:ilvl="0">
      <w:start w:val="1"/>
      <w:numFmt w:val="decimal"/>
      <w:lvlText w:val="%1)"/>
      <w:lvlJc w:val="left"/>
      <w:pPr>
        <w:ind w:left="360" w:hanging="360"/>
      </w:pPr>
      <w:rPr>
        <w:rFonts w:ascii="Helvetica" w:hAnsi="Helvetica"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F9540CA"/>
    <w:multiLevelType w:val="hybridMultilevel"/>
    <w:tmpl w:val="8C4807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DA77DF"/>
    <w:multiLevelType w:val="multilevel"/>
    <w:tmpl w:val="67FCA630"/>
    <w:styleLink w:val="Thesisnumberformatting"/>
    <w:lvl w:ilvl="0">
      <w:start w:val="1"/>
      <w:numFmt w:val="none"/>
      <w:lvlText w:val=""/>
      <w:lvlJc w:val="left"/>
      <w:pPr>
        <w:ind w:left="432" w:hanging="432"/>
      </w:pPr>
      <w:rPr>
        <w:rFonts w:hint="default"/>
      </w:rPr>
    </w:lvl>
    <w:lvl w:ilvl="1">
      <w:start w:val="1"/>
      <w:numFmt w:val="decimal"/>
      <w:lvlText w:val="%2%1"/>
      <w:lvlJc w:val="left"/>
      <w:pPr>
        <w:ind w:left="576" w:hanging="576"/>
      </w:pPr>
      <w:rPr>
        <w:rFonts w:hint="default"/>
      </w:rPr>
    </w:lvl>
    <w:lvl w:ilvl="2">
      <w:start w:val="1"/>
      <w:numFmt w:val="decimal"/>
      <w:lvlText w:val="%3%1.%2"/>
      <w:lvlJc w:val="left"/>
      <w:pPr>
        <w:ind w:left="720" w:hanging="720"/>
      </w:pPr>
      <w:rPr>
        <w:rFonts w:hint="default"/>
      </w:rPr>
    </w:lvl>
    <w:lvl w:ilvl="3">
      <w:start w:val="1"/>
      <w:numFmt w:val="decimal"/>
      <w:lvlText w:val="%4%1.%2.%3"/>
      <w:lvlJc w:val="left"/>
      <w:pPr>
        <w:ind w:left="864" w:hanging="864"/>
      </w:pPr>
      <w:rPr>
        <w:rFonts w:hint="default"/>
      </w:rPr>
    </w:lvl>
    <w:lvl w:ilvl="4">
      <w:start w:val="1"/>
      <w:numFmt w:val="decimal"/>
      <w:lvlText w:val="%5%1.%2.%3.%4"/>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20E35D6"/>
    <w:multiLevelType w:val="hybridMultilevel"/>
    <w:tmpl w:val="42FAF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E61978"/>
    <w:multiLevelType w:val="hybridMultilevel"/>
    <w:tmpl w:val="AADC3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F84F27"/>
    <w:multiLevelType w:val="hybridMultilevel"/>
    <w:tmpl w:val="A49A4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2E5789"/>
    <w:multiLevelType w:val="hybridMultilevel"/>
    <w:tmpl w:val="CD70C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205872"/>
    <w:multiLevelType w:val="multilevel"/>
    <w:tmpl w:val="0809001D"/>
    <w:numStyleLink w:val="Thesisnumbering"/>
  </w:abstractNum>
  <w:abstractNum w:abstractNumId="16" w15:restartNumberingAfterBreak="0">
    <w:nsid w:val="2FD24151"/>
    <w:multiLevelType w:val="multilevel"/>
    <w:tmpl w:val="39B42986"/>
    <w:lvl w:ilvl="0">
      <w:start w:val="1"/>
      <w:numFmt w:val="decimal"/>
      <w:lvlText w:val="%1"/>
      <w:lvlJc w:val="left"/>
      <w:pPr>
        <w:ind w:left="360" w:hanging="360"/>
      </w:pPr>
      <w:rPr>
        <w:rFonts w:ascii="Helvetica" w:hAnsi="Helvetica"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51526B2"/>
    <w:multiLevelType w:val="multilevel"/>
    <w:tmpl w:val="0809001D"/>
    <w:styleLink w:val="Thesisnumbering"/>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8F96911"/>
    <w:multiLevelType w:val="multilevel"/>
    <w:tmpl w:val="5A000CFE"/>
    <w:lvl w:ilvl="0">
      <w:start w:val="1"/>
      <w:numFmt w:val="decimal"/>
      <w:pStyle w:val="Heading1"/>
      <w:lvlText w:val="%1"/>
      <w:lvlJc w:val="left"/>
      <w:pPr>
        <w:ind w:left="432" w:hanging="432"/>
      </w:pPr>
      <w:rPr>
        <w:rFonts w:ascii="Times New Roman" w:eastAsiaTheme="majorEastAsia" w:hAnsi="Times New Roman" w:cstheme="majorBidi" w:hint="default"/>
      </w:rPr>
    </w:lvl>
    <w:lvl w:ilvl="1">
      <w:start w:val="1"/>
      <w:numFmt w:val="decimal"/>
      <w:pStyle w:val="Heading2"/>
      <w:lvlText w:val="%1.%2"/>
      <w:lvlJc w:val="left"/>
      <w:pPr>
        <w:ind w:left="576" w:hanging="576"/>
      </w:pPr>
      <w:rPr>
        <w:rFonts w:ascii="Times New Roman" w:hAnsi="Times New Roman" w:hint="default"/>
      </w:rPr>
    </w:lvl>
    <w:lvl w:ilvl="2">
      <w:start w:val="1"/>
      <w:numFmt w:val="decimal"/>
      <w:pStyle w:val="Heading3"/>
      <w:lvlText w:val="%1.%2.%3"/>
      <w:lvlJc w:val="left"/>
      <w:pPr>
        <w:ind w:left="720" w:hanging="720"/>
      </w:pPr>
      <w:rPr>
        <w:rFonts w:ascii="Times New Roman" w:hAnsi="Times New Roman" w:hint="default"/>
        <w:b w:val="0"/>
      </w:rPr>
    </w:lvl>
    <w:lvl w:ilvl="3">
      <w:start w:val="1"/>
      <w:numFmt w:val="decimal"/>
      <w:pStyle w:val="Heading4"/>
      <w:lvlText w:val="%1.%2.%3.%4"/>
      <w:lvlJc w:val="left"/>
      <w:pPr>
        <w:ind w:left="864" w:hanging="864"/>
      </w:pPr>
      <w:rPr>
        <w:rFonts w:ascii="Times New Roman" w:hAnsi="Times New Roman" w:hint="default"/>
        <w:b w:val="0"/>
      </w:rPr>
    </w:lvl>
    <w:lvl w:ilvl="4">
      <w:start w:val="1"/>
      <w:numFmt w:val="decimal"/>
      <w:pStyle w:val="Heading5"/>
      <w:lvlText w:val="%1.%2.%3.%4.%5"/>
      <w:lvlJc w:val="left"/>
      <w:pPr>
        <w:ind w:left="1008" w:hanging="1008"/>
      </w:pPr>
      <w:rPr>
        <w:rFonts w:ascii="Times New Roman" w:hAnsi="Times New Roman" w:hint="default"/>
        <w:b w:val="0"/>
        <w:i w: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AEC2405"/>
    <w:multiLevelType w:val="multilevel"/>
    <w:tmpl w:val="820EBC82"/>
    <w:lvl w:ilvl="0">
      <w:start w:val="1"/>
      <w:numFmt w:val="decimal"/>
      <w:lvlText w:val="%1"/>
      <w:lvlJc w:val="left"/>
      <w:pPr>
        <w:ind w:left="432" w:hanging="432"/>
      </w:pPr>
      <w:rPr>
        <w:rFonts w:ascii="Times New Roman" w:eastAsiaTheme="majorEastAsia" w:hAnsi="Times New Roman" w:cstheme="majorBidi"/>
      </w:rPr>
    </w:lvl>
    <w:lvl w:ilvl="1">
      <w:start w:val="1"/>
      <w:numFmt w:val="decimal"/>
      <w:lvlText w:val="%1.%2"/>
      <w:lvlJc w:val="left"/>
      <w:pPr>
        <w:ind w:left="576" w:hanging="576"/>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864" w:hanging="864"/>
      </w:pPr>
      <w:rPr>
        <w:rFonts w:ascii="Times New Roman" w:hAnsi="Times New Roman" w:hint="default"/>
      </w:rPr>
    </w:lvl>
    <w:lvl w:ilvl="4">
      <w:start w:val="1"/>
      <w:numFmt w:val="decimal"/>
      <w:lvlText w:val="%1.%2.%3.%4.%5"/>
      <w:lvlJc w:val="left"/>
      <w:pPr>
        <w:ind w:left="1008" w:hanging="1008"/>
      </w:pPr>
      <w:rPr>
        <w:rFonts w:ascii="Times New Roman" w:hAnsi="Times New Roman" w:hint="default"/>
        <w:b w:val="0"/>
        <w:i w: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B9E5A78"/>
    <w:multiLevelType w:val="multilevel"/>
    <w:tmpl w:val="2EA020E8"/>
    <w:lvl w:ilvl="0">
      <w:start w:val="1"/>
      <w:numFmt w:val="decimal"/>
      <w:lvlText w:val="%1"/>
      <w:lvlJc w:val="left"/>
      <w:pPr>
        <w:ind w:left="432" w:hanging="432"/>
      </w:pPr>
      <w:rPr>
        <w:rFonts w:hint="default"/>
      </w:rPr>
    </w:lvl>
    <w:lvl w:ilvl="1">
      <w:start w:val="1"/>
      <w:numFmt w:val="decimal"/>
      <w:lvlText w:val="%2%1"/>
      <w:lvlJc w:val="left"/>
      <w:pPr>
        <w:ind w:left="576" w:hanging="576"/>
      </w:pPr>
      <w:rPr>
        <w:rFonts w:ascii="Cambria" w:hAnsi="Cambria" w:hint="default"/>
      </w:rPr>
    </w:lvl>
    <w:lvl w:ilvl="2">
      <w:start w:val="1"/>
      <w:numFmt w:val="decimal"/>
      <w:lvlText w:val="%2.%3"/>
      <w:lvlJc w:val="left"/>
      <w:pPr>
        <w:ind w:left="720" w:hanging="720"/>
      </w:pPr>
      <w:rPr>
        <w:rFonts w:ascii="Cambria" w:hAnsi="Cambria" w:hint="default"/>
      </w:rPr>
    </w:lvl>
    <w:lvl w:ilvl="3">
      <w:start w:val="1"/>
      <w:numFmt w:val="decimal"/>
      <w:lvlText w:val="%2.%3.%4"/>
      <w:lvlJc w:val="left"/>
      <w:pPr>
        <w:ind w:left="864" w:hanging="864"/>
      </w:pPr>
      <w:rPr>
        <w:rFonts w:ascii="Cambria" w:hAnsi="Cambria" w:hint="default"/>
      </w:rPr>
    </w:lvl>
    <w:lvl w:ilvl="4">
      <w:start w:val="1"/>
      <w:numFmt w:val="decimal"/>
      <w:lvlText w:val="%2.%3.%4.%5"/>
      <w:lvlJc w:val="left"/>
      <w:pPr>
        <w:ind w:left="1008" w:hanging="1008"/>
      </w:pPr>
      <w:rPr>
        <w:rFonts w:ascii="Cambria" w:hAnsi="Cambria" w:hint="default"/>
        <w:b w:val="0"/>
        <w:i w: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DBF0494"/>
    <w:multiLevelType w:val="hybridMultilevel"/>
    <w:tmpl w:val="17DA6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FA6ACE"/>
    <w:multiLevelType w:val="hybridMultilevel"/>
    <w:tmpl w:val="5B88D9F8"/>
    <w:lvl w:ilvl="0" w:tplc="5B8A58D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8520C7"/>
    <w:multiLevelType w:val="hybridMultilevel"/>
    <w:tmpl w:val="77F67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083C00"/>
    <w:multiLevelType w:val="hybridMultilevel"/>
    <w:tmpl w:val="F49C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6A6850"/>
    <w:multiLevelType w:val="hybridMultilevel"/>
    <w:tmpl w:val="30AED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5F0F17"/>
    <w:multiLevelType w:val="hybridMultilevel"/>
    <w:tmpl w:val="29AAD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886AA3"/>
    <w:multiLevelType w:val="hybridMultilevel"/>
    <w:tmpl w:val="57CCB2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CA33BA5"/>
    <w:multiLevelType w:val="hybridMultilevel"/>
    <w:tmpl w:val="BB0E9E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13F3547"/>
    <w:multiLevelType w:val="multilevel"/>
    <w:tmpl w:val="4B1ABC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1475B7E"/>
    <w:multiLevelType w:val="hybridMultilevel"/>
    <w:tmpl w:val="64300E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3F11857"/>
    <w:multiLevelType w:val="hybridMultilevel"/>
    <w:tmpl w:val="D768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B563F6"/>
    <w:multiLevelType w:val="hybridMultilevel"/>
    <w:tmpl w:val="63FC3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3B507E"/>
    <w:multiLevelType w:val="hybridMultilevel"/>
    <w:tmpl w:val="EF38BD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7407910"/>
    <w:multiLevelType w:val="hybridMultilevel"/>
    <w:tmpl w:val="7EF870FE"/>
    <w:lvl w:ilvl="0" w:tplc="612C590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902555"/>
    <w:multiLevelType w:val="multilevel"/>
    <w:tmpl w:val="0809001F"/>
    <w:styleLink w:val="Thesisnumbering1"/>
    <w:lvl w:ilvl="0">
      <w:start w:val="1"/>
      <w:numFmt w:val="decimal"/>
      <w:lvlText w:val="%1."/>
      <w:lvlJc w:val="left"/>
      <w:pPr>
        <w:ind w:left="360" w:hanging="360"/>
      </w:pPr>
      <w:rPr>
        <w:rFonts w:ascii="Cambria" w:hAnsi="Cambria"/>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DD20708"/>
    <w:multiLevelType w:val="multilevel"/>
    <w:tmpl w:val="B87E67B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5F99436E"/>
    <w:multiLevelType w:val="hybridMultilevel"/>
    <w:tmpl w:val="3D4E6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A84ED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C5D0365"/>
    <w:multiLevelType w:val="multilevel"/>
    <w:tmpl w:val="D8E693DE"/>
    <w:lvl w:ilvl="0">
      <w:start w:val="1"/>
      <w:numFmt w:val="decimal"/>
      <w:lvlText w:val="%1"/>
      <w:lvlJc w:val="left"/>
      <w:pPr>
        <w:ind w:left="432" w:hanging="432"/>
      </w:pPr>
      <w:rPr>
        <w:rFonts w:ascii="Times New Roman" w:eastAsiaTheme="majorEastAsia" w:hAnsi="Times New Roman" w:cstheme="majorBidi"/>
      </w:rPr>
    </w:lvl>
    <w:lvl w:ilvl="1">
      <w:start w:val="1"/>
      <w:numFmt w:val="decimal"/>
      <w:lvlText w:val="%1.%2"/>
      <w:lvlJc w:val="left"/>
      <w:pPr>
        <w:ind w:left="576" w:hanging="576"/>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864" w:hanging="864"/>
      </w:pPr>
      <w:rPr>
        <w:rFonts w:ascii="Times New Roman" w:hAnsi="Times New Roman" w:hint="default"/>
      </w:rPr>
    </w:lvl>
    <w:lvl w:ilvl="4">
      <w:start w:val="1"/>
      <w:numFmt w:val="decimal"/>
      <w:lvlText w:val="%1.%2.%3.%4.%5"/>
      <w:lvlJc w:val="left"/>
      <w:pPr>
        <w:ind w:left="1008" w:hanging="1008"/>
      </w:pPr>
      <w:rPr>
        <w:rFonts w:ascii="Times New Roman" w:hAnsi="Times New Roman" w:hint="default"/>
        <w:b w:val="0"/>
        <w:i w: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7BCE50DC"/>
    <w:multiLevelType w:val="hybridMultilevel"/>
    <w:tmpl w:val="90FE0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17"/>
  </w:num>
  <w:num w:numId="3">
    <w:abstractNumId w:val="15"/>
  </w:num>
  <w:num w:numId="4">
    <w:abstractNumId w:val="39"/>
  </w:num>
  <w:num w:numId="5">
    <w:abstractNumId w:val="35"/>
  </w:num>
  <w:num w:numId="6">
    <w:abstractNumId w:val="39"/>
  </w:num>
  <w:num w:numId="7">
    <w:abstractNumId w:val="1"/>
  </w:num>
  <w:num w:numId="8">
    <w:abstractNumId w:val="39"/>
  </w:num>
  <w:num w:numId="9">
    <w:abstractNumId w:val="10"/>
  </w:num>
  <w:num w:numId="10">
    <w:abstractNumId w:val="4"/>
  </w:num>
  <w:num w:numId="11">
    <w:abstractNumId w:val="20"/>
  </w:num>
  <w:num w:numId="12">
    <w:abstractNumId w:val="2"/>
  </w:num>
  <w:num w:numId="13">
    <w:abstractNumId w:val="13"/>
  </w:num>
  <w:num w:numId="14">
    <w:abstractNumId w:val="26"/>
  </w:num>
  <w:num w:numId="15">
    <w:abstractNumId w:val="23"/>
  </w:num>
  <w:num w:numId="16">
    <w:abstractNumId w:val="33"/>
  </w:num>
  <w:num w:numId="17">
    <w:abstractNumId w:val="27"/>
  </w:num>
  <w:num w:numId="18">
    <w:abstractNumId w:val="7"/>
  </w:num>
  <w:num w:numId="19">
    <w:abstractNumId w:val="0"/>
  </w:num>
  <w:num w:numId="20">
    <w:abstractNumId w:val="32"/>
  </w:num>
  <w:num w:numId="21">
    <w:abstractNumId w:val="28"/>
  </w:num>
  <w:num w:numId="22">
    <w:abstractNumId w:val="34"/>
  </w:num>
  <w:num w:numId="23">
    <w:abstractNumId w:val="37"/>
  </w:num>
  <w:num w:numId="24">
    <w:abstractNumId w:val="11"/>
  </w:num>
  <w:num w:numId="25">
    <w:abstractNumId w:val="24"/>
  </w:num>
  <w:num w:numId="26">
    <w:abstractNumId w:val="12"/>
  </w:num>
  <w:num w:numId="27">
    <w:abstractNumId w:val="25"/>
  </w:num>
  <w:num w:numId="28">
    <w:abstractNumId w:val="9"/>
  </w:num>
  <w:num w:numId="29">
    <w:abstractNumId w:val="31"/>
  </w:num>
  <w:num w:numId="30">
    <w:abstractNumId w:val="40"/>
  </w:num>
  <w:num w:numId="31">
    <w:abstractNumId w:val="14"/>
  </w:num>
  <w:num w:numId="32">
    <w:abstractNumId w:val="6"/>
  </w:num>
  <w:num w:numId="33">
    <w:abstractNumId w:val="5"/>
  </w:num>
  <w:num w:numId="34">
    <w:abstractNumId w:val="21"/>
  </w:num>
  <w:num w:numId="35">
    <w:abstractNumId w:val="3"/>
  </w:num>
  <w:num w:numId="36">
    <w:abstractNumId w:val="8"/>
  </w:num>
  <w:num w:numId="37">
    <w:abstractNumId w:val="38"/>
  </w:num>
  <w:num w:numId="38">
    <w:abstractNumId w:val="16"/>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num>
  <w:num w:numId="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22"/>
  </w:num>
  <w:num w:numId="45">
    <w:abstractNumId w:val="36"/>
  </w:num>
  <w:num w:numId="4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70E"/>
    <w:rsid w:val="00002B53"/>
    <w:rsid w:val="00002F76"/>
    <w:rsid w:val="00015A56"/>
    <w:rsid w:val="00021FB7"/>
    <w:rsid w:val="000237B4"/>
    <w:rsid w:val="00023EBD"/>
    <w:rsid w:val="000334B5"/>
    <w:rsid w:val="0003504E"/>
    <w:rsid w:val="000517BC"/>
    <w:rsid w:val="00056BFA"/>
    <w:rsid w:val="00062D6F"/>
    <w:rsid w:val="00067917"/>
    <w:rsid w:val="00072339"/>
    <w:rsid w:val="00073196"/>
    <w:rsid w:val="00080D1B"/>
    <w:rsid w:val="00092720"/>
    <w:rsid w:val="000A07F9"/>
    <w:rsid w:val="000A574E"/>
    <w:rsid w:val="000A660C"/>
    <w:rsid w:val="000C79F4"/>
    <w:rsid w:val="000D275E"/>
    <w:rsid w:val="000D450C"/>
    <w:rsid w:val="000D59BE"/>
    <w:rsid w:val="000E1F37"/>
    <w:rsid w:val="000E2CBA"/>
    <w:rsid w:val="000E4B1E"/>
    <w:rsid w:val="000E596B"/>
    <w:rsid w:val="000F2F5A"/>
    <w:rsid w:val="00106520"/>
    <w:rsid w:val="00107ED9"/>
    <w:rsid w:val="00110344"/>
    <w:rsid w:val="00112CEF"/>
    <w:rsid w:val="00114ECA"/>
    <w:rsid w:val="00123EAA"/>
    <w:rsid w:val="00123F68"/>
    <w:rsid w:val="00124B7E"/>
    <w:rsid w:val="00126F19"/>
    <w:rsid w:val="001335E7"/>
    <w:rsid w:val="00133B64"/>
    <w:rsid w:val="00137609"/>
    <w:rsid w:val="00143CEC"/>
    <w:rsid w:val="00150354"/>
    <w:rsid w:val="00153B78"/>
    <w:rsid w:val="001578C9"/>
    <w:rsid w:val="0017232E"/>
    <w:rsid w:val="001834FD"/>
    <w:rsid w:val="001868CE"/>
    <w:rsid w:val="0019096D"/>
    <w:rsid w:val="001955B9"/>
    <w:rsid w:val="00195A60"/>
    <w:rsid w:val="001A1549"/>
    <w:rsid w:val="001A1C73"/>
    <w:rsid w:val="001A287F"/>
    <w:rsid w:val="001A2E98"/>
    <w:rsid w:val="001A479B"/>
    <w:rsid w:val="001B2AA6"/>
    <w:rsid w:val="001B66BA"/>
    <w:rsid w:val="001B723B"/>
    <w:rsid w:val="001C01B8"/>
    <w:rsid w:val="001C0F27"/>
    <w:rsid w:val="001C4D32"/>
    <w:rsid w:val="001C78B6"/>
    <w:rsid w:val="001C78F4"/>
    <w:rsid w:val="001D025F"/>
    <w:rsid w:val="001D4369"/>
    <w:rsid w:val="001F1B26"/>
    <w:rsid w:val="00216A4D"/>
    <w:rsid w:val="00232C99"/>
    <w:rsid w:val="0024513D"/>
    <w:rsid w:val="0024581E"/>
    <w:rsid w:val="0024708F"/>
    <w:rsid w:val="00254822"/>
    <w:rsid w:val="00260CDB"/>
    <w:rsid w:val="00260F8C"/>
    <w:rsid w:val="00265DDA"/>
    <w:rsid w:val="00274763"/>
    <w:rsid w:val="0028654F"/>
    <w:rsid w:val="00290362"/>
    <w:rsid w:val="00297E09"/>
    <w:rsid w:val="002B062C"/>
    <w:rsid w:val="002B07FA"/>
    <w:rsid w:val="002B3486"/>
    <w:rsid w:val="002C4121"/>
    <w:rsid w:val="002C54FB"/>
    <w:rsid w:val="002D0D3E"/>
    <w:rsid w:val="002D1CE4"/>
    <w:rsid w:val="002E588A"/>
    <w:rsid w:val="002F11EE"/>
    <w:rsid w:val="002F2C78"/>
    <w:rsid w:val="00302065"/>
    <w:rsid w:val="00310679"/>
    <w:rsid w:val="00311816"/>
    <w:rsid w:val="00315034"/>
    <w:rsid w:val="00316B6B"/>
    <w:rsid w:val="003203AC"/>
    <w:rsid w:val="003218EF"/>
    <w:rsid w:val="00322955"/>
    <w:rsid w:val="00337FB4"/>
    <w:rsid w:val="00341C8E"/>
    <w:rsid w:val="00345085"/>
    <w:rsid w:val="00351743"/>
    <w:rsid w:val="00351B0B"/>
    <w:rsid w:val="00355F7B"/>
    <w:rsid w:val="00356402"/>
    <w:rsid w:val="003712E2"/>
    <w:rsid w:val="00373943"/>
    <w:rsid w:val="00373C10"/>
    <w:rsid w:val="003753FE"/>
    <w:rsid w:val="00376B38"/>
    <w:rsid w:val="00381084"/>
    <w:rsid w:val="003844C9"/>
    <w:rsid w:val="003920D6"/>
    <w:rsid w:val="0039662C"/>
    <w:rsid w:val="003B14C9"/>
    <w:rsid w:val="003B40BA"/>
    <w:rsid w:val="003B5579"/>
    <w:rsid w:val="003B5CD7"/>
    <w:rsid w:val="003B6CBD"/>
    <w:rsid w:val="003C0E81"/>
    <w:rsid w:val="003C235C"/>
    <w:rsid w:val="003C4965"/>
    <w:rsid w:val="003C7CED"/>
    <w:rsid w:val="003D132C"/>
    <w:rsid w:val="003D1A4F"/>
    <w:rsid w:val="003D4AB9"/>
    <w:rsid w:val="003D7E1A"/>
    <w:rsid w:val="003E5C51"/>
    <w:rsid w:val="003F0CF1"/>
    <w:rsid w:val="003F4D1B"/>
    <w:rsid w:val="003F7B69"/>
    <w:rsid w:val="00405DA1"/>
    <w:rsid w:val="00410650"/>
    <w:rsid w:val="00412039"/>
    <w:rsid w:val="0041451B"/>
    <w:rsid w:val="004151DA"/>
    <w:rsid w:val="00424793"/>
    <w:rsid w:val="00424885"/>
    <w:rsid w:val="00425AD9"/>
    <w:rsid w:val="00440895"/>
    <w:rsid w:val="00441098"/>
    <w:rsid w:val="00441BFF"/>
    <w:rsid w:val="004440F6"/>
    <w:rsid w:val="004448D4"/>
    <w:rsid w:val="00455C28"/>
    <w:rsid w:val="00462FA3"/>
    <w:rsid w:val="00463C23"/>
    <w:rsid w:val="00464BA3"/>
    <w:rsid w:val="00467250"/>
    <w:rsid w:val="004673FB"/>
    <w:rsid w:val="00472410"/>
    <w:rsid w:val="00476AED"/>
    <w:rsid w:val="00477903"/>
    <w:rsid w:val="0048325F"/>
    <w:rsid w:val="004976B2"/>
    <w:rsid w:val="004A1C1E"/>
    <w:rsid w:val="004A3350"/>
    <w:rsid w:val="004B698F"/>
    <w:rsid w:val="004B7228"/>
    <w:rsid w:val="004C37DC"/>
    <w:rsid w:val="004D053A"/>
    <w:rsid w:val="004D3AD8"/>
    <w:rsid w:val="004E08F2"/>
    <w:rsid w:val="004E1C0A"/>
    <w:rsid w:val="004E355A"/>
    <w:rsid w:val="004F1771"/>
    <w:rsid w:val="004F31A6"/>
    <w:rsid w:val="004F35E6"/>
    <w:rsid w:val="004F4E19"/>
    <w:rsid w:val="0050065E"/>
    <w:rsid w:val="00510ED6"/>
    <w:rsid w:val="00522C24"/>
    <w:rsid w:val="0052761B"/>
    <w:rsid w:val="00531DCE"/>
    <w:rsid w:val="00534C00"/>
    <w:rsid w:val="00540392"/>
    <w:rsid w:val="00540FA5"/>
    <w:rsid w:val="00547E32"/>
    <w:rsid w:val="00552DA2"/>
    <w:rsid w:val="00555437"/>
    <w:rsid w:val="0056015D"/>
    <w:rsid w:val="00561FF7"/>
    <w:rsid w:val="00572A61"/>
    <w:rsid w:val="00573B5A"/>
    <w:rsid w:val="005804E1"/>
    <w:rsid w:val="0058204C"/>
    <w:rsid w:val="005837C4"/>
    <w:rsid w:val="00592A7C"/>
    <w:rsid w:val="00594024"/>
    <w:rsid w:val="005974D6"/>
    <w:rsid w:val="005A152A"/>
    <w:rsid w:val="005A39A2"/>
    <w:rsid w:val="005A4B89"/>
    <w:rsid w:val="005A55B5"/>
    <w:rsid w:val="005C3369"/>
    <w:rsid w:val="005D2C0B"/>
    <w:rsid w:val="005D6F9E"/>
    <w:rsid w:val="005E666F"/>
    <w:rsid w:val="005E7540"/>
    <w:rsid w:val="005F026D"/>
    <w:rsid w:val="005F0F51"/>
    <w:rsid w:val="005F75AC"/>
    <w:rsid w:val="005F7AA3"/>
    <w:rsid w:val="005F7D1D"/>
    <w:rsid w:val="0060339A"/>
    <w:rsid w:val="0060603F"/>
    <w:rsid w:val="00606203"/>
    <w:rsid w:val="00610325"/>
    <w:rsid w:val="00612005"/>
    <w:rsid w:val="00613D22"/>
    <w:rsid w:val="006261D9"/>
    <w:rsid w:val="00633B43"/>
    <w:rsid w:val="00637148"/>
    <w:rsid w:val="00651AFA"/>
    <w:rsid w:val="00667391"/>
    <w:rsid w:val="00670475"/>
    <w:rsid w:val="00675D68"/>
    <w:rsid w:val="006804D3"/>
    <w:rsid w:val="006848BE"/>
    <w:rsid w:val="0069256B"/>
    <w:rsid w:val="0069337F"/>
    <w:rsid w:val="006A4A59"/>
    <w:rsid w:val="006A7B6B"/>
    <w:rsid w:val="006B5DB4"/>
    <w:rsid w:val="006C7D83"/>
    <w:rsid w:val="006D5170"/>
    <w:rsid w:val="006E1FA2"/>
    <w:rsid w:val="006F0A06"/>
    <w:rsid w:val="006F61C9"/>
    <w:rsid w:val="0070215B"/>
    <w:rsid w:val="00702527"/>
    <w:rsid w:val="007051E2"/>
    <w:rsid w:val="00705D20"/>
    <w:rsid w:val="00707B6C"/>
    <w:rsid w:val="007131B4"/>
    <w:rsid w:val="0072310C"/>
    <w:rsid w:val="0072332C"/>
    <w:rsid w:val="00723CE1"/>
    <w:rsid w:val="007245DB"/>
    <w:rsid w:val="00732656"/>
    <w:rsid w:val="007337AB"/>
    <w:rsid w:val="007431DF"/>
    <w:rsid w:val="00764285"/>
    <w:rsid w:val="00765641"/>
    <w:rsid w:val="00766A5F"/>
    <w:rsid w:val="0077772F"/>
    <w:rsid w:val="007806CC"/>
    <w:rsid w:val="00782435"/>
    <w:rsid w:val="0078270E"/>
    <w:rsid w:val="00792F79"/>
    <w:rsid w:val="007939E5"/>
    <w:rsid w:val="00793B8C"/>
    <w:rsid w:val="007A2ADE"/>
    <w:rsid w:val="007B26EB"/>
    <w:rsid w:val="007B6028"/>
    <w:rsid w:val="007C2FD6"/>
    <w:rsid w:val="007F0288"/>
    <w:rsid w:val="007F7426"/>
    <w:rsid w:val="008029E0"/>
    <w:rsid w:val="00804DF7"/>
    <w:rsid w:val="0080508D"/>
    <w:rsid w:val="008079B4"/>
    <w:rsid w:val="00810EB5"/>
    <w:rsid w:val="0081379E"/>
    <w:rsid w:val="00820A53"/>
    <w:rsid w:val="00823BDA"/>
    <w:rsid w:val="00836843"/>
    <w:rsid w:val="008507B8"/>
    <w:rsid w:val="008513BE"/>
    <w:rsid w:val="0085321A"/>
    <w:rsid w:val="00854420"/>
    <w:rsid w:val="0085447D"/>
    <w:rsid w:val="008667E1"/>
    <w:rsid w:val="00873617"/>
    <w:rsid w:val="00875268"/>
    <w:rsid w:val="00885ADD"/>
    <w:rsid w:val="00886EC5"/>
    <w:rsid w:val="0089189C"/>
    <w:rsid w:val="00892D3C"/>
    <w:rsid w:val="008A122E"/>
    <w:rsid w:val="008B1D7D"/>
    <w:rsid w:val="008B4212"/>
    <w:rsid w:val="008B4910"/>
    <w:rsid w:val="008C76AB"/>
    <w:rsid w:val="008D12C6"/>
    <w:rsid w:val="008D5657"/>
    <w:rsid w:val="008D6975"/>
    <w:rsid w:val="008E206E"/>
    <w:rsid w:val="008F37AF"/>
    <w:rsid w:val="008F6C92"/>
    <w:rsid w:val="00900C51"/>
    <w:rsid w:val="009164CB"/>
    <w:rsid w:val="00916E00"/>
    <w:rsid w:val="00922BA3"/>
    <w:rsid w:val="00926644"/>
    <w:rsid w:val="009334EF"/>
    <w:rsid w:val="00933B1A"/>
    <w:rsid w:val="009352BF"/>
    <w:rsid w:val="00937FD1"/>
    <w:rsid w:val="00941558"/>
    <w:rsid w:val="00941DC2"/>
    <w:rsid w:val="0095492F"/>
    <w:rsid w:val="0095714E"/>
    <w:rsid w:val="0095799D"/>
    <w:rsid w:val="0096423E"/>
    <w:rsid w:val="00974AB9"/>
    <w:rsid w:val="00974BDB"/>
    <w:rsid w:val="009771C0"/>
    <w:rsid w:val="0098162D"/>
    <w:rsid w:val="00995D40"/>
    <w:rsid w:val="00996AFF"/>
    <w:rsid w:val="00997695"/>
    <w:rsid w:val="009A2891"/>
    <w:rsid w:val="009A585B"/>
    <w:rsid w:val="009B106D"/>
    <w:rsid w:val="009B1BF2"/>
    <w:rsid w:val="009B1D72"/>
    <w:rsid w:val="009B4B67"/>
    <w:rsid w:val="009B6FD6"/>
    <w:rsid w:val="009C360E"/>
    <w:rsid w:val="009C4870"/>
    <w:rsid w:val="009C4EDC"/>
    <w:rsid w:val="009C656E"/>
    <w:rsid w:val="009D37DC"/>
    <w:rsid w:val="009D71E0"/>
    <w:rsid w:val="009E0AF7"/>
    <w:rsid w:val="009E411C"/>
    <w:rsid w:val="009E60AB"/>
    <w:rsid w:val="009E792D"/>
    <w:rsid w:val="009F10D8"/>
    <w:rsid w:val="009F11E7"/>
    <w:rsid w:val="009F15DC"/>
    <w:rsid w:val="009F4041"/>
    <w:rsid w:val="009F4B92"/>
    <w:rsid w:val="009F4CE6"/>
    <w:rsid w:val="009F68A2"/>
    <w:rsid w:val="00A03C54"/>
    <w:rsid w:val="00A0623A"/>
    <w:rsid w:val="00A10882"/>
    <w:rsid w:val="00A112AA"/>
    <w:rsid w:val="00A12084"/>
    <w:rsid w:val="00A20435"/>
    <w:rsid w:val="00A20E2B"/>
    <w:rsid w:val="00A224E7"/>
    <w:rsid w:val="00A25E26"/>
    <w:rsid w:val="00A26B82"/>
    <w:rsid w:val="00A271B2"/>
    <w:rsid w:val="00A30D10"/>
    <w:rsid w:val="00A33825"/>
    <w:rsid w:val="00A34D71"/>
    <w:rsid w:val="00A651EF"/>
    <w:rsid w:val="00A65BCC"/>
    <w:rsid w:val="00A6642B"/>
    <w:rsid w:val="00A74F96"/>
    <w:rsid w:val="00A820A2"/>
    <w:rsid w:val="00A85F48"/>
    <w:rsid w:val="00A917FA"/>
    <w:rsid w:val="00A963BD"/>
    <w:rsid w:val="00AA0D43"/>
    <w:rsid w:val="00AA10E5"/>
    <w:rsid w:val="00AA128B"/>
    <w:rsid w:val="00AA2249"/>
    <w:rsid w:val="00AA3B17"/>
    <w:rsid w:val="00AA76F6"/>
    <w:rsid w:val="00AB360F"/>
    <w:rsid w:val="00AB37AE"/>
    <w:rsid w:val="00AB4BEE"/>
    <w:rsid w:val="00AB6F79"/>
    <w:rsid w:val="00AC3344"/>
    <w:rsid w:val="00AC57F0"/>
    <w:rsid w:val="00AD4AAA"/>
    <w:rsid w:val="00AE0209"/>
    <w:rsid w:val="00AE0687"/>
    <w:rsid w:val="00AE1F18"/>
    <w:rsid w:val="00AE543F"/>
    <w:rsid w:val="00AF0672"/>
    <w:rsid w:val="00AF2659"/>
    <w:rsid w:val="00AF26DB"/>
    <w:rsid w:val="00AF30A9"/>
    <w:rsid w:val="00AF4748"/>
    <w:rsid w:val="00AF479B"/>
    <w:rsid w:val="00AF52F5"/>
    <w:rsid w:val="00B02713"/>
    <w:rsid w:val="00B0687C"/>
    <w:rsid w:val="00B10830"/>
    <w:rsid w:val="00B111D1"/>
    <w:rsid w:val="00B11690"/>
    <w:rsid w:val="00B241BF"/>
    <w:rsid w:val="00B255FD"/>
    <w:rsid w:val="00B272D7"/>
    <w:rsid w:val="00B27C81"/>
    <w:rsid w:val="00B3080F"/>
    <w:rsid w:val="00B34DAD"/>
    <w:rsid w:val="00B45966"/>
    <w:rsid w:val="00B47F0C"/>
    <w:rsid w:val="00B503C7"/>
    <w:rsid w:val="00B52277"/>
    <w:rsid w:val="00B55EED"/>
    <w:rsid w:val="00B63EA9"/>
    <w:rsid w:val="00B63ECD"/>
    <w:rsid w:val="00B661AF"/>
    <w:rsid w:val="00B710BD"/>
    <w:rsid w:val="00B71E76"/>
    <w:rsid w:val="00B73ED0"/>
    <w:rsid w:val="00B7406F"/>
    <w:rsid w:val="00B868B6"/>
    <w:rsid w:val="00B96606"/>
    <w:rsid w:val="00BA02DA"/>
    <w:rsid w:val="00BA06A1"/>
    <w:rsid w:val="00BA464D"/>
    <w:rsid w:val="00BB2EEE"/>
    <w:rsid w:val="00BB39D0"/>
    <w:rsid w:val="00BB442E"/>
    <w:rsid w:val="00BB4B52"/>
    <w:rsid w:val="00BC001E"/>
    <w:rsid w:val="00BC727F"/>
    <w:rsid w:val="00BC7A8E"/>
    <w:rsid w:val="00BE21E4"/>
    <w:rsid w:val="00BE7EB1"/>
    <w:rsid w:val="00BE7F11"/>
    <w:rsid w:val="00BF2A61"/>
    <w:rsid w:val="00BF3268"/>
    <w:rsid w:val="00BF470C"/>
    <w:rsid w:val="00BF5F9C"/>
    <w:rsid w:val="00BF7364"/>
    <w:rsid w:val="00C0076B"/>
    <w:rsid w:val="00C041E1"/>
    <w:rsid w:val="00C05C88"/>
    <w:rsid w:val="00C0659D"/>
    <w:rsid w:val="00C06FE4"/>
    <w:rsid w:val="00C12CD5"/>
    <w:rsid w:val="00C35A8B"/>
    <w:rsid w:val="00C35E25"/>
    <w:rsid w:val="00C375DB"/>
    <w:rsid w:val="00C402B3"/>
    <w:rsid w:val="00C44CE8"/>
    <w:rsid w:val="00C4739E"/>
    <w:rsid w:val="00C72BCB"/>
    <w:rsid w:val="00C75786"/>
    <w:rsid w:val="00C757A0"/>
    <w:rsid w:val="00C815DB"/>
    <w:rsid w:val="00C824BE"/>
    <w:rsid w:val="00C9008E"/>
    <w:rsid w:val="00C955BA"/>
    <w:rsid w:val="00C97C0E"/>
    <w:rsid w:val="00CA2389"/>
    <w:rsid w:val="00CB463E"/>
    <w:rsid w:val="00CC0CEF"/>
    <w:rsid w:val="00CC22FA"/>
    <w:rsid w:val="00CC57A7"/>
    <w:rsid w:val="00CE19A6"/>
    <w:rsid w:val="00CF1762"/>
    <w:rsid w:val="00CF4FC6"/>
    <w:rsid w:val="00CF603B"/>
    <w:rsid w:val="00D010C6"/>
    <w:rsid w:val="00D15D29"/>
    <w:rsid w:val="00D22A0A"/>
    <w:rsid w:val="00D2642A"/>
    <w:rsid w:val="00D34C93"/>
    <w:rsid w:val="00D40D3B"/>
    <w:rsid w:val="00D428D9"/>
    <w:rsid w:val="00D6245F"/>
    <w:rsid w:val="00D66280"/>
    <w:rsid w:val="00D66D8D"/>
    <w:rsid w:val="00D750D1"/>
    <w:rsid w:val="00D8007B"/>
    <w:rsid w:val="00D801AD"/>
    <w:rsid w:val="00D84B6C"/>
    <w:rsid w:val="00D96920"/>
    <w:rsid w:val="00DA2BEC"/>
    <w:rsid w:val="00DA60D0"/>
    <w:rsid w:val="00DB1042"/>
    <w:rsid w:val="00DB1BCE"/>
    <w:rsid w:val="00DB2ECA"/>
    <w:rsid w:val="00DB577E"/>
    <w:rsid w:val="00DB6407"/>
    <w:rsid w:val="00DC2F81"/>
    <w:rsid w:val="00DC73EE"/>
    <w:rsid w:val="00DC7B4C"/>
    <w:rsid w:val="00DD1FBE"/>
    <w:rsid w:val="00DD4F23"/>
    <w:rsid w:val="00DE2D58"/>
    <w:rsid w:val="00DE3FCA"/>
    <w:rsid w:val="00DF577B"/>
    <w:rsid w:val="00E04454"/>
    <w:rsid w:val="00E0495E"/>
    <w:rsid w:val="00E11A89"/>
    <w:rsid w:val="00E130DD"/>
    <w:rsid w:val="00E17DD0"/>
    <w:rsid w:val="00E20078"/>
    <w:rsid w:val="00E308E2"/>
    <w:rsid w:val="00E35619"/>
    <w:rsid w:val="00E4401E"/>
    <w:rsid w:val="00E4537B"/>
    <w:rsid w:val="00E5110A"/>
    <w:rsid w:val="00E56D11"/>
    <w:rsid w:val="00E6157A"/>
    <w:rsid w:val="00E62744"/>
    <w:rsid w:val="00E65742"/>
    <w:rsid w:val="00E71989"/>
    <w:rsid w:val="00E7446A"/>
    <w:rsid w:val="00E74B80"/>
    <w:rsid w:val="00E763A5"/>
    <w:rsid w:val="00E809B2"/>
    <w:rsid w:val="00E81A2A"/>
    <w:rsid w:val="00E81A50"/>
    <w:rsid w:val="00E828DF"/>
    <w:rsid w:val="00E8374D"/>
    <w:rsid w:val="00E90FDD"/>
    <w:rsid w:val="00E93FCC"/>
    <w:rsid w:val="00E95045"/>
    <w:rsid w:val="00E95570"/>
    <w:rsid w:val="00E96C56"/>
    <w:rsid w:val="00EA0CCD"/>
    <w:rsid w:val="00EA1870"/>
    <w:rsid w:val="00EB1C91"/>
    <w:rsid w:val="00EB7B70"/>
    <w:rsid w:val="00EC0B87"/>
    <w:rsid w:val="00EC58A6"/>
    <w:rsid w:val="00EC66C7"/>
    <w:rsid w:val="00EC7C5D"/>
    <w:rsid w:val="00ED01DD"/>
    <w:rsid w:val="00ED3396"/>
    <w:rsid w:val="00EE054F"/>
    <w:rsid w:val="00EE1763"/>
    <w:rsid w:val="00EE3B23"/>
    <w:rsid w:val="00EE4F62"/>
    <w:rsid w:val="00EE5C67"/>
    <w:rsid w:val="00EE75F1"/>
    <w:rsid w:val="00EF16C8"/>
    <w:rsid w:val="00EF1867"/>
    <w:rsid w:val="00EF3E32"/>
    <w:rsid w:val="00EF43E9"/>
    <w:rsid w:val="00EF48C6"/>
    <w:rsid w:val="00EF5F66"/>
    <w:rsid w:val="00F05285"/>
    <w:rsid w:val="00F15773"/>
    <w:rsid w:val="00F21E3F"/>
    <w:rsid w:val="00F23318"/>
    <w:rsid w:val="00F27D9A"/>
    <w:rsid w:val="00F3005A"/>
    <w:rsid w:val="00F3675F"/>
    <w:rsid w:val="00F41630"/>
    <w:rsid w:val="00F5205F"/>
    <w:rsid w:val="00F550C1"/>
    <w:rsid w:val="00F56CF3"/>
    <w:rsid w:val="00F62959"/>
    <w:rsid w:val="00F63C77"/>
    <w:rsid w:val="00F657E7"/>
    <w:rsid w:val="00F66915"/>
    <w:rsid w:val="00F734AD"/>
    <w:rsid w:val="00F81933"/>
    <w:rsid w:val="00F83DAC"/>
    <w:rsid w:val="00F904D3"/>
    <w:rsid w:val="00F92A53"/>
    <w:rsid w:val="00F93EF9"/>
    <w:rsid w:val="00F97114"/>
    <w:rsid w:val="00FA605D"/>
    <w:rsid w:val="00FB4744"/>
    <w:rsid w:val="00FC78A4"/>
    <w:rsid w:val="00FC7923"/>
    <w:rsid w:val="00FD2556"/>
    <w:rsid w:val="00FE0417"/>
    <w:rsid w:val="00FE7206"/>
    <w:rsid w:val="00FF2C0C"/>
    <w:rsid w:val="00FF74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5CA942"/>
  <w14:defaultImageDpi w14:val="32767"/>
  <w15:chartTrackingRefBased/>
  <w15:docId w15:val="{811A48EB-D304-D940-9647-805B6BC53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B7228"/>
    <w:pPr>
      <w:spacing w:after="120" w:line="360" w:lineRule="auto"/>
      <w:jc w:val="both"/>
    </w:pPr>
    <w:rPr>
      <w:rFonts w:ascii="Times New Roman" w:hAnsi="Times New Roman"/>
    </w:rPr>
  </w:style>
  <w:style w:type="paragraph" w:styleId="Heading1">
    <w:name w:val="heading 1"/>
    <w:basedOn w:val="Normal"/>
    <w:next w:val="Normal"/>
    <w:link w:val="Heading1Char"/>
    <w:uiPriority w:val="9"/>
    <w:qFormat/>
    <w:rsid w:val="009A585B"/>
    <w:pPr>
      <w:keepNext/>
      <w:keepLines/>
      <w:numPr>
        <w:numId w:val="41"/>
      </w:numPr>
      <w:spacing w:before="240" w:after="0"/>
      <w:outlineLvl w:val="0"/>
    </w:pPr>
    <w:rPr>
      <w:rFonts w:eastAsiaTheme="majorEastAsia" w:cstheme="majorBidi"/>
      <w:b/>
      <w:color w:val="000000" w:themeColor="text1"/>
      <w:sz w:val="36"/>
      <w:szCs w:val="32"/>
    </w:rPr>
  </w:style>
  <w:style w:type="paragraph" w:styleId="Heading2">
    <w:name w:val="heading 2"/>
    <w:basedOn w:val="Normal"/>
    <w:next w:val="Normal"/>
    <w:link w:val="Heading2Char"/>
    <w:uiPriority w:val="9"/>
    <w:unhideWhenUsed/>
    <w:qFormat/>
    <w:rsid w:val="009A585B"/>
    <w:pPr>
      <w:keepNext/>
      <w:keepLines/>
      <w:numPr>
        <w:ilvl w:val="1"/>
        <w:numId w:val="41"/>
      </w:numPr>
      <w:spacing w:before="160"/>
      <w:outlineLvl w:val="1"/>
    </w:pPr>
    <w:rPr>
      <w:rFonts w:eastAsiaTheme="majorEastAsia" w:cstheme="majorBidi"/>
      <w:b/>
      <w:color w:val="000000" w:themeColor="text1"/>
      <w:sz w:val="28"/>
      <w:szCs w:val="26"/>
    </w:rPr>
  </w:style>
  <w:style w:type="paragraph" w:styleId="Heading3">
    <w:name w:val="heading 3"/>
    <w:basedOn w:val="Normal"/>
    <w:next w:val="Normal"/>
    <w:link w:val="Heading3Char"/>
    <w:uiPriority w:val="9"/>
    <w:unhideWhenUsed/>
    <w:qFormat/>
    <w:rsid w:val="009A585B"/>
    <w:pPr>
      <w:keepNext/>
      <w:keepLines/>
      <w:numPr>
        <w:ilvl w:val="2"/>
        <w:numId w:val="41"/>
      </w:numPr>
      <w:spacing w:before="40" w:after="0"/>
      <w:outlineLvl w:val="2"/>
    </w:pPr>
    <w:rPr>
      <w:rFonts w:eastAsiaTheme="majorEastAsia" w:cstheme="majorBidi"/>
      <w:i/>
      <w:color w:val="000000" w:themeColor="text1"/>
    </w:rPr>
  </w:style>
  <w:style w:type="paragraph" w:styleId="Heading4">
    <w:name w:val="heading 4"/>
    <w:basedOn w:val="Heading3"/>
    <w:next w:val="Normal"/>
    <w:link w:val="Heading4Char"/>
    <w:autoRedefine/>
    <w:uiPriority w:val="9"/>
    <w:unhideWhenUsed/>
    <w:qFormat/>
    <w:rsid w:val="006D5170"/>
    <w:pPr>
      <w:numPr>
        <w:ilvl w:val="3"/>
      </w:numPr>
      <w:spacing w:before="120" w:after="120"/>
      <w:outlineLvl w:val="3"/>
    </w:pPr>
    <w:rPr>
      <w:rFonts w:cs="AppleSystemUIFont"/>
      <w:iCs/>
      <w:lang w:val="en-US"/>
    </w:rPr>
  </w:style>
  <w:style w:type="paragraph" w:styleId="Heading5">
    <w:name w:val="heading 5"/>
    <w:basedOn w:val="Normal"/>
    <w:next w:val="Normal"/>
    <w:link w:val="Heading5Char"/>
    <w:uiPriority w:val="9"/>
    <w:unhideWhenUsed/>
    <w:qFormat/>
    <w:rsid w:val="00F3005A"/>
    <w:pPr>
      <w:keepNext/>
      <w:keepLines/>
      <w:numPr>
        <w:ilvl w:val="4"/>
        <w:numId w:val="4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3005A"/>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3005A"/>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300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300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6975"/>
    <w:pPr>
      <w:tabs>
        <w:tab w:val="center" w:pos="4513"/>
        <w:tab w:val="right" w:pos="9026"/>
      </w:tabs>
    </w:pPr>
    <w:rPr>
      <w:i/>
      <w:sz w:val="20"/>
    </w:rPr>
  </w:style>
  <w:style w:type="character" w:customStyle="1" w:styleId="HeaderChar">
    <w:name w:val="Header Char"/>
    <w:basedOn w:val="DefaultParagraphFont"/>
    <w:link w:val="Header"/>
    <w:uiPriority w:val="99"/>
    <w:rsid w:val="008D6975"/>
    <w:rPr>
      <w:rFonts w:ascii="Cambria" w:hAnsi="Cambria"/>
      <w:i/>
      <w:sz w:val="20"/>
    </w:rPr>
  </w:style>
  <w:style w:type="paragraph" w:styleId="Footer">
    <w:name w:val="footer"/>
    <w:basedOn w:val="Normal"/>
    <w:link w:val="FooterChar"/>
    <w:uiPriority w:val="99"/>
    <w:unhideWhenUsed/>
    <w:rsid w:val="008D6975"/>
    <w:pPr>
      <w:tabs>
        <w:tab w:val="center" w:pos="4513"/>
        <w:tab w:val="right" w:pos="9026"/>
      </w:tabs>
    </w:pPr>
  </w:style>
  <w:style w:type="character" w:customStyle="1" w:styleId="FooterChar">
    <w:name w:val="Footer Char"/>
    <w:basedOn w:val="DefaultParagraphFont"/>
    <w:link w:val="Footer"/>
    <w:uiPriority w:val="99"/>
    <w:rsid w:val="008D6975"/>
  </w:style>
  <w:style w:type="character" w:styleId="PageNumber">
    <w:name w:val="page number"/>
    <w:basedOn w:val="DefaultParagraphFont"/>
    <w:uiPriority w:val="99"/>
    <w:semiHidden/>
    <w:unhideWhenUsed/>
    <w:rsid w:val="008D6975"/>
  </w:style>
  <w:style w:type="paragraph" w:styleId="NoSpacing">
    <w:name w:val="No Spacing"/>
    <w:link w:val="NoSpacingChar"/>
    <w:uiPriority w:val="1"/>
    <w:qFormat/>
    <w:rsid w:val="008D6975"/>
    <w:rPr>
      <w:rFonts w:eastAsiaTheme="minorEastAsia"/>
      <w:sz w:val="22"/>
      <w:szCs w:val="22"/>
      <w:lang w:val="en-US" w:eastAsia="zh-CN"/>
    </w:rPr>
  </w:style>
  <w:style w:type="character" w:customStyle="1" w:styleId="Heading1Char">
    <w:name w:val="Heading 1 Char"/>
    <w:basedOn w:val="DefaultParagraphFont"/>
    <w:link w:val="Heading1"/>
    <w:uiPriority w:val="9"/>
    <w:rsid w:val="009A585B"/>
    <w:rPr>
      <w:rFonts w:ascii="Times New Roman" w:eastAsiaTheme="majorEastAsia" w:hAnsi="Times New Roman" w:cstheme="majorBidi"/>
      <w:b/>
      <w:color w:val="000000" w:themeColor="text1"/>
      <w:sz w:val="36"/>
      <w:szCs w:val="32"/>
    </w:rPr>
  </w:style>
  <w:style w:type="character" w:customStyle="1" w:styleId="Heading2Char">
    <w:name w:val="Heading 2 Char"/>
    <w:basedOn w:val="DefaultParagraphFont"/>
    <w:link w:val="Heading2"/>
    <w:uiPriority w:val="9"/>
    <w:rsid w:val="009A585B"/>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9A585B"/>
    <w:rPr>
      <w:rFonts w:ascii="Times New Roman" w:eastAsiaTheme="majorEastAsia" w:hAnsi="Times New Roman" w:cstheme="majorBidi"/>
      <w:i/>
      <w:color w:val="000000" w:themeColor="text1"/>
    </w:rPr>
  </w:style>
  <w:style w:type="numbering" w:customStyle="1" w:styleId="Thesisnumbering">
    <w:name w:val="Thesis numbering"/>
    <w:uiPriority w:val="99"/>
    <w:rsid w:val="00667391"/>
    <w:pPr>
      <w:numPr>
        <w:numId w:val="2"/>
      </w:numPr>
    </w:pPr>
  </w:style>
  <w:style w:type="numbering" w:customStyle="1" w:styleId="Thesisnumbering1">
    <w:name w:val="Thesis numbering_1"/>
    <w:uiPriority w:val="99"/>
    <w:rsid w:val="00667391"/>
    <w:pPr>
      <w:numPr>
        <w:numId w:val="5"/>
      </w:numPr>
    </w:pPr>
  </w:style>
  <w:style w:type="paragraph" w:styleId="ListParagraph">
    <w:name w:val="List Paragraph"/>
    <w:basedOn w:val="Normal"/>
    <w:uiPriority w:val="34"/>
    <w:qFormat/>
    <w:rsid w:val="00667391"/>
    <w:pPr>
      <w:ind w:left="720"/>
      <w:contextualSpacing/>
    </w:pPr>
  </w:style>
  <w:style w:type="character" w:customStyle="1" w:styleId="Heading4Char">
    <w:name w:val="Heading 4 Char"/>
    <w:basedOn w:val="DefaultParagraphFont"/>
    <w:link w:val="Heading4"/>
    <w:uiPriority w:val="9"/>
    <w:rsid w:val="006D5170"/>
    <w:rPr>
      <w:rFonts w:ascii="Times New Roman" w:eastAsiaTheme="majorEastAsia" w:hAnsi="Times New Roman" w:cs="AppleSystemUIFont"/>
      <w:i/>
      <w:iCs/>
      <w:color w:val="000000" w:themeColor="text1"/>
      <w:lang w:val="en-US"/>
    </w:rPr>
  </w:style>
  <w:style w:type="character" w:customStyle="1" w:styleId="Heading5Char">
    <w:name w:val="Heading 5 Char"/>
    <w:basedOn w:val="DefaultParagraphFont"/>
    <w:link w:val="Heading5"/>
    <w:uiPriority w:val="9"/>
    <w:rsid w:val="00062D6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062D6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062D6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062D6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62D6F"/>
    <w:rPr>
      <w:rFonts w:asciiTheme="majorHAnsi" w:eastAsiaTheme="majorEastAsia" w:hAnsiTheme="majorHAnsi" w:cstheme="majorBidi"/>
      <w:i/>
      <w:iCs/>
      <w:color w:val="272727" w:themeColor="text1" w:themeTint="D8"/>
      <w:sz w:val="21"/>
      <w:szCs w:val="21"/>
    </w:rPr>
  </w:style>
  <w:style w:type="character" w:customStyle="1" w:styleId="NoSpacingChar">
    <w:name w:val="No Spacing Char"/>
    <w:basedOn w:val="DefaultParagraphFont"/>
    <w:link w:val="NoSpacing"/>
    <w:uiPriority w:val="1"/>
    <w:rsid w:val="00540FA5"/>
    <w:rPr>
      <w:rFonts w:eastAsiaTheme="minorEastAsia"/>
      <w:sz w:val="22"/>
      <w:szCs w:val="22"/>
      <w:lang w:val="en-US" w:eastAsia="zh-CN"/>
    </w:rPr>
  </w:style>
  <w:style w:type="numbering" w:customStyle="1" w:styleId="Thesisnumberformatting">
    <w:name w:val="Thesis number formatting"/>
    <w:uiPriority w:val="99"/>
    <w:rsid w:val="00F3005A"/>
    <w:pPr>
      <w:numPr>
        <w:numId w:val="9"/>
      </w:numPr>
    </w:pPr>
  </w:style>
  <w:style w:type="paragraph" w:customStyle="1" w:styleId="Chapterheading">
    <w:name w:val="Chapter heading"/>
    <w:basedOn w:val="Heading1"/>
    <w:rsid w:val="0078270E"/>
    <w:pPr>
      <w:numPr>
        <w:numId w:val="0"/>
      </w:numPr>
    </w:pPr>
    <w:rPr>
      <w:sz w:val="40"/>
    </w:rPr>
  </w:style>
  <w:style w:type="character" w:styleId="CommentReference">
    <w:name w:val="annotation reference"/>
    <w:basedOn w:val="DefaultParagraphFont"/>
    <w:uiPriority w:val="99"/>
    <w:semiHidden/>
    <w:unhideWhenUsed/>
    <w:rsid w:val="0078270E"/>
    <w:rPr>
      <w:sz w:val="18"/>
      <w:szCs w:val="18"/>
    </w:rPr>
  </w:style>
  <w:style w:type="paragraph" w:styleId="CommentText">
    <w:name w:val="annotation text"/>
    <w:basedOn w:val="Normal"/>
    <w:link w:val="CommentTextChar"/>
    <w:uiPriority w:val="99"/>
    <w:semiHidden/>
    <w:unhideWhenUsed/>
    <w:rsid w:val="0078270E"/>
    <w:pPr>
      <w:spacing w:after="0" w:line="240" w:lineRule="auto"/>
      <w:jc w:val="left"/>
    </w:pPr>
  </w:style>
  <w:style w:type="character" w:customStyle="1" w:styleId="CommentTextChar">
    <w:name w:val="Comment Text Char"/>
    <w:basedOn w:val="DefaultParagraphFont"/>
    <w:link w:val="CommentText"/>
    <w:uiPriority w:val="99"/>
    <w:semiHidden/>
    <w:rsid w:val="0078270E"/>
  </w:style>
  <w:style w:type="paragraph" w:styleId="BalloonText">
    <w:name w:val="Balloon Text"/>
    <w:basedOn w:val="Normal"/>
    <w:link w:val="BalloonTextChar"/>
    <w:uiPriority w:val="99"/>
    <w:semiHidden/>
    <w:unhideWhenUsed/>
    <w:rsid w:val="0078270E"/>
    <w:pPr>
      <w:spacing w:after="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78270E"/>
    <w:rPr>
      <w:rFonts w:ascii="Times New Roman" w:hAnsi="Times New Roman" w:cs="Times New Roman"/>
      <w:sz w:val="18"/>
      <w:szCs w:val="18"/>
    </w:rPr>
  </w:style>
  <w:style w:type="paragraph" w:styleId="Caption">
    <w:name w:val="caption"/>
    <w:basedOn w:val="Normal"/>
    <w:next w:val="Normal"/>
    <w:uiPriority w:val="35"/>
    <w:unhideWhenUsed/>
    <w:qFormat/>
    <w:rsid w:val="004440F6"/>
    <w:pPr>
      <w:spacing w:after="200" w:line="240" w:lineRule="auto"/>
      <w:jc w:val="left"/>
    </w:pPr>
    <w:rPr>
      <w:rFonts w:eastAsiaTheme="minorEastAsia"/>
      <w:b/>
      <w:bCs/>
      <w:sz w:val="18"/>
      <w:szCs w:val="18"/>
    </w:rPr>
  </w:style>
  <w:style w:type="table" w:styleId="TableGrid">
    <w:name w:val="Table Grid"/>
    <w:basedOn w:val="TableNormal"/>
    <w:uiPriority w:val="39"/>
    <w:rsid w:val="004440F6"/>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7C2FD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Heading">
    <w:name w:val="TOC Heading"/>
    <w:basedOn w:val="Heading1"/>
    <w:next w:val="Normal"/>
    <w:uiPriority w:val="39"/>
    <w:unhideWhenUsed/>
    <w:qFormat/>
    <w:rsid w:val="00E11A89"/>
    <w:pPr>
      <w:numPr>
        <w:numId w:val="0"/>
      </w:numPr>
      <w:spacing w:before="480" w:line="276" w:lineRule="auto"/>
      <w:jc w:val="left"/>
      <w:outlineLvl w:val="9"/>
    </w:pPr>
    <w:rPr>
      <w:rFonts w:asciiTheme="majorHAnsi" w:hAnsiTheme="majorHAnsi"/>
      <w:bCs/>
      <w:color w:val="2F5496" w:themeColor="accent1" w:themeShade="BF"/>
      <w:sz w:val="28"/>
      <w:szCs w:val="28"/>
      <w:lang w:val="en-US"/>
    </w:rPr>
  </w:style>
  <w:style w:type="paragraph" w:styleId="TOC1">
    <w:name w:val="toc 1"/>
    <w:basedOn w:val="Normal"/>
    <w:next w:val="Normal"/>
    <w:autoRedefine/>
    <w:uiPriority w:val="39"/>
    <w:unhideWhenUsed/>
    <w:rsid w:val="009F15DC"/>
    <w:pPr>
      <w:spacing w:before="120" w:after="0"/>
      <w:jc w:val="left"/>
    </w:pPr>
    <w:rPr>
      <w:rFonts w:cstheme="minorHAnsi"/>
      <w:b/>
      <w:bCs/>
      <w:i/>
      <w:iCs/>
    </w:rPr>
  </w:style>
  <w:style w:type="paragraph" w:styleId="TOC2">
    <w:name w:val="toc 2"/>
    <w:basedOn w:val="Normal"/>
    <w:next w:val="Normal"/>
    <w:autoRedefine/>
    <w:uiPriority w:val="39"/>
    <w:unhideWhenUsed/>
    <w:rsid w:val="009F15DC"/>
    <w:pPr>
      <w:spacing w:before="120" w:after="0"/>
      <w:ind w:left="240"/>
      <w:jc w:val="left"/>
    </w:pPr>
    <w:rPr>
      <w:rFonts w:cstheme="minorHAnsi"/>
      <w:b/>
      <w:bCs/>
      <w:sz w:val="22"/>
      <w:szCs w:val="22"/>
    </w:rPr>
  </w:style>
  <w:style w:type="paragraph" w:styleId="TOC3">
    <w:name w:val="toc 3"/>
    <w:basedOn w:val="Normal"/>
    <w:next w:val="Normal"/>
    <w:autoRedefine/>
    <w:uiPriority w:val="39"/>
    <w:unhideWhenUsed/>
    <w:rsid w:val="009F15DC"/>
    <w:pPr>
      <w:spacing w:after="0"/>
      <w:ind w:left="480"/>
      <w:jc w:val="left"/>
    </w:pPr>
    <w:rPr>
      <w:rFonts w:cstheme="minorHAnsi"/>
      <w:sz w:val="20"/>
      <w:szCs w:val="20"/>
    </w:rPr>
  </w:style>
  <w:style w:type="character" w:styleId="Hyperlink">
    <w:name w:val="Hyperlink"/>
    <w:basedOn w:val="DefaultParagraphFont"/>
    <w:uiPriority w:val="99"/>
    <w:unhideWhenUsed/>
    <w:rsid w:val="00E11A89"/>
    <w:rPr>
      <w:color w:val="0563C1" w:themeColor="hyperlink"/>
      <w:u w:val="single"/>
    </w:rPr>
  </w:style>
  <w:style w:type="paragraph" w:styleId="TOC4">
    <w:name w:val="toc 4"/>
    <w:basedOn w:val="Normal"/>
    <w:next w:val="Normal"/>
    <w:autoRedefine/>
    <w:uiPriority w:val="39"/>
    <w:unhideWhenUsed/>
    <w:rsid w:val="00E11A89"/>
    <w:pPr>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E11A89"/>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E11A89"/>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E11A89"/>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E11A89"/>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E11A89"/>
    <w:pPr>
      <w:spacing w:after="0"/>
      <w:ind w:left="1920"/>
      <w:jc w:val="left"/>
    </w:pPr>
    <w:rPr>
      <w:rFonts w:asciiTheme="minorHAnsi" w:hAnsiTheme="minorHAnsi" w:cstheme="minorHAnsi"/>
      <w:sz w:val="20"/>
      <w:szCs w:val="20"/>
    </w:rPr>
  </w:style>
  <w:style w:type="paragraph" w:styleId="CommentSubject">
    <w:name w:val="annotation subject"/>
    <w:basedOn w:val="CommentText"/>
    <w:next w:val="CommentText"/>
    <w:link w:val="CommentSubjectChar"/>
    <w:uiPriority w:val="99"/>
    <w:semiHidden/>
    <w:unhideWhenUsed/>
    <w:rsid w:val="007F7426"/>
    <w:pPr>
      <w:spacing w:after="360"/>
      <w:jc w:val="both"/>
    </w:pPr>
    <w:rPr>
      <w:b/>
      <w:bCs/>
      <w:sz w:val="20"/>
      <w:szCs w:val="20"/>
    </w:rPr>
  </w:style>
  <w:style w:type="character" w:customStyle="1" w:styleId="CommentSubjectChar">
    <w:name w:val="Comment Subject Char"/>
    <w:basedOn w:val="CommentTextChar"/>
    <w:link w:val="CommentSubject"/>
    <w:uiPriority w:val="99"/>
    <w:semiHidden/>
    <w:rsid w:val="007F7426"/>
    <w:rPr>
      <w:b/>
      <w:bCs/>
      <w:sz w:val="20"/>
      <w:szCs w:val="20"/>
    </w:rPr>
  </w:style>
  <w:style w:type="table" w:styleId="PlainTable1">
    <w:name w:val="Plain Table 1"/>
    <w:basedOn w:val="TableNormal"/>
    <w:uiPriority w:val="41"/>
    <w:rsid w:val="005804E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804E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
    <w:name w:val="Unresolved Mention1"/>
    <w:basedOn w:val="DefaultParagraphFont"/>
    <w:uiPriority w:val="99"/>
    <w:rsid w:val="00316B6B"/>
    <w:rPr>
      <w:color w:val="605E5C"/>
      <w:shd w:val="clear" w:color="auto" w:fill="E1DFDD"/>
    </w:rPr>
  </w:style>
  <w:style w:type="paragraph" w:styleId="NormalWeb">
    <w:name w:val="Normal (Web)"/>
    <w:basedOn w:val="Normal"/>
    <w:uiPriority w:val="99"/>
    <w:unhideWhenUsed/>
    <w:rsid w:val="001A287F"/>
    <w:pPr>
      <w:spacing w:before="100" w:beforeAutospacing="1" w:after="100" w:afterAutospacing="1" w:line="240" w:lineRule="auto"/>
      <w:jc w:val="left"/>
    </w:pPr>
    <w:rPr>
      <w:rFonts w:eastAsia="Times New Roman" w:cs="Times New Roman"/>
    </w:rPr>
  </w:style>
  <w:style w:type="character" w:styleId="Strong">
    <w:name w:val="Strong"/>
    <w:basedOn w:val="DefaultParagraphFont"/>
    <w:uiPriority w:val="22"/>
    <w:qFormat/>
    <w:rsid w:val="004673FB"/>
    <w:rPr>
      <w:b/>
      <w:bCs/>
    </w:rPr>
  </w:style>
  <w:style w:type="character" w:styleId="PlaceholderText">
    <w:name w:val="Placeholder Text"/>
    <w:basedOn w:val="DefaultParagraphFont"/>
    <w:uiPriority w:val="99"/>
    <w:semiHidden/>
    <w:rsid w:val="004673FB"/>
    <w:rPr>
      <w:color w:val="808080"/>
    </w:rPr>
  </w:style>
  <w:style w:type="paragraph" w:styleId="FootnoteText">
    <w:name w:val="footnote text"/>
    <w:basedOn w:val="Normal"/>
    <w:link w:val="FootnoteTextChar"/>
    <w:uiPriority w:val="99"/>
    <w:semiHidden/>
    <w:unhideWhenUsed/>
    <w:rsid w:val="004673F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673FB"/>
    <w:rPr>
      <w:rFonts w:ascii="Helvetica" w:hAnsi="Helvetica"/>
      <w:sz w:val="20"/>
      <w:szCs w:val="20"/>
    </w:rPr>
  </w:style>
  <w:style w:type="character" w:styleId="FootnoteReference">
    <w:name w:val="footnote reference"/>
    <w:basedOn w:val="DefaultParagraphFont"/>
    <w:uiPriority w:val="99"/>
    <w:semiHidden/>
    <w:unhideWhenUsed/>
    <w:rsid w:val="004673FB"/>
    <w:rPr>
      <w:vertAlign w:val="superscript"/>
    </w:rPr>
  </w:style>
  <w:style w:type="table" w:styleId="LightShading">
    <w:name w:val="Light Shading"/>
    <w:basedOn w:val="TableNormal"/>
    <w:uiPriority w:val="60"/>
    <w:rsid w:val="009A585B"/>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9A585B"/>
    <w:rPr>
      <w:rFonts w:eastAsiaTheme="minorEastAsia"/>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
    <w:name w:val="Light Grid"/>
    <w:basedOn w:val="TableNormal"/>
    <w:uiPriority w:val="62"/>
    <w:rsid w:val="009A585B"/>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9A585B"/>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Title">
    <w:name w:val="Title"/>
    <w:aliases w:val="Chapter Heading"/>
    <w:basedOn w:val="Normal"/>
    <w:next w:val="Normal"/>
    <w:link w:val="TitleChar"/>
    <w:autoRedefine/>
    <w:uiPriority w:val="10"/>
    <w:qFormat/>
    <w:rsid w:val="009A585B"/>
    <w:pPr>
      <w:numPr>
        <w:numId w:val="35"/>
      </w:numPr>
      <w:spacing w:after="0"/>
      <w:contextualSpacing/>
    </w:pPr>
    <w:rPr>
      <w:rFonts w:ascii="Helvetica" w:eastAsiaTheme="majorEastAsia" w:hAnsi="Helvetica" w:cstheme="majorBidi"/>
      <w:b/>
      <w:spacing w:val="-10"/>
      <w:kern w:val="28"/>
      <w:sz w:val="40"/>
      <w:szCs w:val="56"/>
    </w:rPr>
  </w:style>
  <w:style w:type="character" w:customStyle="1" w:styleId="TitleChar">
    <w:name w:val="Title Char"/>
    <w:aliases w:val="Chapter Heading Char"/>
    <w:basedOn w:val="DefaultParagraphFont"/>
    <w:link w:val="Title"/>
    <w:uiPriority w:val="10"/>
    <w:rsid w:val="009A585B"/>
    <w:rPr>
      <w:rFonts w:ascii="Helvetica" w:eastAsiaTheme="majorEastAsia" w:hAnsi="Helvetica" w:cstheme="majorBidi"/>
      <w:b/>
      <w:spacing w:val="-10"/>
      <w:kern w:val="28"/>
      <w:sz w:val="40"/>
      <w:szCs w:val="56"/>
    </w:rPr>
  </w:style>
  <w:style w:type="numbering" w:customStyle="1" w:styleId="Style1">
    <w:name w:val="Style1"/>
    <w:uiPriority w:val="99"/>
    <w:rsid w:val="009A585B"/>
    <w:pPr>
      <w:numPr>
        <w:numId w:val="36"/>
      </w:numPr>
    </w:pPr>
  </w:style>
  <w:style w:type="character" w:styleId="UnresolvedMention">
    <w:name w:val="Unresolved Mention"/>
    <w:basedOn w:val="DefaultParagraphFont"/>
    <w:uiPriority w:val="99"/>
    <w:unhideWhenUsed/>
    <w:rsid w:val="00F550C1"/>
    <w:rPr>
      <w:color w:val="605E5C"/>
      <w:shd w:val="clear" w:color="auto" w:fill="E1DFDD"/>
    </w:rPr>
  </w:style>
  <w:style w:type="paragraph" w:styleId="TableofFigures">
    <w:name w:val="table of figures"/>
    <w:basedOn w:val="Normal"/>
    <w:next w:val="Normal"/>
    <w:uiPriority w:val="99"/>
    <w:unhideWhenUsed/>
    <w:rsid w:val="009F15D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0143527">
      <w:bodyDiv w:val="1"/>
      <w:marLeft w:val="0"/>
      <w:marRight w:val="0"/>
      <w:marTop w:val="0"/>
      <w:marBottom w:val="0"/>
      <w:divBdr>
        <w:top w:val="none" w:sz="0" w:space="0" w:color="auto"/>
        <w:left w:val="none" w:sz="0" w:space="0" w:color="auto"/>
        <w:bottom w:val="none" w:sz="0" w:space="0" w:color="auto"/>
        <w:right w:val="none" w:sz="0" w:space="0" w:color="auto"/>
      </w:divBdr>
    </w:div>
    <w:div w:id="945766574">
      <w:bodyDiv w:val="1"/>
      <w:marLeft w:val="0"/>
      <w:marRight w:val="0"/>
      <w:marTop w:val="0"/>
      <w:marBottom w:val="0"/>
      <w:divBdr>
        <w:top w:val="none" w:sz="0" w:space="0" w:color="auto"/>
        <w:left w:val="none" w:sz="0" w:space="0" w:color="auto"/>
        <w:bottom w:val="none" w:sz="0" w:space="0" w:color="auto"/>
        <w:right w:val="none" w:sz="0" w:space="0" w:color="auto"/>
      </w:divBdr>
    </w:div>
    <w:div w:id="991981390">
      <w:bodyDiv w:val="1"/>
      <w:marLeft w:val="0"/>
      <w:marRight w:val="0"/>
      <w:marTop w:val="0"/>
      <w:marBottom w:val="0"/>
      <w:divBdr>
        <w:top w:val="none" w:sz="0" w:space="0" w:color="auto"/>
        <w:left w:val="none" w:sz="0" w:space="0" w:color="auto"/>
        <w:bottom w:val="none" w:sz="0" w:space="0" w:color="auto"/>
        <w:right w:val="none" w:sz="0" w:space="0" w:color="auto"/>
      </w:divBdr>
    </w:div>
    <w:div w:id="103836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png"/><Relationship Id="rId58" Type="http://schemas.openxmlformats.org/officeDocument/2006/relationships/image" Target="media/image47.emf"/><Relationship Id="rId66" Type="http://schemas.openxmlformats.org/officeDocument/2006/relationships/image" Target="media/image55.emf"/><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8.emf"/><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image" Target="media/image58.emf"/><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tif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png"/><Relationship Id="rId57" Type="http://schemas.openxmlformats.org/officeDocument/2006/relationships/image" Target="media/image46.tiff"/><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 Type="http://schemas.openxmlformats.org/officeDocument/2006/relationships/endnotes" Target="endnotes.xml"/><Relationship Id="rId71" Type="http://schemas.openxmlformats.org/officeDocument/2006/relationships/image" Target="media/image6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611F1-4B41-2446-A3E7-B9345A0AC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169</Pages>
  <Words>163358</Words>
  <Characters>931144</Characters>
  <Application>Microsoft Office Word</Application>
  <DocSecurity>0</DocSecurity>
  <Lines>7759</Lines>
  <Paragraphs>2184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1092318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Kathryn Murray</dc:creator>
  <cp:keywords/>
  <dc:description/>
  <cp:lastModifiedBy>Kathryn Murray</cp:lastModifiedBy>
  <cp:revision>4</cp:revision>
  <cp:lastPrinted>2019-03-02T20:31:00Z</cp:lastPrinted>
  <dcterms:created xsi:type="dcterms:W3CDTF">2019-03-02T20:31:00Z</dcterms:created>
  <dcterms:modified xsi:type="dcterms:W3CDTF">2019-03-02T20:37:00Z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Unique User Id_1">
    <vt:lpwstr>24a7c5d9-c9c9-34da-98ef-968d5b26ac1b</vt:lpwstr>
  </property>
  <property fmtid="{D5CDD505-2E9C-101B-9397-08002B2CF9AE}" pid="24" name="Mendeley Citation Style_1">
    <vt:lpwstr>http://www.zotero.org/styles/royal-society-of-chemistry</vt:lpwstr>
  </property>
</Properties>
</file>