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3768" w:rsidRPr="007A15F6" w:rsidRDefault="00184469" w:rsidP="00304D48">
      <w:pPr>
        <w:spacing w:line="480" w:lineRule="auto"/>
        <w:jc w:val="center"/>
        <w:rPr>
          <w:rFonts w:ascii="Times New Roman" w:hAnsi="Times New Roman" w:cs="Times New Roman"/>
        </w:rPr>
      </w:pPr>
      <w:bookmarkStart w:id="0" w:name="_GoBack"/>
      <w:bookmarkEnd w:id="0"/>
      <w:r>
        <w:rPr>
          <w:rFonts w:ascii="Times New Roman" w:hAnsi="Times New Roman" w:cs="Times New Roman"/>
        </w:rPr>
        <w:t xml:space="preserve">SOCIAL </w:t>
      </w:r>
      <w:r w:rsidR="004A0ECE">
        <w:rPr>
          <w:rFonts w:ascii="Times New Roman" w:hAnsi="Times New Roman" w:cs="Times New Roman"/>
        </w:rPr>
        <w:t xml:space="preserve">AND BEHAVIOURAL FACTORS </w:t>
      </w:r>
      <w:r>
        <w:rPr>
          <w:rFonts w:ascii="Times New Roman" w:hAnsi="Times New Roman" w:cs="Times New Roman"/>
        </w:rPr>
        <w:t xml:space="preserve">ASSOCIATED WITH </w:t>
      </w:r>
      <w:r w:rsidR="00CB5B00" w:rsidRPr="007A15F6">
        <w:rPr>
          <w:rFonts w:ascii="Times New Roman" w:hAnsi="Times New Roman" w:cs="Times New Roman"/>
        </w:rPr>
        <w:t>COGNITIVE</w:t>
      </w:r>
      <w:r w:rsidR="00FA6EFA" w:rsidRPr="007A15F6">
        <w:rPr>
          <w:rFonts w:ascii="Times New Roman" w:hAnsi="Times New Roman" w:cs="Times New Roman"/>
        </w:rPr>
        <w:t xml:space="preserve"> AND FUNCTIONAL </w:t>
      </w:r>
      <w:r w:rsidR="00342F43" w:rsidRPr="007A15F6">
        <w:rPr>
          <w:rFonts w:ascii="Times New Roman" w:hAnsi="Times New Roman" w:cs="Times New Roman"/>
        </w:rPr>
        <w:t xml:space="preserve">PERFROMANCE </w:t>
      </w:r>
      <w:r w:rsidR="0083370C" w:rsidRPr="007A15F6">
        <w:rPr>
          <w:rFonts w:ascii="Times New Roman" w:hAnsi="Times New Roman" w:cs="Times New Roman"/>
        </w:rPr>
        <w:t xml:space="preserve">IN </w:t>
      </w:r>
      <w:r>
        <w:rPr>
          <w:rFonts w:ascii="Times New Roman" w:hAnsi="Times New Roman" w:cs="Times New Roman"/>
        </w:rPr>
        <w:t>COGNITIVELY</w:t>
      </w:r>
      <w:r w:rsidR="0083370C" w:rsidRPr="007A15F6">
        <w:rPr>
          <w:rFonts w:ascii="Times New Roman" w:hAnsi="Times New Roman" w:cs="Times New Roman"/>
        </w:rPr>
        <w:t xml:space="preserve"> </w:t>
      </w:r>
      <w:r w:rsidR="00D41FCA" w:rsidRPr="007A15F6">
        <w:rPr>
          <w:rFonts w:ascii="Times New Roman" w:hAnsi="Times New Roman" w:cs="Times New Roman"/>
        </w:rPr>
        <w:t>HEALTHY</w:t>
      </w:r>
      <w:r w:rsidR="0083370C" w:rsidRPr="007A15F6">
        <w:rPr>
          <w:rFonts w:ascii="Times New Roman" w:hAnsi="Times New Roman" w:cs="Times New Roman"/>
        </w:rPr>
        <w:t xml:space="preserve"> </w:t>
      </w:r>
      <w:r>
        <w:rPr>
          <w:rFonts w:ascii="Times New Roman" w:hAnsi="Times New Roman" w:cs="Times New Roman"/>
        </w:rPr>
        <w:t>OLDER ADULTS</w:t>
      </w:r>
    </w:p>
    <w:p w:rsidR="00807571" w:rsidRPr="007A15F6" w:rsidRDefault="00807571" w:rsidP="00C82D7B">
      <w:pPr>
        <w:spacing w:line="480" w:lineRule="auto"/>
        <w:jc w:val="center"/>
        <w:rPr>
          <w:rFonts w:ascii="Times New Roman" w:hAnsi="Times New Roman" w:cs="Times New Roman"/>
        </w:rPr>
      </w:pPr>
    </w:p>
    <w:p w:rsidR="005528D8" w:rsidRPr="007A15F6" w:rsidRDefault="005528D8" w:rsidP="00C82D7B">
      <w:pPr>
        <w:spacing w:line="480" w:lineRule="auto"/>
        <w:jc w:val="center"/>
        <w:rPr>
          <w:rFonts w:ascii="Times New Roman" w:hAnsi="Times New Roman" w:cs="Times New Roman"/>
        </w:rPr>
      </w:pPr>
    </w:p>
    <w:p w:rsidR="005528D8" w:rsidRPr="007A15F6" w:rsidRDefault="005528D8" w:rsidP="00C82D7B">
      <w:pPr>
        <w:spacing w:line="480" w:lineRule="auto"/>
        <w:jc w:val="center"/>
        <w:rPr>
          <w:rFonts w:ascii="Times New Roman" w:hAnsi="Times New Roman" w:cs="Times New Roman"/>
        </w:rPr>
      </w:pPr>
    </w:p>
    <w:p w:rsidR="00807571" w:rsidRPr="007A15F6" w:rsidRDefault="00807571" w:rsidP="00C82D7B">
      <w:pPr>
        <w:spacing w:line="480" w:lineRule="auto"/>
        <w:jc w:val="center"/>
        <w:rPr>
          <w:rFonts w:ascii="Times New Roman" w:hAnsi="Times New Roman" w:cs="Times New Roman"/>
        </w:rPr>
      </w:pPr>
      <w:r w:rsidRPr="007A15F6">
        <w:rPr>
          <w:rFonts w:ascii="Times New Roman" w:hAnsi="Times New Roman" w:cs="Times New Roman"/>
        </w:rPr>
        <w:t>Department of Sociological Studies</w:t>
      </w:r>
    </w:p>
    <w:p w:rsidR="00807571" w:rsidRPr="007A15F6" w:rsidRDefault="007C37C7" w:rsidP="00C82D7B">
      <w:pPr>
        <w:spacing w:line="480" w:lineRule="auto"/>
        <w:jc w:val="center"/>
        <w:rPr>
          <w:rFonts w:ascii="Times New Roman" w:hAnsi="Times New Roman" w:cs="Times New Roman"/>
        </w:rPr>
      </w:pPr>
      <w:r w:rsidRPr="007A15F6">
        <w:rPr>
          <w:rFonts w:ascii="Times New Roman" w:hAnsi="Times New Roman" w:cs="Times New Roman"/>
        </w:rPr>
        <w:t>The University of Sheffield</w:t>
      </w:r>
    </w:p>
    <w:p w:rsidR="007C37C7" w:rsidRPr="007A15F6" w:rsidRDefault="007C37C7" w:rsidP="00C82D7B">
      <w:pPr>
        <w:spacing w:line="480" w:lineRule="auto"/>
        <w:jc w:val="center"/>
        <w:rPr>
          <w:rFonts w:ascii="Times New Roman" w:hAnsi="Times New Roman" w:cs="Times New Roman"/>
        </w:rPr>
      </w:pPr>
    </w:p>
    <w:p w:rsidR="007C37C7" w:rsidRPr="007A15F6" w:rsidRDefault="007C37C7" w:rsidP="00C82D7B">
      <w:pPr>
        <w:spacing w:line="480" w:lineRule="auto"/>
        <w:jc w:val="center"/>
        <w:rPr>
          <w:rFonts w:ascii="Times New Roman" w:hAnsi="Times New Roman" w:cs="Times New Roman"/>
        </w:rPr>
      </w:pPr>
      <w:r w:rsidRPr="007A15F6">
        <w:rPr>
          <w:rFonts w:ascii="Times New Roman" w:hAnsi="Times New Roman" w:cs="Times New Roman"/>
        </w:rPr>
        <w:t>G. Pavlidis</w:t>
      </w:r>
    </w:p>
    <w:p w:rsidR="005528D8" w:rsidRPr="007A15F6" w:rsidRDefault="005528D8" w:rsidP="00C82D7B">
      <w:pPr>
        <w:spacing w:line="480" w:lineRule="auto"/>
        <w:jc w:val="center"/>
        <w:rPr>
          <w:rFonts w:ascii="Times New Roman" w:hAnsi="Times New Roman" w:cs="Times New Roman"/>
        </w:rPr>
      </w:pPr>
    </w:p>
    <w:p w:rsidR="005528D8" w:rsidRPr="007A15F6" w:rsidRDefault="005528D8" w:rsidP="00C82D7B">
      <w:pPr>
        <w:spacing w:line="480" w:lineRule="auto"/>
        <w:jc w:val="center"/>
        <w:rPr>
          <w:rFonts w:ascii="Times New Roman" w:hAnsi="Times New Roman" w:cs="Times New Roman"/>
        </w:rPr>
      </w:pPr>
    </w:p>
    <w:p w:rsidR="005528D8" w:rsidRDefault="00DD000E" w:rsidP="00C82D7B">
      <w:pPr>
        <w:spacing w:line="480" w:lineRule="auto"/>
        <w:jc w:val="center"/>
        <w:rPr>
          <w:rFonts w:ascii="Times New Roman" w:hAnsi="Times New Roman" w:cs="Times New Roman"/>
        </w:rPr>
      </w:pPr>
      <w:r w:rsidRPr="007A15F6">
        <w:rPr>
          <w:rFonts w:ascii="Times New Roman" w:hAnsi="Times New Roman" w:cs="Times New Roman"/>
        </w:rPr>
        <w:t>Thesis</w:t>
      </w:r>
      <w:r w:rsidR="005528D8" w:rsidRPr="007A15F6">
        <w:rPr>
          <w:rFonts w:ascii="Times New Roman" w:hAnsi="Times New Roman" w:cs="Times New Roman"/>
        </w:rPr>
        <w:t xml:space="preserve"> </w:t>
      </w:r>
      <w:r w:rsidR="007C39D7">
        <w:rPr>
          <w:rFonts w:ascii="Times New Roman" w:hAnsi="Times New Roman" w:cs="Times New Roman"/>
        </w:rPr>
        <w:t>re</w:t>
      </w:r>
      <w:r w:rsidR="005528D8" w:rsidRPr="007A15F6">
        <w:rPr>
          <w:rFonts w:ascii="Times New Roman" w:hAnsi="Times New Roman" w:cs="Times New Roman"/>
        </w:rPr>
        <w:t>submitted for the degree of Doctor of Philosophy</w:t>
      </w:r>
    </w:p>
    <w:p w:rsidR="007C39D7" w:rsidRPr="007A15F6" w:rsidRDefault="007C39D7" w:rsidP="00C82D7B">
      <w:pPr>
        <w:spacing w:line="480" w:lineRule="auto"/>
        <w:jc w:val="center"/>
        <w:rPr>
          <w:rFonts w:ascii="Times New Roman" w:hAnsi="Times New Roman" w:cs="Times New Roman"/>
        </w:rPr>
      </w:pPr>
      <w:r>
        <w:rPr>
          <w:rFonts w:ascii="Times New Roman" w:hAnsi="Times New Roman" w:cs="Times New Roman"/>
        </w:rPr>
        <w:t>04/05/2018</w:t>
      </w:r>
    </w:p>
    <w:p w:rsidR="006D2080" w:rsidRPr="007A15F6" w:rsidRDefault="006D2080" w:rsidP="00C82D7B">
      <w:pPr>
        <w:spacing w:line="480" w:lineRule="auto"/>
        <w:jc w:val="center"/>
        <w:rPr>
          <w:rFonts w:ascii="Times New Roman" w:hAnsi="Times New Roman" w:cs="Times New Roman"/>
        </w:rPr>
      </w:pPr>
    </w:p>
    <w:p w:rsidR="00711578" w:rsidRPr="007A15F6" w:rsidRDefault="00711578" w:rsidP="00565EEC">
      <w:pPr>
        <w:spacing w:line="480" w:lineRule="auto"/>
        <w:rPr>
          <w:rFonts w:ascii="Times New Roman" w:hAnsi="Times New Roman" w:cs="Times New Roman"/>
        </w:rPr>
      </w:pPr>
    </w:p>
    <w:p w:rsidR="00B62F01" w:rsidRPr="007A15F6" w:rsidRDefault="00B62F01" w:rsidP="00565EEC">
      <w:pPr>
        <w:spacing w:line="480" w:lineRule="auto"/>
        <w:rPr>
          <w:rFonts w:ascii="Times New Roman" w:hAnsi="Times New Roman" w:cs="Times New Roman"/>
        </w:rPr>
      </w:pPr>
    </w:p>
    <w:p w:rsidR="00711578" w:rsidRPr="007A15F6" w:rsidRDefault="00711578" w:rsidP="00565EEC">
      <w:pPr>
        <w:spacing w:line="480" w:lineRule="auto"/>
        <w:rPr>
          <w:rFonts w:ascii="Times New Roman" w:hAnsi="Times New Roman" w:cs="Times New Roman"/>
        </w:rPr>
      </w:pPr>
    </w:p>
    <w:p w:rsidR="00565EEC" w:rsidRPr="007A15F6" w:rsidRDefault="00565EEC" w:rsidP="00D83555">
      <w:pPr>
        <w:spacing w:line="480" w:lineRule="auto"/>
        <w:ind w:left="1170" w:hanging="1170"/>
        <w:rPr>
          <w:rFonts w:ascii="Times New Roman" w:hAnsi="Times New Roman" w:cs="Times New Roman"/>
        </w:rPr>
      </w:pPr>
      <w:r w:rsidRPr="007A15F6">
        <w:rPr>
          <w:rFonts w:ascii="Times New Roman" w:hAnsi="Times New Roman" w:cs="Times New Roman"/>
        </w:rPr>
        <w:t xml:space="preserve">Supervisor: </w:t>
      </w:r>
      <w:r w:rsidR="00CE7A2A" w:rsidRPr="007A15F6">
        <w:rPr>
          <w:rFonts w:ascii="Times New Roman" w:hAnsi="Times New Roman" w:cs="Times New Roman"/>
        </w:rPr>
        <w:t>Prof.</w:t>
      </w:r>
      <w:r w:rsidRPr="007A15F6">
        <w:rPr>
          <w:rFonts w:ascii="Times New Roman" w:hAnsi="Times New Roman" w:cs="Times New Roman"/>
        </w:rPr>
        <w:t xml:space="preserve"> </w:t>
      </w:r>
      <w:r w:rsidR="006D2080" w:rsidRPr="007A15F6">
        <w:rPr>
          <w:rFonts w:ascii="Times New Roman" w:hAnsi="Times New Roman" w:cs="Times New Roman"/>
        </w:rPr>
        <w:t>A.</w:t>
      </w:r>
      <w:r w:rsidR="00D83555" w:rsidRPr="007A15F6">
        <w:rPr>
          <w:rFonts w:ascii="Times New Roman" w:hAnsi="Times New Roman" w:cs="Times New Roman"/>
        </w:rPr>
        <w:t xml:space="preserve"> B.</w:t>
      </w:r>
      <w:r w:rsidR="006D2080" w:rsidRPr="007A15F6">
        <w:rPr>
          <w:rFonts w:ascii="Times New Roman" w:hAnsi="Times New Roman" w:cs="Times New Roman"/>
        </w:rPr>
        <w:t xml:space="preserve"> </w:t>
      </w:r>
      <w:r w:rsidRPr="007A15F6">
        <w:rPr>
          <w:rFonts w:ascii="Times New Roman" w:hAnsi="Times New Roman" w:cs="Times New Roman"/>
        </w:rPr>
        <w:t>Vivas</w:t>
      </w:r>
      <w:r w:rsidR="006D2080" w:rsidRPr="007A15F6">
        <w:rPr>
          <w:rFonts w:ascii="Times New Roman" w:hAnsi="Times New Roman" w:cs="Times New Roman"/>
        </w:rPr>
        <w:t xml:space="preserve">, </w:t>
      </w:r>
      <w:r w:rsidR="00092E3F" w:rsidRPr="007A15F6">
        <w:rPr>
          <w:rFonts w:ascii="Times New Roman" w:hAnsi="Times New Roman" w:cs="Times New Roman"/>
        </w:rPr>
        <w:t>T</w:t>
      </w:r>
      <w:r w:rsidR="006D2080" w:rsidRPr="007A15F6">
        <w:rPr>
          <w:rFonts w:ascii="Times New Roman" w:hAnsi="Times New Roman" w:cs="Times New Roman"/>
        </w:rPr>
        <w:t>he University of Sheffield,</w:t>
      </w:r>
      <w:r w:rsidR="00092E3F" w:rsidRPr="007A15F6">
        <w:rPr>
          <w:rFonts w:ascii="Times New Roman" w:hAnsi="Times New Roman" w:cs="Times New Roman"/>
        </w:rPr>
        <w:t xml:space="preserve"> I</w:t>
      </w:r>
      <w:r w:rsidR="00D83555" w:rsidRPr="007A15F6">
        <w:rPr>
          <w:rFonts w:ascii="Times New Roman" w:hAnsi="Times New Roman" w:cs="Times New Roman"/>
        </w:rPr>
        <w:t xml:space="preserve">nternational </w:t>
      </w:r>
      <w:r w:rsidR="00092E3F" w:rsidRPr="007A15F6">
        <w:rPr>
          <w:rFonts w:ascii="Times New Roman" w:hAnsi="Times New Roman" w:cs="Times New Roman"/>
        </w:rPr>
        <w:t>F</w:t>
      </w:r>
      <w:r w:rsidR="00D83555" w:rsidRPr="007A15F6">
        <w:rPr>
          <w:rFonts w:ascii="Times New Roman" w:hAnsi="Times New Roman" w:cs="Times New Roman"/>
        </w:rPr>
        <w:t>aculty</w:t>
      </w:r>
      <w:r w:rsidR="00092E3F" w:rsidRPr="007A15F6">
        <w:rPr>
          <w:rFonts w:ascii="Times New Roman" w:hAnsi="Times New Roman" w:cs="Times New Roman"/>
        </w:rPr>
        <w:t>,</w:t>
      </w:r>
      <w:r w:rsidR="006D2080" w:rsidRPr="007A15F6">
        <w:rPr>
          <w:rFonts w:ascii="Times New Roman" w:hAnsi="Times New Roman" w:cs="Times New Roman"/>
        </w:rPr>
        <w:t xml:space="preserve"> </w:t>
      </w:r>
      <w:r w:rsidR="00D83555" w:rsidRPr="007A15F6">
        <w:rPr>
          <w:rFonts w:ascii="Times New Roman" w:hAnsi="Times New Roman" w:cs="Times New Roman"/>
        </w:rPr>
        <w:t xml:space="preserve">City College, </w:t>
      </w:r>
      <w:r w:rsidR="006D2080" w:rsidRPr="007A15F6">
        <w:rPr>
          <w:rFonts w:ascii="Times New Roman" w:hAnsi="Times New Roman" w:cs="Times New Roman"/>
        </w:rPr>
        <w:t>Department of Psychology</w:t>
      </w:r>
    </w:p>
    <w:p w:rsidR="008456BD" w:rsidRDefault="006D2080" w:rsidP="00565EEC">
      <w:pPr>
        <w:spacing w:line="480" w:lineRule="auto"/>
        <w:rPr>
          <w:rFonts w:ascii="Times New Roman" w:hAnsi="Times New Roman" w:cs="Times New Roman"/>
        </w:rPr>
      </w:pPr>
      <w:r w:rsidRPr="007A15F6">
        <w:rPr>
          <w:rFonts w:ascii="Times New Roman" w:hAnsi="Times New Roman" w:cs="Times New Roman"/>
        </w:rPr>
        <w:t>Supervisor: Prof. A</w:t>
      </w:r>
      <w:r w:rsidR="00092E3F" w:rsidRPr="007A15F6">
        <w:rPr>
          <w:rFonts w:ascii="Times New Roman" w:hAnsi="Times New Roman" w:cs="Times New Roman"/>
        </w:rPr>
        <w:t>.</w:t>
      </w:r>
      <w:r w:rsidRPr="007A15F6">
        <w:rPr>
          <w:rFonts w:ascii="Times New Roman" w:hAnsi="Times New Roman" w:cs="Times New Roman"/>
        </w:rPr>
        <w:t>Walker</w:t>
      </w:r>
      <w:r w:rsidR="00092E3F" w:rsidRPr="007A15F6">
        <w:rPr>
          <w:rFonts w:ascii="Times New Roman" w:hAnsi="Times New Roman" w:cs="Times New Roman"/>
        </w:rPr>
        <w:t xml:space="preserve">, The University of Sheffield, </w:t>
      </w:r>
      <w:r w:rsidR="00100989" w:rsidRPr="007A15F6">
        <w:rPr>
          <w:rFonts w:ascii="Times New Roman" w:hAnsi="Times New Roman" w:cs="Times New Roman"/>
        </w:rPr>
        <w:t>Department of Sociological Studies</w:t>
      </w:r>
    </w:p>
    <w:p w:rsidR="004A6438" w:rsidRPr="007A15F6" w:rsidRDefault="00A0396C" w:rsidP="00246C30">
      <w:pPr>
        <w:rPr>
          <w:rFonts w:ascii="Times New Roman" w:hAnsi="Times New Roman" w:cs="Times New Roman"/>
        </w:rPr>
      </w:pPr>
      <w:r>
        <w:rPr>
          <w:rFonts w:ascii="Times New Roman" w:hAnsi="Times New Roman" w:cs="Times New Roman"/>
        </w:rPr>
        <w:br w:type="page"/>
      </w:r>
    </w:p>
    <w:p w:rsidR="00835AC4" w:rsidRPr="00CF7468" w:rsidRDefault="00835AC4" w:rsidP="00DA7E68">
      <w:pPr>
        <w:pStyle w:val="Heading1"/>
      </w:pPr>
      <w:bookmarkStart w:id="1" w:name="_Toc373425920"/>
      <w:bookmarkStart w:id="2" w:name="_Toc521184156"/>
      <w:r w:rsidRPr="00CF7468">
        <w:lastRenderedPageBreak/>
        <w:t>Abstract</w:t>
      </w:r>
      <w:bookmarkEnd w:id="1"/>
      <w:bookmarkEnd w:id="2"/>
    </w:p>
    <w:p w:rsidR="00EB7FB2" w:rsidRPr="00A3133D" w:rsidRDefault="00857E34" w:rsidP="00DB1BCF">
      <w:pPr>
        <w:pStyle w:val="Abstract"/>
      </w:pPr>
      <w:r w:rsidRPr="0074738B">
        <w:t xml:space="preserve">The current paradigm on cognitive ageing suggests that greater social participation, higher socioeconomic status, as well as more physical and mental exercise, have a positive effect on cognitive decline trajectories with ageing. In turn, favourable cognitive decline trajectories with ageing lead to better outcomes in terms of everyday functioning.  Although this paradigm has received significant recognition in research and policymaking, it has been insufficiently examined among cognitively healthy older adults. This research set out to examine explicitly among cognitively healthy older adults, whether higher social participation, higher socioeconomic status, as well as more physical exercise and Internet use have a beneficial effect on cognitive vitality and everyday functioning. Firstly, a meta-analysis of studies that examined the relationship between cognitive performance and everyday functioning among healthy older adults was conducted. Subsequently, the translation and cultural validation of two measures of everyday functioning from English to Greek was carried out. Lastly, a cross-sectional study that examined the relationship between social participation, socioeconomic status, physical exercise, Internet, cognitive performance and everyday functioning was conducted. The findings indicate that cognitive performance and everyday functioning are moderately related in the healthy spectrum of cognitive performance. Furthermore, social participation, education, Internet use and exercise seem to moderate age-related decrements in cognitive performance. These effects seem to be contingent upon certain age groups and subpopulations with specific characteristics. The findings do not support the transferability of cognitive benefits to everyday functioning. It was concluded that social participation, Internet use and exercise might have a significant beneficial effect on at least one domain  of cognitive performance (executive function) in older adults with specific characteristics, without resulting necessarily in everyday functioning benefits. </w:t>
      </w:r>
    </w:p>
    <w:p w:rsidR="00C367D6" w:rsidRPr="0018298A" w:rsidRDefault="00EB7FB2" w:rsidP="00DA7E68">
      <w:pPr>
        <w:pStyle w:val="Heading1"/>
        <w:rPr>
          <w:lang w:eastAsia="en-US"/>
        </w:rPr>
      </w:pPr>
      <w:bookmarkStart w:id="3" w:name="_Toc521184157"/>
      <w:r w:rsidRPr="0018298A">
        <w:rPr>
          <w:lang w:eastAsia="en-US"/>
        </w:rPr>
        <w:lastRenderedPageBreak/>
        <w:t>Acknowledgements</w:t>
      </w:r>
      <w:bookmarkEnd w:id="3"/>
    </w:p>
    <w:p w:rsidR="005828EA" w:rsidRDefault="00EB7FB2" w:rsidP="0061400E">
      <w:pPr>
        <w:spacing w:line="480" w:lineRule="auto"/>
        <w:rPr>
          <w:rFonts w:ascii="Times New Roman" w:eastAsia="Times New Roman" w:hAnsi="Times New Roman" w:cs="Times New Roman"/>
          <w:color w:val="000000"/>
          <w:lang w:eastAsia="en-US"/>
        </w:rPr>
      </w:pPr>
      <w:r w:rsidRPr="007A15F6">
        <w:rPr>
          <w:rFonts w:ascii="Times New Roman" w:eastAsia="Times New Roman" w:hAnsi="Times New Roman" w:cs="Times New Roman"/>
          <w:color w:val="000000"/>
          <w:lang w:eastAsia="en-US"/>
        </w:rPr>
        <w:t xml:space="preserve">I would like to thank </w:t>
      </w:r>
      <w:r w:rsidR="00604B20" w:rsidRPr="007A15F6">
        <w:rPr>
          <w:rFonts w:ascii="Times New Roman" w:eastAsia="Times New Roman" w:hAnsi="Times New Roman" w:cs="Times New Roman"/>
          <w:color w:val="000000"/>
          <w:lang w:eastAsia="en-US"/>
        </w:rPr>
        <w:t>Dr</w:t>
      </w:r>
      <w:r w:rsidR="0018213F" w:rsidRPr="007A15F6">
        <w:rPr>
          <w:rFonts w:ascii="Times New Roman" w:eastAsia="Times New Roman" w:hAnsi="Times New Roman" w:cs="Times New Roman"/>
          <w:color w:val="000000"/>
          <w:lang w:eastAsia="en-US"/>
        </w:rPr>
        <w:t>.</w:t>
      </w:r>
      <w:r w:rsidR="00604B20" w:rsidRPr="007A15F6">
        <w:rPr>
          <w:rFonts w:ascii="Times New Roman" w:eastAsia="Times New Roman" w:hAnsi="Times New Roman" w:cs="Times New Roman"/>
          <w:color w:val="000000"/>
          <w:lang w:eastAsia="en-US"/>
        </w:rPr>
        <w:t xml:space="preserve"> Liz Mestheneos, Sociologist</w:t>
      </w:r>
      <w:r w:rsidR="00591D6D" w:rsidRPr="007A15F6">
        <w:rPr>
          <w:rFonts w:ascii="Times New Roman" w:eastAsia="Times New Roman" w:hAnsi="Times New Roman" w:cs="Times New Roman"/>
          <w:color w:val="000000"/>
          <w:lang w:eastAsia="en-US"/>
        </w:rPr>
        <w:t xml:space="preserve">, </w:t>
      </w:r>
      <w:r w:rsidR="007C565D" w:rsidRPr="007A15F6">
        <w:rPr>
          <w:rFonts w:ascii="Times New Roman" w:eastAsia="Times New Roman" w:hAnsi="Times New Roman" w:cs="Times New Roman"/>
          <w:color w:val="000000"/>
          <w:lang w:eastAsia="en-US"/>
        </w:rPr>
        <w:t xml:space="preserve">from the 50plus Hellas organization, </w:t>
      </w:r>
      <w:r w:rsidR="0018213F" w:rsidRPr="007A15F6">
        <w:rPr>
          <w:rFonts w:ascii="Times New Roman" w:eastAsia="Times New Roman" w:hAnsi="Times New Roman" w:cs="Times New Roman"/>
          <w:color w:val="000000"/>
          <w:lang w:eastAsia="en-US"/>
        </w:rPr>
        <w:t xml:space="preserve">Dr Vivas, </w:t>
      </w:r>
      <w:r w:rsidR="00591D6D" w:rsidRPr="007A15F6">
        <w:rPr>
          <w:rFonts w:ascii="Times New Roman" w:eastAsia="Times New Roman" w:hAnsi="Times New Roman" w:cs="Times New Roman"/>
          <w:color w:val="000000"/>
          <w:lang w:eastAsia="en-US"/>
        </w:rPr>
        <w:t xml:space="preserve">Dr. Elisavet Chrysochoou and Dr. </w:t>
      </w:r>
      <w:r w:rsidR="00604B20" w:rsidRPr="007A15F6">
        <w:rPr>
          <w:rFonts w:ascii="Times New Roman" w:eastAsia="Times New Roman" w:hAnsi="Times New Roman" w:cs="Times New Roman"/>
          <w:color w:val="000000"/>
          <w:lang w:eastAsia="en-US"/>
        </w:rPr>
        <w:t>Ypislanti,</w:t>
      </w:r>
      <w:r w:rsidR="0018213F" w:rsidRPr="007A15F6">
        <w:rPr>
          <w:rFonts w:ascii="Times New Roman" w:eastAsia="Times New Roman" w:hAnsi="Times New Roman" w:cs="Times New Roman"/>
          <w:color w:val="000000"/>
          <w:lang w:eastAsia="en-US"/>
        </w:rPr>
        <w:t xml:space="preserve"> Cognitive N</w:t>
      </w:r>
      <w:r w:rsidR="00591D6D" w:rsidRPr="007A15F6">
        <w:rPr>
          <w:rFonts w:ascii="Times New Roman" w:eastAsia="Times New Roman" w:hAnsi="Times New Roman" w:cs="Times New Roman"/>
          <w:color w:val="000000"/>
          <w:lang w:eastAsia="en-US"/>
        </w:rPr>
        <w:t xml:space="preserve">europsychologist, </w:t>
      </w:r>
      <w:r w:rsidR="007C565D" w:rsidRPr="007A15F6">
        <w:rPr>
          <w:rFonts w:ascii="Times New Roman" w:eastAsia="Times New Roman" w:hAnsi="Times New Roman" w:cs="Times New Roman"/>
          <w:color w:val="000000"/>
          <w:lang w:eastAsia="en-US"/>
        </w:rPr>
        <w:t xml:space="preserve">at the </w:t>
      </w:r>
      <w:r w:rsidR="00C66245" w:rsidRPr="007A15F6">
        <w:rPr>
          <w:rFonts w:ascii="Times New Roman" w:eastAsia="Times New Roman" w:hAnsi="Times New Roman" w:cs="Times New Roman"/>
          <w:color w:val="000000"/>
          <w:lang w:eastAsia="en-US"/>
        </w:rPr>
        <w:t>International</w:t>
      </w:r>
      <w:r w:rsidR="007C565D" w:rsidRPr="007A15F6">
        <w:rPr>
          <w:rFonts w:ascii="Times New Roman" w:eastAsia="Times New Roman" w:hAnsi="Times New Roman" w:cs="Times New Roman"/>
          <w:color w:val="000000"/>
          <w:lang w:eastAsia="en-US"/>
        </w:rPr>
        <w:t xml:space="preserve"> </w:t>
      </w:r>
      <w:r w:rsidR="00C66245" w:rsidRPr="007A15F6">
        <w:rPr>
          <w:rFonts w:ascii="Times New Roman" w:eastAsia="Times New Roman" w:hAnsi="Times New Roman" w:cs="Times New Roman"/>
          <w:color w:val="000000"/>
          <w:lang w:eastAsia="en-US"/>
        </w:rPr>
        <w:t>Faculty</w:t>
      </w:r>
      <w:r w:rsidR="007C565D" w:rsidRPr="007A15F6">
        <w:rPr>
          <w:rFonts w:ascii="Times New Roman" w:eastAsia="Times New Roman" w:hAnsi="Times New Roman" w:cs="Times New Roman"/>
          <w:color w:val="000000"/>
          <w:lang w:eastAsia="en-US"/>
        </w:rPr>
        <w:t xml:space="preserve"> of the University of Sheffield, </w:t>
      </w:r>
      <w:r w:rsidR="00604B20" w:rsidRPr="007A15F6">
        <w:rPr>
          <w:rFonts w:ascii="Times New Roman" w:eastAsia="Times New Roman" w:hAnsi="Times New Roman" w:cs="Times New Roman"/>
          <w:color w:val="000000"/>
          <w:lang w:eastAsia="en-US"/>
        </w:rPr>
        <w:t>and Ms Penelope Katsavou</w:t>
      </w:r>
      <w:r w:rsidR="00591D6D" w:rsidRPr="007A15F6">
        <w:rPr>
          <w:rFonts w:ascii="Times New Roman" w:eastAsia="Times New Roman" w:hAnsi="Times New Roman" w:cs="Times New Roman"/>
          <w:color w:val="000000"/>
          <w:lang w:eastAsia="en-US"/>
        </w:rPr>
        <w:t>, Philologist</w:t>
      </w:r>
      <w:r w:rsidR="00214A2D" w:rsidRPr="007A15F6">
        <w:rPr>
          <w:rFonts w:ascii="Times New Roman" w:eastAsia="Times New Roman" w:hAnsi="Times New Roman" w:cs="Times New Roman"/>
          <w:color w:val="000000"/>
          <w:lang w:eastAsia="en-US"/>
        </w:rPr>
        <w:t xml:space="preserve"> of English literature</w:t>
      </w:r>
      <w:r w:rsidR="00591D6D" w:rsidRPr="007A15F6">
        <w:rPr>
          <w:rFonts w:ascii="Times New Roman" w:eastAsia="Times New Roman" w:hAnsi="Times New Roman" w:cs="Times New Roman"/>
          <w:color w:val="000000"/>
          <w:lang w:eastAsia="en-US"/>
        </w:rPr>
        <w:t>,</w:t>
      </w:r>
      <w:r w:rsidR="00214A2D" w:rsidRPr="007A15F6">
        <w:rPr>
          <w:rFonts w:ascii="Times New Roman" w:eastAsia="Times New Roman" w:hAnsi="Times New Roman" w:cs="Times New Roman"/>
          <w:color w:val="000000"/>
          <w:lang w:eastAsia="en-US"/>
        </w:rPr>
        <w:t xml:space="preserve"> working at the secondary education in Greece,</w:t>
      </w:r>
      <w:r w:rsidR="00591D6D" w:rsidRPr="007A15F6">
        <w:rPr>
          <w:rFonts w:ascii="Times New Roman" w:eastAsia="Times New Roman" w:hAnsi="Times New Roman" w:cs="Times New Roman"/>
          <w:color w:val="000000"/>
          <w:lang w:eastAsia="en-US"/>
        </w:rPr>
        <w:t xml:space="preserve"> for their contribution in translating and </w:t>
      </w:r>
      <w:r w:rsidR="008814A4" w:rsidRPr="007A15F6">
        <w:rPr>
          <w:rFonts w:ascii="Times New Roman" w:eastAsia="Times New Roman" w:hAnsi="Times New Roman" w:cs="Times New Roman"/>
          <w:color w:val="000000"/>
          <w:lang w:eastAsia="en-US"/>
        </w:rPr>
        <w:t xml:space="preserve">linguistically </w:t>
      </w:r>
      <w:r w:rsidR="00591D6D" w:rsidRPr="007A15F6">
        <w:rPr>
          <w:rFonts w:ascii="Times New Roman" w:eastAsia="Times New Roman" w:hAnsi="Times New Roman" w:cs="Times New Roman"/>
          <w:color w:val="000000"/>
          <w:lang w:eastAsia="en-US"/>
        </w:rPr>
        <w:t>validating</w:t>
      </w:r>
      <w:r w:rsidR="008814A4" w:rsidRPr="007A15F6">
        <w:rPr>
          <w:rFonts w:ascii="Times New Roman" w:eastAsia="Times New Roman" w:hAnsi="Times New Roman" w:cs="Times New Roman"/>
          <w:color w:val="000000"/>
          <w:lang w:eastAsia="en-US"/>
        </w:rPr>
        <w:t xml:space="preserve"> in the Greek language</w:t>
      </w:r>
      <w:r w:rsidR="00591D6D" w:rsidRPr="007A15F6">
        <w:rPr>
          <w:rFonts w:ascii="Times New Roman" w:eastAsia="Times New Roman" w:hAnsi="Times New Roman" w:cs="Times New Roman"/>
          <w:color w:val="000000"/>
          <w:lang w:eastAsia="en-US"/>
        </w:rPr>
        <w:t xml:space="preserve"> the </w:t>
      </w:r>
      <w:r w:rsidR="008814A4" w:rsidRPr="007A15F6">
        <w:rPr>
          <w:rFonts w:ascii="Times New Roman" w:eastAsia="Times New Roman" w:hAnsi="Times New Roman" w:cs="Times New Roman"/>
          <w:color w:val="000000"/>
          <w:lang w:eastAsia="en-US"/>
        </w:rPr>
        <w:t xml:space="preserve">two everyday functionality assessment tools used in </w:t>
      </w:r>
      <w:r w:rsidR="0018213F" w:rsidRPr="007A15F6">
        <w:rPr>
          <w:rFonts w:ascii="Times New Roman" w:eastAsia="Times New Roman" w:hAnsi="Times New Roman" w:cs="Times New Roman"/>
          <w:color w:val="000000"/>
          <w:lang w:eastAsia="en-US"/>
        </w:rPr>
        <w:t xml:space="preserve">this </w:t>
      </w:r>
      <w:r w:rsidR="00DD000E" w:rsidRPr="007A15F6">
        <w:rPr>
          <w:rFonts w:ascii="Times New Roman" w:eastAsia="Times New Roman" w:hAnsi="Times New Roman" w:cs="Times New Roman"/>
          <w:color w:val="000000"/>
          <w:lang w:eastAsia="en-US"/>
        </w:rPr>
        <w:t>thesis</w:t>
      </w:r>
      <w:r w:rsidR="008814A4" w:rsidRPr="007A15F6">
        <w:rPr>
          <w:rFonts w:ascii="Times New Roman" w:eastAsia="Times New Roman" w:hAnsi="Times New Roman" w:cs="Times New Roman"/>
          <w:color w:val="000000"/>
          <w:lang w:eastAsia="en-US"/>
        </w:rPr>
        <w:t xml:space="preserve">. </w:t>
      </w:r>
      <w:r w:rsidR="000867AD" w:rsidRPr="007A15F6">
        <w:rPr>
          <w:rFonts w:ascii="Times New Roman" w:eastAsia="Times New Roman" w:hAnsi="Times New Roman" w:cs="Times New Roman"/>
          <w:color w:val="000000"/>
          <w:lang w:eastAsia="en-US"/>
        </w:rPr>
        <w:t xml:space="preserve">I feel particularly grateful to </w:t>
      </w:r>
      <w:r w:rsidR="0044312E" w:rsidRPr="007A15F6">
        <w:rPr>
          <w:rFonts w:ascii="Times New Roman" w:eastAsia="Times New Roman" w:hAnsi="Times New Roman" w:cs="Times New Roman"/>
          <w:color w:val="000000"/>
          <w:lang w:eastAsia="en-US"/>
        </w:rPr>
        <w:t>Professor Jose Manuel Reales Avi</w:t>
      </w:r>
      <w:r w:rsidR="00B16EEF" w:rsidRPr="007A15F6">
        <w:rPr>
          <w:rFonts w:ascii="Times New Roman" w:eastAsia="Times New Roman" w:hAnsi="Times New Roman" w:cs="Times New Roman"/>
          <w:color w:val="000000"/>
          <w:lang w:eastAsia="en-US"/>
        </w:rPr>
        <w:t>les, for giving me the incentive and</w:t>
      </w:r>
      <w:r w:rsidR="0044312E" w:rsidRPr="007A15F6">
        <w:rPr>
          <w:rFonts w:ascii="Times New Roman" w:eastAsia="Times New Roman" w:hAnsi="Times New Roman" w:cs="Times New Roman"/>
          <w:color w:val="000000"/>
          <w:lang w:eastAsia="en-US"/>
        </w:rPr>
        <w:t xml:space="preserve"> support</w:t>
      </w:r>
      <w:r w:rsidR="00B16EEF" w:rsidRPr="007A15F6">
        <w:rPr>
          <w:rFonts w:ascii="Times New Roman" w:eastAsia="Times New Roman" w:hAnsi="Times New Roman" w:cs="Times New Roman"/>
          <w:color w:val="000000"/>
          <w:lang w:eastAsia="en-US"/>
        </w:rPr>
        <w:t xml:space="preserve"> to learn the process of statistical meta-analyses</w:t>
      </w:r>
      <w:r w:rsidR="0044312E" w:rsidRPr="007A15F6">
        <w:rPr>
          <w:rFonts w:ascii="Times New Roman" w:eastAsia="Times New Roman" w:hAnsi="Times New Roman" w:cs="Times New Roman"/>
          <w:color w:val="000000"/>
          <w:lang w:eastAsia="en-US"/>
        </w:rPr>
        <w:t xml:space="preserve">, and for </w:t>
      </w:r>
      <w:r w:rsidR="007D41A0" w:rsidRPr="007A15F6">
        <w:rPr>
          <w:rFonts w:ascii="Times New Roman" w:eastAsia="Times New Roman" w:hAnsi="Times New Roman" w:cs="Times New Roman"/>
          <w:color w:val="000000"/>
          <w:lang w:eastAsia="en-US"/>
        </w:rPr>
        <w:t>honour</w:t>
      </w:r>
      <w:r w:rsidR="0044312E" w:rsidRPr="007A15F6">
        <w:rPr>
          <w:rFonts w:ascii="Times New Roman" w:eastAsia="Times New Roman" w:hAnsi="Times New Roman" w:cs="Times New Roman"/>
          <w:color w:val="000000"/>
          <w:lang w:eastAsia="en-US"/>
        </w:rPr>
        <w:t xml:space="preserve"> me with his collaboration</w:t>
      </w:r>
      <w:r w:rsidR="003F4008" w:rsidRPr="007A15F6">
        <w:rPr>
          <w:rFonts w:ascii="Times New Roman" w:eastAsia="Times New Roman" w:hAnsi="Times New Roman" w:cs="Times New Roman"/>
          <w:color w:val="000000"/>
          <w:lang w:eastAsia="en-US"/>
        </w:rPr>
        <w:t xml:space="preserve"> in finalizing my relevant work for this </w:t>
      </w:r>
      <w:r w:rsidR="00DD000E" w:rsidRPr="007A15F6">
        <w:rPr>
          <w:rFonts w:ascii="Times New Roman" w:eastAsia="Times New Roman" w:hAnsi="Times New Roman" w:cs="Times New Roman"/>
          <w:color w:val="000000"/>
          <w:lang w:eastAsia="en-US"/>
        </w:rPr>
        <w:t>thesis</w:t>
      </w:r>
      <w:r w:rsidR="003F4008" w:rsidRPr="007A15F6">
        <w:rPr>
          <w:rFonts w:ascii="Times New Roman" w:eastAsia="Times New Roman" w:hAnsi="Times New Roman" w:cs="Times New Roman"/>
          <w:color w:val="000000"/>
          <w:lang w:eastAsia="en-US"/>
        </w:rPr>
        <w:t xml:space="preserve">. </w:t>
      </w:r>
      <w:r w:rsidR="008814A4" w:rsidRPr="007A15F6">
        <w:rPr>
          <w:rFonts w:ascii="Times New Roman" w:eastAsia="Times New Roman" w:hAnsi="Times New Roman" w:cs="Times New Roman"/>
          <w:color w:val="000000"/>
          <w:lang w:eastAsia="en-US"/>
        </w:rPr>
        <w:t>I would also like to thank my research assistan</w:t>
      </w:r>
      <w:r w:rsidR="0018213F" w:rsidRPr="007A15F6">
        <w:rPr>
          <w:rFonts w:ascii="Times New Roman" w:eastAsia="Times New Roman" w:hAnsi="Times New Roman" w:cs="Times New Roman"/>
          <w:color w:val="000000"/>
          <w:lang w:eastAsia="en-US"/>
        </w:rPr>
        <w:t>ts</w:t>
      </w:r>
      <w:r w:rsidR="008814A4" w:rsidRPr="007A15F6">
        <w:rPr>
          <w:rFonts w:ascii="Times New Roman" w:eastAsia="Times New Roman" w:hAnsi="Times New Roman" w:cs="Times New Roman"/>
          <w:color w:val="000000"/>
          <w:lang w:eastAsia="en-US"/>
        </w:rPr>
        <w:t xml:space="preserve">, Ms </w:t>
      </w:r>
      <w:r w:rsidR="00FF7E6B" w:rsidRPr="007A15F6">
        <w:rPr>
          <w:rFonts w:ascii="Times New Roman" w:eastAsia="Times New Roman" w:hAnsi="Times New Roman" w:cs="Times New Roman"/>
          <w:color w:val="000000"/>
          <w:lang w:eastAsia="en-US"/>
        </w:rPr>
        <w:t>Stephanie Hatzifilalithis, PhD candidate of Gerontology</w:t>
      </w:r>
      <w:r w:rsidR="0032580C" w:rsidRPr="007A15F6">
        <w:rPr>
          <w:rFonts w:ascii="Times New Roman" w:eastAsia="Times New Roman" w:hAnsi="Times New Roman" w:cs="Times New Roman"/>
          <w:color w:val="000000"/>
          <w:lang w:eastAsia="en-US"/>
        </w:rPr>
        <w:t xml:space="preserve">, and Mr Nikolaos Zawaher, graduate of </w:t>
      </w:r>
      <w:r w:rsidR="00F01689" w:rsidRPr="007A15F6">
        <w:rPr>
          <w:rFonts w:ascii="Times New Roman" w:eastAsia="Times New Roman" w:hAnsi="Times New Roman" w:cs="Times New Roman"/>
          <w:color w:val="000000"/>
          <w:lang w:eastAsia="en-US"/>
        </w:rPr>
        <w:t xml:space="preserve">BSc </w:t>
      </w:r>
      <w:r w:rsidR="00FF7E6B" w:rsidRPr="007A15F6">
        <w:rPr>
          <w:rFonts w:ascii="Times New Roman" w:eastAsia="Times New Roman" w:hAnsi="Times New Roman" w:cs="Times New Roman"/>
          <w:color w:val="000000"/>
          <w:lang w:eastAsia="en-US"/>
        </w:rPr>
        <w:t>P</w:t>
      </w:r>
      <w:r w:rsidR="0018213F" w:rsidRPr="007A15F6">
        <w:rPr>
          <w:rFonts w:ascii="Times New Roman" w:eastAsia="Times New Roman" w:hAnsi="Times New Roman" w:cs="Times New Roman"/>
          <w:color w:val="000000"/>
          <w:lang w:eastAsia="en-US"/>
        </w:rPr>
        <w:t>sychology</w:t>
      </w:r>
      <w:r w:rsidR="0032580C" w:rsidRPr="007A15F6">
        <w:rPr>
          <w:rFonts w:ascii="Times New Roman" w:eastAsia="Times New Roman" w:hAnsi="Times New Roman" w:cs="Times New Roman"/>
          <w:color w:val="000000"/>
          <w:lang w:eastAsia="en-US"/>
        </w:rPr>
        <w:t>, for their invaluable help, professionalism and devotion during the</w:t>
      </w:r>
      <w:r w:rsidR="00FF7E6B" w:rsidRPr="007A15F6">
        <w:rPr>
          <w:rFonts w:ascii="Times New Roman" w:eastAsia="Times New Roman" w:hAnsi="Times New Roman" w:cs="Times New Roman"/>
          <w:color w:val="000000"/>
          <w:lang w:eastAsia="en-US"/>
        </w:rPr>
        <w:t xml:space="preserve"> lengthy, </w:t>
      </w:r>
      <w:r w:rsidR="00B76403" w:rsidRPr="007A15F6">
        <w:rPr>
          <w:rFonts w:ascii="Times New Roman" w:eastAsia="Times New Roman" w:hAnsi="Times New Roman" w:cs="Times New Roman"/>
          <w:color w:val="000000"/>
          <w:lang w:eastAsia="en-US"/>
        </w:rPr>
        <w:t xml:space="preserve">demanding process of </w:t>
      </w:r>
      <w:r w:rsidR="0032580C" w:rsidRPr="007A15F6">
        <w:rPr>
          <w:rFonts w:ascii="Times New Roman" w:eastAsia="Times New Roman" w:hAnsi="Times New Roman" w:cs="Times New Roman"/>
          <w:color w:val="000000"/>
          <w:lang w:eastAsia="en-US"/>
        </w:rPr>
        <w:t xml:space="preserve">data collection </w:t>
      </w:r>
      <w:r w:rsidR="00B76403" w:rsidRPr="007A15F6">
        <w:rPr>
          <w:rFonts w:ascii="Times New Roman" w:eastAsia="Times New Roman" w:hAnsi="Times New Roman" w:cs="Times New Roman"/>
          <w:color w:val="000000"/>
          <w:lang w:eastAsia="en-US"/>
        </w:rPr>
        <w:t>for</w:t>
      </w:r>
      <w:r w:rsidR="0032580C" w:rsidRPr="007A15F6">
        <w:rPr>
          <w:rFonts w:ascii="Times New Roman" w:eastAsia="Times New Roman" w:hAnsi="Times New Roman" w:cs="Times New Roman"/>
          <w:color w:val="000000"/>
          <w:lang w:eastAsia="en-US"/>
        </w:rPr>
        <w:t xml:space="preserve"> this </w:t>
      </w:r>
      <w:r w:rsidR="00DD000E" w:rsidRPr="007A15F6">
        <w:rPr>
          <w:rFonts w:ascii="Times New Roman" w:eastAsia="Times New Roman" w:hAnsi="Times New Roman" w:cs="Times New Roman"/>
          <w:color w:val="000000"/>
          <w:lang w:eastAsia="en-US"/>
        </w:rPr>
        <w:t>thesis</w:t>
      </w:r>
      <w:r w:rsidR="0032580C" w:rsidRPr="007A15F6">
        <w:rPr>
          <w:rFonts w:ascii="Times New Roman" w:eastAsia="Times New Roman" w:hAnsi="Times New Roman" w:cs="Times New Roman"/>
          <w:color w:val="000000"/>
          <w:lang w:eastAsia="en-US"/>
        </w:rPr>
        <w:t xml:space="preserve">. </w:t>
      </w:r>
      <w:r w:rsidR="00F01689" w:rsidRPr="007A15F6">
        <w:rPr>
          <w:rFonts w:ascii="Times New Roman" w:eastAsia="Times New Roman" w:hAnsi="Times New Roman" w:cs="Times New Roman"/>
          <w:color w:val="000000"/>
          <w:lang w:eastAsia="en-US"/>
        </w:rPr>
        <w:t xml:space="preserve">I would like to thank Mr Kyriakos Foulidis, </w:t>
      </w:r>
      <w:r w:rsidR="003F4008" w:rsidRPr="007A15F6">
        <w:rPr>
          <w:rFonts w:ascii="Times New Roman" w:eastAsia="Times New Roman" w:hAnsi="Times New Roman" w:cs="Times New Roman"/>
          <w:color w:val="000000"/>
          <w:lang w:eastAsia="en-US"/>
        </w:rPr>
        <w:t xml:space="preserve">Sociologist, and </w:t>
      </w:r>
      <w:r w:rsidR="00F01689" w:rsidRPr="007A15F6">
        <w:rPr>
          <w:rFonts w:ascii="Times New Roman" w:eastAsia="Times New Roman" w:hAnsi="Times New Roman" w:cs="Times New Roman"/>
          <w:color w:val="000000"/>
          <w:lang w:eastAsia="en-US"/>
        </w:rPr>
        <w:t>social worker</w:t>
      </w:r>
      <w:r w:rsidR="00656228" w:rsidRPr="007A15F6">
        <w:rPr>
          <w:rFonts w:ascii="Times New Roman" w:eastAsia="Times New Roman" w:hAnsi="Times New Roman" w:cs="Times New Roman"/>
          <w:color w:val="000000"/>
          <w:lang w:eastAsia="en-US"/>
        </w:rPr>
        <w:t xml:space="preserve"> at the Day Care Centers in the Neapel-Sykies municipality</w:t>
      </w:r>
      <w:r w:rsidR="00F01689" w:rsidRPr="007A15F6">
        <w:rPr>
          <w:rFonts w:ascii="Times New Roman" w:eastAsia="Times New Roman" w:hAnsi="Times New Roman" w:cs="Times New Roman"/>
          <w:color w:val="000000"/>
          <w:lang w:eastAsia="en-US"/>
        </w:rPr>
        <w:t xml:space="preserve"> for his collaboration </w:t>
      </w:r>
      <w:r w:rsidR="00656228" w:rsidRPr="007A15F6">
        <w:rPr>
          <w:rFonts w:ascii="Times New Roman" w:eastAsia="Times New Roman" w:hAnsi="Times New Roman" w:cs="Times New Roman"/>
          <w:color w:val="000000"/>
          <w:lang w:eastAsia="en-US"/>
        </w:rPr>
        <w:t>during my work and data collection</w:t>
      </w:r>
      <w:r w:rsidR="00F763CA" w:rsidRPr="007A15F6">
        <w:rPr>
          <w:rFonts w:ascii="Times New Roman" w:eastAsia="Times New Roman" w:hAnsi="Times New Roman" w:cs="Times New Roman"/>
          <w:color w:val="000000"/>
          <w:lang w:eastAsia="en-US"/>
        </w:rPr>
        <w:t xml:space="preserve">, as well as to all social workers that took </w:t>
      </w:r>
      <w:r w:rsidR="00DB1BCF">
        <w:rPr>
          <w:rFonts w:ascii="Times New Roman" w:eastAsia="Times New Roman" w:hAnsi="Times New Roman" w:cs="Times New Roman"/>
          <w:color w:val="000000"/>
          <w:lang w:eastAsia="en-US"/>
        </w:rPr>
        <w:t>over</w:t>
      </w:r>
      <w:r w:rsidR="00F763CA" w:rsidRPr="007A15F6">
        <w:rPr>
          <w:rFonts w:ascii="Times New Roman" w:eastAsia="Times New Roman" w:hAnsi="Times New Roman" w:cs="Times New Roman"/>
          <w:color w:val="000000"/>
          <w:lang w:eastAsia="en-US"/>
        </w:rPr>
        <w:t xml:space="preserve"> the appointments</w:t>
      </w:r>
      <w:r w:rsidR="00DB1BCF">
        <w:rPr>
          <w:rFonts w:ascii="Times New Roman" w:eastAsia="Times New Roman" w:hAnsi="Times New Roman" w:cs="Times New Roman"/>
          <w:color w:val="000000"/>
          <w:lang w:eastAsia="en-US"/>
        </w:rPr>
        <w:t>’ planning</w:t>
      </w:r>
      <w:r w:rsidR="00F763CA" w:rsidRPr="007A15F6">
        <w:rPr>
          <w:rFonts w:ascii="Times New Roman" w:eastAsia="Times New Roman" w:hAnsi="Times New Roman" w:cs="Times New Roman"/>
          <w:color w:val="000000"/>
          <w:lang w:eastAsia="en-US"/>
        </w:rPr>
        <w:t xml:space="preserve"> </w:t>
      </w:r>
      <w:r w:rsidR="00D77B0E" w:rsidRPr="007A15F6">
        <w:rPr>
          <w:rFonts w:ascii="Times New Roman" w:eastAsia="Times New Roman" w:hAnsi="Times New Roman" w:cs="Times New Roman"/>
          <w:color w:val="000000"/>
          <w:lang w:eastAsia="en-US"/>
        </w:rPr>
        <w:t xml:space="preserve">with </w:t>
      </w:r>
      <w:r w:rsidR="00C004BE" w:rsidRPr="007A15F6">
        <w:rPr>
          <w:rFonts w:ascii="Times New Roman" w:eastAsia="Times New Roman" w:hAnsi="Times New Roman" w:cs="Times New Roman"/>
          <w:color w:val="000000"/>
          <w:lang w:eastAsia="en-US"/>
        </w:rPr>
        <w:t xml:space="preserve">all the </w:t>
      </w:r>
      <w:r w:rsidR="00D77B0E" w:rsidRPr="007A15F6">
        <w:rPr>
          <w:rFonts w:ascii="Times New Roman" w:eastAsia="Times New Roman" w:hAnsi="Times New Roman" w:cs="Times New Roman"/>
          <w:color w:val="000000"/>
          <w:lang w:eastAsia="en-US"/>
        </w:rPr>
        <w:t>seniors</w:t>
      </w:r>
      <w:r w:rsidR="00F44AB9">
        <w:rPr>
          <w:rFonts w:ascii="Times New Roman" w:eastAsia="Times New Roman" w:hAnsi="Times New Roman" w:cs="Times New Roman"/>
          <w:color w:val="000000"/>
          <w:lang w:eastAsia="en-US"/>
        </w:rPr>
        <w:t xml:space="preserve"> </w:t>
      </w:r>
      <w:r w:rsidR="00DB1BCF">
        <w:rPr>
          <w:rFonts w:ascii="Times New Roman" w:eastAsia="Times New Roman" w:hAnsi="Times New Roman" w:cs="Times New Roman"/>
          <w:color w:val="000000"/>
          <w:lang w:eastAsia="en-US"/>
        </w:rPr>
        <w:t>participating</w:t>
      </w:r>
      <w:r w:rsidR="00F763CA" w:rsidRPr="007A15F6">
        <w:rPr>
          <w:rFonts w:ascii="Times New Roman" w:eastAsia="Times New Roman" w:hAnsi="Times New Roman" w:cs="Times New Roman"/>
          <w:color w:val="000000"/>
          <w:lang w:eastAsia="en-US"/>
        </w:rPr>
        <w:t xml:space="preserve"> </w:t>
      </w:r>
      <w:r w:rsidR="00D77B0E" w:rsidRPr="007A15F6">
        <w:rPr>
          <w:rFonts w:ascii="Times New Roman" w:eastAsia="Times New Roman" w:hAnsi="Times New Roman" w:cs="Times New Roman"/>
          <w:color w:val="000000"/>
          <w:lang w:eastAsia="en-US"/>
        </w:rPr>
        <w:t>in th</w:t>
      </w:r>
      <w:r w:rsidR="00DB1BCF">
        <w:rPr>
          <w:rFonts w:ascii="Times New Roman" w:eastAsia="Times New Roman" w:hAnsi="Times New Roman" w:cs="Times New Roman"/>
          <w:color w:val="000000"/>
          <w:lang w:eastAsia="en-US"/>
        </w:rPr>
        <w:t>is</w:t>
      </w:r>
      <w:r w:rsidR="00D77B0E" w:rsidRPr="007A15F6">
        <w:rPr>
          <w:rFonts w:ascii="Times New Roman" w:eastAsia="Times New Roman" w:hAnsi="Times New Roman" w:cs="Times New Roman"/>
          <w:color w:val="000000"/>
          <w:lang w:eastAsia="en-US"/>
        </w:rPr>
        <w:t xml:space="preserve"> </w:t>
      </w:r>
      <w:r w:rsidR="00F44AB9">
        <w:rPr>
          <w:rFonts w:ascii="Times New Roman" w:eastAsia="Times New Roman" w:hAnsi="Times New Roman" w:cs="Times New Roman"/>
          <w:color w:val="000000"/>
          <w:lang w:eastAsia="en-US"/>
        </w:rPr>
        <w:t>study</w:t>
      </w:r>
      <w:r w:rsidR="00656228" w:rsidRPr="007A15F6">
        <w:rPr>
          <w:rFonts w:ascii="Times New Roman" w:eastAsia="Times New Roman" w:hAnsi="Times New Roman" w:cs="Times New Roman"/>
          <w:color w:val="000000"/>
          <w:lang w:eastAsia="en-US"/>
        </w:rPr>
        <w:t xml:space="preserve">. For the same reason, I would like to thank the </w:t>
      </w:r>
      <w:r w:rsidR="0021309C" w:rsidRPr="007A15F6">
        <w:rPr>
          <w:rFonts w:ascii="Times New Roman" w:eastAsia="Times New Roman" w:hAnsi="Times New Roman" w:cs="Times New Roman"/>
          <w:color w:val="000000"/>
          <w:lang w:eastAsia="en-US"/>
        </w:rPr>
        <w:t xml:space="preserve">municipality of Neapel-Sykies for trusting me and granting me access to the </w:t>
      </w:r>
      <w:r w:rsidR="00F763CA" w:rsidRPr="007A15F6">
        <w:rPr>
          <w:rFonts w:ascii="Times New Roman" w:eastAsia="Times New Roman" w:hAnsi="Times New Roman" w:cs="Times New Roman"/>
          <w:color w:val="000000"/>
          <w:lang w:eastAsia="en-US"/>
        </w:rPr>
        <w:t>seniors’</w:t>
      </w:r>
      <w:r w:rsidR="0021309C" w:rsidRPr="007A15F6">
        <w:rPr>
          <w:rFonts w:ascii="Times New Roman" w:eastAsia="Times New Roman" w:hAnsi="Times New Roman" w:cs="Times New Roman"/>
          <w:color w:val="000000"/>
          <w:lang w:eastAsia="en-US"/>
        </w:rPr>
        <w:t xml:space="preserve"> citizens they take care of, as well as </w:t>
      </w:r>
      <w:r w:rsidR="000867AD" w:rsidRPr="007A15F6">
        <w:rPr>
          <w:rFonts w:ascii="Times New Roman" w:eastAsia="Times New Roman" w:hAnsi="Times New Roman" w:cs="Times New Roman"/>
          <w:color w:val="000000"/>
          <w:lang w:eastAsia="en-US"/>
        </w:rPr>
        <w:t>for</w:t>
      </w:r>
      <w:r w:rsidR="0021309C" w:rsidRPr="007A15F6">
        <w:rPr>
          <w:rFonts w:ascii="Times New Roman" w:eastAsia="Times New Roman" w:hAnsi="Times New Roman" w:cs="Times New Roman"/>
          <w:color w:val="000000"/>
          <w:lang w:eastAsia="en-US"/>
        </w:rPr>
        <w:t xml:space="preserve"> providing me </w:t>
      </w:r>
      <w:r w:rsidR="00C004BE" w:rsidRPr="007A15F6">
        <w:rPr>
          <w:rFonts w:ascii="Times New Roman" w:eastAsia="Times New Roman" w:hAnsi="Times New Roman" w:cs="Times New Roman"/>
          <w:color w:val="000000"/>
          <w:lang w:eastAsia="en-US"/>
        </w:rPr>
        <w:t xml:space="preserve">with </w:t>
      </w:r>
      <w:r w:rsidR="000867AD" w:rsidRPr="007A15F6">
        <w:rPr>
          <w:rFonts w:ascii="Times New Roman" w:eastAsia="Times New Roman" w:hAnsi="Times New Roman" w:cs="Times New Roman"/>
          <w:color w:val="000000"/>
          <w:lang w:eastAsia="en-US"/>
        </w:rPr>
        <w:t xml:space="preserve">suitable space for my </w:t>
      </w:r>
      <w:r w:rsidR="00F44AB9">
        <w:rPr>
          <w:rFonts w:ascii="Times New Roman" w:eastAsia="Times New Roman" w:hAnsi="Times New Roman" w:cs="Times New Roman"/>
          <w:color w:val="000000"/>
          <w:lang w:eastAsia="en-US"/>
        </w:rPr>
        <w:t>fieldwork</w:t>
      </w:r>
      <w:r w:rsidR="000867AD" w:rsidRPr="007A15F6">
        <w:rPr>
          <w:rFonts w:ascii="Times New Roman" w:eastAsia="Times New Roman" w:hAnsi="Times New Roman" w:cs="Times New Roman"/>
          <w:color w:val="000000"/>
          <w:lang w:eastAsia="en-US"/>
        </w:rPr>
        <w:t>.</w:t>
      </w:r>
      <w:r w:rsidR="00C004BE" w:rsidRPr="007A15F6">
        <w:rPr>
          <w:rFonts w:ascii="Times New Roman" w:eastAsia="Times New Roman" w:hAnsi="Times New Roman" w:cs="Times New Roman"/>
          <w:color w:val="000000"/>
          <w:lang w:eastAsia="en-US"/>
        </w:rPr>
        <w:t xml:space="preserve"> Lastly, I would like to thank all senior</w:t>
      </w:r>
      <w:r w:rsidR="00DB1BCF">
        <w:rPr>
          <w:rFonts w:ascii="Times New Roman" w:eastAsia="Times New Roman" w:hAnsi="Times New Roman" w:cs="Times New Roman"/>
          <w:color w:val="000000"/>
          <w:lang w:eastAsia="en-US"/>
        </w:rPr>
        <w:t>s</w:t>
      </w:r>
      <w:r w:rsidR="00C004BE" w:rsidRPr="007A15F6">
        <w:rPr>
          <w:rFonts w:ascii="Times New Roman" w:eastAsia="Times New Roman" w:hAnsi="Times New Roman" w:cs="Times New Roman"/>
          <w:color w:val="000000"/>
          <w:lang w:eastAsia="en-US"/>
        </w:rPr>
        <w:t xml:space="preserve"> that </w:t>
      </w:r>
      <w:r w:rsidR="00DB1BCF" w:rsidRPr="007A15F6">
        <w:rPr>
          <w:rFonts w:ascii="Times New Roman" w:eastAsia="Times New Roman" w:hAnsi="Times New Roman" w:cs="Times New Roman"/>
          <w:color w:val="000000"/>
          <w:lang w:eastAsia="en-US"/>
        </w:rPr>
        <w:t>honoured</w:t>
      </w:r>
      <w:r w:rsidR="00C004BE" w:rsidRPr="007A15F6">
        <w:rPr>
          <w:rFonts w:ascii="Times New Roman" w:eastAsia="Times New Roman" w:hAnsi="Times New Roman" w:cs="Times New Roman"/>
          <w:color w:val="000000"/>
          <w:lang w:eastAsia="en-US"/>
        </w:rPr>
        <w:t xml:space="preserve"> me with </w:t>
      </w:r>
      <w:r w:rsidR="00F44AB9">
        <w:rPr>
          <w:rFonts w:ascii="Times New Roman" w:eastAsia="Times New Roman" w:hAnsi="Times New Roman" w:cs="Times New Roman"/>
          <w:color w:val="000000"/>
          <w:lang w:eastAsia="en-US"/>
        </w:rPr>
        <w:t>their</w:t>
      </w:r>
      <w:r w:rsidR="00C004BE" w:rsidRPr="007A15F6">
        <w:rPr>
          <w:rFonts w:ascii="Times New Roman" w:eastAsia="Times New Roman" w:hAnsi="Times New Roman" w:cs="Times New Roman"/>
          <w:color w:val="000000"/>
          <w:lang w:eastAsia="en-US"/>
        </w:rPr>
        <w:t xml:space="preserve"> participation </w:t>
      </w:r>
      <w:r w:rsidR="00417FDC" w:rsidRPr="007A15F6">
        <w:rPr>
          <w:rFonts w:ascii="Times New Roman" w:eastAsia="Times New Roman" w:hAnsi="Times New Roman" w:cs="Times New Roman"/>
          <w:color w:val="000000"/>
          <w:lang w:eastAsia="en-US"/>
        </w:rPr>
        <w:t xml:space="preserve">for the needs of this </w:t>
      </w:r>
      <w:r w:rsidR="00DD000E" w:rsidRPr="007A15F6">
        <w:rPr>
          <w:rFonts w:ascii="Times New Roman" w:eastAsia="Times New Roman" w:hAnsi="Times New Roman" w:cs="Times New Roman"/>
          <w:color w:val="000000"/>
          <w:lang w:eastAsia="en-US"/>
        </w:rPr>
        <w:t>thesis</w:t>
      </w:r>
      <w:r w:rsidR="00417FDC" w:rsidRPr="007A15F6">
        <w:rPr>
          <w:rFonts w:ascii="Times New Roman" w:eastAsia="Times New Roman" w:hAnsi="Times New Roman" w:cs="Times New Roman"/>
          <w:color w:val="000000"/>
          <w:lang w:eastAsia="en-US"/>
        </w:rPr>
        <w:t xml:space="preserve">. During this procedure, </w:t>
      </w:r>
      <w:r w:rsidR="00C27DAD" w:rsidRPr="007A15F6">
        <w:rPr>
          <w:rFonts w:ascii="Times New Roman" w:eastAsia="Times New Roman" w:hAnsi="Times New Roman" w:cs="Times New Roman"/>
          <w:color w:val="000000"/>
          <w:lang w:eastAsia="en-US"/>
        </w:rPr>
        <w:t>they gave</w:t>
      </w:r>
      <w:r w:rsidR="00567618" w:rsidRPr="007A15F6">
        <w:rPr>
          <w:rFonts w:ascii="Times New Roman" w:eastAsia="Times New Roman" w:hAnsi="Times New Roman" w:cs="Times New Roman"/>
          <w:color w:val="000000"/>
          <w:lang w:eastAsia="en-US"/>
        </w:rPr>
        <w:t xml:space="preserve"> many</w:t>
      </w:r>
      <w:r w:rsidR="00576548" w:rsidRPr="007A15F6">
        <w:rPr>
          <w:rFonts w:ascii="Times New Roman" w:eastAsia="Times New Roman" w:hAnsi="Times New Roman" w:cs="Times New Roman"/>
          <w:color w:val="000000"/>
          <w:lang w:eastAsia="en-US"/>
        </w:rPr>
        <w:t xml:space="preserve"> invaluable</w:t>
      </w:r>
      <w:r w:rsidR="00567618" w:rsidRPr="007A15F6">
        <w:rPr>
          <w:rFonts w:ascii="Times New Roman" w:eastAsia="Times New Roman" w:hAnsi="Times New Roman" w:cs="Times New Roman"/>
          <w:color w:val="000000"/>
          <w:lang w:eastAsia="en-US"/>
        </w:rPr>
        <w:t xml:space="preserve"> life lessons, </w:t>
      </w:r>
      <w:r w:rsidR="00576548" w:rsidRPr="007A15F6">
        <w:rPr>
          <w:rFonts w:ascii="Times New Roman" w:eastAsia="Times New Roman" w:hAnsi="Times New Roman" w:cs="Times New Roman"/>
          <w:color w:val="000000"/>
          <w:lang w:eastAsia="en-US"/>
        </w:rPr>
        <w:t>confirming</w:t>
      </w:r>
      <w:r w:rsidR="00567618" w:rsidRPr="007A15F6">
        <w:rPr>
          <w:rFonts w:ascii="Times New Roman" w:eastAsia="Times New Roman" w:hAnsi="Times New Roman" w:cs="Times New Roman"/>
          <w:color w:val="000000"/>
          <w:lang w:eastAsia="en-US"/>
        </w:rPr>
        <w:t xml:space="preserve"> that old age comprises a human capital </w:t>
      </w:r>
      <w:r w:rsidR="006955F9" w:rsidRPr="007A15F6">
        <w:rPr>
          <w:rFonts w:ascii="Times New Roman" w:eastAsia="Times New Roman" w:hAnsi="Times New Roman" w:cs="Times New Roman"/>
          <w:color w:val="000000"/>
          <w:lang w:eastAsia="en-US"/>
        </w:rPr>
        <w:t>waiting</w:t>
      </w:r>
      <w:r w:rsidR="00567618" w:rsidRPr="007A15F6">
        <w:rPr>
          <w:rFonts w:ascii="Times New Roman" w:eastAsia="Times New Roman" w:hAnsi="Times New Roman" w:cs="Times New Roman"/>
          <w:color w:val="000000"/>
          <w:lang w:eastAsia="en-US"/>
        </w:rPr>
        <w:t xml:space="preserve"> to </w:t>
      </w:r>
      <w:r w:rsidR="00F44AB9">
        <w:rPr>
          <w:rFonts w:ascii="Times New Roman" w:eastAsia="Times New Roman" w:hAnsi="Times New Roman" w:cs="Times New Roman"/>
          <w:color w:val="000000"/>
          <w:lang w:eastAsia="en-US"/>
        </w:rPr>
        <w:t>b</w:t>
      </w:r>
      <w:r w:rsidR="006955F9" w:rsidRPr="007A15F6">
        <w:rPr>
          <w:rFonts w:ascii="Times New Roman" w:eastAsia="Times New Roman" w:hAnsi="Times New Roman" w:cs="Times New Roman"/>
          <w:color w:val="000000"/>
          <w:lang w:eastAsia="en-US"/>
        </w:rPr>
        <w:t xml:space="preserve">e acknowledged and </w:t>
      </w:r>
      <w:r w:rsidR="00F44AB9">
        <w:rPr>
          <w:rFonts w:ascii="Times New Roman" w:eastAsia="Times New Roman" w:hAnsi="Times New Roman" w:cs="Times New Roman"/>
          <w:color w:val="000000"/>
          <w:lang w:eastAsia="en-US"/>
        </w:rPr>
        <w:t>capitalized</w:t>
      </w:r>
      <w:r w:rsidR="00567618" w:rsidRPr="007A15F6">
        <w:rPr>
          <w:rFonts w:ascii="Times New Roman" w:eastAsia="Times New Roman" w:hAnsi="Times New Roman" w:cs="Times New Roman"/>
          <w:color w:val="000000"/>
          <w:lang w:eastAsia="en-US"/>
        </w:rPr>
        <w:t>!</w:t>
      </w:r>
    </w:p>
    <w:p w:rsidR="002127A6" w:rsidRDefault="00A3133D" w:rsidP="00A3133D">
      <w:pPr>
        <w:rPr>
          <w:rFonts w:ascii="Times New Roman" w:eastAsia="Times New Roman" w:hAnsi="Times New Roman" w:cs="Times New Roman"/>
          <w:color w:val="000000"/>
          <w:lang w:eastAsia="en-US"/>
        </w:rPr>
      </w:pPr>
      <w:r>
        <w:rPr>
          <w:rFonts w:ascii="Times New Roman" w:eastAsia="Times New Roman" w:hAnsi="Times New Roman" w:cs="Times New Roman"/>
          <w:color w:val="000000"/>
          <w:lang w:eastAsia="en-US"/>
        </w:rPr>
        <w:br w:type="page"/>
      </w:r>
    </w:p>
    <w:bookmarkStart w:id="4" w:name="_Toc521184158" w:displacedByCustomXml="next"/>
    <w:bookmarkStart w:id="5" w:name="_Toc373002973" w:displacedByCustomXml="next"/>
    <w:bookmarkStart w:id="6" w:name="_Toc281217490" w:displacedByCustomXml="next"/>
    <w:bookmarkStart w:id="7" w:name="_Toc281217424" w:displacedByCustomXml="next"/>
    <w:bookmarkStart w:id="8" w:name="_Toc281217100" w:displacedByCustomXml="next"/>
    <w:bookmarkStart w:id="9" w:name="_Toc281216791" w:displacedByCustomXml="next"/>
    <w:bookmarkStart w:id="10" w:name="_Toc281216722" w:displacedByCustomXml="next"/>
    <w:bookmarkStart w:id="11" w:name="_Toc281216549" w:displacedByCustomXml="next"/>
    <w:bookmarkStart w:id="12" w:name="_Toc414007088" w:displacedByCustomXml="next"/>
    <w:bookmarkStart w:id="13" w:name="_Toc282252394" w:displacedByCustomXml="next"/>
    <w:bookmarkStart w:id="14" w:name="_Toc281220186" w:displacedByCustomXml="next"/>
    <w:bookmarkStart w:id="15" w:name="_Toc281219120" w:displacedByCustomXml="next"/>
    <w:bookmarkStart w:id="16" w:name="_Toc281219090" w:displacedByCustomXml="next"/>
    <w:bookmarkStart w:id="17" w:name="_Toc281219042" w:displacedByCustomXml="next"/>
    <w:bookmarkStart w:id="18" w:name="_Toc281218854" w:displacedByCustomXml="next"/>
    <w:bookmarkStart w:id="19" w:name="_Toc281218591" w:displacedByCustomXml="next"/>
    <w:bookmarkStart w:id="20" w:name="_Toc281218495" w:displacedByCustomXml="next"/>
    <w:sdt>
      <w:sdtPr>
        <w:rPr>
          <w:rFonts w:asciiTheme="minorHAnsi" w:eastAsiaTheme="minorEastAsia" w:hAnsiTheme="minorHAnsi" w:cstheme="minorBidi"/>
          <w:b w:val="0"/>
          <w:bCs w:val="0"/>
          <w:szCs w:val="24"/>
        </w:rPr>
        <w:id w:val="1863470688"/>
        <w:docPartObj>
          <w:docPartGallery w:val="Table of Contents"/>
          <w:docPartUnique/>
        </w:docPartObj>
      </w:sdtPr>
      <w:sdtEndPr>
        <w:rPr>
          <w:noProof/>
        </w:rPr>
      </w:sdtEndPr>
      <w:sdtContent>
        <w:p w:rsidR="000B7495" w:rsidRPr="006758E5" w:rsidRDefault="000B7495" w:rsidP="00DA7E68">
          <w:pPr>
            <w:pStyle w:val="Heading1"/>
          </w:pPr>
          <w:r w:rsidRPr="006758E5">
            <w:t>Table of Contents</w:t>
          </w:r>
          <w:bookmarkEnd w:id="4"/>
        </w:p>
        <w:p w:rsidR="00710055" w:rsidRDefault="00EB1324">
          <w:pPr>
            <w:pStyle w:val="TOC1"/>
            <w:rPr>
              <w:b w:val="0"/>
              <w:noProof/>
              <w:sz w:val="24"/>
              <w:szCs w:val="24"/>
              <w:lang w:val="en-US" w:eastAsia="en-US"/>
            </w:rPr>
          </w:pPr>
          <w:r>
            <w:fldChar w:fldCharType="begin"/>
          </w:r>
          <w:r w:rsidR="000B7495">
            <w:instrText xml:space="preserve"> TOC \o "1-3" \h \z \u </w:instrText>
          </w:r>
          <w:r>
            <w:fldChar w:fldCharType="separate"/>
          </w:r>
          <w:hyperlink w:anchor="_Toc521184156" w:history="1">
            <w:r w:rsidR="00710055" w:rsidRPr="00B2025E">
              <w:rPr>
                <w:rStyle w:val="Hyperlink"/>
                <w:noProof/>
              </w:rPr>
              <w:t>Abstract</w:t>
            </w:r>
            <w:r w:rsidR="00710055">
              <w:rPr>
                <w:noProof/>
                <w:webHidden/>
              </w:rPr>
              <w:tab/>
            </w:r>
            <w:r>
              <w:rPr>
                <w:noProof/>
                <w:webHidden/>
              </w:rPr>
              <w:fldChar w:fldCharType="begin"/>
            </w:r>
            <w:r w:rsidR="00710055">
              <w:rPr>
                <w:noProof/>
                <w:webHidden/>
              </w:rPr>
              <w:instrText xml:space="preserve"> PAGEREF _Toc521184156 \h </w:instrText>
            </w:r>
            <w:r>
              <w:rPr>
                <w:noProof/>
                <w:webHidden/>
              </w:rPr>
            </w:r>
            <w:r>
              <w:rPr>
                <w:noProof/>
                <w:webHidden/>
              </w:rPr>
              <w:fldChar w:fldCharType="separate"/>
            </w:r>
            <w:r w:rsidR="00710055">
              <w:rPr>
                <w:noProof/>
                <w:webHidden/>
              </w:rPr>
              <w:t>II</w:t>
            </w:r>
            <w:r>
              <w:rPr>
                <w:noProof/>
                <w:webHidden/>
              </w:rPr>
              <w:fldChar w:fldCharType="end"/>
            </w:r>
          </w:hyperlink>
        </w:p>
        <w:p w:rsidR="00710055" w:rsidRDefault="00EB1324">
          <w:pPr>
            <w:pStyle w:val="TOC1"/>
            <w:rPr>
              <w:b w:val="0"/>
              <w:noProof/>
              <w:sz w:val="24"/>
              <w:szCs w:val="24"/>
              <w:lang w:val="en-US" w:eastAsia="en-US"/>
            </w:rPr>
          </w:pPr>
          <w:hyperlink w:anchor="_Toc521184157" w:history="1">
            <w:r w:rsidR="00710055" w:rsidRPr="00B2025E">
              <w:rPr>
                <w:rStyle w:val="Hyperlink"/>
                <w:noProof/>
                <w:lang w:eastAsia="en-US"/>
              </w:rPr>
              <w:t>Acknowledgements</w:t>
            </w:r>
            <w:r w:rsidR="00710055">
              <w:rPr>
                <w:noProof/>
                <w:webHidden/>
              </w:rPr>
              <w:tab/>
            </w:r>
            <w:r>
              <w:rPr>
                <w:noProof/>
                <w:webHidden/>
              </w:rPr>
              <w:fldChar w:fldCharType="begin"/>
            </w:r>
            <w:r w:rsidR="00710055">
              <w:rPr>
                <w:noProof/>
                <w:webHidden/>
              </w:rPr>
              <w:instrText xml:space="preserve"> PAGEREF _Toc521184157 \h </w:instrText>
            </w:r>
            <w:r>
              <w:rPr>
                <w:noProof/>
                <w:webHidden/>
              </w:rPr>
            </w:r>
            <w:r>
              <w:rPr>
                <w:noProof/>
                <w:webHidden/>
              </w:rPr>
              <w:fldChar w:fldCharType="separate"/>
            </w:r>
            <w:r w:rsidR="00710055">
              <w:rPr>
                <w:noProof/>
                <w:webHidden/>
              </w:rPr>
              <w:t>III</w:t>
            </w:r>
            <w:r>
              <w:rPr>
                <w:noProof/>
                <w:webHidden/>
              </w:rPr>
              <w:fldChar w:fldCharType="end"/>
            </w:r>
          </w:hyperlink>
        </w:p>
        <w:p w:rsidR="00710055" w:rsidRDefault="00EB1324">
          <w:pPr>
            <w:pStyle w:val="TOC1"/>
            <w:rPr>
              <w:b w:val="0"/>
              <w:noProof/>
              <w:sz w:val="24"/>
              <w:szCs w:val="24"/>
              <w:lang w:val="en-US" w:eastAsia="en-US"/>
            </w:rPr>
          </w:pPr>
          <w:hyperlink w:anchor="_Toc521184158" w:history="1">
            <w:r w:rsidR="00710055" w:rsidRPr="00B2025E">
              <w:rPr>
                <w:rStyle w:val="Hyperlink"/>
                <w:noProof/>
              </w:rPr>
              <w:t>Table of Contents</w:t>
            </w:r>
            <w:r w:rsidR="00710055">
              <w:rPr>
                <w:noProof/>
                <w:webHidden/>
              </w:rPr>
              <w:tab/>
            </w:r>
            <w:r>
              <w:rPr>
                <w:noProof/>
                <w:webHidden/>
              </w:rPr>
              <w:fldChar w:fldCharType="begin"/>
            </w:r>
            <w:r w:rsidR="00710055">
              <w:rPr>
                <w:noProof/>
                <w:webHidden/>
              </w:rPr>
              <w:instrText xml:space="preserve"> PAGEREF _Toc521184158 \h </w:instrText>
            </w:r>
            <w:r>
              <w:rPr>
                <w:noProof/>
                <w:webHidden/>
              </w:rPr>
            </w:r>
            <w:r>
              <w:rPr>
                <w:noProof/>
                <w:webHidden/>
              </w:rPr>
              <w:fldChar w:fldCharType="separate"/>
            </w:r>
            <w:r w:rsidR="00710055">
              <w:rPr>
                <w:noProof/>
                <w:webHidden/>
              </w:rPr>
              <w:t>IV</w:t>
            </w:r>
            <w:r>
              <w:rPr>
                <w:noProof/>
                <w:webHidden/>
              </w:rPr>
              <w:fldChar w:fldCharType="end"/>
            </w:r>
          </w:hyperlink>
        </w:p>
        <w:p w:rsidR="00710055" w:rsidRDefault="00EB1324">
          <w:pPr>
            <w:pStyle w:val="TOC1"/>
            <w:rPr>
              <w:b w:val="0"/>
              <w:noProof/>
              <w:sz w:val="24"/>
              <w:szCs w:val="24"/>
              <w:lang w:val="en-US" w:eastAsia="en-US"/>
            </w:rPr>
          </w:pPr>
          <w:hyperlink w:anchor="_Toc521184159" w:history="1">
            <w:r w:rsidR="00710055" w:rsidRPr="00B2025E">
              <w:rPr>
                <w:rStyle w:val="Hyperlink"/>
                <w:noProof/>
              </w:rPr>
              <w:t>Glossary</w:t>
            </w:r>
            <w:r w:rsidR="00710055">
              <w:rPr>
                <w:noProof/>
                <w:webHidden/>
              </w:rPr>
              <w:tab/>
            </w:r>
            <w:r>
              <w:rPr>
                <w:noProof/>
                <w:webHidden/>
              </w:rPr>
              <w:fldChar w:fldCharType="begin"/>
            </w:r>
            <w:r w:rsidR="00710055">
              <w:rPr>
                <w:noProof/>
                <w:webHidden/>
              </w:rPr>
              <w:instrText xml:space="preserve"> PAGEREF _Toc521184159 \h </w:instrText>
            </w:r>
            <w:r>
              <w:rPr>
                <w:noProof/>
                <w:webHidden/>
              </w:rPr>
            </w:r>
            <w:r>
              <w:rPr>
                <w:noProof/>
                <w:webHidden/>
              </w:rPr>
              <w:fldChar w:fldCharType="separate"/>
            </w:r>
            <w:r w:rsidR="00710055">
              <w:rPr>
                <w:noProof/>
                <w:webHidden/>
              </w:rPr>
              <w:t>VIII</w:t>
            </w:r>
            <w:r>
              <w:rPr>
                <w:noProof/>
                <w:webHidden/>
              </w:rPr>
              <w:fldChar w:fldCharType="end"/>
            </w:r>
          </w:hyperlink>
        </w:p>
        <w:p w:rsidR="00710055" w:rsidRDefault="00EB1324">
          <w:pPr>
            <w:pStyle w:val="TOC1"/>
            <w:rPr>
              <w:b w:val="0"/>
              <w:noProof/>
              <w:sz w:val="24"/>
              <w:szCs w:val="24"/>
              <w:lang w:val="en-US" w:eastAsia="en-US"/>
            </w:rPr>
          </w:pPr>
          <w:hyperlink w:anchor="_Toc521184160" w:history="1">
            <w:r w:rsidR="00710055" w:rsidRPr="00B2025E">
              <w:rPr>
                <w:rStyle w:val="Hyperlink"/>
                <w:noProof/>
              </w:rPr>
              <w:t>CHAPTER  1  INTRODUCTION</w:t>
            </w:r>
            <w:r w:rsidR="00710055">
              <w:rPr>
                <w:noProof/>
                <w:webHidden/>
              </w:rPr>
              <w:tab/>
            </w:r>
            <w:r>
              <w:rPr>
                <w:noProof/>
                <w:webHidden/>
              </w:rPr>
              <w:fldChar w:fldCharType="begin"/>
            </w:r>
            <w:r w:rsidR="00710055">
              <w:rPr>
                <w:noProof/>
                <w:webHidden/>
              </w:rPr>
              <w:instrText xml:space="preserve"> PAGEREF _Toc521184160 \h </w:instrText>
            </w:r>
            <w:r>
              <w:rPr>
                <w:noProof/>
                <w:webHidden/>
              </w:rPr>
            </w:r>
            <w:r>
              <w:rPr>
                <w:noProof/>
                <w:webHidden/>
              </w:rPr>
              <w:fldChar w:fldCharType="separate"/>
            </w:r>
            <w:r w:rsidR="00710055">
              <w:rPr>
                <w:noProof/>
                <w:webHidden/>
              </w:rPr>
              <w:t>1</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61" w:history="1">
            <w:r w:rsidR="00710055" w:rsidRPr="00B2025E">
              <w:rPr>
                <w:rStyle w:val="Hyperlink"/>
                <w:noProof/>
              </w:rPr>
              <w:t>The Challenges Posed by the Demographic Change into an Ageing Population</w:t>
            </w:r>
            <w:r w:rsidR="00710055">
              <w:rPr>
                <w:noProof/>
                <w:webHidden/>
              </w:rPr>
              <w:tab/>
            </w:r>
            <w:r>
              <w:rPr>
                <w:noProof/>
                <w:webHidden/>
              </w:rPr>
              <w:fldChar w:fldCharType="begin"/>
            </w:r>
            <w:r w:rsidR="00710055">
              <w:rPr>
                <w:noProof/>
                <w:webHidden/>
              </w:rPr>
              <w:instrText xml:space="preserve"> PAGEREF _Toc521184161 \h </w:instrText>
            </w:r>
            <w:r>
              <w:rPr>
                <w:noProof/>
                <w:webHidden/>
              </w:rPr>
            </w:r>
            <w:r>
              <w:rPr>
                <w:noProof/>
                <w:webHidden/>
              </w:rPr>
              <w:fldChar w:fldCharType="separate"/>
            </w:r>
            <w:r w:rsidR="00710055">
              <w:rPr>
                <w:noProof/>
                <w:webHidden/>
              </w:rPr>
              <w:t>4</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62" w:history="1">
            <w:r w:rsidR="00710055" w:rsidRPr="00B2025E">
              <w:rPr>
                <w:rStyle w:val="Hyperlink"/>
                <w:noProof/>
              </w:rPr>
              <w:t>The Need for the Examination of the Healthy Spectrum of Older Age</w:t>
            </w:r>
            <w:r w:rsidR="00710055">
              <w:rPr>
                <w:noProof/>
                <w:webHidden/>
              </w:rPr>
              <w:tab/>
            </w:r>
            <w:r>
              <w:rPr>
                <w:noProof/>
                <w:webHidden/>
              </w:rPr>
              <w:fldChar w:fldCharType="begin"/>
            </w:r>
            <w:r w:rsidR="00710055">
              <w:rPr>
                <w:noProof/>
                <w:webHidden/>
              </w:rPr>
              <w:instrText xml:space="preserve"> PAGEREF _Toc521184162 \h </w:instrText>
            </w:r>
            <w:r>
              <w:rPr>
                <w:noProof/>
                <w:webHidden/>
              </w:rPr>
            </w:r>
            <w:r>
              <w:rPr>
                <w:noProof/>
                <w:webHidden/>
              </w:rPr>
              <w:fldChar w:fldCharType="separate"/>
            </w:r>
            <w:r w:rsidR="00710055">
              <w:rPr>
                <w:noProof/>
                <w:webHidden/>
              </w:rPr>
              <w:t>6</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63" w:history="1">
            <w:r w:rsidR="00710055" w:rsidRPr="00B2025E">
              <w:rPr>
                <w:rStyle w:val="Hyperlink"/>
                <w:noProof/>
              </w:rPr>
              <w:t>Advancing the Discourse of Ageing in the Healthy Spectrum of Cognitive Performance</w:t>
            </w:r>
            <w:r w:rsidR="00710055">
              <w:rPr>
                <w:noProof/>
                <w:webHidden/>
              </w:rPr>
              <w:tab/>
            </w:r>
            <w:r>
              <w:rPr>
                <w:noProof/>
                <w:webHidden/>
              </w:rPr>
              <w:fldChar w:fldCharType="begin"/>
            </w:r>
            <w:r w:rsidR="00710055">
              <w:rPr>
                <w:noProof/>
                <w:webHidden/>
              </w:rPr>
              <w:instrText xml:space="preserve"> PAGEREF _Toc521184163 \h </w:instrText>
            </w:r>
            <w:r>
              <w:rPr>
                <w:noProof/>
                <w:webHidden/>
              </w:rPr>
            </w:r>
            <w:r>
              <w:rPr>
                <w:noProof/>
                <w:webHidden/>
              </w:rPr>
              <w:fldChar w:fldCharType="separate"/>
            </w:r>
            <w:r w:rsidR="00710055">
              <w:rPr>
                <w:noProof/>
                <w:webHidden/>
              </w:rPr>
              <w:t>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64" w:history="1">
            <w:r w:rsidR="00710055" w:rsidRPr="00B2025E">
              <w:rPr>
                <w:rStyle w:val="Hyperlink"/>
                <w:noProof/>
              </w:rPr>
              <w:t>Research Questions and Hypothesis</w:t>
            </w:r>
            <w:r w:rsidR="00710055">
              <w:rPr>
                <w:noProof/>
                <w:webHidden/>
              </w:rPr>
              <w:tab/>
            </w:r>
            <w:r>
              <w:rPr>
                <w:noProof/>
                <w:webHidden/>
              </w:rPr>
              <w:fldChar w:fldCharType="begin"/>
            </w:r>
            <w:r w:rsidR="00710055">
              <w:rPr>
                <w:noProof/>
                <w:webHidden/>
              </w:rPr>
              <w:instrText xml:space="preserve"> PAGEREF _Toc521184164 \h </w:instrText>
            </w:r>
            <w:r>
              <w:rPr>
                <w:noProof/>
                <w:webHidden/>
              </w:rPr>
            </w:r>
            <w:r>
              <w:rPr>
                <w:noProof/>
                <w:webHidden/>
              </w:rPr>
              <w:fldChar w:fldCharType="separate"/>
            </w:r>
            <w:r w:rsidR="00710055">
              <w:rPr>
                <w:noProof/>
                <w:webHidden/>
              </w:rPr>
              <w:t>11</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65" w:history="1">
            <w:r w:rsidR="00710055" w:rsidRPr="00B2025E">
              <w:rPr>
                <w:rStyle w:val="Hyperlink"/>
                <w:noProof/>
              </w:rPr>
              <w:t>Contribution to Knowledge</w:t>
            </w:r>
            <w:r w:rsidR="00710055">
              <w:rPr>
                <w:noProof/>
                <w:webHidden/>
              </w:rPr>
              <w:tab/>
            </w:r>
            <w:r>
              <w:rPr>
                <w:noProof/>
                <w:webHidden/>
              </w:rPr>
              <w:fldChar w:fldCharType="begin"/>
            </w:r>
            <w:r w:rsidR="00710055">
              <w:rPr>
                <w:noProof/>
                <w:webHidden/>
              </w:rPr>
              <w:instrText xml:space="preserve"> PAGEREF _Toc521184165 \h </w:instrText>
            </w:r>
            <w:r>
              <w:rPr>
                <w:noProof/>
                <w:webHidden/>
              </w:rPr>
            </w:r>
            <w:r>
              <w:rPr>
                <w:noProof/>
                <w:webHidden/>
              </w:rPr>
              <w:fldChar w:fldCharType="separate"/>
            </w:r>
            <w:r w:rsidR="00710055">
              <w:rPr>
                <w:noProof/>
                <w:webHidden/>
              </w:rPr>
              <w:t>12</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66" w:history="1">
            <w:r w:rsidR="00710055" w:rsidRPr="00B2025E">
              <w:rPr>
                <w:rStyle w:val="Hyperlink"/>
                <w:noProof/>
              </w:rPr>
              <w:t>Thesis Plan</w:t>
            </w:r>
            <w:r w:rsidR="00710055">
              <w:rPr>
                <w:noProof/>
                <w:webHidden/>
              </w:rPr>
              <w:tab/>
            </w:r>
            <w:r>
              <w:rPr>
                <w:noProof/>
                <w:webHidden/>
              </w:rPr>
              <w:fldChar w:fldCharType="begin"/>
            </w:r>
            <w:r w:rsidR="00710055">
              <w:rPr>
                <w:noProof/>
                <w:webHidden/>
              </w:rPr>
              <w:instrText xml:space="preserve"> PAGEREF _Toc521184166 \h </w:instrText>
            </w:r>
            <w:r>
              <w:rPr>
                <w:noProof/>
                <w:webHidden/>
              </w:rPr>
            </w:r>
            <w:r>
              <w:rPr>
                <w:noProof/>
                <w:webHidden/>
              </w:rPr>
              <w:fldChar w:fldCharType="separate"/>
            </w:r>
            <w:r w:rsidR="00710055">
              <w:rPr>
                <w:noProof/>
                <w:webHidden/>
              </w:rPr>
              <w:t>14</w:t>
            </w:r>
            <w:r>
              <w:rPr>
                <w:noProof/>
                <w:webHidden/>
              </w:rPr>
              <w:fldChar w:fldCharType="end"/>
            </w:r>
          </w:hyperlink>
        </w:p>
        <w:p w:rsidR="00710055" w:rsidRDefault="00EB1324">
          <w:pPr>
            <w:pStyle w:val="TOC1"/>
            <w:rPr>
              <w:b w:val="0"/>
              <w:noProof/>
              <w:sz w:val="24"/>
              <w:szCs w:val="24"/>
              <w:lang w:val="en-US" w:eastAsia="en-US"/>
            </w:rPr>
          </w:pPr>
          <w:hyperlink w:anchor="_Toc521184167" w:history="1">
            <w:r w:rsidR="00710055" w:rsidRPr="00B2025E">
              <w:rPr>
                <w:rStyle w:val="Hyperlink"/>
                <w:noProof/>
              </w:rPr>
              <w:t xml:space="preserve">CHAPTER  2  THE AGEING POPULATION AND THE </w:t>
            </w:r>
            <w:r w:rsidR="00710055" w:rsidRPr="00B2025E">
              <w:rPr>
                <w:rStyle w:val="Hyperlink"/>
                <w:noProof/>
                <w:lang w:val="en-US"/>
              </w:rPr>
              <w:t xml:space="preserve">CONCEPT </w:t>
            </w:r>
            <w:r w:rsidR="00710055" w:rsidRPr="00B2025E">
              <w:rPr>
                <w:rStyle w:val="Hyperlink"/>
                <w:noProof/>
              </w:rPr>
              <w:t>OF ‘SUCCESSFUL’ AGEING</w:t>
            </w:r>
            <w:r w:rsidR="00710055">
              <w:rPr>
                <w:noProof/>
                <w:webHidden/>
              </w:rPr>
              <w:tab/>
            </w:r>
            <w:r>
              <w:rPr>
                <w:noProof/>
                <w:webHidden/>
              </w:rPr>
              <w:fldChar w:fldCharType="begin"/>
            </w:r>
            <w:r w:rsidR="00710055">
              <w:rPr>
                <w:noProof/>
                <w:webHidden/>
              </w:rPr>
              <w:instrText xml:space="preserve"> PAGEREF _Toc521184167 \h </w:instrText>
            </w:r>
            <w:r>
              <w:rPr>
                <w:noProof/>
                <w:webHidden/>
              </w:rPr>
            </w:r>
            <w:r>
              <w:rPr>
                <w:noProof/>
                <w:webHidden/>
              </w:rPr>
              <w:fldChar w:fldCharType="separate"/>
            </w:r>
            <w:r w:rsidR="00710055">
              <w:rPr>
                <w:noProof/>
                <w:webHidden/>
              </w:rPr>
              <w:t>17</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68"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_Toc521184168 \h </w:instrText>
            </w:r>
            <w:r>
              <w:rPr>
                <w:noProof/>
                <w:webHidden/>
              </w:rPr>
            </w:r>
            <w:r>
              <w:rPr>
                <w:noProof/>
                <w:webHidden/>
              </w:rPr>
              <w:fldChar w:fldCharType="separate"/>
            </w:r>
            <w:r w:rsidR="00710055">
              <w:rPr>
                <w:noProof/>
                <w:webHidden/>
              </w:rPr>
              <w:t>17</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69" w:history="1">
            <w:r w:rsidR="00710055" w:rsidRPr="00B2025E">
              <w:rPr>
                <w:rStyle w:val="Hyperlink"/>
                <w:noProof/>
              </w:rPr>
              <w:t>Method</w:t>
            </w:r>
            <w:r w:rsidR="00710055">
              <w:rPr>
                <w:noProof/>
                <w:webHidden/>
              </w:rPr>
              <w:tab/>
            </w:r>
            <w:r>
              <w:rPr>
                <w:noProof/>
                <w:webHidden/>
              </w:rPr>
              <w:fldChar w:fldCharType="begin"/>
            </w:r>
            <w:r w:rsidR="00710055">
              <w:rPr>
                <w:noProof/>
                <w:webHidden/>
              </w:rPr>
              <w:instrText xml:space="preserve"> PAGEREF _Toc521184169 \h </w:instrText>
            </w:r>
            <w:r>
              <w:rPr>
                <w:noProof/>
                <w:webHidden/>
              </w:rPr>
            </w:r>
            <w:r>
              <w:rPr>
                <w:noProof/>
                <w:webHidden/>
              </w:rPr>
              <w:fldChar w:fldCharType="separate"/>
            </w:r>
            <w:r w:rsidR="00710055">
              <w:rPr>
                <w:noProof/>
                <w:webHidden/>
              </w:rPr>
              <w:t>17</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0" w:history="1">
            <w:r w:rsidR="00710055" w:rsidRPr="00B2025E">
              <w:rPr>
                <w:rStyle w:val="Hyperlink"/>
                <w:noProof/>
              </w:rPr>
              <w:t>Who is Old?</w:t>
            </w:r>
            <w:r w:rsidR="00710055">
              <w:rPr>
                <w:noProof/>
                <w:webHidden/>
              </w:rPr>
              <w:tab/>
            </w:r>
            <w:r>
              <w:rPr>
                <w:noProof/>
                <w:webHidden/>
              </w:rPr>
              <w:fldChar w:fldCharType="begin"/>
            </w:r>
            <w:r w:rsidR="00710055">
              <w:rPr>
                <w:noProof/>
                <w:webHidden/>
              </w:rPr>
              <w:instrText xml:space="preserve"> PAGEREF _Toc521184170 \h </w:instrText>
            </w:r>
            <w:r>
              <w:rPr>
                <w:noProof/>
                <w:webHidden/>
              </w:rPr>
            </w:r>
            <w:r>
              <w:rPr>
                <w:noProof/>
                <w:webHidden/>
              </w:rPr>
              <w:fldChar w:fldCharType="separate"/>
            </w:r>
            <w:r w:rsidR="00710055">
              <w:rPr>
                <w:noProof/>
                <w:webHidden/>
              </w:rPr>
              <w:t>18</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1" w:history="1">
            <w:r w:rsidR="00710055" w:rsidRPr="00B2025E">
              <w:rPr>
                <w:rStyle w:val="Hyperlink"/>
                <w:noProof/>
              </w:rPr>
              <w:t>Who is Healthy in Older Age?</w:t>
            </w:r>
            <w:r w:rsidR="00710055">
              <w:rPr>
                <w:noProof/>
                <w:webHidden/>
              </w:rPr>
              <w:tab/>
            </w:r>
            <w:r>
              <w:rPr>
                <w:noProof/>
                <w:webHidden/>
              </w:rPr>
              <w:fldChar w:fldCharType="begin"/>
            </w:r>
            <w:r w:rsidR="00710055">
              <w:rPr>
                <w:noProof/>
                <w:webHidden/>
              </w:rPr>
              <w:instrText xml:space="preserve"> PAGEREF _Toc521184171 \h </w:instrText>
            </w:r>
            <w:r>
              <w:rPr>
                <w:noProof/>
                <w:webHidden/>
              </w:rPr>
            </w:r>
            <w:r>
              <w:rPr>
                <w:noProof/>
                <w:webHidden/>
              </w:rPr>
              <w:fldChar w:fldCharType="separate"/>
            </w:r>
            <w:r w:rsidR="00710055">
              <w:rPr>
                <w:noProof/>
                <w:webHidden/>
              </w:rPr>
              <w:t>20</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2" w:history="1">
            <w:r w:rsidR="00710055" w:rsidRPr="00B2025E">
              <w:rPr>
                <w:rStyle w:val="Hyperlink"/>
                <w:noProof/>
              </w:rPr>
              <w:t>Who is Older and Cognitively Healthy?</w:t>
            </w:r>
            <w:r w:rsidR="00710055">
              <w:rPr>
                <w:noProof/>
                <w:webHidden/>
              </w:rPr>
              <w:tab/>
            </w:r>
            <w:r>
              <w:rPr>
                <w:noProof/>
                <w:webHidden/>
              </w:rPr>
              <w:fldChar w:fldCharType="begin"/>
            </w:r>
            <w:r w:rsidR="00710055">
              <w:rPr>
                <w:noProof/>
                <w:webHidden/>
              </w:rPr>
              <w:instrText xml:space="preserve"> PAGEREF _Toc521184172 \h </w:instrText>
            </w:r>
            <w:r>
              <w:rPr>
                <w:noProof/>
                <w:webHidden/>
              </w:rPr>
            </w:r>
            <w:r>
              <w:rPr>
                <w:noProof/>
                <w:webHidden/>
              </w:rPr>
              <w:fldChar w:fldCharType="separate"/>
            </w:r>
            <w:r w:rsidR="00710055">
              <w:rPr>
                <w:noProof/>
                <w:webHidden/>
              </w:rPr>
              <w:t>22</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3" w:history="1">
            <w:r w:rsidR="00710055" w:rsidRPr="00B2025E">
              <w:rPr>
                <w:rStyle w:val="Hyperlink"/>
                <w:noProof/>
              </w:rPr>
              <w:t>The Challenges posed by the Demographic Change into an Ageing Population</w:t>
            </w:r>
            <w:r w:rsidR="00710055">
              <w:rPr>
                <w:noProof/>
                <w:webHidden/>
              </w:rPr>
              <w:tab/>
            </w:r>
            <w:r>
              <w:rPr>
                <w:noProof/>
                <w:webHidden/>
              </w:rPr>
              <w:fldChar w:fldCharType="begin"/>
            </w:r>
            <w:r w:rsidR="00710055">
              <w:rPr>
                <w:noProof/>
                <w:webHidden/>
              </w:rPr>
              <w:instrText xml:space="preserve"> PAGEREF _Toc521184173 \h </w:instrText>
            </w:r>
            <w:r>
              <w:rPr>
                <w:noProof/>
                <w:webHidden/>
              </w:rPr>
            </w:r>
            <w:r>
              <w:rPr>
                <w:noProof/>
                <w:webHidden/>
              </w:rPr>
              <w:fldChar w:fldCharType="separate"/>
            </w:r>
            <w:r w:rsidR="00710055">
              <w:rPr>
                <w:noProof/>
                <w:webHidden/>
              </w:rPr>
              <w:t>24</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4" w:history="1">
            <w:r w:rsidR="00710055" w:rsidRPr="00B2025E">
              <w:rPr>
                <w:rStyle w:val="Hyperlink"/>
                <w:noProof/>
              </w:rPr>
              <w:t>The Development of Successful Ageing Concepts</w:t>
            </w:r>
            <w:r w:rsidR="00710055">
              <w:rPr>
                <w:noProof/>
                <w:webHidden/>
              </w:rPr>
              <w:tab/>
            </w:r>
            <w:r>
              <w:rPr>
                <w:noProof/>
                <w:webHidden/>
              </w:rPr>
              <w:fldChar w:fldCharType="begin"/>
            </w:r>
            <w:r w:rsidR="00710055">
              <w:rPr>
                <w:noProof/>
                <w:webHidden/>
              </w:rPr>
              <w:instrText xml:space="preserve"> PAGEREF _Toc521184174 \h </w:instrText>
            </w:r>
            <w:r>
              <w:rPr>
                <w:noProof/>
                <w:webHidden/>
              </w:rPr>
            </w:r>
            <w:r>
              <w:rPr>
                <w:noProof/>
                <w:webHidden/>
              </w:rPr>
              <w:fldChar w:fldCharType="separate"/>
            </w:r>
            <w:r w:rsidR="00710055">
              <w:rPr>
                <w:noProof/>
                <w:webHidden/>
              </w:rPr>
              <w:t>29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5" w:history="1">
            <w:r w:rsidR="00710055" w:rsidRPr="00B2025E">
              <w:rPr>
                <w:rStyle w:val="Hyperlink"/>
                <w:noProof/>
              </w:rPr>
              <w:t>The Success of the Successful Ageing Concepts</w:t>
            </w:r>
            <w:r w:rsidR="00710055">
              <w:rPr>
                <w:noProof/>
                <w:webHidden/>
              </w:rPr>
              <w:tab/>
            </w:r>
            <w:r>
              <w:rPr>
                <w:noProof/>
                <w:webHidden/>
              </w:rPr>
              <w:fldChar w:fldCharType="begin"/>
            </w:r>
            <w:r w:rsidR="00710055">
              <w:rPr>
                <w:noProof/>
                <w:webHidden/>
              </w:rPr>
              <w:instrText xml:space="preserve"> PAGEREF _Toc521184175 \h </w:instrText>
            </w:r>
            <w:r>
              <w:rPr>
                <w:noProof/>
                <w:webHidden/>
              </w:rPr>
            </w:r>
            <w:r>
              <w:rPr>
                <w:noProof/>
                <w:webHidden/>
              </w:rPr>
              <w:fldChar w:fldCharType="separate"/>
            </w:r>
            <w:r w:rsidR="00710055">
              <w:rPr>
                <w:noProof/>
                <w:webHidden/>
              </w:rPr>
              <w:t>32</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6" w:history="1">
            <w:r w:rsidR="00710055" w:rsidRPr="00B2025E">
              <w:rPr>
                <w:rStyle w:val="Hyperlink"/>
                <w:noProof/>
              </w:rPr>
              <w:t>Conclusions</w:t>
            </w:r>
            <w:r w:rsidR="00710055">
              <w:rPr>
                <w:noProof/>
                <w:webHidden/>
              </w:rPr>
              <w:tab/>
            </w:r>
            <w:r>
              <w:rPr>
                <w:noProof/>
                <w:webHidden/>
              </w:rPr>
              <w:fldChar w:fldCharType="begin"/>
            </w:r>
            <w:r w:rsidR="00710055">
              <w:rPr>
                <w:noProof/>
                <w:webHidden/>
              </w:rPr>
              <w:instrText xml:space="preserve"> PAGEREF _Toc521184176 \h </w:instrText>
            </w:r>
            <w:r>
              <w:rPr>
                <w:noProof/>
                <w:webHidden/>
              </w:rPr>
            </w:r>
            <w:r>
              <w:rPr>
                <w:noProof/>
                <w:webHidden/>
              </w:rPr>
              <w:fldChar w:fldCharType="separate"/>
            </w:r>
            <w:r w:rsidR="00710055">
              <w:rPr>
                <w:noProof/>
                <w:webHidden/>
              </w:rPr>
              <w:t>36</w:t>
            </w:r>
            <w:r>
              <w:rPr>
                <w:noProof/>
                <w:webHidden/>
              </w:rPr>
              <w:fldChar w:fldCharType="end"/>
            </w:r>
          </w:hyperlink>
        </w:p>
        <w:p w:rsidR="00710055" w:rsidRDefault="00EB1324">
          <w:pPr>
            <w:pStyle w:val="TOC1"/>
            <w:rPr>
              <w:b w:val="0"/>
              <w:noProof/>
              <w:sz w:val="24"/>
              <w:szCs w:val="24"/>
              <w:lang w:val="en-US" w:eastAsia="en-US"/>
            </w:rPr>
          </w:pPr>
          <w:hyperlink w:anchor="_Toc521184177" w:history="1">
            <w:r w:rsidR="00710055" w:rsidRPr="00B2025E">
              <w:rPr>
                <w:rStyle w:val="Hyperlink"/>
                <w:noProof/>
              </w:rPr>
              <w:t>CHAPTER  3  COGNITIVE AND FUNCTIONAL PERFORMANCE IN OLDER AGE</w:t>
            </w:r>
            <w:r w:rsidR="00710055">
              <w:rPr>
                <w:noProof/>
                <w:webHidden/>
              </w:rPr>
              <w:tab/>
            </w:r>
            <w:r>
              <w:rPr>
                <w:noProof/>
                <w:webHidden/>
              </w:rPr>
              <w:fldChar w:fldCharType="begin"/>
            </w:r>
            <w:r w:rsidR="00710055">
              <w:rPr>
                <w:noProof/>
                <w:webHidden/>
              </w:rPr>
              <w:instrText xml:space="preserve"> PAGEREF _Toc521184177 \h </w:instrText>
            </w:r>
            <w:r>
              <w:rPr>
                <w:noProof/>
                <w:webHidden/>
              </w:rPr>
            </w:r>
            <w:r>
              <w:rPr>
                <w:noProof/>
                <w:webHidden/>
              </w:rPr>
              <w:fldChar w:fldCharType="separate"/>
            </w:r>
            <w:r w:rsidR="00710055">
              <w:rPr>
                <w:noProof/>
                <w:webHidden/>
              </w:rPr>
              <w:t>39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8"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_Toc521184178 \h </w:instrText>
            </w:r>
            <w:r>
              <w:rPr>
                <w:noProof/>
                <w:webHidden/>
              </w:rPr>
            </w:r>
            <w:r>
              <w:rPr>
                <w:noProof/>
                <w:webHidden/>
              </w:rPr>
              <w:fldChar w:fldCharType="separate"/>
            </w:r>
            <w:r w:rsidR="00710055">
              <w:rPr>
                <w:noProof/>
                <w:webHidden/>
              </w:rPr>
              <w:t>39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79" w:history="1">
            <w:r w:rsidR="00710055" w:rsidRPr="00B2025E">
              <w:rPr>
                <w:rStyle w:val="Hyperlink"/>
                <w:noProof/>
              </w:rPr>
              <w:t>Method</w:t>
            </w:r>
            <w:r w:rsidR="00710055">
              <w:rPr>
                <w:noProof/>
                <w:webHidden/>
              </w:rPr>
              <w:tab/>
            </w:r>
            <w:r>
              <w:rPr>
                <w:noProof/>
                <w:webHidden/>
              </w:rPr>
              <w:fldChar w:fldCharType="begin"/>
            </w:r>
            <w:r w:rsidR="00710055">
              <w:rPr>
                <w:noProof/>
                <w:webHidden/>
              </w:rPr>
              <w:instrText xml:space="preserve"> PAGEREF _Toc521184179 \h </w:instrText>
            </w:r>
            <w:r>
              <w:rPr>
                <w:noProof/>
                <w:webHidden/>
              </w:rPr>
            </w:r>
            <w:r>
              <w:rPr>
                <w:noProof/>
                <w:webHidden/>
              </w:rPr>
              <w:fldChar w:fldCharType="separate"/>
            </w:r>
            <w:r w:rsidR="00710055">
              <w:rPr>
                <w:noProof/>
                <w:webHidden/>
              </w:rPr>
              <w:t>40</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80" w:history="1">
            <w:r w:rsidR="00710055" w:rsidRPr="00B2025E">
              <w:rPr>
                <w:rStyle w:val="Hyperlink"/>
                <w:noProof/>
              </w:rPr>
              <w:t>Cognitive Performance and Cognitive Decline with Ageing</w:t>
            </w:r>
            <w:r w:rsidR="00710055">
              <w:rPr>
                <w:noProof/>
                <w:webHidden/>
              </w:rPr>
              <w:tab/>
            </w:r>
            <w:r>
              <w:rPr>
                <w:noProof/>
                <w:webHidden/>
              </w:rPr>
              <w:fldChar w:fldCharType="begin"/>
            </w:r>
            <w:r w:rsidR="00710055">
              <w:rPr>
                <w:noProof/>
                <w:webHidden/>
              </w:rPr>
              <w:instrText xml:space="preserve"> PAGEREF _Toc521184180 \h </w:instrText>
            </w:r>
            <w:r>
              <w:rPr>
                <w:noProof/>
                <w:webHidden/>
              </w:rPr>
            </w:r>
            <w:r>
              <w:rPr>
                <w:noProof/>
                <w:webHidden/>
              </w:rPr>
              <w:fldChar w:fldCharType="separate"/>
            </w:r>
            <w:r w:rsidR="00710055">
              <w:rPr>
                <w:noProof/>
                <w:webHidden/>
              </w:rPr>
              <w:t>40</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81" w:history="1">
            <w:r w:rsidR="00710055" w:rsidRPr="00B2025E">
              <w:rPr>
                <w:rStyle w:val="Hyperlink"/>
                <w:noProof/>
              </w:rPr>
              <w:t>The effect of Physical Exercise on Cognitive Vitality</w:t>
            </w:r>
            <w:r w:rsidR="00710055">
              <w:rPr>
                <w:noProof/>
                <w:webHidden/>
              </w:rPr>
              <w:tab/>
            </w:r>
            <w:r>
              <w:rPr>
                <w:noProof/>
                <w:webHidden/>
              </w:rPr>
              <w:fldChar w:fldCharType="begin"/>
            </w:r>
            <w:r w:rsidR="00710055">
              <w:rPr>
                <w:noProof/>
                <w:webHidden/>
              </w:rPr>
              <w:instrText xml:space="preserve"> PAGEREF _Toc521184181 \h </w:instrText>
            </w:r>
            <w:r>
              <w:rPr>
                <w:noProof/>
                <w:webHidden/>
              </w:rPr>
            </w:r>
            <w:r>
              <w:rPr>
                <w:noProof/>
                <w:webHidden/>
              </w:rPr>
              <w:fldChar w:fldCharType="separate"/>
            </w:r>
            <w:r w:rsidR="00710055">
              <w:rPr>
                <w:noProof/>
                <w:webHidden/>
              </w:rPr>
              <w:t>42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82" w:history="1">
            <w:r w:rsidR="00710055" w:rsidRPr="00B2025E">
              <w:rPr>
                <w:rStyle w:val="Hyperlink"/>
                <w:noProof/>
              </w:rPr>
              <w:t>The effect of Social Participation on Cognitive Vitality</w:t>
            </w:r>
            <w:r w:rsidR="00710055">
              <w:rPr>
                <w:noProof/>
                <w:webHidden/>
              </w:rPr>
              <w:tab/>
            </w:r>
            <w:r>
              <w:rPr>
                <w:noProof/>
                <w:webHidden/>
              </w:rPr>
              <w:fldChar w:fldCharType="begin"/>
            </w:r>
            <w:r w:rsidR="00710055">
              <w:rPr>
                <w:noProof/>
                <w:webHidden/>
              </w:rPr>
              <w:instrText xml:space="preserve"> PAGEREF _Toc521184182 \h </w:instrText>
            </w:r>
            <w:r>
              <w:rPr>
                <w:noProof/>
                <w:webHidden/>
              </w:rPr>
            </w:r>
            <w:r>
              <w:rPr>
                <w:noProof/>
                <w:webHidden/>
              </w:rPr>
              <w:fldChar w:fldCharType="separate"/>
            </w:r>
            <w:r w:rsidR="00710055">
              <w:rPr>
                <w:noProof/>
                <w:webHidden/>
              </w:rPr>
              <w:t>45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83" w:history="1">
            <w:r w:rsidR="00710055" w:rsidRPr="00B2025E">
              <w:rPr>
                <w:rStyle w:val="Hyperlink"/>
                <w:noProof/>
              </w:rPr>
              <w:t>The effect of Mental Activities on Cognitive Vitality</w:t>
            </w:r>
            <w:r w:rsidR="00710055">
              <w:rPr>
                <w:noProof/>
                <w:webHidden/>
              </w:rPr>
              <w:tab/>
            </w:r>
            <w:r>
              <w:rPr>
                <w:noProof/>
                <w:webHidden/>
              </w:rPr>
              <w:fldChar w:fldCharType="begin"/>
            </w:r>
            <w:r w:rsidR="00710055">
              <w:rPr>
                <w:noProof/>
                <w:webHidden/>
              </w:rPr>
              <w:instrText xml:space="preserve"> PAGEREF _Toc521184183 \h </w:instrText>
            </w:r>
            <w:r>
              <w:rPr>
                <w:noProof/>
                <w:webHidden/>
              </w:rPr>
            </w:r>
            <w:r>
              <w:rPr>
                <w:noProof/>
                <w:webHidden/>
              </w:rPr>
              <w:fldChar w:fldCharType="separate"/>
            </w:r>
            <w:r w:rsidR="00710055">
              <w:rPr>
                <w:noProof/>
                <w:webHidden/>
              </w:rPr>
              <w:t>48</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84" w:history="1">
            <w:r w:rsidR="00710055" w:rsidRPr="00B2025E">
              <w:rPr>
                <w:rStyle w:val="Hyperlink"/>
                <w:noProof/>
              </w:rPr>
              <w:t>The effect of Socio Economic Status on Cognitive Vitality</w:t>
            </w:r>
            <w:r w:rsidR="00710055">
              <w:rPr>
                <w:noProof/>
                <w:webHidden/>
              </w:rPr>
              <w:tab/>
            </w:r>
            <w:r>
              <w:rPr>
                <w:noProof/>
                <w:webHidden/>
              </w:rPr>
              <w:fldChar w:fldCharType="begin"/>
            </w:r>
            <w:r w:rsidR="00710055">
              <w:rPr>
                <w:noProof/>
                <w:webHidden/>
              </w:rPr>
              <w:instrText xml:space="preserve"> PAGEREF _Toc521184184 \h </w:instrText>
            </w:r>
            <w:r>
              <w:rPr>
                <w:noProof/>
                <w:webHidden/>
              </w:rPr>
            </w:r>
            <w:r>
              <w:rPr>
                <w:noProof/>
                <w:webHidden/>
              </w:rPr>
              <w:fldChar w:fldCharType="separate"/>
            </w:r>
            <w:r w:rsidR="00710055">
              <w:rPr>
                <w:noProof/>
                <w:webHidden/>
              </w:rPr>
              <w:t>50</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85" w:history="1">
            <w:r w:rsidR="00710055" w:rsidRPr="00B2025E">
              <w:rPr>
                <w:rStyle w:val="Hyperlink"/>
                <w:noProof/>
              </w:rPr>
              <w:t>The Relation of Cognitive Performance with Everyday Functioning</w:t>
            </w:r>
            <w:r w:rsidR="00710055">
              <w:rPr>
                <w:noProof/>
                <w:webHidden/>
              </w:rPr>
              <w:tab/>
            </w:r>
            <w:r>
              <w:rPr>
                <w:noProof/>
                <w:webHidden/>
              </w:rPr>
              <w:fldChar w:fldCharType="begin"/>
            </w:r>
            <w:r w:rsidR="00710055">
              <w:rPr>
                <w:noProof/>
                <w:webHidden/>
              </w:rPr>
              <w:instrText xml:space="preserve"> PAGEREF _Toc521184185 \h </w:instrText>
            </w:r>
            <w:r>
              <w:rPr>
                <w:noProof/>
                <w:webHidden/>
              </w:rPr>
            </w:r>
            <w:r>
              <w:rPr>
                <w:noProof/>
                <w:webHidden/>
              </w:rPr>
              <w:fldChar w:fldCharType="separate"/>
            </w:r>
            <w:r w:rsidR="00710055">
              <w:rPr>
                <w:noProof/>
                <w:webHidden/>
              </w:rPr>
              <w:t>51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86" w:history="1">
            <w:r w:rsidR="00710055" w:rsidRPr="00B2025E">
              <w:rPr>
                <w:rStyle w:val="Hyperlink"/>
                <w:noProof/>
              </w:rPr>
              <w:t>The Healthy Spectrum of Cognitive Performance</w:t>
            </w:r>
            <w:r w:rsidR="00710055">
              <w:rPr>
                <w:noProof/>
                <w:webHidden/>
              </w:rPr>
              <w:tab/>
            </w:r>
            <w:r>
              <w:rPr>
                <w:noProof/>
                <w:webHidden/>
              </w:rPr>
              <w:fldChar w:fldCharType="begin"/>
            </w:r>
            <w:r w:rsidR="00710055">
              <w:rPr>
                <w:noProof/>
                <w:webHidden/>
              </w:rPr>
              <w:instrText xml:space="preserve"> PAGEREF _Toc521184186 \h </w:instrText>
            </w:r>
            <w:r>
              <w:rPr>
                <w:noProof/>
                <w:webHidden/>
              </w:rPr>
            </w:r>
            <w:r>
              <w:rPr>
                <w:noProof/>
                <w:webHidden/>
              </w:rPr>
              <w:fldChar w:fldCharType="separate"/>
            </w:r>
            <w:r w:rsidR="00710055">
              <w:rPr>
                <w:noProof/>
                <w:webHidden/>
              </w:rPr>
              <w:t>58</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87" w:history="1">
            <w:r w:rsidR="00710055" w:rsidRPr="00B2025E">
              <w:rPr>
                <w:rStyle w:val="Hyperlink"/>
                <w:noProof/>
              </w:rPr>
              <w:t>Methodological Considerations</w:t>
            </w:r>
            <w:r w:rsidR="00710055">
              <w:rPr>
                <w:noProof/>
                <w:webHidden/>
              </w:rPr>
              <w:tab/>
            </w:r>
            <w:r>
              <w:rPr>
                <w:noProof/>
                <w:webHidden/>
              </w:rPr>
              <w:fldChar w:fldCharType="begin"/>
            </w:r>
            <w:r w:rsidR="00710055">
              <w:rPr>
                <w:noProof/>
                <w:webHidden/>
              </w:rPr>
              <w:instrText xml:space="preserve"> PAGEREF _Toc521184187 \h </w:instrText>
            </w:r>
            <w:r>
              <w:rPr>
                <w:noProof/>
                <w:webHidden/>
              </w:rPr>
            </w:r>
            <w:r>
              <w:rPr>
                <w:noProof/>
                <w:webHidden/>
              </w:rPr>
              <w:fldChar w:fldCharType="separate"/>
            </w:r>
            <w:r w:rsidR="00710055">
              <w:rPr>
                <w:noProof/>
                <w:webHidden/>
              </w:rPr>
              <w:t>63</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88" w:history="1">
            <w:r w:rsidR="00710055" w:rsidRPr="00B2025E">
              <w:rPr>
                <w:rStyle w:val="Hyperlink"/>
                <w:noProof/>
              </w:rPr>
              <w:t>Assessing Physical Exercise</w:t>
            </w:r>
            <w:r w:rsidR="00710055">
              <w:rPr>
                <w:noProof/>
                <w:webHidden/>
              </w:rPr>
              <w:tab/>
            </w:r>
            <w:r>
              <w:rPr>
                <w:noProof/>
                <w:webHidden/>
              </w:rPr>
              <w:fldChar w:fldCharType="begin"/>
            </w:r>
            <w:r w:rsidR="00710055">
              <w:rPr>
                <w:noProof/>
                <w:webHidden/>
              </w:rPr>
              <w:instrText xml:space="preserve"> PAGEREF _Toc521184188 \h </w:instrText>
            </w:r>
            <w:r>
              <w:rPr>
                <w:noProof/>
                <w:webHidden/>
              </w:rPr>
            </w:r>
            <w:r>
              <w:rPr>
                <w:noProof/>
                <w:webHidden/>
              </w:rPr>
              <w:fldChar w:fldCharType="separate"/>
            </w:r>
            <w:r w:rsidR="00710055">
              <w:rPr>
                <w:noProof/>
                <w:webHidden/>
              </w:rPr>
              <w:t>68</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89" w:history="1">
            <w:r w:rsidR="00710055" w:rsidRPr="00B2025E">
              <w:rPr>
                <w:rStyle w:val="Hyperlink"/>
                <w:noProof/>
              </w:rPr>
              <w:t>Assessing Social Participation</w:t>
            </w:r>
            <w:r w:rsidR="00710055">
              <w:rPr>
                <w:noProof/>
                <w:webHidden/>
              </w:rPr>
              <w:tab/>
            </w:r>
            <w:r>
              <w:rPr>
                <w:noProof/>
                <w:webHidden/>
              </w:rPr>
              <w:fldChar w:fldCharType="begin"/>
            </w:r>
            <w:r w:rsidR="00710055">
              <w:rPr>
                <w:noProof/>
                <w:webHidden/>
              </w:rPr>
              <w:instrText xml:space="preserve"> PAGEREF _Toc521184189 \h </w:instrText>
            </w:r>
            <w:r>
              <w:rPr>
                <w:noProof/>
                <w:webHidden/>
              </w:rPr>
            </w:r>
            <w:r>
              <w:rPr>
                <w:noProof/>
                <w:webHidden/>
              </w:rPr>
              <w:fldChar w:fldCharType="separate"/>
            </w:r>
            <w:r w:rsidR="00710055">
              <w:rPr>
                <w:noProof/>
                <w:webHidden/>
              </w:rPr>
              <w:t>69</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90" w:history="1">
            <w:r w:rsidR="00710055" w:rsidRPr="00B2025E">
              <w:rPr>
                <w:rStyle w:val="Hyperlink"/>
                <w:noProof/>
              </w:rPr>
              <w:t>Assessing Socio Economic Status</w:t>
            </w:r>
            <w:r w:rsidR="00710055">
              <w:rPr>
                <w:noProof/>
                <w:webHidden/>
              </w:rPr>
              <w:tab/>
            </w:r>
            <w:r>
              <w:rPr>
                <w:noProof/>
                <w:webHidden/>
              </w:rPr>
              <w:fldChar w:fldCharType="begin"/>
            </w:r>
            <w:r w:rsidR="00710055">
              <w:rPr>
                <w:noProof/>
                <w:webHidden/>
              </w:rPr>
              <w:instrText xml:space="preserve"> PAGEREF _Toc521184190 \h </w:instrText>
            </w:r>
            <w:r>
              <w:rPr>
                <w:noProof/>
                <w:webHidden/>
              </w:rPr>
            </w:r>
            <w:r>
              <w:rPr>
                <w:noProof/>
                <w:webHidden/>
              </w:rPr>
              <w:fldChar w:fldCharType="separate"/>
            </w:r>
            <w:r w:rsidR="00710055">
              <w:rPr>
                <w:noProof/>
                <w:webHidden/>
              </w:rPr>
              <w:t>73</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91" w:history="1">
            <w:r w:rsidR="00710055" w:rsidRPr="00B2025E">
              <w:rPr>
                <w:rStyle w:val="Hyperlink"/>
                <w:noProof/>
              </w:rPr>
              <w:t>Assessing Cognitive and Functional Performance</w:t>
            </w:r>
            <w:r w:rsidR="00710055">
              <w:rPr>
                <w:noProof/>
                <w:webHidden/>
              </w:rPr>
              <w:tab/>
            </w:r>
            <w:r>
              <w:rPr>
                <w:noProof/>
                <w:webHidden/>
              </w:rPr>
              <w:fldChar w:fldCharType="begin"/>
            </w:r>
            <w:r w:rsidR="00710055">
              <w:rPr>
                <w:noProof/>
                <w:webHidden/>
              </w:rPr>
              <w:instrText xml:space="preserve"> PAGEREF _Toc521184191 \h </w:instrText>
            </w:r>
            <w:r>
              <w:rPr>
                <w:noProof/>
                <w:webHidden/>
              </w:rPr>
            </w:r>
            <w:r>
              <w:rPr>
                <w:noProof/>
                <w:webHidden/>
              </w:rPr>
              <w:fldChar w:fldCharType="separate"/>
            </w:r>
            <w:r w:rsidR="00710055">
              <w:rPr>
                <w:noProof/>
                <w:webHidden/>
              </w:rPr>
              <w:t>75</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92" w:history="1">
            <w:r w:rsidR="00710055" w:rsidRPr="00B2025E">
              <w:rPr>
                <w:rStyle w:val="Hyperlink"/>
                <w:noProof/>
              </w:rPr>
              <w:t>Conclusions</w:t>
            </w:r>
            <w:r w:rsidR="00710055">
              <w:rPr>
                <w:noProof/>
                <w:webHidden/>
              </w:rPr>
              <w:tab/>
            </w:r>
            <w:r>
              <w:rPr>
                <w:noProof/>
                <w:webHidden/>
              </w:rPr>
              <w:fldChar w:fldCharType="begin"/>
            </w:r>
            <w:r w:rsidR="00710055">
              <w:rPr>
                <w:noProof/>
                <w:webHidden/>
              </w:rPr>
              <w:instrText xml:space="preserve"> PAGEREF _Toc521184192 \h </w:instrText>
            </w:r>
            <w:r>
              <w:rPr>
                <w:noProof/>
                <w:webHidden/>
              </w:rPr>
            </w:r>
            <w:r>
              <w:rPr>
                <w:noProof/>
                <w:webHidden/>
              </w:rPr>
              <w:fldChar w:fldCharType="separate"/>
            </w:r>
            <w:r w:rsidR="00710055">
              <w:rPr>
                <w:noProof/>
                <w:webHidden/>
              </w:rPr>
              <w:t>76</w:t>
            </w:r>
            <w:r>
              <w:rPr>
                <w:noProof/>
                <w:webHidden/>
              </w:rPr>
              <w:fldChar w:fldCharType="end"/>
            </w:r>
          </w:hyperlink>
        </w:p>
        <w:p w:rsidR="00710055" w:rsidRDefault="00EB1324">
          <w:pPr>
            <w:pStyle w:val="TOC1"/>
            <w:rPr>
              <w:b w:val="0"/>
              <w:noProof/>
              <w:sz w:val="24"/>
              <w:szCs w:val="24"/>
              <w:lang w:val="en-US" w:eastAsia="en-US"/>
            </w:rPr>
          </w:pPr>
          <w:hyperlink w:anchor="_Toc521184193" w:history="1">
            <w:r w:rsidR="00710055" w:rsidRPr="00B2025E">
              <w:rPr>
                <w:rStyle w:val="Hyperlink"/>
                <w:noProof/>
              </w:rPr>
              <w:t>CHAPTER  4  NEUROPSYCHOLOGICAL AND EVERYDAY FUNCTIONALITY TESTS: A META-ANALYSIS</w:t>
            </w:r>
            <w:r w:rsidR="00710055">
              <w:rPr>
                <w:noProof/>
                <w:webHidden/>
              </w:rPr>
              <w:tab/>
            </w:r>
            <w:r>
              <w:rPr>
                <w:noProof/>
                <w:webHidden/>
              </w:rPr>
              <w:fldChar w:fldCharType="begin"/>
            </w:r>
            <w:r w:rsidR="00710055">
              <w:rPr>
                <w:noProof/>
                <w:webHidden/>
              </w:rPr>
              <w:instrText xml:space="preserve"> PAGEREF _Toc521184193 \h </w:instrText>
            </w:r>
            <w:r>
              <w:rPr>
                <w:noProof/>
                <w:webHidden/>
              </w:rPr>
            </w:r>
            <w:r>
              <w:rPr>
                <w:noProof/>
                <w:webHidden/>
              </w:rPr>
              <w:fldChar w:fldCharType="separate"/>
            </w:r>
            <w:r w:rsidR="00710055">
              <w:rPr>
                <w:noProof/>
                <w:webHidden/>
              </w:rPr>
              <w:t>78</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94"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_Toc521184194 \h </w:instrText>
            </w:r>
            <w:r>
              <w:rPr>
                <w:noProof/>
                <w:webHidden/>
              </w:rPr>
            </w:r>
            <w:r>
              <w:rPr>
                <w:noProof/>
                <w:webHidden/>
              </w:rPr>
              <w:fldChar w:fldCharType="separate"/>
            </w:r>
            <w:r w:rsidR="00710055">
              <w:rPr>
                <w:noProof/>
                <w:webHidden/>
              </w:rPr>
              <w:t>78</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195" w:history="1">
            <w:r w:rsidR="00710055" w:rsidRPr="00B2025E">
              <w:rPr>
                <w:rStyle w:val="Hyperlink"/>
                <w:noProof/>
              </w:rPr>
              <w:t>Method</w:t>
            </w:r>
            <w:r w:rsidR="00710055">
              <w:rPr>
                <w:noProof/>
                <w:webHidden/>
              </w:rPr>
              <w:tab/>
            </w:r>
            <w:r>
              <w:rPr>
                <w:noProof/>
                <w:webHidden/>
              </w:rPr>
              <w:fldChar w:fldCharType="begin"/>
            </w:r>
            <w:r w:rsidR="00710055">
              <w:rPr>
                <w:noProof/>
                <w:webHidden/>
              </w:rPr>
              <w:instrText xml:space="preserve"> PAGEREF _Toc521184195 \h </w:instrText>
            </w:r>
            <w:r>
              <w:rPr>
                <w:noProof/>
                <w:webHidden/>
              </w:rPr>
            </w:r>
            <w:r>
              <w:rPr>
                <w:noProof/>
                <w:webHidden/>
              </w:rPr>
              <w:fldChar w:fldCharType="separate"/>
            </w:r>
            <w:r w:rsidR="00710055">
              <w:rPr>
                <w:noProof/>
                <w:webHidden/>
              </w:rPr>
              <w:t>82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96" w:history="1">
            <w:r w:rsidR="00710055" w:rsidRPr="00B2025E">
              <w:rPr>
                <w:rStyle w:val="Hyperlink"/>
                <w:noProof/>
              </w:rPr>
              <w:t>Inclusion and exclusion criteria</w:t>
            </w:r>
            <w:r w:rsidR="00710055">
              <w:rPr>
                <w:noProof/>
                <w:webHidden/>
              </w:rPr>
              <w:tab/>
            </w:r>
            <w:r>
              <w:rPr>
                <w:noProof/>
                <w:webHidden/>
              </w:rPr>
              <w:fldChar w:fldCharType="begin"/>
            </w:r>
            <w:r w:rsidR="00710055">
              <w:rPr>
                <w:noProof/>
                <w:webHidden/>
              </w:rPr>
              <w:instrText xml:space="preserve"> PAGEREF _Toc521184196 \h </w:instrText>
            </w:r>
            <w:r>
              <w:rPr>
                <w:noProof/>
                <w:webHidden/>
              </w:rPr>
            </w:r>
            <w:r>
              <w:rPr>
                <w:noProof/>
                <w:webHidden/>
              </w:rPr>
              <w:fldChar w:fldCharType="separate"/>
            </w:r>
            <w:r w:rsidR="00710055">
              <w:rPr>
                <w:noProof/>
                <w:webHidden/>
              </w:rPr>
              <w:t>82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97" w:history="1">
            <w:r w:rsidR="00710055" w:rsidRPr="00B2025E">
              <w:rPr>
                <w:rStyle w:val="Hyperlink"/>
                <w:noProof/>
              </w:rPr>
              <w:t>Moderator and mediator analysis</w:t>
            </w:r>
            <w:r w:rsidR="00710055">
              <w:rPr>
                <w:noProof/>
                <w:webHidden/>
              </w:rPr>
              <w:tab/>
            </w:r>
            <w:r>
              <w:rPr>
                <w:noProof/>
                <w:webHidden/>
              </w:rPr>
              <w:fldChar w:fldCharType="begin"/>
            </w:r>
            <w:r w:rsidR="00710055">
              <w:rPr>
                <w:noProof/>
                <w:webHidden/>
              </w:rPr>
              <w:instrText xml:space="preserve"> PAGEREF _Toc521184197 \h </w:instrText>
            </w:r>
            <w:r>
              <w:rPr>
                <w:noProof/>
                <w:webHidden/>
              </w:rPr>
            </w:r>
            <w:r>
              <w:rPr>
                <w:noProof/>
                <w:webHidden/>
              </w:rPr>
              <w:fldChar w:fldCharType="separate"/>
            </w:r>
            <w:r w:rsidR="00710055">
              <w:rPr>
                <w:noProof/>
                <w:webHidden/>
              </w:rPr>
              <w:t>85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98" w:history="1">
            <w:r w:rsidR="00710055" w:rsidRPr="00B2025E">
              <w:rPr>
                <w:rStyle w:val="Hyperlink"/>
                <w:noProof/>
              </w:rPr>
              <w:t>Search strategies</w:t>
            </w:r>
            <w:r w:rsidR="00710055">
              <w:rPr>
                <w:noProof/>
                <w:webHidden/>
              </w:rPr>
              <w:tab/>
            </w:r>
            <w:r>
              <w:rPr>
                <w:noProof/>
                <w:webHidden/>
              </w:rPr>
              <w:fldChar w:fldCharType="begin"/>
            </w:r>
            <w:r w:rsidR="00710055">
              <w:rPr>
                <w:noProof/>
                <w:webHidden/>
              </w:rPr>
              <w:instrText xml:space="preserve"> PAGEREF _Toc521184198 \h </w:instrText>
            </w:r>
            <w:r>
              <w:rPr>
                <w:noProof/>
                <w:webHidden/>
              </w:rPr>
            </w:r>
            <w:r>
              <w:rPr>
                <w:noProof/>
                <w:webHidden/>
              </w:rPr>
              <w:fldChar w:fldCharType="separate"/>
            </w:r>
            <w:r w:rsidR="00710055">
              <w:rPr>
                <w:noProof/>
                <w:webHidden/>
              </w:rPr>
              <w:t>85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199" w:history="1">
            <w:r w:rsidR="00710055" w:rsidRPr="00B2025E">
              <w:rPr>
                <w:rStyle w:val="Hyperlink"/>
                <w:noProof/>
              </w:rPr>
              <w:t>Coding procedures</w:t>
            </w:r>
            <w:r w:rsidR="00710055">
              <w:rPr>
                <w:noProof/>
                <w:webHidden/>
              </w:rPr>
              <w:tab/>
            </w:r>
            <w:r>
              <w:rPr>
                <w:noProof/>
                <w:webHidden/>
              </w:rPr>
              <w:fldChar w:fldCharType="begin"/>
            </w:r>
            <w:r w:rsidR="00710055">
              <w:rPr>
                <w:noProof/>
                <w:webHidden/>
              </w:rPr>
              <w:instrText xml:space="preserve"> PAGEREF _Toc521184199 \h </w:instrText>
            </w:r>
            <w:r>
              <w:rPr>
                <w:noProof/>
                <w:webHidden/>
              </w:rPr>
            </w:r>
            <w:r>
              <w:rPr>
                <w:noProof/>
                <w:webHidden/>
              </w:rPr>
              <w:fldChar w:fldCharType="separate"/>
            </w:r>
            <w:r w:rsidR="00710055">
              <w:rPr>
                <w:noProof/>
                <w:webHidden/>
              </w:rPr>
              <w:t>85</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00" w:history="1">
            <w:r w:rsidR="00710055" w:rsidRPr="00B2025E">
              <w:rPr>
                <w:rStyle w:val="Hyperlink"/>
                <w:noProof/>
              </w:rPr>
              <w:t>Statistical Methods</w:t>
            </w:r>
            <w:r w:rsidR="00710055">
              <w:rPr>
                <w:noProof/>
                <w:webHidden/>
              </w:rPr>
              <w:tab/>
            </w:r>
            <w:r>
              <w:rPr>
                <w:noProof/>
                <w:webHidden/>
              </w:rPr>
              <w:fldChar w:fldCharType="begin"/>
            </w:r>
            <w:r w:rsidR="00710055">
              <w:rPr>
                <w:noProof/>
                <w:webHidden/>
              </w:rPr>
              <w:instrText xml:space="preserve"> PAGEREF _Toc521184200 \h </w:instrText>
            </w:r>
            <w:r>
              <w:rPr>
                <w:noProof/>
                <w:webHidden/>
              </w:rPr>
            </w:r>
            <w:r>
              <w:rPr>
                <w:noProof/>
                <w:webHidden/>
              </w:rPr>
              <w:fldChar w:fldCharType="separate"/>
            </w:r>
            <w:r w:rsidR="00710055">
              <w:rPr>
                <w:noProof/>
                <w:webHidden/>
              </w:rPr>
              <w:t>86</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01" w:history="1">
            <w:r w:rsidR="00710055" w:rsidRPr="00B2025E">
              <w:rPr>
                <w:rStyle w:val="Hyperlink"/>
                <w:noProof/>
              </w:rPr>
              <w:t>Results</w:t>
            </w:r>
            <w:r w:rsidR="00710055">
              <w:rPr>
                <w:noProof/>
                <w:webHidden/>
              </w:rPr>
              <w:tab/>
            </w:r>
            <w:r>
              <w:rPr>
                <w:noProof/>
                <w:webHidden/>
              </w:rPr>
              <w:fldChar w:fldCharType="begin"/>
            </w:r>
            <w:r w:rsidR="00710055">
              <w:rPr>
                <w:noProof/>
                <w:webHidden/>
              </w:rPr>
              <w:instrText xml:space="preserve"> PAGEREF _Toc521184201 \h </w:instrText>
            </w:r>
            <w:r>
              <w:rPr>
                <w:noProof/>
                <w:webHidden/>
              </w:rPr>
            </w:r>
            <w:r>
              <w:rPr>
                <w:noProof/>
                <w:webHidden/>
              </w:rPr>
              <w:fldChar w:fldCharType="separate"/>
            </w:r>
            <w:r w:rsidR="00710055">
              <w:rPr>
                <w:noProof/>
                <w:webHidden/>
              </w:rPr>
              <w:t>87</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02" w:history="1">
            <w:r w:rsidR="00710055" w:rsidRPr="00B2025E">
              <w:rPr>
                <w:rStyle w:val="Hyperlink"/>
                <w:noProof/>
              </w:rPr>
              <w:t>Discussion</w:t>
            </w:r>
            <w:r w:rsidR="00710055">
              <w:rPr>
                <w:noProof/>
                <w:webHidden/>
              </w:rPr>
              <w:tab/>
            </w:r>
            <w:r>
              <w:rPr>
                <w:noProof/>
                <w:webHidden/>
              </w:rPr>
              <w:fldChar w:fldCharType="begin"/>
            </w:r>
            <w:r w:rsidR="00710055">
              <w:rPr>
                <w:noProof/>
                <w:webHidden/>
              </w:rPr>
              <w:instrText xml:space="preserve"> PAGEREF _Toc521184202 \h </w:instrText>
            </w:r>
            <w:r>
              <w:rPr>
                <w:noProof/>
                <w:webHidden/>
              </w:rPr>
            </w:r>
            <w:r>
              <w:rPr>
                <w:noProof/>
                <w:webHidden/>
              </w:rPr>
              <w:fldChar w:fldCharType="separate"/>
            </w:r>
            <w:r w:rsidR="00710055">
              <w:rPr>
                <w:noProof/>
                <w:webHidden/>
              </w:rPr>
              <w:t>99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03" w:history="1">
            <w:r w:rsidR="00710055" w:rsidRPr="00B2025E">
              <w:rPr>
                <w:rStyle w:val="Hyperlink"/>
                <w:noProof/>
              </w:rPr>
              <w:t>Conclusion</w:t>
            </w:r>
            <w:r w:rsidR="00710055">
              <w:rPr>
                <w:noProof/>
                <w:webHidden/>
              </w:rPr>
              <w:tab/>
            </w:r>
            <w:r>
              <w:rPr>
                <w:noProof/>
                <w:webHidden/>
              </w:rPr>
              <w:fldChar w:fldCharType="begin"/>
            </w:r>
            <w:r w:rsidR="00710055">
              <w:rPr>
                <w:noProof/>
                <w:webHidden/>
              </w:rPr>
              <w:instrText xml:space="preserve"> PAGEREF _Toc521184203 \h </w:instrText>
            </w:r>
            <w:r>
              <w:rPr>
                <w:noProof/>
                <w:webHidden/>
              </w:rPr>
            </w:r>
            <w:r>
              <w:rPr>
                <w:noProof/>
                <w:webHidden/>
              </w:rPr>
              <w:fldChar w:fldCharType="separate"/>
            </w:r>
            <w:r w:rsidR="00710055">
              <w:rPr>
                <w:noProof/>
                <w:webHidden/>
              </w:rPr>
              <w:t>103</w:t>
            </w:r>
            <w:r>
              <w:rPr>
                <w:noProof/>
                <w:webHidden/>
              </w:rPr>
              <w:fldChar w:fldCharType="end"/>
            </w:r>
          </w:hyperlink>
        </w:p>
        <w:p w:rsidR="00710055" w:rsidRDefault="00EB1324">
          <w:pPr>
            <w:pStyle w:val="TOC1"/>
            <w:rPr>
              <w:b w:val="0"/>
              <w:noProof/>
              <w:sz w:val="24"/>
              <w:szCs w:val="24"/>
              <w:lang w:val="en-US" w:eastAsia="en-US"/>
            </w:rPr>
          </w:pPr>
          <w:hyperlink w:anchor="_Toc521184204" w:history="1">
            <w:r w:rsidR="00710055" w:rsidRPr="00B2025E">
              <w:rPr>
                <w:rStyle w:val="Hyperlink"/>
                <w:noProof/>
              </w:rPr>
              <w:t>CHAPTER  5  THE EVERYDAY PROBLEM TEST AND THE OBSERVED TASKS OF DAILY LIVING</w:t>
            </w:r>
            <w:r w:rsidR="00710055">
              <w:rPr>
                <w:noProof/>
                <w:webHidden/>
              </w:rPr>
              <w:tab/>
            </w:r>
            <w:r>
              <w:rPr>
                <w:noProof/>
                <w:webHidden/>
              </w:rPr>
              <w:fldChar w:fldCharType="begin"/>
            </w:r>
            <w:r w:rsidR="00710055">
              <w:rPr>
                <w:noProof/>
                <w:webHidden/>
              </w:rPr>
              <w:instrText xml:space="preserve"> PAGEREF _Toc521184204 \h </w:instrText>
            </w:r>
            <w:r>
              <w:rPr>
                <w:noProof/>
                <w:webHidden/>
              </w:rPr>
            </w:r>
            <w:r>
              <w:rPr>
                <w:noProof/>
                <w:webHidden/>
              </w:rPr>
              <w:fldChar w:fldCharType="separate"/>
            </w:r>
            <w:r w:rsidR="00710055">
              <w:rPr>
                <w:noProof/>
                <w:webHidden/>
              </w:rPr>
              <w:t>104</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05"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_Toc521184205 \h </w:instrText>
            </w:r>
            <w:r>
              <w:rPr>
                <w:noProof/>
                <w:webHidden/>
              </w:rPr>
            </w:r>
            <w:r>
              <w:rPr>
                <w:noProof/>
                <w:webHidden/>
              </w:rPr>
              <w:fldChar w:fldCharType="separate"/>
            </w:r>
            <w:r w:rsidR="00710055">
              <w:rPr>
                <w:noProof/>
                <w:webHidden/>
              </w:rPr>
              <w:t>104</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06" w:history="1">
            <w:r w:rsidR="00710055" w:rsidRPr="00B2025E">
              <w:rPr>
                <w:rStyle w:val="Hyperlink"/>
                <w:noProof/>
              </w:rPr>
              <w:t>Selection of everyday functioning tools</w:t>
            </w:r>
            <w:r w:rsidR="00710055">
              <w:rPr>
                <w:noProof/>
                <w:webHidden/>
              </w:rPr>
              <w:tab/>
            </w:r>
            <w:r>
              <w:rPr>
                <w:noProof/>
                <w:webHidden/>
              </w:rPr>
              <w:fldChar w:fldCharType="begin"/>
            </w:r>
            <w:r w:rsidR="00710055">
              <w:rPr>
                <w:noProof/>
                <w:webHidden/>
              </w:rPr>
              <w:instrText xml:space="preserve"> PAGEREF _Toc521184206 \h </w:instrText>
            </w:r>
            <w:r>
              <w:rPr>
                <w:noProof/>
                <w:webHidden/>
              </w:rPr>
            </w:r>
            <w:r>
              <w:rPr>
                <w:noProof/>
                <w:webHidden/>
              </w:rPr>
              <w:fldChar w:fldCharType="separate"/>
            </w:r>
            <w:r w:rsidR="00710055">
              <w:rPr>
                <w:noProof/>
                <w:webHidden/>
              </w:rPr>
              <w:t>105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07" w:history="1">
            <w:r w:rsidR="00710055" w:rsidRPr="00B2025E">
              <w:rPr>
                <w:rStyle w:val="Hyperlink"/>
                <w:noProof/>
              </w:rPr>
              <w:t>Cultural adaptation and translation of the OTDL-R and the EPT 28-items version</w:t>
            </w:r>
            <w:r w:rsidR="00710055">
              <w:rPr>
                <w:noProof/>
                <w:webHidden/>
              </w:rPr>
              <w:tab/>
            </w:r>
            <w:r>
              <w:rPr>
                <w:noProof/>
                <w:webHidden/>
              </w:rPr>
              <w:fldChar w:fldCharType="begin"/>
            </w:r>
            <w:r w:rsidR="00710055">
              <w:rPr>
                <w:noProof/>
                <w:webHidden/>
              </w:rPr>
              <w:instrText xml:space="preserve"> PAGEREF _Toc521184207 \h </w:instrText>
            </w:r>
            <w:r>
              <w:rPr>
                <w:noProof/>
                <w:webHidden/>
              </w:rPr>
            </w:r>
            <w:r>
              <w:rPr>
                <w:noProof/>
                <w:webHidden/>
              </w:rPr>
              <w:fldChar w:fldCharType="separate"/>
            </w:r>
            <w:r w:rsidR="00710055">
              <w:rPr>
                <w:noProof/>
                <w:webHidden/>
              </w:rPr>
              <w:t>107</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08" w:history="1">
            <w:r w:rsidR="00710055" w:rsidRPr="00B2025E">
              <w:rPr>
                <w:rStyle w:val="Hyperlink"/>
                <w:noProof/>
              </w:rPr>
              <w:t>Method</w:t>
            </w:r>
            <w:r w:rsidR="00710055">
              <w:rPr>
                <w:noProof/>
                <w:webHidden/>
              </w:rPr>
              <w:tab/>
            </w:r>
            <w:r>
              <w:rPr>
                <w:noProof/>
                <w:webHidden/>
              </w:rPr>
              <w:fldChar w:fldCharType="begin"/>
            </w:r>
            <w:r w:rsidR="00710055">
              <w:rPr>
                <w:noProof/>
                <w:webHidden/>
              </w:rPr>
              <w:instrText xml:space="preserve"> PAGEREF _Toc521184208 \h </w:instrText>
            </w:r>
            <w:r>
              <w:rPr>
                <w:noProof/>
                <w:webHidden/>
              </w:rPr>
            </w:r>
            <w:r>
              <w:rPr>
                <w:noProof/>
                <w:webHidden/>
              </w:rPr>
              <w:fldChar w:fldCharType="separate"/>
            </w:r>
            <w:r w:rsidR="00710055">
              <w:rPr>
                <w:noProof/>
                <w:webHidden/>
              </w:rPr>
              <w:t>109</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09" w:history="1">
            <w:r w:rsidR="00710055" w:rsidRPr="00B2025E">
              <w:rPr>
                <w:rStyle w:val="Hyperlink"/>
                <w:noProof/>
              </w:rPr>
              <w:t>Step1: Adaptation and translation of measures</w:t>
            </w:r>
            <w:r w:rsidR="00710055">
              <w:rPr>
                <w:noProof/>
                <w:webHidden/>
              </w:rPr>
              <w:tab/>
            </w:r>
            <w:r>
              <w:rPr>
                <w:noProof/>
                <w:webHidden/>
              </w:rPr>
              <w:fldChar w:fldCharType="begin"/>
            </w:r>
            <w:r w:rsidR="00710055">
              <w:rPr>
                <w:noProof/>
                <w:webHidden/>
              </w:rPr>
              <w:instrText xml:space="preserve"> PAGEREF _Toc521184209 \h </w:instrText>
            </w:r>
            <w:r>
              <w:rPr>
                <w:noProof/>
                <w:webHidden/>
              </w:rPr>
            </w:r>
            <w:r>
              <w:rPr>
                <w:noProof/>
                <w:webHidden/>
              </w:rPr>
              <w:fldChar w:fldCharType="separate"/>
            </w:r>
            <w:r w:rsidR="00710055">
              <w:rPr>
                <w:noProof/>
                <w:webHidden/>
              </w:rPr>
              <w:t>109</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10" w:history="1">
            <w:r w:rsidR="00710055" w:rsidRPr="00B2025E">
              <w:rPr>
                <w:rStyle w:val="Hyperlink"/>
                <w:noProof/>
              </w:rPr>
              <w:t>Step 2. Revision of the translated and adapted versions of the instruments – Adaptation of the draft instrument on the basis of the comments of reviewers</w:t>
            </w:r>
            <w:r w:rsidR="00710055">
              <w:rPr>
                <w:noProof/>
                <w:webHidden/>
              </w:rPr>
              <w:tab/>
            </w:r>
            <w:r>
              <w:rPr>
                <w:noProof/>
                <w:webHidden/>
              </w:rPr>
              <w:fldChar w:fldCharType="begin"/>
            </w:r>
            <w:r w:rsidR="00710055">
              <w:rPr>
                <w:noProof/>
                <w:webHidden/>
              </w:rPr>
              <w:instrText xml:space="preserve"> PAGEREF _Toc521184210 \h </w:instrText>
            </w:r>
            <w:r>
              <w:rPr>
                <w:noProof/>
                <w:webHidden/>
              </w:rPr>
            </w:r>
            <w:r>
              <w:rPr>
                <w:noProof/>
                <w:webHidden/>
              </w:rPr>
              <w:fldChar w:fldCharType="separate"/>
            </w:r>
            <w:r w:rsidR="00710055">
              <w:rPr>
                <w:noProof/>
                <w:webHidden/>
              </w:rPr>
              <w:t>110</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11" w:history="1">
            <w:r w:rsidR="00710055" w:rsidRPr="00B2025E">
              <w:rPr>
                <w:rStyle w:val="Hyperlink"/>
                <w:noProof/>
              </w:rPr>
              <w:t>Step 3. Pilot testing of the instruments</w:t>
            </w:r>
            <w:r w:rsidR="00710055">
              <w:rPr>
                <w:noProof/>
                <w:webHidden/>
              </w:rPr>
              <w:tab/>
            </w:r>
            <w:r>
              <w:rPr>
                <w:noProof/>
                <w:webHidden/>
              </w:rPr>
              <w:fldChar w:fldCharType="begin"/>
            </w:r>
            <w:r w:rsidR="00710055">
              <w:rPr>
                <w:noProof/>
                <w:webHidden/>
              </w:rPr>
              <w:instrText xml:space="preserve"> PAGEREF _Toc521184211 \h </w:instrText>
            </w:r>
            <w:r>
              <w:rPr>
                <w:noProof/>
                <w:webHidden/>
              </w:rPr>
            </w:r>
            <w:r>
              <w:rPr>
                <w:noProof/>
                <w:webHidden/>
              </w:rPr>
              <w:fldChar w:fldCharType="separate"/>
            </w:r>
            <w:r w:rsidR="00710055">
              <w:rPr>
                <w:noProof/>
                <w:webHidden/>
              </w:rPr>
              <w:t>111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12" w:history="1">
            <w:r w:rsidR="00710055" w:rsidRPr="00B2025E">
              <w:rPr>
                <w:rStyle w:val="Hyperlink"/>
                <w:noProof/>
              </w:rPr>
              <w:t>Step 5. Validation process</w:t>
            </w:r>
            <w:r w:rsidR="00710055">
              <w:rPr>
                <w:noProof/>
                <w:webHidden/>
              </w:rPr>
              <w:tab/>
            </w:r>
            <w:r>
              <w:rPr>
                <w:noProof/>
                <w:webHidden/>
              </w:rPr>
              <w:fldChar w:fldCharType="begin"/>
            </w:r>
            <w:r w:rsidR="00710055">
              <w:rPr>
                <w:noProof/>
                <w:webHidden/>
              </w:rPr>
              <w:instrText xml:space="preserve"> PAGEREF _Toc521184212 \h </w:instrText>
            </w:r>
            <w:r>
              <w:rPr>
                <w:noProof/>
                <w:webHidden/>
              </w:rPr>
            </w:r>
            <w:r>
              <w:rPr>
                <w:noProof/>
                <w:webHidden/>
              </w:rPr>
              <w:fldChar w:fldCharType="separate"/>
            </w:r>
            <w:r w:rsidR="00710055">
              <w:rPr>
                <w:noProof/>
                <w:webHidden/>
              </w:rPr>
              <w:t>112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13" w:history="1">
            <w:r w:rsidR="00710055" w:rsidRPr="00B2025E">
              <w:rPr>
                <w:rStyle w:val="Hyperlink"/>
                <w:noProof/>
              </w:rPr>
              <w:t>Step 6. Developing a manual and other document for the users of the assessment devices</w:t>
            </w:r>
            <w:r w:rsidR="00710055">
              <w:rPr>
                <w:noProof/>
                <w:webHidden/>
              </w:rPr>
              <w:tab/>
            </w:r>
            <w:r>
              <w:rPr>
                <w:noProof/>
                <w:webHidden/>
              </w:rPr>
              <w:fldChar w:fldCharType="begin"/>
            </w:r>
            <w:r w:rsidR="00710055">
              <w:rPr>
                <w:noProof/>
                <w:webHidden/>
              </w:rPr>
              <w:instrText xml:space="preserve"> PAGEREF _Toc521184213 \h </w:instrText>
            </w:r>
            <w:r>
              <w:rPr>
                <w:noProof/>
                <w:webHidden/>
              </w:rPr>
            </w:r>
            <w:r>
              <w:rPr>
                <w:noProof/>
                <w:webHidden/>
              </w:rPr>
              <w:fldChar w:fldCharType="separate"/>
            </w:r>
            <w:r w:rsidR="00710055">
              <w:rPr>
                <w:noProof/>
                <w:webHidden/>
              </w:rPr>
              <w:t>113</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14" w:history="1">
            <w:r w:rsidR="00710055" w:rsidRPr="00B2025E">
              <w:rPr>
                <w:rStyle w:val="Hyperlink"/>
                <w:noProof/>
              </w:rPr>
              <w:t>Step 7. Train users – Collect reactions from users</w:t>
            </w:r>
            <w:r w:rsidR="00710055">
              <w:rPr>
                <w:noProof/>
                <w:webHidden/>
              </w:rPr>
              <w:tab/>
            </w:r>
            <w:r>
              <w:rPr>
                <w:noProof/>
                <w:webHidden/>
              </w:rPr>
              <w:fldChar w:fldCharType="begin"/>
            </w:r>
            <w:r w:rsidR="00710055">
              <w:rPr>
                <w:noProof/>
                <w:webHidden/>
              </w:rPr>
              <w:instrText xml:space="preserve"> PAGEREF _Toc521184214 \h </w:instrText>
            </w:r>
            <w:r>
              <w:rPr>
                <w:noProof/>
                <w:webHidden/>
              </w:rPr>
            </w:r>
            <w:r>
              <w:rPr>
                <w:noProof/>
                <w:webHidden/>
              </w:rPr>
              <w:fldChar w:fldCharType="separate"/>
            </w:r>
            <w:r w:rsidR="00710055">
              <w:rPr>
                <w:noProof/>
                <w:webHidden/>
              </w:rPr>
              <w:t>113</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15" w:history="1">
            <w:r w:rsidR="00710055" w:rsidRPr="00B2025E">
              <w:rPr>
                <w:rStyle w:val="Hyperlink"/>
                <w:noProof/>
              </w:rPr>
              <w:t>Results</w:t>
            </w:r>
            <w:r w:rsidR="00710055">
              <w:rPr>
                <w:noProof/>
                <w:webHidden/>
              </w:rPr>
              <w:tab/>
            </w:r>
            <w:r>
              <w:rPr>
                <w:noProof/>
                <w:webHidden/>
              </w:rPr>
              <w:fldChar w:fldCharType="begin"/>
            </w:r>
            <w:r w:rsidR="00710055">
              <w:rPr>
                <w:noProof/>
                <w:webHidden/>
              </w:rPr>
              <w:instrText xml:space="preserve"> PAGEREF _Toc521184215 \h </w:instrText>
            </w:r>
            <w:r>
              <w:rPr>
                <w:noProof/>
                <w:webHidden/>
              </w:rPr>
            </w:r>
            <w:r>
              <w:rPr>
                <w:noProof/>
                <w:webHidden/>
              </w:rPr>
              <w:fldChar w:fldCharType="separate"/>
            </w:r>
            <w:r w:rsidR="00710055">
              <w:rPr>
                <w:noProof/>
                <w:webHidden/>
              </w:rPr>
              <w:t>114</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16" w:history="1">
            <w:r w:rsidR="00710055" w:rsidRPr="00B2025E">
              <w:rPr>
                <w:rStyle w:val="Hyperlink"/>
                <w:noProof/>
              </w:rPr>
              <w:t>Discussion</w:t>
            </w:r>
            <w:r w:rsidR="00710055">
              <w:rPr>
                <w:noProof/>
                <w:webHidden/>
              </w:rPr>
              <w:tab/>
            </w:r>
            <w:r>
              <w:rPr>
                <w:noProof/>
                <w:webHidden/>
              </w:rPr>
              <w:fldChar w:fldCharType="begin"/>
            </w:r>
            <w:r w:rsidR="00710055">
              <w:rPr>
                <w:noProof/>
                <w:webHidden/>
              </w:rPr>
              <w:instrText xml:space="preserve"> PAGEREF _Toc521184216 \h </w:instrText>
            </w:r>
            <w:r>
              <w:rPr>
                <w:noProof/>
                <w:webHidden/>
              </w:rPr>
            </w:r>
            <w:r>
              <w:rPr>
                <w:noProof/>
                <w:webHidden/>
              </w:rPr>
              <w:fldChar w:fldCharType="separate"/>
            </w:r>
            <w:r w:rsidR="00710055">
              <w:rPr>
                <w:noProof/>
                <w:webHidden/>
              </w:rPr>
              <w:t>118</w:t>
            </w:r>
            <w:r>
              <w:rPr>
                <w:noProof/>
                <w:webHidden/>
              </w:rPr>
              <w:fldChar w:fldCharType="end"/>
            </w:r>
          </w:hyperlink>
        </w:p>
        <w:p w:rsidR="00710055" w:rsidRDefault="00EB1324">
          <w:pPr>
            <w:pStyle w:val="TOC1"/>
            <w:rPr>
              <w:b w:val="0"/>
              <w:noProof/>
              <w:sz w:val="24"/>
              <w:szCs w:val="24"/>
              <w:lang w:val="en-US" w:eastAsia="en-US"/>
            </w:rPr>
          </w:pPr>
          <w:hyperlink w:anchor="_Toc521184217" w:history="1">
            <w:r w:rsidR="00710055" w:rsidRPr="00B2025E">
              <w:rPr>
                <w:rStyle w:val="Hyperlink"/>
                <w:noProof/>
              </w:rPr>
              <w:t>CHAPTER  6  METHODOLOGY</w:t>
            </w:r>
            <w:r w:rsidR="00710055">
              <w:rPr>
                <w:noProof/>
                <w:webHidden/>
              </w:rPr>
              <w:tab/>
            </w:r>
            <w:r>
              <w:rPr>
                <w:noProof/>
                <w:webHidden/>
              </w:rPr>
              <w:fldChar w:fldCharType="begin"/>
            </w:r>
            <w:r w:rsidR="00710055">
              <w:rPr>
                <w:noProof/>
                <w:webHidden/>
              </w:rPr>
              <w:instrText xml:space="preserve"> PAGEREF _Toc521184217 \h </w:instrText>
            </w:r>
            <w:r>
              <w:rPr>
                <w:noProof/>
                <w:webHidden/>
              </w:rPr>
            </w:r>
            <w:r>
              <w:rPr>
                <w:noProof/>
                <w:webHidden/>
              </w:rPr>
              <w:fldChar w:fldCharType="separate"/>
            </w:r>
            <w:r w:rsidR="00710055">
              <w:rPr>
                <w:noProof/>
                <w:webHidden/>
              </w:rPr>
              <w:t>121</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18"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_Toc521184218 \h </w:instrText>
            </w:r>
            <w:r>
              <w:rPr>
                <w:noProof/>
                <w:webHidden/>
              </w:rPr>
            </w:r>
            <w:r>
              <w:rPr>
                <w:noProof/>
                <w:webHidden/>
              </w:rPr>
              <w:fldChar w:fldCharType="separate"/>
            </w:r>
            <w:r w:rsidR="00710055">
              <w:rPr>
                <w:noProof/>
                <w:webHidden/>
              </w:rPr>
              <w:t>121</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19" w:history="1">
            <w:r w:rsidR="00710055" w:rsidRPr="00B2025E">
              <w:rPr>
                <w:rStyle w:val="Hyperlink"/>
                <w:noProof/>
              </w:rPr>
              <w:t>Proposed Examination and Analysis</w:t>
            </w:r>
            <w:r w:rsidR="00710055">
              <w:rPr>
                <w:noProof/>
                <w:webHidden/>
              </w:rPr>
              <w:tab/>
            </w:r>
            <w:r>
              <w:rPr>
                <w:noProof/>
                <w:webHidden/>
              </w:rPr>
              <w:fldChar w:fldCharType="begin"/>
            </w:r>
            <w:r w:rsidR="00710055">
              <w:rPr>
                <w:noProof/>
                <w:webHidden/>
              </w:rPr>
              <w:instrText xml:space="preserve"> PAGEREF _Toc521184219 \h </w:instrText>
            </w:r>
            <w:r>
              <w:rPr>
                <w:noProof/>
                <w:webHidden/>
              </w:rPr>
            </w:r>
            <w:r>
              <w:rPr>
                <w:noProof/>
                <w:webHidden/>
              </w:rPr>
              <w:fldChar w:fldCharType="separate"/>
            </w:r>
            <w:r w:rsidR="00710055">
              <w:rPr>
                <w:noProof/>
                <w:webHidden/>
              </w:rPr>
              <w:t>123</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20" w:history="1">
            <w:r w:rsidR="00710055" w:rsidRPr="00B2025E">
              <w:rPr>
                <w:rStyle w:val="Hyperlink"/>
                <w:noProof/>
              </w:rPr>
              <w:t>Analysis 1 Validation of the OTDL-G and EPT-G</w:t>
            </w:r>
            <w:r w:rsidR="00710055">
              <w:rPr>
                <w:noProof/>
                <w:webHidden/>
              </w:rPr>
              <w:tab/>
            </w:r>
            <w:r>
              <w:rPr>
                <w:noProof/>
                <w:webHidden/>
              </w:rPr>
              <w:fldChar w:fldCharType="begin"/>
            </w:r>
            <w:r w:rsidR="00710055">
              <w:rPr>
                <w:noProof/>
                <w:webHidden/>
              </w:rPr>
              <w:instrText xml:space="preserve"> PAGEREF _Toc521184220 \h </w:instrText>
            </w:r>
            <w:r>
              <w:rPr>
                <w:noProof/>
                <w:webHidden/>
              </w:rPr>
            </w:r>
            <w:r>
              <w:rPr>
                <w:noProof/>
                <w:webHidden/>
              </w:rPr>
              <w:fldChar w:fldCharType="separate"/>
            </w:r>
            <w:r w:rsidR="00710055">
              <w:rPr>
                <w:noProof/>
                <w:webHidden/>
              </w:rPr>
              <w:t>124</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21" w:history="1">
            <w:r w:rsidR="00710055" w:rsidRPr="00B2025E">
              <w:rPr>
                <w:rStyle w:val="Hyperlink"/>
                <w:noProof/>
              </w:rPr>
              <w:t>Analysis 2 The Relation Between Cognitive Performance and Everyday Functioning</w:t>
            </w:r>
            <w:r w:rsidR="00710055">
              <w:rPr>
                <w:noProof/>
                <w:webHidden/>
              </w:rPr>
              <w:tab/>
            </w:r>
            <w:r>
              <w:rPr>
                <w:noProof/>
                <w:webHidden/>
              </w:rPr>
              <w:fldChar w:fldCharType="begin"/>
            </w:r>
            <w:r w:rsidR="00710055">
              <w:rPr>
                <w:noProof/>
                <w:webHidden/>
              </w:rPr>
              <w:instrText xml:space="preserve"> PAGEREF _Toc521184221 \h </w:instrText>
            </w:r>
            <w:r>
              <w:rPr>
                <w:noProof/>
                <w:webHidden/>
              </w:rPr>
            </w:r>
            <w:r>
              <w:rPr>
                <w:noProof/>
                <w:webHidden/>
              </w:rPr>
              <w:fldChar w:fldCharType="separate"/>
            </w:r>
            <w:r w:rsidR="00710055">
              <w:rPr>
                <w:noProof/>
                <w:webHidden/>
              </w:rPr>
              <w:t>125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22" w:history="1">
            <w:r w:rsidR="00710055" w:rsidRPr="00B2025E">
              <w:rPr>
                <w:rStyle w:val="Hyperlink"/>
                <w:noProof/>
              </w:rPr>
              <w:t>Analysis 3 Social participation, Exercise, Internet use, SES, and Cognitive Performance</w:t>
            </w:r>
            <w:r w:rsidR="00710055">
              <w:rPr>
                <w:noProof/>
                <w:webHidden/>
              </w:rPr>
              <w:tab/>
            </w:r>
            <w:r>
              <w:rPr>
                <w:noProof/>
                <w:webHidden/>
              </w:rPr>
              <w:fldChar w:fldCharType="begin"/>
            </w:r>
            <w:r w:rsidR="00710055">
              <w:rPr>
                <w:noProof/>
                <w:webHidden/>
              </w:rPr>
              <w:instrText xml:space="preserve"> PAGEREF _Toc521184222 \h </w:instrText>
            </w:r>
            <w:r>
              <w:rPr>
                <w:noProof/>
                <w:webHidden/>
              </w:rPr>
            </w:r>
            <w:r>
              <w:rPr>
                <w:noProof/>
                <w:webHidden/>
              </w:rPr>
              <w:fldChar w:fldCharType="separate"/>
            </w:r>
            <w:r w:rsidR="00710055">
              <w:rPr>
                <w:noProof/>
                <w:webHidden/>
              </w:rPr>
              <w:t>127</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23" w:history="1">
            <w:r w:rsidR="00710055" w:rsidRPr="00B2025E">
              <w:rPr>
                <w:rStyle w:val="Hyperlink"/>
                <w:noProof/>
              </w:rPr>
              <w:t>Analysis 4 Social Factors that Influence Older Adults’ Social Participation, Exercise, and   Internet use</w:t>
            </w:r>
            <w:r w:rsidR="00710055">
              <w:rPr>
                <w:noProof/>
                <w:webHidden/>
              </w:rPr>
              <w:tab/>
            </w:r>
            <w:r>
              <w:rPr>
                <w:noProof/>
                <w:webHidden/>
              </w:rPr>
              <w:fldChar w:fldCharType="begin"/>
            </w:r>
            <w:r w:rsidR="00710055">
              <w:rPr>
                <w:noProof/>
                <w:webHidden/>
              </w:rPr>
              <w:instrText xml:space="preserve"> PAGEREF _Toc521184223 \h </w:instrText>
            </w:r>
            <w:r>
              <w:rPr>
                <w:noProof/>
                <w:webHidden/>
              </w:rPr>
            </w:r>
            <w:r>
              <w:rPr>
                <w:noProof/>
                <w:webHidden/>
              </w:rPr>
              <w:fldChar w:fldCharType="separate"/>
            </w:r>
            <w:r w:rsidR="00710055">
              <w:rPr>
                <w:noProof/>
                <w:webHidden/>
              </w:rPr>
              <w:t>128</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24" w:history="1">
            <w:r w:rsidR="00710055" w:rsidRPr="00B2025E">
              <w:rPr>
                <w:rStyle w:val="Hyperlink"/>
                <w:noProof/>
              </w:rPr>
              <w:t>Analysis 5 Examining the Mediation Effects of Cognitive Performance</w:t>
            </w:r>
            <w:r w:rsidR="00710055">
              <w:rPr>
                <w:noProof/>
                <w:webHidden/>
              </w:rPr>
              <w:tab/>
            </w:r>
            <w:r>
              <w:rPr>
                <w:noProof/>
                <w:webHidden/>
              </w:rPr>
              <w:fldChar w:fldCharType="begin"/>
            </w:r>
            <w:r w:rsidR="00710055">
              <w:rPr>
                <w:noProof/>
                <w:webHidden/>
              </w:rPr>
              <w:instrText xml:space="preserve"> PAGEREF _Toc521184224 \h </w:instrText>
            </w:r>
            <w:r>
              <w:rPr>
                <w:noProof/>
                <w:webHidden/>
              </w:rPr>
            </w:r>
            <w:r>
              <w:rPr>
                <w:noProof/>
                <w:webHidden/>
              </w:rPr>
              <w:fldChar w:fldCharType="separate"/>
            </w:r>
            <w:r w:rsidR="00710055">
              <w:rPr>
                <w:noProof/>
                <w:webHidden/>
              </w:rPr>
              <w:t>129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25" w:history="1">
            <w:r w:rsidR="00710055" w:rsidRPr="00B2025E">
              <w:rPr>
                <w:rStyle w:val="Hyperlink"/>
                <w:noProof/>
              </w:rPr>
              <w:t>Required Sample Size</w:t>
            </w:r>
            <w:r w:rsidR="00710055">
              <w:rPr>
                <w:noProof/>
                <w:webHidden/>
              </w:rPr>
              <w:tab/>
            </w:r>
            <w:r>
              <w:rPr>
                <w:noProof/>
                <w:webHidden/>
              </w:rPr>
              <w:fldChar w:fldCharType="begin"/>
            </w:r>
            <w:r w:rsidR="00710055">
              <w:rPr>
                <w:noProof/>
                <w:webHidden/>
              </w:rPr>
              <w:instrText xml:space="preserve"> PAGEREF _Toc521184225 \h </w:instrText>
            </w:r>
            <w:r>
              <w:rPr>
                <w:noProof/>
                <w:webHidden/>
              </w:rPr>
            </w:r>
            <w:r>
              <w:rPr>
                <w:noProof/>
                <w:webHidden/>
              </w:rPr>
              <w:fldChar w:fldCharType="separate"/>
            </w:r>
            <w:r w:rsidR="00710055">
              <w:rPr>
                <w:noProof/>
                <w:webHidden/>
              </w:rPr>
              <w:t>129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26" w:history="1">
            <w:r w:rsidR="00710055" w:rsidRPr="00B2025E">
              <w:rPr>
                <w:rStyle w:val="Hyperlink"/>
                <w:rFonts w:eastAsia="Calibri" w:cs="Times New Roman"/>
                <w:noProof/>
              </w:rPr>
              <w:t>Note: Adapted From Knofczynski And Mundfrom (2017)</w:t>
            </w:r>
            <w:r w:rsidR="00710055">
              <w:rPr>
                <w:noProof/>
                <w:webHidden/>
              </w:rPr>
              <w:tab/>
            </w:r>
            <w:r>
              <w:rPr>
                <w:noProof/>
                <w:webHidden/>
              </w:rPr>
              <w:fldChar w:fldCharType="begin"/>
            </w:r>
            <w:r w:rsidR="00710055">
              <w:rPr>
                <w:noProof/>
                <w:webHidden/>
              </w:rPr>
              <w:instrText xml:space="preserve"> PAGEREF _Toc521184226 \h </w:instrText>
            </w:r>
            <w:r>
              <w:rPr>
                <w:noProof/>
                <w:webHidden/>
              </w:rPr>
            </w:r>
            <w:r>
              <w:rPr>
                <w:noProof/>
                <w:webHidden/>
              </w:rPr>
              <w:fldChar w:fldCharType="separate"/>
            </w:r>
            <w:r w:rsidR="00710055">
              <w:rPr>
                <w:noProof/>
                <w:webHidden/>
              </w:rPr>
              <w:t>132</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27" w:history="1">
            <w:r w:rsidR="00710055" w:rsidRPr="00B2025E">
              <w:rPr>
                <w:rStyle w:val="Hyperlink"/>
                <w:noProof/>
              </w:rPr>
              <w:t>Participants</w:t>
            </w:r>
            <w:r w:rsidR="00710055">
              <w:rPr>
                <w:noProof/>
                <w:webHidden/>
              </w:rPr>
              <w:tab/>
            </w:r>
            <w:r>
              <w:rPr>
                <w:noProof/>
                <w:webHidden/>
              </w:rPr>
              <w:fldChar w:fldCharType="begin"/>
            </w:r>
            <w:r w:rsidR="00710055">
              <w:rPr>
                <w:noProof/>
                <w:webHidden/>
              </w:rPr>
              <w:instrText xml:space="preserve"> PAGEREF _Toc521184227 \h </w:instrText>
            </w:r>
            <w:r>
              <w:rPr>
                <w:noProof/>
                <w:webHidden/>
              </w:rPr>
            </w:r>
            <w:r>
              <w:rPr>
                <w:noProof/>
                <w:webHidden/>
              </w:rPr>
              <w:fldChar w:fldCharType="separate"/>
            </w:r>
            <w:r w:rsidR="00710055">
              <w:rPr>
                <w:noProof/>
                <w:webHidden/>
              </w:rPr>
              <w:t>132</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28" w:history="1">
            <w:r w:rsidR="00710055" w:rsidRPr="00B2025E">
              <w:rPr>
                <w:rStyle w:val="Hyperlink"/>
                <w:noProof/>
              </w:rPr>
              <w:t>Instruments</w:t>
            </w:r>
            <w:r w:rsidR="00710055">
              <w:rPr>
                <w:noProof/>
                <w:webHidden/>
              </w:rPr>
              <w:tab/>
            </w:r>
            <w:r>
              <w:rPr>
                <w:noProof/>
                <w:webHidden/>
              </w:rPr>
              <w:fldChar w:fldCharType="begin"/>
            </w:r>
            <w:r w:rsidR="00710055">
              <w:rPr>
                <w:noProof/>
                <w:webHidden/>
              </w:rPr>
              <w:instrText xml:space="preserve"> PAGEREF _Toc521184228 \h </w:instrText>
            </w:r>
            <w:r>
              <w:rPr>
                <w:noProof/>
                <w:webHidden/>
              </w:rPr>
            </w:r>
            <w:r>
              <w:rPr>
                <w:noProof/>
                <w:webHidden/>
              </w:rPr>
              <w:fldChar w:fldCharType="separate"/>
            </w:r>
            <w:r w:rsidR="00710055">
              <w:rPr>
                <w:noProof/>
                <w:webHidden/>
              </w:rPr>
              <w:t>134</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29" w:history="1">
            <w:r w:rsidR="00710055" w:rsidRPr="00B2025E">
              <w:rPr>
                <w:rStyle w:val="Hyperlink"/>
                <w:noProof/>
              </w:rPr>
              <w:t>Everyday Problem Test – Greek version.</w:t>
            </w:r>
            <w:r w:rsidR="00710055">
              <w:rPr>
                <w:noProof/>
                <w:webHidden/>
              </w:rPr>
              <w:tab/>
            </w:r>
            <w:r>
              <w:rPr>
                <w:noProof/>
                <w:webHidden/>
              </w:rPr>
              <w:fldChar w:fldCharType="begin"/>
            </w:r>
            <w:r w:rsidR="00710055">
              <w:rPr>
                <w:noProof/>
                <w:webHidden/>
              </w:rPr>
              <w:instrText xml:space="preserve"> PAGEREF _Toc521184229 \h </w:instrText>
            </w:r>
            <w:r>
              <w:rPr>
                <w:noProof/>
                <w:webHidden/>
              </w:rPr>
            </w:r>
            <w:r>
              <w:rPr>
                <w:noProof/>
                <w:webHidden/>
              </w:rPr>
              <w:fldChar w:fldCharType="separate"/>
            </w:r>
            <w:r w:rsidR="00710055">
              <w:rPr>
                <w:noProof/>
                <w:webHidden/>
              </w:rPr>
              <w:t>134</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0" w:history="1">
            <w:r w:rsidR="00710055" w:rsidRPr="00B2025E">
              <w:rPr>
                <w:rStyle w:val="Hyperlink"/>
                <w:noProof/>
              </w:rPr>
              <w:t>Mini Mental State Examination (MMSE).</w:t>
            </w:r>
            <w:r w:rsidR="00710055">
              <w:rPr>
                <w:noProof/>
                <w:webHidden/>
              </w:rPr>
              <w:tab/>
            </w:r>
            <w:r>
              <w:rPr>
                <w:noProof/>
                <w:webHidden/>
              </w:rPr>
              <w:fldChar w:fldCharType="begin"/>
            </w:r>
            <w:r w:rsidR="00710055">
              <w:rPr>
                <w:noProof/>
                <w:webHidden/>
              </w:rPr>
              <w:instrText xml:space="preserve"> PAGEREF _Toc521184230 \h </w:instrText>
            </w:r>
            <w:r>
              <w:rPr>
                <w:noProof/>
                <w:webHidden/>
              </w:rPr>
            </w:r>
            <w:r>
              <w:rPr>
                <w:noProof/>
                <w:webHidden/>
              </w:rPr>
              <w:fldChar w:fldCharType="separate"/>
            </w:r>
            <w:r w:rsidR="00710055">
              <w:rPr>
                <w:noProof/>
                <w:webHidden/>
              </w:rPr>
              <w:t>134</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1" w:history="1">
            <w:r w:rsidR="00710055" w:rsidRPr="00B2025E">
              <w:rPr>
                <w:rStyle w:val="Hyperlink"/>
                <w:noProof/>
              </w:rPr>
              <w:t>Montreal Cognitive Assessment (MoCA).</w:t>
            </w:r>
            <w:r w:rsidR="00710055">
              <w:rPr>
                <w:noProof/>
                <w:webHidden/>
              </w:rPr>
              <w:tab/>
            </w:r>
            <w:r>
              <w:rPr>
                <w:noProof/>
                <w:webHidden/>
              </w:rPr>
              <w:fldChar w:fldCharType="begin"/>
            </w:r>
            <w:r w:rsidR="00710055">
              <w:rPr>
                <w:noProof/>
                <w:webHidden/>
              </w:rPr>
              <w:instrText xml:space="preserve"> PAGEREF _Toc521184231 \h </w:instrText>
            </w:r>
            <w:r>
              <w:rPr>
                <w:noProof/>
                <w:webHidden/>
              </w:rPr>
            </w:r>
            <w:r>
              <w:rPr>
                <w:noProof/>
                <w:webHidden/>
              </w:rPr>
              <w:fldChar w:fldCharType="separate"/>
            </w:r>
            <w:r w:rsidR="00710055">
              <w:rPr>
                <w:noProof/>
                <w:webHidden/>
              </w:rPr>
              <w:t>134</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2" w:history="1">
            <w:r w:rsidR="00710055" w:rsidRPr="00B2025E">
              <w:rPr>
                <w:rStyle w:val="Hyperlink"/>
                <w:noProof/>
              </w:rPr>
              <w:t>Verbal Fluency.</w:t>
            </w:r>
            <w:r w:rsidR="00710055">
              <w:rPr>
                <w:noProof/>
                <w:webHidden/>
              </w:rPr>
              <w:tab/>
            </w:r>
            <w:r>
              <w:rPr>
                <w:noProof/>
                <w:webHidden/>
              </w:rPr>
              <w:fldChar w:fldCharType="begin"/>
            </w:r>
            <w:r w:rsidR="00710055">
              <w:rPr>
                <w:noProof/>
                <w:webHidden/>
              </w:rPr>
              <w:instrText xml:space="preserve"> PAGEREF _Toc521184232 \h </w:instrText>
            </w:r>
            <w:r>
              <w:rPr>
                <w:noProof/>
                <w:webHidden/>
              </w:rPr>
            </w:r>
            <w:r>
              <w:rPr>
                <w:noProof/>
                <w:webHidden/>
              </w:rPr>
              <w:fldChar w:fldCharType="separate"/>
            </w:r>
            <w:r w:rsidR="00710055">
              <w:rPr>
                <w:noProof/>
                <w:webHidden/>
              </w:rPr>
              <w:t>135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3" w:history="1">
            <w:r w:rsidR="00710055" w:rsidRPr="00B2025E">
              <w:rPr>
                <w:rStyle w:val="Hyperlink"/>
                <w:noProof/>
              </w:rPr>
              <w:t>Trail Making Test Part A and B.</w:t>
            </w:r>
            <w:r w:rsidR="00710055">
              <w:rPr>
                <w:noProof/>
                <w:webHidden/>
              </w:rPr>
              <w:tab/>
            </w:r>
            <w:r>
              <w:rPr>
                <w:noProof/>
                <w:webHidden/>
              </w:rPr>
              <w:fldChar w:fldCharType="begin"/>
            </w:r>
            <w:r w:rsidR="00710055">
              <w:rPr>
                <w:noProof/>
                <w:webHidden/>
              </w:rPr>
              <w:instrText xml:space="preserve"> PAGEREF _Toc521184233 \h </w:instrText>
            </w:r>
            <w:r>
              <w:rPr>
                <w:noProof/>
                <w:webHidden/>
              </w:rPr>
            </w:r>
            <w:r>
              <w:rPr>
                <w:noProof/>
                <w:webHidden/>
              </w:rPr>
              <w:fldChar w:fldCharType="separate"/>
            </w:r>
            <w:r w:rsidR="00710055">
              <w:rPr>
                <w:noProof/>
                <w:webHidden/>
              </w:rPr>
              <w:t>135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4" w:history="1">
            <w:r w:rsidR="00710055" w:rsidRPr="00B2025E">
              <w:rPr>
                <w:rStyle w:val="Hyperlink"/>
                <w:noProof/>
              </w:rPr>
              <w:t>California Verbal Learning Test</w:t>
            </w:r>
            <w:r w:rsidR="00710055">
              <w:rPr>
                <w:noProof/>
                <w:webHidden/>
              </w:rPr>
              <w:tab/>
            </w:r>
            <w:r>
              <w:rPr>
                <w:noProof/>
                <w:webHidden/>
              </w:rPr>
              <w:fldChar w:fldCharType="begin"/>
            </w:r>
            <w:r w:rsidR="00710055">
              <w:rPr>
                <w:noProof/>
                <w:webHidden/>
              </w:rPr>
              <w:instrText xml:space="preserve"> PAGEREF _Toc521184234 \h </w:instrText>
            </w:r>
            <w:r>
              <w:rPr>
                <w:noProof/>
                <w:webHidden/>
              </w:rPr>
            </w:r>
            <w:r>
              <w:rPr>
                <w:noProof/>
                <w:webHidden/>
              </w:rPr>
              <w:fldChar w:fldCharType="separate"/>
            </w:r>
            <w:r w:rsidR="00710055">
              <w:rPr>
                <w:noProof/>
                <w:webHidden/>
              </w:rPr>
              <w:t>135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5" w:history="1">
            <w:r w:rsidR="00710055" w:rsidRPr="00B2025E">
              <w:rPr>
                <w:rStyle w:val="Hyperlink"/>
                <w:noProof/>
              </w:rPr>
              <w:t>Perceived Health.</w:t>
            </w:r>
            <w:r w:rsidR="00710055">
              <w:rPr>
                <w:noProof/>
                <w:webHidden/>
              </w:rPr>
              <w:tab/>
            </w:r>
            <w:r>
              <w:rPr>
                <w:noProof/>
                <w:webHidden/>
              </w:rPr>
              <w:fldChar w:fldCharType="begin"/>
            </w:r>
            <w:r w:rsidR="00710055">
              <w:rPr>
                <w:noProof/>
                <w:webHidden/>
              </w:rPr>
              <w:instrText xml:space="preserve"> PAGEREF _Toc521184235 \h </w:instrText>
            </w:r>
            <w:r>
              <w:rPr>
                <w:noProof/>
                <w:webHidden/>
              </w:rPr>
            </w:r>
            <w:r>
              <w:rPr>
                <w:noProof/>
                <w:webHidden/>
              </w:rPr>
              <w:fldChar w:fldCharType="separate"/>
            </w:r>
            <w:r w:rsidR="00710055">
              <w:rPr>
                <w:noProof/>
                <w:webHidden/>
              </w:rPr>
              <w:t>136</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6" w:history="1">
            <w:r w:rsidR="00710055" w:rsidRPr="00B2025E">
              <w:rPr>
                <w:rStyle w:val="Hyperlink"/>
                <w:noProof/>
              </w:rPr>
              <w:t>Loneliness:</w:t>
            </w:r>
            <w:r w:rsidR="00710055">
              <w:rPr>
                <w:noProof/>
                <w:webHidden/>
              </w:rPr>
              <w:tab/>
            </w:r>
            <w:r>
              <w:rPr>
                <w:noProof/>
                <w:webHidden/>
              </w:rPr>
              <w:fldChar w:fldCharType="begin"/>
            </w:r>
            <w:r w:rsidR="00710055">
              <w:rPr>
                <w:noProof/>
                <w:webHidden/>
              </w:rPr>
              <w:instrText xml:space="preserve"> PAGEREF _Toc521184236 \h </w:instrText>
            </w:r>
            <w:r>
              <w:rPr>
                <w:noProof/>
                <w:webHidden/>
              </w:rPr>
            </w:r>
            <w:r>
              <w:rPr>
                <w:noProof/>
                <w:webHidden/>
              </w:rPr>
              <w:fldChar w:fldCharType="separate"/>
            </w:r>
            <w:r w:rsidR="00710055">
              <w:rPr>
                <w:noProof/>
                <w:webHidden/>
              </w:rPr>
              <w:t>136</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7" w:history="1">
            <w:r w:rsidR="00710055" w:rsidRPr="00B2025E">
              <w:rPr>
                <w:rStyle w:val="Hyperlink"/>
                <w:noProof/>
              </w:rPr>
              <w:t>Physical Activity:</w:t>
            </w:r>
            <w:r w:rsidR="00710055">
              <w:rPr>
                <w:noProof/>
                <w:webHidden/>
              </w:rPr>
              <w:tab/>
            </w:r>
            <w:r>
              <w:rPr>
                <w:noProof/>
                <w:webHidden/>
              </w:rPr>
              <w:fldChar w:fldCharType="begin"/>
            </w:r>
            <w:r w:rsidR="00710055">
              <w:rPr>
                <w:noProof/>
                <w:webHidden/>
              </w:rPr>
              <w:instrText xml:space="preserve"> PAGEREF _Toc521184237 \h </w:instrText>
            </w:r>
            <w:r>
              <w:rPr>
                <w:noProof/>
                <w:webHidden/>
              </w:rPr>
            </w:r>
            <w:r>
              <w:rPr>
                <w:noProof/>
                <w:webHidden/>
              </w:rPr>
              <w:fldChar w:fldCharType="separate"/>
            </w:r>
            <w:r w:rsidR="00710055">
              <w:rPr>
                <w:noProof/>
                <w:webHidden/>
              </w:rPr>
              <w:t>136</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8" w:history="1">
            <w:r w:rsidR="00710055" w:rsidRPr="00B2025E">
              <w:rPr>
                <w:rStyle w:val="Hyperlink"/>
                <w:noProof/>
              </w:rPr>
              <w:t>Social Network Size:</w:t>
            </w:r>
            <w:r w:rsidR="00710055">
              <w:rPr>
                <w:noProof/>
                <w:webHidden/>
              </w:rPr>
              <w:tab/>
            </w:r>
            <w:r>
              <w:rPr>
                <w:noProof/>
                <w:webHidden/>
              </w:rPr>
              <w:fldChar w:fldCharType="begin"/>
            </w:r>
            <w:r w:rsidR="00710055">
              <w:rPr>
                <w:noProof/>
                <w:webHidden/>
              </w:rPr>
              <w:instrText xml:space="preserve"> PAGEREF _Toc521184238 \h </w:instrText>
            </w:r>
            <w:r>
              <w:rPr>
                <w:noProof/>
                <w:webHidden/>
              </w:rPr>
            </w:r>
            <w:r>
              <w:rPr>
                <w:noProof/>
                <w:webHidden/>
              </w:rPr>
              <w:fldChar w:fldCharType="separate"/>
            </w:r>
            <w:r w:rsidR="00710055">
              <w:rPr>
                <w:noProof/>
                <w:webHidden/>
              </w:rPr>
              <w:t>137</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39" w:history="1">
            <w:r w:rsidR="00710055" w:rsidRPr="00B2025E">
              <w:rPr>
                <w:rStyle w:val="Hyperlink"/>
                <w:noProof/>
              </w:rPr>
              <w:t>Social Participation frequency:</w:t>
            </w:r>
            <w:r w:rsidR="00710055">
              <w:rPr>
                <w:noProof/>
                <w:webHidden/>
              </w:rPr>
              <w:tab/>
            </w:r>
            <w:r>
              <w:rPr>
                <w:noProof/>
                <w:webHidden/>
              </w:rPr>
              <w:fldChar w:fldCharType="begin"/>
            </w:r>
            <w:r w:rsidR="00710055">
              <w:rPr>
                <w:noProof/>
                <w:webHidden/>
              </w:rPr>
              <w:instrText xml:space="preserve"> PAGEREF _Toc521184239 \h </w:instrText>
            </w:r>
            <w:r>
              <w:rPr>
                <w:noProof/>
                <w:webHidden/>
              </w:rPr>
            </w:r>
            <w:r>
              <w:rPr>
                <w:noProof/>
                <w:webHidden/>
              </w:rPr>
              <w:fldChar w:fldCharType="separate"/>
            </w:r>
            <w:r w:rsidR="00710055">
              <w:rPr>
                <w:noProof/>
                <w:webHidden/>
              </w:rPr>
              <w:t>137</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40" w:history="1">
            <w:r w:rsidR="00710055" w:rsidRPr="00B2025E">
              <w:rPr>
                <w:rStyle w:val="Hyperlink"/>
                <w:noProof/>
              </w:rPr>
              <w:t>Internet use:</w:t>
            </w:r>
            <w:r w:rsidR="00710055">
              <w:rPr>
                <w:noProof/>
                <w:webHidden/>
              </w:rPr>
              <w:tab/>
            </w:r>
            <w:r>
              <w:rPr>
                <w:noProof/>
                <w:webHidden/>
              </w:rPr>
              <w:fldChar w:fldCharType="begin"/>
            </w:r>
            <w:r w:rsidR="00710055">
              <w:rPr>
                <w:noProof/>
                <w:webHidden/>
              </w:rPr>
              <w:instrText xml:space="preserve"> PAGEREF _Toc521184240 \h </w:instrText>
            </w:r>
            <w:r>
              <w:rPr>
                <w:noProof/>
                <w:webHidden/>
              </w:rPr>
            </w:r>
            <w:r>
              <w:rPr>
                <w:noProof/>
                <w:webHidden/>
              </w:rPr>
              <w:fldChar w:fldCharType="separate"/>
            </w:r>
            <w:r w:rsidR="00710055">
              <w:rPr>
                <w:noProof/>
                <w:webHidden/>
              </w:rPr>
              <w:t>138</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41" w:history="1">
            <w:r w:rsidR="00710055" w:rsidRPr="00B2025E">
              <w:rPr>
                <w:rStyle w:val="Hyperlink"/>
                <w:noProof/>
              </w:rPr>
              <w:t>Other activities:</w:t>
            </w:r>
            <w:r w:rsidR="00710055">
              <w:rPr>
                <w:noProof/>
                <w:webHidden/>
              </w:rPr>
              <w:tab/>
            </w:r>
            <w:r>
              <w:rPr>
                <w:noProof/>
                <w:webHidden/>
              </w:rPr>
              <w:fldChar w:fldCharType="begin"/>
            </w:r>
            <w:r w:rsidR="00710055">
              <w:rPr>
                <w:noProof/>
                <w:webHidden/>
              </w:rPr>
              <w:instrText xml:space="preserve"> PAGEREF _Toc521184241 \h </w:instrText>
            </w:r>
            <w:r>
              <w:rPr>
                <w:noProof/>
                <w:webHidden/>
              </w:rPr>
            </w:r>
            <w:r>
              <w:rPr>
                <w:noProof/>
                <w:webHidden/>
              </w:rPr>
              <w:fldChar w:fldCharType="separate"/>
            </w:r>
            <w:r w:rsidR="00710055">
              <w:rPr>
                <w:noProof/>
                <w:webHidden/>
              </w:rPr>
              <w:t>138</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42" w:history="1">
            <w:r w:rsidR="00710055" w:rsidRPr="00B2025E">
              <w:rPr>
                <w:rStyle w:val="Hyperlink"/>
                <w:noProof/>
              </w:rPr>
              <w:t>Internal consistency issues for social participation frequency and social network size</w:t>
            </w:r>
            <w:r w:rsidR="00710055">
              <w:rPr>
                <w:noProof/>
                <w:webHidden/>
              </w:rPr>
              <w:tab/>
            </w:r>
            <w:r>
              <w:rPr>
                <w:noProof/>
                <w:webHidden/>
              </w:rPr>
              <w:fldChar w:fldCharType="begin"/>
            </w:r>
            <w:r w:rsidR="00710055">
              <w:rPr>
                <w:noProof/>
                <w:webHidden/>
              </w:rPr>
              <w:instrText xml:space="preserve"> PAGEREF _Toc521184242 \h </w:instrText>
            </w:r>
            <w:r>
              <w:rPr>
                <w:noProof/>
                <w:webHidden/>
              </w:rPr>
            </w:r>
            <w:r>
              <w:rPr>
                <w:noProof/>
                <w:webHidden/>
              </w:rPr>
              <w:fldChar w:fldCharType="separate"/>
            </w:r>
            <w:r w:rsidR="00710055">
              <w:rPr>
                <w:noProof/>
                <w:webHidden/>
              </w:rPr>
              <w:t>138</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43" w:history="1">
            <w:r w:rsidR="00710055" w:rsidRPr="00B2025E">
              <w:rPr>
                <w:rStyle w:val="Hyperlink"/>
                <w:noProof/>
              </w:rPr>
              <w:t>Procedure and Ethical Issues</w:t>
            </w:r>
            <w:r w:rsidR="00710055">
              <w:rPr>
                <w:noProof/>
                <w:webHidden/>
              </w:rPr>
              <w:tab/>
            </w:r>
            <w:r>
              <w:rPr>
                <w:noProof/>
                <w:webHidden/>
              </w:rPr>
              <w:fldChar w:fldCharType="begin"/>
            </w:r>
            <w:r w:rsidR="00710055">
              <w:rPr>
                <w:noProof/>
                <w:webHidden/>
              </w:rPr>
              <w:instrText xml:space="preserve"> PAGEREF _Toc521184243 \h </w:instrText>
            </w:r>
            <w:r>
              <w:rPr>
                <w:noProof/>
                <w:webHidden/>
              </w:rPr>
            </w:r>
            <w:r>
              <w:rPr>
                <w:noProof/>
                <w:webHidden/>
              </w:rPr>
              <w:fldChar w:fldCharType="separate"/>
            </w:r>
            <w:r w:rsidR="00710055">
              <w:rPr>
                <w:noProof/>
                <w:webHidden/>
              </w:rPr>
              <w:t>139</w:t>
            </w:r>
            <w:r>
              <w:rPr>
                <w:noProof/>
                <w:webHidden/>
              </w:rPr>
              <w:fldChar w:fldCharType="end"/>
            </w:r>
          </w:hyperlink>
        </w:p>
        <w:p w:rsidR="00710055" w:rsidRDefault="00EB1324">
          <w:pPr>
            <w:pStyle w:val="TOC1"/>
            <w:rPr>
              <w:b w:val="0"/>
              <w:noProof/>
              <w:sz w:val="24"/>
              <w:szCs w:val="24"/>
              <w:lang w:val="en-US" w:eastAsia="en-US"/>
            </w:rPr>
          </w:pPr>
          <w:hyperlink w:anchor="_Toc521184244" w:history="1">
            <w:r w:rsidR="00710055" w:rsidRPr="00B2025E">
              <w:rPr>
                <w:rStyle w:val="Hyperlink"/>
                <w:noProof/>
              </w:rPr>
              <w:t>CHAPTER  7  ANALYSES AND RESULTS</w:t>
            </w:r>
            <w:r w:rsidR="00710055">
              <w:rPr>
                <w:noProof/>
                <w:webHidden/>
              </w:rPr>
              <w:tab/>
            </w:r>
            <w:r>
              <w:rPr>
                <w:noProof/>
                <w:webHidden/>
              </w:rPr>
              <w:fldChar w:fldCharType="begin"/>
            </w:r>
            <w:r w:rsidR="00710055">
              <w:rPr>
                <w:noProof/>
                <w:webHidden/>
              </w:rPr>
              <w:instrText xml:space="preserve"> PAGEREF _Toc521184244 \h </w:instrText>
            </w:r>
            <w:r>
              <w:rPr>
                <w:noProof/>
                <w:webHidden/>
              </w:rPr>
            </w:r>
            <w:r>
              <w:rPr>
                <w:noProof/>
                <w:webHidden/>
              </w:rPr>
              <w:fldChar w:fldCharType="separate"/>
            </w:r>
            <w:r w:rsidR="00710055">
              <w:rPr>
                <w:noProof/>
                <w:webHidden/>
              </w:rPr>
              <w:t>141</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45" w:history="1">
            <w:r w:rsidR="00710055" w:rsidRPr="00B2025E">
              <w:rPr>
                <w:rStyle w:val="Hyperlink"/>
                <w:noProof/>
              </w:rPr>
              <w:t>Analysis 1 Validation of the OTDL-G and EPT-G</w:t>
            </w:r>
            <w:r w:rsidR="00710055">
              <w:rPr>
                <w:noProof/>
                <w:webHidden/>
              </w:rPr>
              <w:tab/>
            </w:r>
            <w:r>
              <w:rPr>
                <w:noProof/>
                <w:webHidden/>
              </w:rPr>
              <w:fldChar w:fldCharType="begin"/>
            </w:r>
            <w:r w:rsidR="00710055">
              <w:rPr>
                <w:noProof/>
                <w:webHidden/>
              </w:rPr>
              <w:instrText xml:space="preserve"> PAGEREF _Toc521184245 \h </w:instrText>
            </w:r>
            <w:r>
              <w:rPr>
                <w:noProof/>
                <w:webHidden/>
              </w:rPr>
            </w:r>
            <w:r>
              <w:rPr>
                <w:noProof/>
                <w:webHidden/>
              </w:rPr>
              <w:fldChar w:fldCharType="separate"/>
            </w:r>
            <w:r w:rsidR="00710055">
              <w:rPr>
                <w:noProof/>
                <w:webHidden/>
              </w:rPr>
              <w:t>141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46"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_Toc521184246 \h </w:instrText>
            </w:r>
            <w:r>
              <w:rPr>
                <w:noProof/>
                <w:webHidden/>
              </w:rPr>
            </w:r>
            <w:r>
              <w:rPr>
                <w:noProof/>
                <w:webHidden/>
              </w:rPr>
              <w:fldChar w:fldCharType="separate"/>
            </w:r>
            <w:r w:rsidR="00710055">
              <w:rPr>
                <w:noProof/>
                <w:webHidden/>
              </w:rPr>
              <w:t>141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47" w:history="1">
            <w:r w:rsidR="00710055" w:rsidRPr="00B2025E">
              <w:rPr>
                <w:rStyle w:val="Hyperlink"/>
                <w:noProof/>
              </w:rPr>
              <w:t>Analysis and Results</w:t>
            </w:r>
            <w:r w:rsidR="00710055">
              <w:rPr>
                <w:noProof/>
                <w:webHidden/>
              </w:rPr>
              <w:tab/>
            </w:r>
            <w:r>
              <w:rPr>
                <w:noProof/>
                <w:webHidden/>
              </w:rPr>
              <w:fldChar w:fldCharType="begin"/>
            </w:r>
            <w:r w:rsidR="00710055">
              <w:rPr>
                <w:noProof/>
                <w:webHidden/>
              </w:rPr>
              <w:instrText xml:space="preserve"> PAGEREF _Toc521184247 \h </w:instrText>
            </w:r>
            <w:r>
              <w:rPr>
                <w:noProof/>
                <w:webHidden/>
              </w:rPr>
            </w:r>
            <w:r>
              <w:rPr>
                <w:noProof/>
                <w:webHidden/>
              </w:rPr>
              <w:fldChar w:fldCharType="separate"/>
            </w:r>
            <w:r w:rsidR="00710055">
              <w:rPr>
                <w:noProof/>
                <w:webHidden/>
              </w:rPr>
              <w:t>141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48" w:history="1">
            <w:r w:rsidR="00710055" w:rsidRPr="00B2025E">
              <w:rPr>
                <w:rStyle w:val="Hyperlink"/>
                <w:noProof/>
              </w:rPr>
              <w:t>Discussion</w:t>
            </w:r>
            <w:r w:rsidR="00710055">
              <w:rPr>
                <w:noProof/>
                <w:webHidden/>
              </w:rPr>
              <w:tab/>
            </w:r>
            <w:r>
              <w:rPr>
                <w:noProof/>
                <w:webHidden/>
              </w:rPr>
              <w:fldChar w:fldCharType="begin"/>
            </w:r>
            <w:r w:rsidR="00710055">
              <w:rPr>
                <w:noProof/>
                <w:webHidden/>
              </w:rPr>
              <w:instrText xml:space="preserve"> PAGEREF _Toc521184248 \h </w:instrText>
            </w:r>
            <w:r>
              <w:rPr>
                <w:noProof/>
                <w:webHidden/>
              </w:rPr>
            </w:r>
            <w:r>
              <w:rPr>
                <w:noProof/>
                <w:webHidden/>
              </w:rPr>
              <w:fldChar w:fldCharType="separate"/>
            </w:r>
            <w:r w:rsidR="00710055">
              <w:rPr>
                <w:noProof/>
                <w:webHidden/>
              </w:rPr>
              <w:t>145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49" w:history="1">
            <w:r w:rsidR="00710055" w:rsidRPr="00B2025E">
              <w:rPr>
                <w:rStyle w:val="Hyperlink"/>
                <w:noProof/>
              </w:rPr>
              <w:t>Conclusion</w:t>
            </w:r>
            <w:r w:rsidR="00710055">
              <w:rPr>
                <w:noProof/>
                <w:webHidden/>
              </w:rPr>
              <w:tab/>
            </w:r>
            <w:r>
              <w:rPr>
                <w:noProof/>
                <w:webHidden/>
              </w:rPr>
              <w:fldChar w:fldCharType="begin"/>
            </w:r>
            <w:r w:rsidR="00710055">
              <w:rPr>
                <w:noProof/>
                <w:webHidden/>
              </w:rPr>
              <w:instrText xml:space="preserve"> PAGEREF _Toc521184249 \h </w:instrText>
            </w:r>
            <w:r>
              <w:rPr>
                <w:noProof/>
                <w:webHidden/>
              </w:rPr>
            </w:r>
            <w:r>
              <w:rPr>
                <w:noProof/>
                <w:webHidden/>
              </w:rPr>
              <w:fldChar w:fldCharType="separate"/>
            </w:r>
            <w:r w:rsidR="00710055">
              <w:rPr>
                <w:noProof/>
                <w:webHidden/>
              </w:rPr>
              <w:t>147</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50" w:history="1">
            <w:r w:rsidR="00710055" w:rsidRPr="00B2025E">
              <w:rPr>
                <w:rStyle w:val="Hyperlink"/>
                <w:noProof/>
              </w:rPr>
              <w:t>Analysis 2 The Relation Between Cognitive Performance and Everyday Functioning</w:t>
            </w:r>
            <w:r w:rsidR="00710055">
              <w:rPr>
                <w:noProof/>
                <w:webHidden/>
              </w:rPr>
              <w:tab/>
            </w:r>
            <w:r>
              <w:rPr>
                <w:noProof/>
                <w:webHidden/>
              </w:rPr>
              <w:fldChar w:fldCharType="begin"/>
            </w:r>
            <w:r w:rsidR="00710055">
              <w:rPr>
                <w:noProof/>
                <w:webHidden/>
              </w:rPr>
              <w:instrText xml:space="preserve"> PAGEREF _Toc521184250 \h </w:instrText>
            </w:r>
            <w:r>
              <w:rPr>
                <w:noProof/>
                <w:webHidden/>
              </w:rPr>
            </w:r>
            <w:r>
              <w:rPr>
                <w:noProof/>
                <w:webHidden/>
              </w:rPr>
              <w:fldChar w:fldCharType="separate"/>
            </w:r>
            <w:r w:rsidR="00710055">
              <w:rPr>
                <w:noProof/>
                <w:webHidden/>
              </w:rPr>
              <w:t>147</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51"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_Toc521184251 \h </w:instrText>
            </w:r>
            <w:r>
              <w:rPr>
                <w:noProof/>
                <w:webHidden/>
              </w:rPr>
            </w:r>
            <w:r>
              <w:rPr>
                <w:noProof/>
                <w:webHidden/>
              </w:rPr>
              <w:fldChar w:fldCharType="separate"/>
            </w:r>
            <w:r w:rsidR="00710055">
              <w:rPr>
                <w:noProof/>
                <w:webHidden/>
              </w:rPr>
              <w:t>147</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52" w:history="1">
            <w:r w:rsidR="00710055" w:rsidRPr="00B2025E">
              <w:rPr>
                <w:rStyle w:val="Hyperlink"/>
                <w:noProof/>
              </w:rPr>
              <w:t>Analysis and Results</w:t>
            </w:r>
            <w:r w:rsidR="00710055">
              <w:rPr>
                <w:noProof/>
                <w:webHidden/>
              </w:rPr>
              <w:tab/>
            </w:r>
            <w:r>
              <w:rPr>
                <w:noProof/>
                <w:webHidden/>
              </w:rPr>
              <w:fldChar w:fldCharType="begin"/>
            </w:r>
            <w:r w:rsidR="00710055">
              <w:rPr>
                <w:noProof/>
                <w:webHidden/>
              </w:rPr>
              <w:instrText xml:space="preserve"> PAGEREF _Toc521184252 \h </w:instrText>
            </w:r>
            <w:r>
              <w:rPr>
                <w:noProof/>
                <w:webHidden/>
              </w:rPr>
            </w:r>
            <w:r>
              <w:rPr>
                <w:noProof/>
                <w:webHidden/>
              </w:rPr>
              <w:fldChar w:fldCharType="separate"/>
            </w:r>
            <w:r w:rsidR="00710055">
              <w:rPr>
                <w:noProof/>
                <w:webHidden/>
              </w:rPr>
              <w:t>149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53" w:history="1">
            <w:r w:rsidR="00710055" w:rsidRPr="00B2025E">
              <w:rPr>
                <w:rStyle w:val="Hyperlink"/>
                <w:noProof/>
              </w:rPr>
              <w:t>Analysis 3 The Relation Between Social Participation, Exercise, Internet use, Education, and Cognitive Performance</w:t>
            </w:r>
            <w:r w:rsidR="00710055">
              <w:rPr>
                <w:noProof/>
                <w:webHidden/>
              </w:rPr>
              <w:tab/>
            </w:r>
            <w:r>
              <w:rPr>
                <w:noProof/>
                <w:webHidden/>
              </w:rPr>
              <w:fldChar w:fldCharType="begin"/>
            </w:r>
            <w:r w:rsidR="00710055">
              <w:rPr>
                <w:noProof/>
                <w:webHidden/>
              </w:rPr>
              <w:instrText xml:space="preserve"> PAGEREF _Toc521184253 \h </w:instrText>
            </w:r>
            <w:r>
              <w:rPr>
                <w:noProof/>
                <w:webHidden/>
              </w:rPr>
            </w:r>
            <w:r>
              <w:rPr>
                <w:noProof/>
                <w:webHidden/>
              </w:rPr>
              <w:fldChar w:fldCharType="separate"/>
            </w:r>
            <w:r w:rsidR="00710055">
              <w:rPr>
                <w:noProof/>
                <w:webHidden/>
              </w:rPr>
              <w:t>150</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54"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_Toc521184254 \h </w:instrText>
            </w:r>
            <w:r>
              <w:rPr>
                <w:noProof/>
                <w:webHidden/>
              </w:rPr>
            </w:r>
            <w:r>
              <w:rPr>
                <w:noProof/>
                <w:webHidden/>
              </w:rPr>
              <w:fldChar w:fldCharType="separate"/>
            </w:r>
            <w:r w:rsidR="00710055">
              <w:rPr>
                <w:noProof/>
                <w:webHidden/>
              </w:rPr>
              <w:t>150</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55" w:history="1">
            <w:r w:rsidR="00710055" w:rsidRPr="00B2025E">
              <w:rPr>
                <w:rStyle w:val="Hyperlink"/>
                <w:noProof/>
              </w:rPr>
              <w:t>Analysis plan</w:t>
            </w:r>
            <w:r w:rsidR="00710055">
              <w:rPr>
                <w:noProof/>
                <w:webHidden/>
              </w:rPr>
              <w:tab/>
            </w:r>
            <w:r>
              <w:rPr>
                <w:noProof/>
                <w:webHidden/>
              </w:rPr>
              <w:fldChar w:fldCharType="begin"/>
            </w:r>
            <w:r w:rsidR="00710055">
              <w:rPr>
                <w:noProof/>
                <w:webHidden/>
              </w:rPr>
              <w:instrText xml:space="preserve"> PAGEREF _Toc521184255 \h </w:instrText>
            </w:r>
            <w:r>
              <w:rPr>
                <w:noProof/>
                <w:webHidden/>
              </w:rPr>
            </w:r>
            <w:r>
              <w:rPr>
                <w:noProof/>
                <w:webHidden/>
              </w:rPr>
              <w:fldChar w:fldCharType="separate"/>
            </w:r>
            <w:r w:rsidR="00710055">
              <w:rPr>
                <w:noProof/>
                <w:webHidden/>
              </w:rPr>
              <w:t>151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56" w:history="1">
            <w:r w:rsidR="00710055" w:rsidRPr="00B2025E">
              <w:rPr>
                <w:rStyle w:val="Hyperlink"/>
                <w:noProof/>
              </w:rPr>
              <w:t>Descriptive analysis</w:t>
            </w:r>
            <w:r w:rsidR="00710055">
              <w:rPr>
                <w:noProof/>
                <w:webHidden/>
              </w:rPr>
              <w:tab/>
            </w:r>
            <w:r>
              <w:rPr>
                <w:noProof/>
                <w:webHidden/>
              </w:rPr>
              <w:fldChar w:fldCharType="begin"/>
            </w:r>
            <w:r w:rsidR="00710055">
              <w:rPr>
                <w:noProof/>
                <w:webHidden/>
              </w:rPr>
              <w:instrText xml:space="preserve"> PAGEREF _Toc521184256 \h </w:instrText>
            </w:r>
            <w:r>
              <w:rPr>
                <w:noProof/>
                <w:webHidden/>
              </w:rPr>
            </w:r>
            <w:r>
              <w:rPr>
                <w:noProof/>
                <w:webHidden/>
              </w:rPr>
              <w:fldChar w:fldCharType="separate"/>
            </w:r>
            <w:r w:rsidR="00710055">
              <w:rPr>
                <w:noProof/>
                <w:webHidden/>
              </w:rPr>
              <w:t>152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57" w:history="1">
            <w:r w:rsidR="00710055" w:rsidRPr="00B2025E">
              <w:rPr>
                <w:rStyle w:val="Hyperlink"/>
                <w:noProof/>
              </w:rPr>
              <w:t>Analysis and Results</w:t>
            </w:r>
            <w:r w:rsidR="00710055">
              <w:rPr>
                <w:noProof/>
                <w:webHidden/>
              </w:rPr>
              <w:tab/>
            </w:r>
            <w:r>
              <w:rPr>
                <w:noProof/>
                <w:webHidden/>
              </w:rPr>
              <w:fldChar w:fldCharType="begin"/>
            </w:r>
            <w:r w:rsidR="00710055">
              <w:rPr>
                <w:noProof/>
                <w:webHidden/>
              </w:rPr>
              <w:instrText xml:space="preserve"> PAGEREF _Toc521184257 \h </w:instrText>
            </w:r>
            <w:r>
              <w:rPr>
                <w:noProof/>
                <w:webHidden/>
              </w:rPr>
            </w:r>
            <w:r>
              <w:rPr>
                <w:noProof/>
                <w:webHidden/>
              </w:rPr>
              <w:fldChar w:fldCharType="separate"/>
            </w:r>
            <w:r w:rsidR="00710055">
              <w:rPr>
                <w:noProof/>
                <w:webHidden/>
              </w:rPr>
              <w:t>153</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58" w:history="1">
            <w:r w:rsidR="00710055" w:rsidRPr="00B2025E">
              <w:rPr>
                <w:rStyle w:val="Hyperlink"/>
                <w:noProof/>
              </w:rPr>
              <w:t>Discussion</w:t>
            </w:r>
            <w:r w:rsidR="00710055">
              <w:rPr>
                <w:noProof/>
                <w:webHidden/>
              </w:rPr>
              <w:tab/>
            </w:r>
            <w:r>
              <w:rPr>
                <w:noProof/>
                <w:webHidden/>
              </w:rPr>
              <w:fldChar w:fldCharType="begin"/>
            </w:r>
            <w:r w:rsidR="00710055">
              <w:rPr>
                <w:noProof/>
                <w:webHidden/>
              </w:rPr>
              <w:instrText xml:space="preserve"> PAGEREF _Toc521184258 \h </w:instrText>
            </w:r>
            <w:r>
              <w:rPr>
                <w:noProof/>
                <w:webHidden/>
              </w:rPr>
            </w:r>
            <w:r>
              <w:rPr>
                <w:noProof/>
                <w:webHidden/>
              </w:rPr>
              <w:fldChar w:fldCharType="separate"/>
            </w:r>
            <w:r w:rsidR="00710055">
              <w:rPr>
                <w:noProof/>
                <w:webHidden/>
              </w:rPr>
              <w:t>159</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59" w:history="1">
            <w:r w:rsidR="00710055" w:rsidRPr="00B2025E">
              <w:rPr>
                <w:rStyle w:val="Hyperlink"/>
                <w:noProof/>
              </w:rPr>
              <w:t>Conclusion</w:t>
            </w:r>
            <w:r w:rsidR="00710055">
              <w:rPr>
                <w:noProof/>
                <w:webHidden/>
              </w:rPr>
              <w:tab/>
            </w:r>
            <w:r>
              <w:rPr>
                <w:noProof/>
                <w:webHidden/>
              </w:rPr>
              <w:fldChar w:fldCharType="begin"/>
            </w:r>
            <w:r w:rsidR="00710055">
              <w:rPr>
                <w:noProof/>
                <w:webHidden/>
              </w:rPr>
              <w:instrText xml:space="preserve"> PAGEREF _Toc521184259 \h </w:instrText>
            </w:r>
            <w:r>
              <w:rPr>
                <w:noProof/>
                <w:webHidden/>
              </w:rPr>
            </w:r>
            <w:r>
              <w:rPr>
                <w:noProof/>
                <w:webHidden/>
              </w:rPr>
              <w:fldChar w:fldCharType="separate"/>
            </w:r>
            <w:r w:rsidR="00710055">
              <w:rPr>
                <w:noProof/>
                <w:webHidden/>
              </w:rPr>
              <w:t>162</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60" w:history="1">
            <w:r w:rsidR="00710055" w:rsidRPr="00B2025E">
              <w:rPr>
                <w:rStyle w:val="Hyperlink"/>
                <w:noProof/>
              </w:rPr>
              <w:t>Analysis 4 Social Factors that Influence Older Adults’ Social Participation, Internet use, and Exercise</w:t>
            </w:r>
            <w:r w:rsidR="00710055">
              <w:rPr>
                <w:noProof/>
                <w:webHidden/>
              </w:rPr>
              <w:tab/>
            </w:r>
            <w:r>
              <w:rPr>
                <w:noProof/>
                <w:webHidden/>
              </w:rPr>
              <w:fldChar w:fldCharType="begin"/>
            </w:r>
            <w:r w:rsidR="00710055">
              <w:rPr>
                <w:noProof/>
                <w:webHidden/>
              </w:rPr>
              <w:instrText xml:space="preserve"> PAGEREF _Toc521184260 \h </w:instrText>
            </w:r>
            <w:r>
              <w:rPr>
                <w:noProof/>
                <w:webHidden/>
              </w:rPr>
            </w:r>
            <w:r>
              <w:rPr>
                <w:noProof/>
                <w:webHidden/>
              </w:rPr>
              <w:fldChar w:fldCharType="separate"/>
            </w:r>
            <w:r w:rsidR="00710055">
              <w:rPr>
                <w:noProof/>
                <w:webHidden/>
              </w:rPr>
              <w:t>163</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61"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_Toc521184261 \h </w:instrText>
            </w:r>
            <w:r>
              <w:rPr>
                <w:noProof/>
                <w:webHidden/>
              </w:rPr>
            </w:r>
            <w:r>
              <w:rPr>
                <w:noProof/>
                <w:webHidden/>
              </w:rPr>
              <w:fldChar w:fldCharType="separate"/>
            </w:r>
            <w:r w:rsidR="00710055">
              <w:rPr>
                <w:noProof/>
                <w:webHidden/>
              </w:rPr>
              <w:t>163</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62" w:history="1">
            <w:r w:rsidR="00710055" w:rsidRPr="00B2025E">
              <w:rPr>
                <w:rStyle w:val="Hyperlink"/>
                <w:noProof/>
              </w:rPr>
              <w:t>Preliminary analysis</w:t>
            </w:r>
            <w:r w:rsidR="00710055">
              <w:rPr>
                <w:noProof/>
                <w:webHidden/>
              </w:rPr>
              <w:tab/>
            </w:r>
            <w:r>
              <w:rPr>
                <w:noProof/>
                <w:webHidden/>
              </w:rPr>
              <w:fldChar w:fldCharType="begin"/>
            </w:r>
            <w:r w:rsidR="00710055">
              <w:rPr>
                <w:noProof/>
                <w:webHidden/>
              </w:rPr>
              <w:instrText xml:space="preserve"> PAGEREF _Toc521184262 \h </w:instrText>
            </w:r>
            <w:r>
              <w:rPr>
                <w:noProof/>
                <w:webHidden/>
              </w:rPr>
            </w:r>
            <w:r>
              <w:rPr>
                <w:noProof/>
                <w:webHidden/>
              </w:rPr>
              <w:fldChar w:fldCharType="separate"/>
            </w:r>
            <w:r w:rsidR="00710055">
              <w:rPr>
                <w:noProof/>
                <w:webHidden/>
              </w:rPr>
              <w:t>164</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63" w:history="1">
            <w:r w:rsidR="00710055" w:rsidRPr="00B2025E">
              <w:rPr>
                <w:rStyle w:val="Hyperlink"/>
                <w:noProof/>
              </w:rPr>
              <w:t>Discussion</w:t>
            </w:r>
            <w:r w:rsidR="00710055">
              <w:rPr>
                <w:noProof/>
                <w:webHidden/>
              </w:rPr>
              <w:tab/>
            </w:r>
            <w:r>
              <w:rPr>
                <w:noProof/>
                <w:webHidden/>
              </w:rPr>
              <w:fldChar w:fldCharType="begin"/>
            </w:r>
            <w:r w:rsidR="00710055">
              <w:rPr>
                <w:noProof/>
                <w:webHidden/>
              </w:rPr>
              <w:instrText xml:space="preserve"> PAGEREF _Toc521184263 \h </w:instrText>
            </w:r>
            <w:r>
              <w:rPr>
                <w:noProof/>
                <w:webHidden/>
              </w:rPr>
            </w:r>
            <w:r>
              <w:rPr>
                <w:noProof/>
                <w:webHidden/>
              </w:rPr>
              <w:fldChar w:fldCharType="separate"/>
            </w:r>
            <w:r w:rsidR="00710055">
              <w:rPr>
                <w:noProof/>
                <w:webHidden/>
              </w:rPr>
              <w:t>170</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64" w:history="1">
            <w:r w:rsidR="00710055" w:rsidRPr="00B2025E">
              <w:rPr>
                <w:rStyle w:val="Hyperlink"/>
                <w:noProof/>
              </w:rPr>
              <w:t>Conclusion</w:t>
            </w:r>
            <w:r w:rsidR="00710055">
              <w:rPr>
                <w:noProof/>
                <w:webHidden/>
              </w:rPr>
              <w:tab/>
            </w:r>
            <w:r>
              <w:rPr>
                <w:noProof/>
                <w:webHidden/>
              </w:rPr>
              <w:fldChar w:fldCharType="begin"/>
            </w:r>
            <w:r w:rsidR="00710055">
              <w:rPr>
                <w:noProof/>
                <w:webHidden/>
              </w:rPr>
              <w:instrText xml:space="preserve"> PAGEREF _Toc521184264 \h </w:instrText>
            </w:r>
            <w:r>
              <w:rPr>
                <w:noProof/>
                <w:webHidden/>
              </w:rPr>
            </w:r>
            <w:r>
              <w:rPr>
                <w:noProof/>
                <w:webHidden/>
              </w:rPr>
              <w:fldChar w:fldCharType="separate"/>
            </w:r>
            <w:r w:rsidR="00710055">
              <w:rPr>
                <w:noProof/>
                <w:webHidden/>
              </w:rPr>
              <w:t>171</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65" w:history="1">
            <w:r w:rsidR="00710055" w:rsidRPr="00B2025E">
              <w:rPr>
                <w:rStyle w:val="Hyperlink"/>
                <w:noProof/>
              </w:rPr>
              <w:t>Analysis 5 Examining Mediation effects in a Holistic Model</w:t>
            </w:r>
            <w:r w:rsidR="00710055">
              <w:rPr>
                <w:noProof/>
                <w:webHidden/>
              </w:rPr>
              <w:tab/>
            </w:r>
            <w:r>
              <w:rPr>
                <w:noProof/>
                <w:webHidden/>
              </w:rPr>
              <w:fldChar w:fldCharType="begin"/>
            </w:r>
            <w:r w:rsidR="00710055">
              <w:rPr>
                <w:noProof/>
                <w:webHidden/>
              </w:rPr>
              <w:instrText xml:space="preserve"> PAGEREF _Toc521184265 \h </w:instrText>
            </w:r>
            <w:r>
              <w:rPr>
                <w:noProof/>
                <w:webHidden/>
              </w:rPr>
            </w:r>
            <w:r>
              <w:rPr>
                <w:noProof/>
                <w:webHidden/>
              </w:rPr>
              <w:fldChar w:fldCharType="separate"/>
            </w:r>
            <w:r w:rsidR="00710055">
              <w:rPr>
                <w:noProof/>
                <w:webHidden/>
              </w:rPr>
              <w:t>171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66" w:history="1">
            <w:r w:rsidR="00710055" w:rsidRPr="00B2025E">
              <w:rPr>
                <w:rStyle w:val="Hyperlink"/>
                <w:noProof/>
              </w:rPr>
              <w:t>Introduction</w:t>
            </w:r>
            <w:r w:rsidR="00710055">
              <w:rPr>
                <w:noProof/>
                <w:webHidden/>
              </w:rPr>
              <w:tab/>
            </w:r>
            <w:r>
              <w:rPr>
                <w:noProof/>
                <w:webHidden/>
              </w:rPr>
              <w:fldChar w:fldCharType="begin"/>
            </w:r>
            <w:r w:rsidR="00710055">
              <w:rPr>
                <w:noProof/>
                <w:webHidden/>
              </w:rPr>
              <w:instrText xml:space="preserve"> PAGEREF _Toc521184266 \h </w:instrText>
            </w:r>
            <w:r>
              <w:rPr>
                <w:noProof/>
                <w:webHidden/>
              </w:rPr>
            </w:r>
            <w:r>
              <w:rPr>
                <w:noProof/>
                <w:webHidden/>
              </w:rPr>
              <w:fldChar w:fldCharType="separate"/>
            </w:r>
            <w:r w:rsidR="00710055">
              <w:rPr>
                <w:noProof/>
                <w:webHidden/>
              </w:rPr>
              <w:t>171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67" w:history="1">
            <w:r w:rsidR="00710055" w:rsidRPr="00B2025E">
              <w:rPr>
                <w:rStyle w:val="Hyperlink"/>
                <w:noProof/>
              </w:rPr>
              <w:t>Analysis and Results</w:t>
            </w:r>
            <w:r w:rsidR="00710055">
              <w:rPr>
                <w:noProof/>
                <w:webHidden/>
              </w:rPr>
              <w:tab/>
            </w:r>
            <w:r>
              <w:rPr>
                <w:noProof/>
                <w:webHidden/>
              </w:rPr>
              <w:fldChar w:fldCharType="begin"/>
            </w:r>
            <w:r w:rsidR="00710055">
              <w:rPr>
                <w:noProof/>
                <w:webHidden/>
              </w:rPr>
              <w:instrText xml:space="preserve"> PAGEREF _Toc521184267 \h </w:instrText>
            </w:r>
            <w:r>
              <w:rPr>
                <w:noProof/>
                <w:webHidden/>
              </w:rPr>
            </w:r>
            <w:r>
              <w:rPr>
                <w:noProof/>
                <w:webHidden/>
              </w:rPr>
              <w:fldChar w:fldCharType="separate"/>
            </w:r>
            <w:r w:rsidR="00710055">
              <w:rPr>
                <w:noProof/>
                <w:webHidden/>
              </w:rPr>
              <w:t>172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68" w:history="1">
            <w:r w:rsidR="00710055" w:rsidRPr="00B2025E">
              <w:rPr>
                <w:rStyle w:val="Hyperlink"/>
                <w:noProof/>
              </w:rPr>
              <w:t>Discussion and conclusion</w:t>
            </w:r>
            <w:r w:rsidR="00710055">
              <w:rPr>
                <w:noProof/>
                <w:webHidden/>
              </w:rPr>
              <w:tab/>
            </w:r>
            <w:r>
              <w:rPr>
                <w:noProof/>
                <w:webHidden/>
              </w:rPr>
              <w:fldChar w:fldCharType="begin"/>
            </w:r>
            <w:r w:rsidR="00710055">
              <w:rPr>
                <w:noProof/>
                <w:webHidden/>
              </w:rPr>
              <w:instrText xml:space="preserve"> PAGEREF _Toc521184268 \h </w:instrText>
            </w:r>
            <w:r>
              <w:rPr>
                <w:noProof/>
                <w:webHidden/>
              </w:rPr>
            </w:r>
            <w:r>
              <w:rPr>
                <w:noProof/>
                <w:webHidden/>
              </w:rPr>
              <w:fldChar w:fldCharType="separate"/>
            </w:r>
            <w:r w:rsidR="00710055">
              <w:rPr>
                <w:noProof/>
                <w:webHidden/>
              </w:rPr>
              <w:t>174</w:t>
            </w:r>
            <w:r>
              <w:rPr>
                <w:noProof/>
                <w:webHidden/>
              </w:rPr>
              <w:fldChar w:fldCharType="end"/>
            </w:r>
          </w:hyperlink>
        </w:p>
        <w:p w:rsidR="00710055" w:rsidRDefault="00EB1324">
          <w:pPr>
            <w:pStyle w:val="TOC1"/>
            <w:rPr>
              <w:b w:val="0"/>
              <w:noProof/>
              <w:sz w:val="24"/>
              <w:szCs w:val="24"/>
              <w:lang w:val="en-US" w:eastAsia="en-US"/>
            </w:rPr>
          </w:pPr>
          <w:hyperlink w:anchor="_Toc521184269" w:history="1">
            <w:r w:rsidR="00710055" w:rsidRPr="00B2025E">
              <w:rPr>
                <w:rStyle w:val="Hyperlink"/>
                <w:noProof/>
              </w:rPr>
              <w:t xml:space="preserve">CHAPTER  8    </w:t>
            </w:r>
            <w:r w:rsidR="00710055" w:rsidRPr="00B2025E">
              <w:rPr>
                <w:rStyle w:val="Hyperlink"/>
                <w:noProof/>
                <w:lang w:val="en-US"/>
              </w:rPr>
              <w:t>COGNITIVE PERFORMANCE AND AGEING</w:t>
            </w:r>
            <w:r w:rsidR="00710055">
              <w:rPr>
                <w:noProof/>
                <w:webHidden/>
              </w:rPr>
              <w:tab/>
            </w:r>
            <w:r>
              <w:rPr>
                <w:noProof/>
                <w:webHidden/>
              </w:rPr>
              <w:fldChar w:fldCharType="begin"/>
            </w:r>
            <w:r w:rsidR="00710055">
              <w:rPr>
                <w:noProof/>
                <w:webHidden/>
              </w:rPr>
              <w:instrText xml:space="preserve"> PAGEREF _Toc521184269 \h </w:instrText>
            </w:r>
            <w:r>
              <w:rPr>
                <w:noProof/>
                <w:webHidden/>
              </w:rPr>
            </w:r>
            <w:r>
              <w:rPr>
                <w:noProof/>
                <w:webHidden/>
              </w:rPr>
              <w:fldChar w:fldCharType="separate"/>
            </w:r>
            <w:r w:rsidR="00710055">
              <w:rPr>
                <w:noProof/>
                <w:webHidden/>
              </w:rPr>
              <w:t>175</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70" w:history="1">
            <w:r w:rsidR="00710055" w:rsidRPr="00B2025E">
              <w:rPr>
                <w:rStyle w:val="Hyperlink"/>
                <w:noProof/>
              </w:rPr>
              <w:t>The Research Questions and Hypotheses</w:t>
            </w:r>
            <w:r w:rsidR="00710055">
              <w:rPr>
                <w:noProof/>
                <w:webHidden/>
              </w:rPr>
              <w:tab/>
            </w:r>
            <w:r>
              <w:rPr>
                <w:noProof/>
                <w:webHidden/>
              </w:rPr>
              <w:fldChar w:fldCharType="begin"/>
            </w:r>
            <w:r w:rsidR="00710055">
              <w:rPr>
                <w:noProof/>
                <w:webHidden/>
              </w:rPr>
              <w:instrText xml:space="preserve"> PAGEREF _Toc521184270 \h </w:instrText>
            </w:r>
            <w:r>
              <w:rPr>
                <w:noProof/>
                <w:webHidden/>
              </w:rPr>
            </w:r>
            <w:r>
              <w:rPr>
                <w:noProof/>
                <w:webHidden/>
              </w:rPr>
              <w:fldChar w:fldCharType="separate"/>
            </w:r>
            <w:r w:rsidR="00710055">
              <w:rPr>
                <w:noProof/>
                <w:webHidden/>
              </w:rPr>
              <w:t>177</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71" w:history="1">
            <w:r w:rsidR="00710055" w:rsidRPr="00B2025E">
              <w:rPr>
                <w:rStyle w:val="Hyperlink"/>
                <w:noProof/>
              </w:rPr>
              <w:t>Summary of findings</w:t>
            </w:r>
            <w:r w:rsidR="00710055">
              <w:rPr>
                <w:noProof/>
                <w:webHidden/>
              </w:rPr>
              <w:tab/>
            </w:r>
            <w:r>
              <w:rPr>
                <w:noProof/>
                <w:webHidden/>
              </w:rPr>
              <w:fldChar w:fldCharType="begin"/>
            </w:r>
            <w:r w:rsidR="00710055">
              <w:rPr>
                <w:noProof/>
                <w:webHidden/>
              </w:rPr>
              <w:instrText xml:space="preserve"> PAGEREF _Toc521184271 \h </w:instrText>
            </w:r>
            <w:r>
              <w:rPr>
                <w:noProof/>
                <w:webHidden/>
              </w:rPr>
            </w:r>
            <w:r>
              <w:rPr>
                <w:noProof/>
                <w:webHidden/>
              </w:rPr>
              <w:fldChar w:fldCharType="separate"/>
            </w:r>
            <w:r w:rsidR="00710055">
              <w:rPr>
                <w:noProof/>
                <w:webHidden/>
              </w:rPr>
              <w:t>178</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72" w:history="1">
            <w:r w:rsidR="00710055" w:rsidRPr="00B2025E">
              <w:rPr>
                <w:rStyle w:val="Hyperlink"/>
                <w:noProof/>
              </w:rPr>
              <w:t>Study strengths and limitations</w:t>
            </w:r>
            <w:r w:rsidR="00710055">
              <w:rPr>
                <w:noProof/>
                <w:webHidden/>
              </w:rPr>
              <w:tab/>
            </w:r>
            <w:r>
              <w:rPr>
                <w:noProof/>
                <w:webHidden/>
              </w:rPr>
              <w:fldChar w:fldCharType="begin"/>
            </w:r>
            <w:r w:rsidR="00710055">
              <w:rPr>
                <w:noProof/>
                <w:webHidden/>
              </w:rPr>
              <w:instrText xml:space="preserve"> PAGEREF _Toc521184272 \h </w:instrText>
            </w:r>
            <w:r>
              <w:rPr>
                <w:noProof/>
                <w:webHidden/>
              </w:rPr>
            </w:r>
            <w:r>
              <w:rPr>
                <w:noProof/>
                <w:webHidden/>
              </w:rPr>
              <w:fldChar w:fldCharType="separate"/>
            </w:r>
            <w:r w:rsidR="00710055">
              <w:rPr>
                <w:noProof/>
                <w:webHidden/>
              </w:rPr>
              <w:t>180</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73" w:history="1">
            <w:r w:rsidR="00710055" w:rsidRPr="00B2025E">
              <w:rPr>
                <w:rStyle w:val="Hyperlink"/>
                <w:noProof/>
              </w:rPr>
              <w:t>Theoretical contribution</w:t>
            </w:r>
            <w:r w:rsidR="00710055">
              <w:rPr>
                <w:noProof/>
                <w:webHidden/>
              </w:rPr>
              <w:tab/>
            </w:r>
            <w:r>
              <w:rPr>
                <w:noProof/>
                <w:webHidden/>
              </w:rPr>
              <w:fldChar w:fldCharType="begin"/>
            </w:r>
            <w:r w:rsidR="00710055">
              <w:rPr>
                <w:noProof/>
                <w:webHidden/>
              </w:rPr>
              <w:instrText xml:space="preserve"> PAGEREF _Toc521184273 \h </w:instrText>
            </w:r>
            <w:r>
              <w:rPr>
                <w:noProof/>
                <w:webHidden/>
              </w:rPr>
            </w:r>
            <w:r>
              <w:rPr>
                <w:noProof/>
                <w:webHidden/>
              </w:rPr>
              <w:fldChar w:fldCharType="separate"/>
            </w:r>
            <w:r w:rsidR="00710055">
              <w:rPr>
                <w:noProof/>
                <w:webHidden/>
              </w:rPr>
              <w:t>186</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74" w:history="1">
            <w:r w:rsidR="00710055" w:rsidRPr="00B2025E">
              <w:rPr>
                <w:rStyle w:val="Hyperlink"/>
                <w:noProof/>
              </w:rPr>
              <w:t>Implications for policy and future research</w:t>
            </w:r>
            <w:r w:rsidR="00710055">
              <w:rPr>
                <w:noProof/>
                <w:webHidden/>
              </w:rPr>
              <w:tab/>
            </w:r>
            <w:r>
              <w:rPr>
                <w:noProof/>
                <w:webHidden/>
              </w:rPr>
              <w:fldChar w:fldCharType="begin"/>
            </w:r>
            <w:r w:rsidR="00710055">
              <w:rPr>
                <w:noProof/>
                <w:webHidden/>
              </w:rPr>
              <w:instrText xml:space="preserve"> PAGEREF _Toc521184274 \h </w:instrText>
            </w:r>
            <w:r>
              <w:rPr>
                <w:noProof/>
                <w:webHidden/>
              </w:rPr>
            </w:r>
            <w:r>
              <w:rPr>
                <w:noProof/>
                <w:webHidden/>
              </w:rPr>
              <w:fldChar w:fldCharType="separate"/>
            </w:r>
            <w:r w:rsidR="00710055">
              <w:rPr>
                <w:noProof/>
                <w:webHidden/>
              </w:rPr>
              <w:t>192</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75" w:history="1">
            <w:r w:rsidR="00710055" w:rsidRPr="00B2025E">
              <w:rPr>
                <w:rStyle w:val="Hyperlink"/>
                <w:noProof/>
              </w:rPr>
              <w:t>Conclusion</w:t>
            </w:r>
            <w:r w:rsidR="00710055">
              <w:rPr>
                <w:noProof/>
                <w:webHidden/>
              </w:rPr>
              <w:tab/>
            </w:r>
            <w:r>
              <w:rPr>
                <w:noProof/>
                <w:webHidden/>
              </w:rPr>
              <w:fldChar w:fldCharType="begin"/>
            </w:r>
            <w:r w:rsidR="00710055">
              <w:rPr>
                <w:noProof/>
                <w:webHidden/>
              </w:rPr>
              <w:instrText xml:space="preserve"> PAGEREF _Toc521184275 \h </w:instrText>
            </w:r>
            <w:r>
              <w:rPr>
                <w:noProof/>
                <w:webHidden/>
              </w:rPr>
            </w:r>
            <w:r>
              <w:rPr>
                <w:noProof/>
                <w:webHidden/>
              </w:rPr>
              <w:fldChar w:fldCharType="separate"/>
            </w:r>
            <w:r w:rsidR="00710055">
              <w:rPr>
                <w:noProof/>
                <w:webHidden/>
              </w:rPr>
              <w:t>195</w:t>
            </w:r>
            <w:r>
              <w:rPr>
                <w:noProof/>
                <w:webHidden/>
              </w:rPr>
              <w:fldChar w:fldCharType="end"/>
            </w:r>
          </w:hyperlink>
        </w:p>
        <w:p w:rsidR="00710055" w:rsidRDefault="00EB1324">
          <w:pPr>
            <w:pStyle w:val="TOC1"/>
            <w:rPr>
              <w:b w:val="0"/>
              <w:noProof/>
              <w:sz w:val="24"/>
              <w:szCs w:val="24"/>
              <w:lang w:val="en-US" w:eastAsia="en-US"/>
            </w:rPr>
          </w:pPr>
          <w:hyperlink w:anchor="_Toc521184276" w:history="1">
            <w:r w:rsidR="00710055" w:rsidRPr="00B2025E">
              <w:rPr>
                <w:rStyle w:val="Hyperlink"/>
                <w:noProof/>
              </w:rPr>
              <w:t>References</w:t>
            </w:r>
            <w:r w:rsidR="00710055">
              <w:rPr>
                <w:noProof/>
                <w:webHidden/>
              </w:rPr>
              <w:tab/>
            </w:r>
            <w:r>
              <w:rPr>
                <w:noProof/>
                <w:webHidden/>
              </w:rPr>
              <w:fldChar w:fldCharType="begin"/>
            </w:r>
            <w:r w:rsidR="00710055">
              <w:rPr>
                <w:noProof/>
                <w:webHidden/>
              </w:rPr>
              <w:instrText xml:space="preserve"> PAGEREF _Toc521184276 \h </w:instrText>
            </w:r>
            <w:r>
              <w:rPr>
                <w:noProof/>
                <w:webHidden/>
              </w:rPr>
            </w:r>
            <w:r>
              <w:rPr>
                <w:noProof/>
                <w:webHidden/>
              </w:rPr>
              <w:fldChar w:fldCharType="separate"/>
            </w:r>
            <w:r w:rsidR="00710055">
              <w:rPr>
                <w:noProof/>
                <w:webHidden/>
              </w:rPr>
              <w:t>196</w:t>
            </w:r>
            <w:r>
              <w:rPr>
                <w:noProof/>
                <w:webHidden/>
              </w:rPr>
              <w:fldChar w:fldCharType="end"/>
            </w:r>
          </w:hyperlink>
        </w:p>
        <w:p w:rsidR="00710055" w:rsidRDefault="00EB1324">
          <w:pPr>
            <w:pStyle w:val="TOC1"/>
            <w:rPr>
              <w:b w:val="0"/>
              <w:noProof/>
              <w:sz w:val="24"/>
              <w:szCs w:val="24"/>
              <w:lang w:val="en-US" w:eastAsia="en-US"/>
            </w:rPr>
          </w:pPr>
          <w:hyperlink w:anchor="_Toc521184277" w:history="1">
            <w:r w:rsidR="00710055" w:rsidRPr="00B2025E">
              <w:rPr>
                <w:rStyle w:val="Hyperlink"/>
                <w:noProof/>
              </w:rPr>
              <w:t>Appendix I</w:t>
            </w:r>
            <w:r w:rsidR="00710055">
              <w:rPr>
                <w:noProof/>
                <w:webHidden/>
              </w:rPr>
              <w:tab/>
            </w:r>
            <w:r>
              <w:rPr>
                <w:noProof/>
                <w:webHidden/>
              </w:rPr>
              <w:fldChar w:fldCharType="begin"/>
            </w:r>
            <w:r w:rsidR="00710055">
              <w:rPr>
                <w:noProof/>
                <w:webHidden/>
              </w:rPr>
              <w:instrText xml:space="preserve"> PAGEREF _Toc521184277 \h </w:instrText>
            </w:r>
            <w:r>
              <w:rPr>
                <w:noProof/>
                <w:webHidden/>
              </w:rPr>
            </w:r>
            <w:r>
              <w:rPr>
                <w:noProof/>
                <w:webHidden/>
              </w:rPr>
              <w:fldChar w:fldCharType="separate"/>
            </w:r>
            <w:r w:rsidR="00710055">
              <w:rPr>
                <w:noProof/>
                <w:webHidden/>
              </w:rPr>
              <w:t>234</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78" w:history="1">
            <w:r w:rsidR="00710055" w:rsidRPr="00B2025E">
              <w:rPr>
                <w:rStyle w:val="Hyperlink"/>
                <w:noProof/>
              </w:rPr>
              <w:t>Studies Included in the Meta-Analysis</w:t>
            </w:r>
            <w:r w:rsidR="00710055">
              <w:rPr>
                <w:noProof/>
                <w:webHidden/>
              </w:rPr>
              <w:tab/>
            </w:r>
            <w:r>
              <w:rPr>
                <w:noProof/>
                <w:webHidden/>
              </w:rPr>
              <w:fldChar w:fldCharType="begin"/>
            </w:r>
            <w:r w:rsidR="00710055">
              <w:rPr>
                <w:noProof/>
                <w:webHidden/>
              </w:rPr>
              <w:instrText xml:space="preserve"> PAGEREF _Toc521184278 \h </w:instrText>
            </w:r>
            <w:r>
              <w:rPr>
                <w:noProof/>
                <w:webHidden/>
              </w:rPr>
            </w:r>
            <w:r>
              <w:rPr>
                <w:noProof/>
                <w:webHidden/>
              </w:rPr>
              <w:fldChar w:fldCharType="separate"/>
            </w:r>
            <w:r w:rsidR="00710055">
              <w:rPr>
                <w:noProof/>
                <w:webHidden/>
              </w:rPr>
              <w:t>234</w:t>
            </w:r>
            <w:r>
              <w:rPr>
                <w:noProof/>
                <w:webHidden/>
              </w:rPr>
              <w:fldChar w:fldCharType="end"/>
            </w:r>
          </w:hyperlink>
        </w:p>
        <w:p w:rsidR="00710055" w:rsidRDefault="00EB1324">
          <w:pPr>
            <w:pStyle w:val="TOC1"/>
            <w:rPr>
              <w:b w:val="0"/>
              <w:noProof/>
              <w:sz w:val="24"/>
              <w:szCs w:val="24"/>
              <w:lang w:val="en-US" w:eastAsia="en-US"/>
            </w:rPr>
          </w:pPr>
          <w:hyperlink w:anchor="_Toc521184279" w:history="1">
            <w:r w:rsidR="00710055" w:rsidRPr="00B2025E">
              <w:rPr>
                <w:rStyle w:val="Hyperlink"/>
                <w:noProof/>
              </w:rPr>
              <w:t>Appendix II</w:t>
            </w:r>
            <w:r w:rsidR="00710055">
              <w:rPr>
                <w:noProof/>
                <w:webHidden/>
              </w:rPr>
              <w:tab/>
            </w:r>
            <w:r>
              <w:rPr>
                <w:noProof/>
                <w:webHidden/>
              </w:rPr>
              <w:fldChar w:fldCharType="begin"/>
            </w:r>
            <w:r w:rsidR="00710055">
              <w:rPr>
                <w:noProof/>
                <w:webHidden/>
              </w:rPr>
              <w:instrText xml:space="preserve"> PAGEREF _Toc521184279 \h </w:instrText>
            </w:r>
            <w:r>
              <w:rPr>
                <w:noProof/>
                <w:webHidden/>
              </w:rPr>
            </w:r>
            <w:r>
              <w:rPr>
                <w:noProof/>
                <w:webHidden/>
              </w:rPr>
              <w:fldChar w:fldCharType="separate"/>
            </w:r>
            <w:r w:rsidR="00710055">
              <w:rPr>
                <w:noProof/>
                <w:webHidden/>
              </w:rPr>
              <w:t>239</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80" w:history="1">
            <w:r w:rsidR="00710055" w:rsidRPr="00B2025E">
              <w:rPr>
                <w:rStyle w:val="Hyperlink"/>
                <w:noProof/>
              </w:rPr>
              <w:t>The OTDL-R Booklet for Measuring Everyday Functioning</w:t>
            </w:r>
            <w:r w:rsidR="00710055">
              <w:rPr>
                <w:noProof/>
                <w:webHidden/>
              </w:rPr>
              <w:tab/>
            </w:r>
            <w:r>
              <w:rPr>
                <w:noProof/>
                <w:webHidden/>
              </w:rPr>
              <w:fldChar w:fldCharType="begin"/>
            </w:r>
            <w:r w:rsidR="00710055">
              <w:rPr>
                <w:noProof/>
                <w:webHidden/>
              </w:rPr>
              <w:instrText xml:space="preserve"> PAGEREF _Toc521184280 \h </w:instrText>
            </w:r>
            <w:r>
              <w:rPr>
                <w:noProof/>
                <w:webHidden/>
              </w:rPr>
            </w:r>
            <w:r>
              <w:rPr>
                <w:noProof/>
                <w:webHidden/>
              </w:rPr>
              <w:fldChar w:fldCharType="separate"/>
            </w:r>
            <w:r w:rsidR="00710055">
              <w:rPr>
                <w:noProof/>
                <w:webHidden/>
              </w:rPr>
              <w:t>239</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81" w:history="1">
            <w:r w:rsidR="00710055" w:rsidRPr="00B2025E">
              <w:rPr>
                <w:rStyle w:val="Hyperlink"/>
                <w:noProof/>
              </w:rPr>
              <w:t>Material for Medication Use Assessment</w:t>
            </w:r>
            <w:r w:rsidR="00710055">
              <w:rPr>
                <w:noProof/>
                <w:webHidden/>
              </w:rPr>
              <w:tab/>
            </w:r>
            <w:r>
              <w:rPr>
                <w:noProof/>
                <w:webHidden/>
              </w:rPr>
              <w:fldChar w:fldCharType="begin"/>
            </w:r>
            <w:r w:rsidR="00710055">
              <w:rPr>
                <w:noProof/>
                <w:webHidden/>
              </w:rPr>
              <w:instrText xml:space="preserve"> PAGEREF _Toc521184281 \h </w:instrText>
            </w:r>
            <w:r>
              <w:rPr>
                <w:noProof/>
                <w:webHidden/>
              </w:rPr>
            </w:r>
            <w:r>
              <w:rPr>
                <w:noProof/>
                <w:webHidden/>
              </w:rPr>
              <w:fldChar w:fldCharType="separate"/>
            </w:r>
            <w:r w:rsidR="00710055">
              <w:rPr>
                <w:noProof/>
                <w:webHidden/>
              </w:rPr>
              <w:t>256</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82" w:history="1">
            <w:r w:rsidR="00710055" w:rsidRPr="00B2025E">
              <w:rPr>
                <w:rStyle w:val="Hyperlink"/>
                <w:noProof/>
              </w:rPr>
              <w:t>Material for Telephone Use Assessment</w:t>
            </w:r>
            <w:r w:rsidR="00710055">
              <w:rPr>
                <w:noProof/>
                <w:webHidden/>
              </w:rPr>
              <w:tab/>
            </w:r>
            <w:r>
              <w:rPr>
                <w:noProof/>
                <w:webHidden/>
              </w:rPr>
              <w:fldChar w:fldCharType="begin"/>
            </w:r>
            <w:r w:rsidR="00710055">
              <w:rPr>
                <w:noProof/>
                <w:webHidden/>
              </w:rPr>
              <w:instrText xml:space="preserve"> PAGEREF _Toc521184282 \h </w:instrText>
            </w:r>
            <w:r>
              <w:rPr>
                <w:noProof/>
                <w:webHidden/>
              </w:rPr>
            </w:r>
            <w:r>
              <w:rPr>
                <w:noProof/>
                <w:webHidden/>
              </w:rPr>
              <w:fldChar w:fldCharType="separate"/>
            </w:r>
            <w:r w:rsidR="00710055">
              <w:rPr>
                <w:noProof/>
                <w:webHidden/>
              </w:rPr>
              <w:t>260</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83" w:history="1">
            <w:r w:rsidR="00710055" w:rsidRPr="00B2025E">
              <w:rPr>
                <w:rStyle w:val="Hyperlink"/>
                <w:noProof/>
              </w:rPr>
              <w:t>Material for Financial Handling Assessment</w:t>
            </w:r>
            <w:r w:rsidR="00710055">
              <w:rPr>
                <w:noProof/>
                <w:webHidden/>
              </w:rPr>
              <w:tab/>
            </w:r>
            <w:r>
              <w:rPr>
                <w:noProof/>
                <w:webHidden/>
              </w:rPr>
              <w:fldChar w:fldCharType="begin"/>
            </w:r>
            <w:r w:rsidR="00710055">
              <w:rPr>
                <w:noProof/>
                <w:webHidden/>
              </w:rPr>
              <w:instrText xml:space="preserve"> PAGEREF _Toc521184283 \h </w:instrText>
            </w:r>
            <w:r>
              <w:rPr>
                <w:noProof/>
                <w:webHidden/>
              </w:rPr>
            </w:r>
            <w:r>
              <w:rPr>
                <w:noProof/>
                <w:webHidden/>
              </w:rPr>
              <w:fldChar w:fldCharType="separate"/>
            </w:r>
            <w:r w:rsidR="00710055">
              <w:rPr>
                <w:noProof/>
                <w:webHidden/>
              </w:rPr>
              <w:t>263</w:t>
            </w:r>
            <w:r>
              <w:rPr>
                <w:noProof/>
                <w:webHidden/>
              </w:rPr>
              <w:fldChar w:fldCharType="end"/>
            </w:r>
          </w:hyperlink>
        </w:p>
        <w:p w:rsidR="00710055" w:rsidRDefault="00EB1324">
          <w:pPr>
            <w:pStyle w:val="TOC1"/>
            <w:rPr>
              <w:b w:val="0"/>
              <w:noProof/>
              <w:sz w:val="24"/>
              <w:szCs w:val="24"/>
              <w:lang w:val="en-US" w:eastAsia="en-US"/>
            </w:rPr>
          </w:pPr>
          <w:hyperlink w:anchor="_Toc521184284" w:history="1">
            <w:r w:rsidR="00710055" w:rsidRPr="00B2025E">
              <w:rPr>
                <w:rStyle w:val="Hyperlink"/>
                <w:noProof/>
              </w:rPr>
              <w:t>Appendix III</w:t>
            </w:r>
            <w:r w:rsidR="00710055">
              <w:rPr>
                <w:noProof/>
                <w:webHidden/>
              </w:rPr>
              <w:tab/>
            </w:r>
            <w:r>
              <w:rPr>
                <w:noProof/>
                <w:webHidden/>
              </w:rPr>
              <w:fldChar w:fldCharType="begin"/>
            </w:r>
            <w:r w:rsidR="00710055">
              <w:rPr>
                <w:noProof/>
                <w:webHidden/>
              </w:rPr>
              <w:instrText xml:space="preserve"> PAGEREF _Toc521184284 \h </w:instrText>
            </w:r>
            <w:r>
              <w:rPr>
                <w:noProof/>
                <w:webHidden/>
              </w:rPr>
            </w:r>
            <w:r>
              <w:rPr>
                <w:noProof/>
                <w:webHidden/>
              </w:rPr>
              <w:fldChar w:fldCharType="separate"/>
            </w:r>
            <w:r w:rsidR="00710055">
              <w:rPr>
                <w:noProof/>
                <w:webHidden/>
              </w:rPr>
              <w:t>264</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85" w:history="1">
            <w:r w:rsidR="00710055" w:rsidRPr="00B2025E">
              <w:rPr>
                <w:rStyle w:val="Hyperlink"/>
                <w:noProof/>
              </w:rPr>
              <w:t>The Everyday Problem Test 28-item version</w:t>
            </w:r>
            <w:r w:rsidR="00710055">
              <w:rPr>
                <w:noProof/>
                <w:webHidden/>
              </w:rPr>
              <w:tab/>
            </w:r>
            <w:r>
              <w:rPr>
                <w:noProof/>
                <w:webHidden/>
              </w:rPr>
              <w:fldChar w:fldCharType="begin"/>
            </w:r>
            <w:r w:rsidR="00710055">
              <w:rPr>
                <w:noProof/>
                <w:webHidden/>
              </w:rPr>
              <w:instrText xml:space="preserve"> PAGEREF _Toc521184285 \h </w:instrText>
            </w:r>
            <w:r>
              <w:rPr>
                <w:noProof/>
                <w:webHidden/>
              </w:rPr>
            </w:r>
            <w:r>
              <w:rPr>
                <w:noProof/>
                <w:webHidden/>
              </w:rPr>
              <w:fldChar w:fldCharType="separate"/>
            </w:r>
            <w:r w:rsidR="00710055">
              <w:rPr>
                <w:noProof/>
                <w:webHidden/>
              </w:rPr>
              <w:t>264</w:t>
            </w:r>
            <w:r>
              <w:rPr>
                <w:noProof/>
                <w:webHidden/>
              </w:rPr>
              <w:fldChar w:fldCharType="end"/>
            </w:r>
          </w:hyperlink>
        </w:p>
        <w:p w:rsidR="00710055" w:rsidRDefault="00EB1324">
          <w:pPr>
            <w:pStyle w:val="TOC1"/>
            <w:rPr>
              <w:b w:val="0"/>
              <w:noProof/>
              <w:sz w:val="24"/>
              <w:szCs w:val="24"/>
              <w:lang w:val="en-US" w:eastAsia="en-US"/>
            </w:rPr>
          </w:pPr>
          <w:hyperlink w:anchor="_Toc521184286" w:history="1">
            <w:r w:rsidR="00710055" w:rsidRPr="00B2025E">
              <w:rPr>
                <w:rStyle w:val="Hyperlink"/>
                <w:noProof/>
              </w:rPr>
              <w:t>Appendix IV</w:t>
            </w:r>
            <w:r w:rsidR="00710055">
              <w:rPr>
                <w:noProof/>
                <w:webHidden/>
              </w:rPr>
              <w:tab/>
            </w:r>
            <w:r>
              <w:rPr>
                <w:noProof/>
                <w:webHidden/>
              </w:rPr>
              <w:fldChar w:fldCharType="begin"/>
            </w:r>
            <w:r w:rsidR="00710055">
              <w:rPr>
                <w:noProof/>
                <w:webHidden/>
              </w:rPr>
              <w:instrText xml:space="preserve"> PAGEREF _Toc521184286 \h </w:instrText>
            </w:r>
            <w:r>
              <w:rPr>
                <w:noProof/>
                <w:webHidden/>
              </w:rPr>
            </w:r>
            <w:r>
              <w:rPr>
                <w:noProof/>
                <w:webHidden/>
              </w:rPr>
              <w:fldChar w:fldCharType="separate"/>
            </w:r>
            <w:r w:rsidR="00710055">
              <w:rPr>
                <w:noProof/>
                <w:webHidden/>
              </w:rPr>
              <w:t>278</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87" w:history="1">
            <w:r w:rsidR="00710055" w:rsidRPr="00B2025E">
              <w:rPr>
                <w:rStyle w:val="Hyperlink"/>
                <w:noProof/>
              </w:rPr>
              <w:t>The OTDL-G</w:t>
            </w:r>
            <w:r w:rsidR="00710055">
              <w:rPr>
                <w:noProof/>
                <w:webHidden/>
              </w:rPr>
              <w:tab/>
            </w:r>
            <w:r>
              <w:rPr>
                <w:noProof/>
                <w:webHidden/>
              </w:rPr>
              <w:fldChar w:fldCharType="begin"/>
            </w:r>
            <w:r w:rsidR="00710055">
              <w:rPr>
                <w:noProof/>
                <w:webHidden/>
              </w:rPr>
              <w:instrText xml:space="preserve"> PAGEREF _Toc521184287 \h </w:instrText>
            </w:r>
            <w:r>
              <w:rPr>
                <w:noProof/>
                <w:webHidden/>
              </w:rPr>
            </w:r>
            <w:r>
              <w:rPr>
                <w:noProof/>
                <w:webHidden/>
              </w:rPr>
              <w:fldChar w:fldCharType="separate"/>
            </w:r>
            <w:r w:rsidR="00710055">
              <w:rPr>
                <w:noProof/>
                <w:webHidden/>
              </w:rPr>
              <w:t>278</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88" w:history="1">
            <w:r w:rsidR="00710055" w:rsidRPr="00B2025E">
              <w:rPr>
                <w:rStyle w:val="Hyperlink"/>
                <w:noProof/>
              </w:rPr>
              <w:t>Material for medication handling</w:t>
            </w:r>
            <w:r w:rsidR="00710055">
              <w:rPr>
                <w:noProof/>
                <w:webHidden/>
              </w:rPr>
              <w:tab/>
            </w:r>
            <w:r>
              <w:rPr>
                <w:noProof/>
                <w:webHidden/>
              </w:rPr>
              <w:fldChar w:fldCharType="begin"/>
            </w:r>
            <w:r w:rsidR="00710055">
              <w:rPr>
                <w:noProof/>
                <w:webHidden/>
              </w:rPr>
              <w:instrText xml:space="preserve"> PAGEREF _Toc521184288 \h </w:instrText>
            </w:r>
            <w:r>
              <w:rPr>
                <w:noProof/>
                <w:webHidden/>
              </w:rPr>
            </w:r>
            <w:r>
              <w:rPr>
                <w:noProof/>
                <w:webHidden/>
              </w:rPr>
              <w:fldChar w:fldCharType="separate"/>
            </w:r>
            <w:r w:rsidR="00710055">
              <w:rPr>
                <w:noProof/>
                <w:webHidden/>
              </w:rPr>
              <w:t>294</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89" w:history="1">
            <w:r w:rsidR="00710055" w:rsidRPr="00B2025E">
              <w:rPr>
                <w:rStyle w:val="Hyperlink"/>
                <w:noProof/>
              </w:rPr>
              <w:t>Material for telephone handling</w:t>
            </w:r>
            <w:r w:rsidR="00710055">
              <w:rPr>
                <w:noProof/>
                <w:webHidden/>
              </w:rPr>
              <w:tab/>
            </w:r>
            <w:r>
              <w:rPr>
                <w:noProof/>
                <w:webHidden/>
              </w:rPr>
              <w:fldChar w:fldCharType="begin"/>
            </w:r>
            <w:r w:rsidR="00710055">
              <w:rPr>
                <w:noProof/>
                <w:webHidden/>
              </w:rPr>
              <w:instrText xml:space="preserve"> PAGEREF _Toc521184289 \h </w:instrText>
            </w:r>
            <w:r>
              <w:rPr>
                <w:noProof/>
                <w:webHidden/>
              </w:rPr>
            </w:r>
            <w:r>
              <w:rPr>
                <w:noProof/>
                <w:webHidden/>
              </w:rPr>
              <w:fldChar w:fldCharType="separate"/>
            </w:r>
            <w:r w:rsidR="00710055">
              <w:rPr>
                <w:noProof/>
                <w:webHidden/>
              </w:rPr>
              <w:t>297</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90" w:history="1">
            <w:r w:rsidR="00710055" w:rsidRPr="00B2025E">
              <w:rPr>
                <w:rStyle w:val="Hyperlink"/>
                <w:noProof/>
              </w:rPr>
              <w:t>Material for finance handling</w:t>
            </w:r>
            <w:r w:rsidR="00710055">
              <w:rPr>
                <w:noProof/>
                <w:webHidden/>
              </w:rPr>
              <w:tab/>
            </w:r>
            <w:r>
              <w:rPr>
                <w:noProof/>
                <w:webHidden/>
              </w:rPr>
              <w:fldChar w:fldCharType="begin"/>
            </w:r>
            <w:r w:rsidR="00710055">
              <w:rPr>
                <w:noProof/>
                <w:webHidden/>
              </w:rPr>
              <w:instrText xml:space="preserve"> PAGEREF _Toc521184290 \h </w:instrText>
            </w:r>
            <w:r>
              <w:rPr>
                <w:noProof/>
                <w:webHidden/>
              </w:rPr>
            </w:r>
            <w:r>
              <w:rPr>
                <w:noProof/>
                <w:webHidden/>
              </w:rPr>
              <w:fldChar w:fldCharType="separate"/>
            </w:r>
            <w:r w:rsidR="00710055">
              <w:rPr>
                <w:noProof/>
                <w:webHidden/>
              </w:rPr>
              <w:t>300</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91" w:history="1">
            <w:r w:rsidR="00710055" w:rsidRPr="00B2025E">
              <w:rPr>
                <w:rStyle w:val="Hyperlink"/>
                <w:noProof/>
              </w:rPr>
              <w:t>Question cards</w:t>
            </w:r>
            <w:r w:rsidR="00710055">
              <w:rPr>
                <w:noProof/>
                <w:webHidden/>
              </w:rPr>
              <w:tab/>
            </w:r>
            <w:r>
              <w:rPr>
                <w:noProof/>
                <w:webHidden/>
              </w:rPr>
              <w:fldChar w:fldCharType="begin"/>
            </w:r>
            <w:r w:rsidR="00710055">
              <w:rPr>
                <w:noProof/>
                <w:webHidden/>
              </w:rPr>
              <w:instrText xml:space="preserve"> PAGEREF _Toc521184291 \h </w:instrText>
            </w:r>
            <w:r>
              <w:rPr>
                <w:noProof/>
                <w:webHidden/>
              </w:rPr>
            </w:r>
            <w:r>
              <w:rPr>
                <w:noProof/>
                <w:webHidden/>
              </w:rPr>
              <w:fldChar w:fldCharType="separate"/>
            </w:r>
            <w:r w:rsidR="00710055">
              <w:rPr>
                <w:noProof/>
                <w:webHidden/>
              </w:rPr>
              <w:t>304</w:t>
            </w:r>
            <w:r>
              <w:rPr>
                <w:noProof/>
                <w:webHidden/>
              </w:rPr>
              <w:fldChar w:fldCharType="end"/>
            </w:r>
          </w:hyperlink>
        </w:p>
        <w:p w:rsidR="00710055" w:rsidRDefault="00EB1324">
          <w:pPr>
            <w:pStyle w:val="TOC1"/>
            <w:rPr>
              <w:b w:val="0"/>
              <w:noProof/>
              <w:sz w:val="24"/>
              <w:szCs w:val="24"/>
              <w:lang w:val="en-US" w:eastAsia="en-US"/>
            </w:rPr>
          </w:pPr>
          <w:hyperlink w:anchor="_Toc521184292" w:history="1">
            <w:r w:rsidR="00710055" w:rsidRPr="00B2025E">
              <w:rPr>
                <w:rStyle w:val="Hyperlink"/>
                <w:noProof/>
              </w:rPr>
              <w:t>Appendix V</w:t>
            </w:r>
            <w:r w:rsidR="00710055">
              <w:rPr>
                <w:noProof/>
                <w:webHidden/>
              </w:rPr>
              <w:tab/>
            </w:r>
            <w:r>
              <w:rPr>
                <w:noProof/>
                <w:webHidden/>
              </w:rPr>
              <w:fldChar w:fldCharType="begin"/>
            </w:r>
            <w:r w:rsidR="00710055">
              <w:rPr>
                <w:noProof/>
                <w:webHidden/>
              </w:rPr>
              <w:instrText xml:space="preserve"> PAGEREF _Toc521184292 \h </w:instrText>
            </w:r>
            <w:r>
              <w:rPr>
                <w:noProof/>
                <w:webHidden/>
              </w:rPr>
            </w:r>
            <w:r>
              <w:rPr>
                <w:noProof/>
                <w:webHidden/>
              </w:rPr>
              <w:fldChar w:fldCharType="separate"/>
            </w:r>
            <w:r w:rsidR="00710055">
              <w:rPr>
                <w:noProof/>
                <w:webHidden/>
              </w:rPr>
              <w:t>311</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93" w:history="1">
            <w:r w:rsidR="00710055" w:rsidRPr="00B2025E">
              <w:rPr>
                <w:rStyle w:val="Hyperlink"/>
                <w:noProof/>
              </w:rPr>
              <w:t>The</w:t>
            </w:r>
            <w:r w:rsidR="00710055" w:rsidRPr="00B2025E">
              <w:rPr>
                <w:rStyle w:val="Hyperlink"/>
                <w:noProof/>
                <w:lang w:val="el-GR"/>
              </w:rPr>
              <w:t xml:space="preserve"> </w:t>
            </w:r>
            <w:r w:rsidR="00710055" w:rsidRPr="00B2025E">
              <w:rPr>
                <w:rStyle w:val="Hyperlink"/>
                <w:noProof/>
              </w:rPr>
              <w:t>EPT</w:t>
            </w:r>
            <w:r w:rsidR="00710055" w:rsidRPr="00B2025E">
              <w:rPr>
                <w:rStyle w:val="Hyperlink"/>
                <w:noProof/>
                <w:lang w:val="el-GR"/>
              </w:rPr>
              <w:t>-</w:t>
            </w:r>
            <w:r w:rsidR="00710055" w:rsidRPr="00B2025E">
              <w:rPr>
                <w:rStyle w:val="Hyperlink"/>
                <w:noProof/>
              </w:rPr>
              <w:t>G</w:t>
            </w:r>
            <w:r w:rsidR="00710055">
              <w:rPr>
                <w:noProof/>
                <w:webHidden/>
              </w:rPr>
              <w:tab/>
            </w:r>
            <w:r>
              <w:rPr>
                <w:noProof/>
                <w:webHidden/>
              </w:rPr>
              <w:fldChar w:fldCharType="begin"/>
            </w:r>
            <w:r w:rsidR="00710055">
              <w:rPr>
                <w:noProof/>
                <w:webHidden/>
              </w:rPr>
              <w:instrText xml:space="preserve"> PAGEREF _Toc521184293 \h </w:instrText>
            </w:r>
            <w:r>
              <w:rPr>
                <w:noProof/>
                <w:webHidden/>
              </w:rPr>
            </w:r>
            <w:r>
              <w:rPr>
                <w:noProof/>
                <w:webHidden/>
              </w:rPr>
              <w:fldChar w:fldCharType="separate"/>
            </w:r>
            <w:r w:rsidR="00710055">
              <w:rPr>
                <w:noProof/>
                <w:webHidden/>
              </w:rPr>
              <w:t>311</w:t>
            </w:r>
            <w:r>
              <w:rPr>
                <w:noProof/>
                <w:webHidden/>
              </w:rPr>
              <w:fldChar w:fldCharType="end"/>
            </w:r>
          </w:hyperlink>
        </w:p>
        <w:p w:rsidR="00710055" w:rsidRDefault="00EB1324">
          <w:pPr>
            <w:pStyle w:val="TOC1"/>
            <w:rPr>
              <w:b w:val="0"/>
              <w:noProof/>
              <w:sz w:val="24"/>
              <w:szCs w:val="24"/>
              <w:lang w:val="en-US" w:eastAsia="en-US"/>
            </w:rPr>
          </w:pPr>
          <w:hyperlink w:anchor="_Toc521184294" w:history="1">
            <w:r w:rsidR="00710055" w:rsidRPr="00B2025E">
              <w:rPr>
                <w:rStyle w:val="Hyperlink"/>
                <w:noProof/>
              </w:rPr>
              <w:t>Appendix VI</w:t>
            </w:r>
            <w:r w:rsidR="00710055">
              <w:rPr>
                <w:noProof/>
                <w:webHidden/>
              </w:rPr>
              <w:tab/>
            </w:r>
            <w:r>
              <w:rPr>
                <w:noProof/>
                <w:webHidden/>
              </w:rPr>
              <w:fldChar w:fldCharType="begin"/>
            </w:r>
            <w:r w:rsidR="00710055">
              <w:rPr>
                <w:noProof/>
                <w:webHidden/>
              </w:rPr>
              <w:instrText xml:space="preserve"> PAGEREF _Toc521184294 \h </w:instrText>
            </w:r>
            <w:r>
              <w:rPr>
                <w:noProof/>
                <w:webHidden/>
              </w:rPr>
            </w:r>
            <w:r>
              <w:rPr>
                <w:noProof/>
                <w:webHidden/>
              </w:rPr>
              <w:fldChar w:fldCharType="separate"/>
            </w:r>
            <w:r w:rsidR="00710055">
              <w:rPr>
                <w:noProof/>
                <w:webHidden/>
              </w:rPr>
              <w:t>325</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95" w:history="1">
            <w:r w:rsidR="00710055" w:rsidRPr="00B2025E">
              <w:rPr>
                <w:rStyle w:val="Hyperlink"/>
                <w:noProof/>
              </w:rPr>
              <w:t>Scoring Manual for the OTDL-G</w:t>
            </w:r>
            <w:r w:rsidR="00710055">
              <w:rPr>
                <w:noProof/>
                <w:webHidden/>
              </w:rPr>
              <w:tab/>
            </w:r>
            <w:r>
              <w:rPr>
                <w:noProof/>
                <w:webHidden/>
              </w:rPr>
              <w:fldChar w:fldCharType="begin"/>
            </w:r>
            <w:r w:rsidR="00710055">
              <w:rPr>
                <w:noProof/>
                <w:webHidden/>
              </w:rPr>
              <w:instrText xml:space="preserve"> PAGEREF _Toc521184295 \h </w:instrText>
            </w:r>
            <w:r>
              <w:rPr>
                <w:noProof/>
                <w:webHidden/>
              </w:rPr>
            </w:r>
            <w:r>
              <w:rPr>
                <w:noProof/>
                <w:webHidden/>
              </w:rPr>
              <w:fldChar w:fldCharType="separate"/>
            </w:r>
            <w:r w:rsidR="00710055">
              <w:rPr>
                <w:noProof/>
                <w:webHidden/>
              </w:rPr>
              <w:t>325</w:t>
            </w:r>
            <w:r>
              <w:rPr>
                <w:noProof/>
                <w:webHidden/>
              </w:rPr>
              <w:fldChar w:fldCharType="end"/>
            </w:r>
          </w:hyperlink>
        </w:p>
        <w:p w:rsidR="00710055" w:rsidRDefault="00EB1324">
          <w:pPr>
            <w:pStyle w:val="TOC1"/>
            <w:rPr>
              <w:b w:val="0"/>
              <w:noProof/>
              <w:sz w:val="24"/>
              <w:szCs w:val="24"/>
              <w:lang w:val="en-US" w:eastAsia="en-US"/>
            </w:rPr>
          </w:pPr>
          <w:hyperlink w:anchor="_Toc521184296" w:history="1">
            <w:r w:rsidR="00710055" w:rsidRPr="00B2025E">
              <w:rPr>
                <w:rStyle w:val="Hyperlink"/>
                <w:noProof/>
              </w:rPr>
              <w:t>Appendix VII</w:t>
            </w:r>
            <w:r w:rsidR="00710055">
              <w:rPr>
                <w:noProof/>
                <w:webHidden/>
              </w:rPr>
              <w:tab/>
            </w:r>
            <w:r>
              <w:rPr>
                <w:noProof/>
                <w:webHidden/>
              </w:rPr>
              <w:fldChar w:fldCharType="begin"/>
            </w:r>
            <w:r w:rsidR="00710055">
              <w:rPr>
                <w:noProof/>
                <w:webHidden/>
              </w:rPr>
              <w:instrText xml:space="preserve"> PAGEREF _Toc521184296 \h </w:instrText>
            </w:r>
            <w:r>
              <w:rPr>
                <w:noProof/>
                <w:webHidden/>
              </w:rPr>
            </w:r>
            <w:r>
              <w:rPr>
                <w:noProof/>
                <w:webHidden/>
              </w:rPr>
              <w:fldChar w:fldCharType="separate"/>
            </w:r>
            <w:r w:rsidR="00710055">
              <w:rPr>
                <w:noProof/>
                <w:webHidden/>
              </w:rPr>
              <w:t>329</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297" w:history="1">
            <w:r w:rsidR="00710055" w:rsidRPr="00B2025E">
              <w:rPr>
                <w:rStyle w:val="Hyperlink"/>
                <w:noProof/>
              </w:rPr>
              <w:t>Scoring Manual for the EPT-G</w:t>
            </w:r>
            <w:r w:rsidR="00710055">
              <w:rPr>
                <w:noProof/>
                <w:webHidden/>
              </w:rPr>
              <w:tab/>
            </w:r>
            <w:r>
              <w:rPr>
                <w:noProof/>
                <w:webHidden/>
              </w:rPr>
              <w:fldChar w:fldCharType="begin"/>
            </w:r>
            <w:r w:rsidR="00710055">
              <w:rPr>
                <w:noProof/>
                <w:webHidden/>
              </w:rPr>
              <w:instrText xml:space="preserve"> PAGEREF _Toc521184297 \h </w:instrText>
            </w:r>
            <w:r>
              <w:rPr>
                <w:noProof/>
                <w:webHidden/>
              </w:rPr>
            </w:r>
            <w:r>
              <w:rPr>
                <w:noProof/>
                <w:webHidden/>
              </w:rPr>
              <w:fldChar w:fldCharType="separate"/>
            </w:r>
            <w:r w:rsidR="00710055">
              <w:rPr>
                <w:noProof/>
                <w:webHidden/>
              </w:rPr>
              <w:t>329</w:t>
            </w:r>
            <w:r>
              <w:rPr>
                <w:noProof/>
                <w:webHidden/>
              </w:rPr>
              <w:fldChar w:fldCharType="end"/>
            </w:r>
          </w:hyperlink>
        </w:p>
        <w:p w:rsidR="00710055" w:rsidRDefault="00EB1324">
          <w:pPr>
            <w:pStyle w:val="TOC1"/>
            <w:rPr>
              <w:b w:val="0"/>
              <w:noProof/>
              <w:sz w:val="24"/>
              <w:szCs w:val="24"/>
              <w:lang w:val="en-US" w:eastAsia="en-US"/>
            </w:rPr>
          </w:pPr>
          <w:hyperlink w:anchor="_Toc521184298" w:history="1">
            <w:r w:rsidR="00710055" w:rsidRPr="00B2025E">
              <w:rPr>
                <w:rStyle w:val="Hyperlink"/>
                <w:noProof/>
              </w:rPr>
              <w:t>Appendix VIII</w:t>
            </w:r>
            <w:r w:rsidR="00710055">
              <w:rPr>
                <w:noProof/>
                <w:webHidden/>
              </w:rPr>
              <w:tab/>
            </w:r>
            <w:r>
              <w:rPr>
                <w:noProof/>
                <w:webHidden/>
              </w:rPr>
              <w:fldChar w:fldCharType="begin"/>
            </w:r>
            <w:r w:rsidR="00710055">
              <w:rPr>
                <w:noProof/>
                <w:webHidden/>
              </w:rPr>
              <w:instrText xml:space="preserve"> PAGEREF _Toc521184298 \h </w:instrText>
            </w:r>
            <w:r>
              <w:rPr>
                <w:noProof/>
                <w:webHidden/>
              </w:rPr>
            </w:r>
            <w:r>
              <w:rPr>
                <w:noProof/>
                <w:webHidden/>
              </w:rPr>
              <w:fldChar w:fldCharType="separate"/>
            </w:r>
            <w:r w:rsidR="00710055">
              <w:rPr>
                <w:noProof/>
                <w:webHidden/>
              </w:rPr>
              <w:t>331</w:t>
            </w:r>
            <w:r>
              <w:rPr>
                <w:noProof/>
                <w:webHidden/>
              </w:rPr>
              <w:fldChar w:fldCharType="end"/>
            </w:r>
          </w:hyperlink>
        </w:p>
        <w:p w:rsidR="00710055" w:rsidRDefault="00EB1324">
          <w:pPr>
            <w:pStyle w:val="TOC2"/>
            <w:tabs>
              <w:tab w:val="right" w:leader="dot" w:pos="9017"/>
            </w:tabs>
            <w:rPr>
              <w:i w:val="0"/>
              <w:noProof/>
              <w:sz w:val="24"/>
              <w:szCs w:val="24"/>
              <w:lang w:val="en-US" w:eastAsia="en-US"/>
            </w:rPr>
          </w:pPr>
          <w:hyperlink w:anchor="_Toc521184299" w:history="1">
            <w:r w:rsidR="00710055" w:rsidRPr="00B2025E">
              <w:rPr>
                <w:rStyle w:val="Hyperlink"/>
                <w:noProof/>
              </w:rPr>
              <w:t>Questionnaires (Translated)</w:t>
            </w:r>
            <w:r w:rsidR="00710055">
              <w:rPr>
                <w:noProof/>
                <w:webHidden/>
              </w:rPr>
              <w:tab/>
            </w:r>
            <w:r>
              <w:rPr>
                <w:noProof/>
                <w:webHidden/>
              </w:rPr>
              <w:fldChar w:fldCharType="begin"/>
            </w:r>
            <w:r w:rsidR="00710055">
              <w:rPr>
                <w:noProof/>
                <w:webHidden/>
              </w:rPr>
              <w:instrText xml:space="preserve"> PAGEREF _Toc521184299 \h </w:instrText>
            </w:r>
            <w:r>
              <w:rPr>
                <w:noProof/>
                <w:webHidden/>
              </w:rPr>
            </w:r>
            <w:r>
              <w:rPr>
                <w:noProof/>
                <w:webHidden/>
              </w:rPr>
              <w:fldChar w:fldCharType="separate"/>
            </w:r>
            <w:r w:rsidR="00710055">
              <w:rPr>
                <w:noProof/>
                <w:webHidden/>
              </w:rPr>
              <w:t>331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300" w:history="1">
            <w:r w:rsidR="00710055" w:rsidRPr="00B2025E">
              <w:rPr>
                <w:rStyle w:val="Hyperlink"/>
                <w:noProof/>
              </w:rPr>
              <w:t>Mental activities</w:t>
            </w:r>
            <w:r w:rsidR="00710055">
              <w:rPr>
                <w:noProof/>
                <w:webHidden/>
              </w:rPr>
              <w:tab/>
            </w:r>
            <w:r>
              <w:rPr>
                <w:noProof/>
                <w:webHidden/>
              </w:rPr>
              <w:fldChar w:fldCharType="begin"/>
            </w:r>
            <w:r w:rsidR="00710055">
              <w:rPr>
                <w:noProof/>
                <w:webHidden/>
              </w:rPr>
              <w:instrText xml:space="preserve"> PAGEREF _Toc521184300 \h </w:instrText>
            </w:r>
            <w:r>
              <w:rPr>
                <w:noProof/>
                <w:webHidden/>
              </w:rPr>
            </w:r>
            <w:r>
              <w:rPr>
                <w:noProof/>
                <w:webHidden/>
              </w:rPr>
              <w:fldChar w:fldCharType="separate"/>
            </w:r>
            <w:r w:rsidR="00710055">
              <w:rPr>
                <w:noProof/>
                <w:webHidden/>
              </w:rPr>
              <w:t>331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301" w:history="1">
            <w:r w:rsidR="00710055" w:rsidRPr="00B2025E">
              <w:rPr>
                <w:rStyle w:val="Hyperlink"/>
                <w:noProof/>
              </w:rPr>
              <w:t>Other activities</w:t>
            </w:r>
            <w:r w:rsidR="00710055">
              <w:rPr>
                <w:noProof/>
                <w:webHidden/>
              </w:rPr>
              <w:tab/>
            </w:r>
            <w:r>
              <w:rPr>
                <w:noProof/>
                <w:webHidden/>
              </w:rPr>
              <w:fldChar w:fldCharType="begin"/>
            </w:r>
            <w:r w:rsidR="00710055">
              <w:rPr>
                <w:noProof/>
                <w:webHidden/>
              </w:rPr>
              <w:instrText xml:space="preserve"> PAGEREF _Toc521184301 \h </w:instrText>
            </w:r>
            <w:r>
              <w:rPr>
                <w:noProof/>
                <w:webHidden/>
              </w:rPr>
            </w:r>
            <w:r>
              <w:rPr>
                <w:noProof/>
                <w:webHidden/>
              </w:rPr>
              <w:fldChar w:fldCharType="separate"/>
            </w:r>
            <w:r w:rsidR="00710055">
              <w:rPr>
                <w:noProof/>
                <w:webHidden/>
              </w:rPr>
              <w:t>331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302" w:history="1">
            <w:r w:rsidR="00710055" w:rsidRPr="00B2025E">
              <w:rPr>
                <w:rStyle w:val="Hyperlink"/>
                <w:noProof/>
              </w:rPr>
              <w:t>Social participation</w:t>
            </w:r>
            <w:r w:rsidR="00710055">
              <w:rPr>
                <w:noProof/>
                <w:webHidden/>
              </w:rPr>
              <w:tab/>
            </w:r>
            <w:r>
              <w:rPr>
                <w:noProof/>
                <w:webHidden/>
              </w:rPr>
              <w:fldChar w:fldCharType="begin"/>
            </w:r>
            <w:r w:rsidR="00710055">
              <w:rPr>
                <w:noProof/>
                <w:webHidden/>
              </w:rPr>
              <w:instrText xml:space="preserve"> PAGEREF _Toc521184302 \h </w:instrText>
            </w:r>
            <w:r>
              <w:rPr>
                <w:noProof/>
                <w:webHidden/>
              </w:rPr>
            </w:r>
            <w:r>
              <w:rPr>
                <w:noProof/>
                <w:webHidden/>
              </w:rPr>
              <w:fldChar w:fldCharType="separate"/>
            </w:r>
            <w:r w:rsidR="00710055">
              <w:rPr>
                <w:noProof/>
                <w:webHidden/>
              </w:rPr>
              <w:t>331</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303" w:history="1">
            <w:r w:rsidR="00710055" w:rsidRPr="00B2025E">
              <w:rPr>
                <w:rStyle w:val="Hyperlink"/>
                <w:noProof/>
              </w:rPr>
              <w:t>Social network</w:t>
            </w:r>
            <w:r w:rsidR="00710055">
              <w:rPr>
                <w:noProof/>
                <w:webHidden/>
              </w:rPr>
              <w:tab/>
            </w:r>
            <w:r>
              <w:rPr>
                <w:noProof/>
                <w:webHidden/>
              </w:rPr>
              <w:fldChar w:fldCharType="begin"/>
            </w:r>
            <w:r w:rsidR="00710055">
              <w:rPr>
                <w:noProof/>
                <w:webHidden/>
              </w:rPr>
              <w:instrText xml:space="preserve"> PAGEREF _Toc521184303 \h </w:instrText>
            </w:r>
            <w:r>
              <w:rPr>
                <w:noProof/>
                <w:webHidden/>
              </w:rPr>
            </w:r>
            <w:r>
              <w:rPr>
                <w:noProof/>
                <w:webHidden/>
              </w:rPr>
              <w:fldChar w:fldCharType="separate"/>
            </w:r>
            <w:r w:rsidR="00710055">
              <w:rPr>
                <w:noProof/>
                <w:webHidden/>
              </w:rPr>
              <w:t>332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304" w:history="1">
            <w:r w:rsidR="00710055" w:rsidRPr="00B2025E">
              <w:rPr>
                <w:rStyle w:val="Hyperlink"/>
                <w:noProof/>
              </w:rPr>
              <w:t>Loneliness</w:t>
            </w:r>
            <w:r w:rsidR="00710055">
              <w:rPr>
                <w:noProof/>
                <w:webHidden/>
              </w:rPr>
              <w:tab/>
            </w:r>
            <w:r>
              <w:rPr>
                <w:noProof/>
                <w:webHidden/>
              </w:rPr>
              <w:fldChar w:fldCharType="begin"/>
            </w:r>
            <w:r w:rsidR="00710055">
              <w:rPr>
                <w:noProof/>
                <w:webHidden/>
              </w:rPr>
              <w:instrText xml:space="preserve"> PAGEREF _Toc521184304 \h </w:instrText>
            </w:r>
            <w:r>
              <w:rPr>
                <w:noProof/>
                <w:webHidden/>
              </w:rPr>
            </w:r>
            <w:r>
              <w:rPr>
                <w:noProof/>
                <w:webHidden/>
              </w:rPr>
              <w:fldChar w:fldCharType="separate"/>
            </w:r>
            <w:r w:rsidR="00710055">
              <w:rPr>
                <w:noProof/>
                <w:webHidden/>
              </w:rPr>
              <w:t>332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305" w:history="1">
            <w:r w:rsidR="00710055" w:rsidRPr="00B2025E">
              <w:rPr>
                <w:rStyle w:val="Hyperlink"/>
                <w:noProof/>
              </w:rPr>
              <w:t>Perceived Health</w:t>
            </w:r>
            <w:r w:rsidR="00710055">
              <w:rPr>
                <w:noProof/>
                <w:webHidden/>
              </w:rPr>
              <w:tab/>
            </w:r>
            <w:r>
              <w:rPr>
                <w:noProof/>
                <w:webHidden/>
              </w:rPr>
              <w:fldChar w:fldCharType="begin"/>
            </w:r>
            <w:r w:rsidR="00710055">
              <w:rPr>
                <w:noProof/>
                <w:webHidden/>
              </w:rPr>
              <w:instrText xml:space="preserve"> PAGEREF _Toc521184305 \h </w:instrText>
            </w:r>
            <w:r>
              <w:rPr>
                <w:noProof/>
                <w:webHidden/>
              </w:rPr>
            </w:r>
            <w:r>
              <w:rPr>
                <w:noProof/>
                <w:webHidden/>
              </w:rPr>
              <w:fldChar w:fldCharType="separate"/>
            </w:r>
            <w:r w:rsidR="00710055">
              <w:rPr>
                <w:noProof/>
                <w:webHidden/>
              </w:rPr>
              <w:t>332</w:t>
            </w:r>
            <w:r>
              <w:rPr>
                <w:noProof/>
                <w:webHidden/>
              </w:rPr>
              <w:fldChar w:fldCharType="end"/>
            </w:r>
          </w:hyperlink>
        </w:p>
        <w:p w:rsidR="00710055" w:rsidRDefault="00EB1324">
          <w:pPr>
            <w:pStyle w:val="TOC3"/>
            <w:tabs>
              <w:tab w:val="right" w:leader="dot" w:pos="9017"/>
            </w:tabs>
            <w:rPr>
              <w:noProof/>
              <w:sz w:val="24"/>
              <w:szCs w:val="24"/>
              <w:lang w:val="en-US" w:eastAsia="en-US"/>
            </w:rPr>
          </w:pPr>
          <w:hyperlink w:anchor="_Toc521184306" w:history="1">
            <w:r w:rsidR="00710055" w:rsidRPr="00B2025E">
              <w:rPr>
                <w:rStyle w:val="Hyperlink"/>
                <w:noProof/>
              </w:rPr>
              <w:t>Demographics</w:t>
            </w:r>
            <w:r w:rsidR="00710055">
              <w:rPr>
                <w:noProof/>
                <w:webHidden/>
              </w:rPr>
              <w:tab/>
            </w:r>
            <w:r>
              <w:rPr>
                <w:noProof/>
                <w:webHidden/>
              </w:rPr>
              <w:fldChar w:fldCharType="begin"/>
            </w:r>
            <w:r w:rsidR="00710055">
              <w:rPr>
                <w:noProof/>
                <w:webHidden/>
              </w:rPr>
              <w:instrText xml:space="preserve"> PAGEREF _Toc521184306 \h </w:instrText>
            </w:r>
            <w:r>
              <w:rPr>
                <w:noProof/>
                <w:webHidden/>
              </w:rPr>
            </w:r>
            <w:r>
              <w:rPr>
                <w:noProof/>
                <w:webHidden/>
              </w:rPr>
              <w:fldChar w:fldCharType="separate"/>
            </w:r>
            <w:r w:rsidR="00710055">
              <w:rPr>
                <w:noProof/>
                <w:webHidden/>
              </w:rPr>
              <w:t>332</w:t>
            </w:r>
            <w:r>
              <w:rPr>
                <w:noProof/>
                <w:webHidden/>
              </w:rPr>
              <w:fldChar w:fldCharType="end"/>
            </w:r>
          </w:hyperlink>
        </w:p>
        <w:p w:rsidR="000B7495" w:rsidRDefault="00EB1324">
          <w:r>
            <w:rPr>
              <w:b/>
              <w:bCs/>
              <w:noProof/>
            </w:rPr>
            <w:fldChar w:fldCharType="end"/>
          </w:r>
        </w:p>
      </w:sdtContent>
    </w:sdt>
    <w:p w:rsidR="00A3133D" w:rsidRDefault="00A3133D">
      <w:pPr>
        <w:rPr>
          <w:rFonts w:ascii="Times New Roman" w:eastAsiaTheme="majorEastAsia" w:hAnsi="Times New Roman" w:cstheme="majorBidi"/>
          <w:b/>
          <w:bCs/>
          <w:szCs w:val="32"/>
        </w:rPr>
      </w:pPr>
      <w:bookmarkStart w:id="21" w:name="_Toc373425921"/>
      <w:r>
        <w:br w:type="page"/>
      </w:r>
    </w:p>
    <w:p w:rsidR="00A35A60" w:rsidRPr="00CF7468" w:rsidRDefault="00A35A60" w:rsidP="00A35A60">
      <w:pPr>
        <w:pStyle w:val="Heading1"/>
      </w:pPr>
      <w:bookmarkStart w:id="22" w:name="_Toc521184159"/>
      <w:r w:rsidRPr="00CF7468">
        <w:lastRenderedPageBreak/>
        <w:t>Glossary</w:t>
      </w:r>
      <w:bookmarkEnd w:id="22"/>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 xml:space="preserve">ACTIVE = </w:t>
      </w:r>
      <w:r w:rsidRPr="007F1E35">
        <w:rPr>
          <w:rFonts w:ascii="Times New Roman" w:hAnsi="Times New Roman" w:cs="Times New Roman"/>
        </w:rPr>
        <w:t>Advanced Cognitive Training for Independent and Vital Elderly</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ADL = Activities of Daily Living</w:t>
      </w:r>
    </w:p>
    <w:p w:rsidR="000F6A15" w:rsidRDefault="000F6A15" w:rsidP="000F6A15">
      <w:pPr>
        <w:spacing w:line="360" w:lineRule="auto"/>
        <w:rPr>
          <w:rFonts w:ascii="Times New Roman" w:hAnsi="Times New Roman" w:cs="Times New Roman"/>
        </w:rPr>
      </w:pPr>
      <w:r>
        <w:rPr>
          <w:rFonts w:ascii="Times New Roman" w:hAnsi="Times New Roman" w:cs="Times New Roman"/>
        </w:rPr>
        <w:t>APA = American Psychological Assosiation</w:t>
      </w:r>
    </w:p>
    <w:p w:rsidR="000F6A15" w:rsidRPr="0011062F" w:rsidRDefault="000F6A15" w:rsidP="000F6A15">
      <w:pPr>
        <w:spacing w:line="360" w:lineRule="auto"/>
        <w:rPr>
          <w:rFonts w:ascii="Times New Roman" w:hAnsi="Times New Roman" w:cs="Times New Roman"/>
        </w:rPr>
      </w:pPr>
      <w:r>
        <w:rPr>
          <w:rFonts w:ascii="Times New Roman" w:hAnsi="Times New Roman" w:cs="Times New Roman"/>
        </w:rPr>
        <w:t xml:space="preserve">BDNF = </w:t>
      </w:r>
      <w:r w:rsidRPr="00866D19">
        <w:rPr>
          <w:rFonts w:ascii="Times New Roman" w:hAnsi="Times New Roman" w:cs="Times New Roman"/>
        </w:rPr>
        <w:t>Brain Derived Neurotrophic Factor</w:t>
      </w:r>
    </w:p>
    <w:p w:rsidR="000F6A15" w:rsidRDefault="000F6A15" w:rsidP="000F6A15">
      <w:pPr>
        <w:spacing w:line="360" w:lineRule="auto"/>
        <w:rPr>
          <w:rFonts w:ascii="Times New Roman" w:hAnsi="Times New Roman" w:cs="Times New Roman"/>
        </w:rPr>
      </w:pPr>
      <w:r>
        <w:rPr>
          <w:rFonts w:ascii="Times New Roman" w:hAnsi="Times New Roman" w:cs="Times New Roman"/>
        </w:rPr>
        <w:t xml:space="preserve">BLSA = </w:t>
      </w:r>
      <w:r w:rsidRPr="0011062F">
        <w:rPr>
          <w:rFonts w:ascii="Times New Roman" w:hAnsi="Times New Roman" w:cs="Times New Roman"/>
        </w:rPr>
        <w:t>the Baltimo</w:t>
      </w:r>
      <w:r>
        <w:rPr>
          <w:rFonts w:ascii="Times New Roman" w:hAnsi="Times New Roman" w:cs="Times New Roman"/>
        </w:rPr>
        <w:t>re Longitudinal Study of Ageing</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CDC = Centre of Disease Control and Prevention</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 xml:space="preserve">CHARLS = </w:t>
      </w:r>
      <w:r w:rsidRPr="00046EBC">
        <w:rPr>
          <w:rFonts w:ascii="Times New Roman" w:hAnsi="Times New Roman" w:cs="Times New Roman"/>
          <w:lang w:val="en-US"/>
        </w:rPr>
        <w:t>China Health and Retirement Longitudinal Study</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CMA = Comprehensive Meta-Analyses</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 xml:space="preserve">CVLT = </w:t>
      </w:r>
      <w:r w:rsidRPr="008E240E">
        <w:rPr>
          <w:rFonts w:ascii="Times New Roman" w:hAnsi="Times New Roman" w:cs="Times New Roman"/>
        </w:rPr>
        <w:t>California Verbal Learning Test</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 xml:space="preserve">D-KEFS = </w:t>
      </w:r>
      <w:r w:rsidRPr="0061372C">
        <w:rPr>
          <w:rFonts w:ascii="Times New Roman" w:hAnsi="Times New Roman" w:cs="Times New Roman"/>
        </w:rPr>
        <w:t>Delis-Kaplan Executive Function System</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EF = Executive Function</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 xml:space="preserve">ELSA = </w:t>
      </w:r>
      <w:r w:rsidRPr="00046EBC">
        <w:rPr>
          <w:rFonts w:ascii="Times New Roman" w:hAnsi="Times New Roman" w:cs="Times New Roman"/>
          <w:lang w:val="en-US"/>
        </w:rPr>
        <w:t>English Longitudinal Study in Ageing</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EPT - G = Everyday Problem Test – Greek version</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EPT = Everyday Problem Test</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EvF = Everyday Functioning</w:t>
      </w:r>
    </w:p>
    <w:p w:rsidR="000F6A15" w:rsidRPr="0082525C" w:rsidRDefault="000F6A15" w:rsidP="000F6A15">
      <w:pPr>
        <w:rPr>
          <w:rFonts w:ascii="Times New Roman" w:hAnsi="Times New Roman" w:cs="Times New Roman"/>
        </w:rPr>
      </w:pPr>
      <w:r w:rsidRPr="0082525C">
        <w:rPr>
          <w:rFonts w:ascii="Times New Roman" w:hAnsi="Times New Roman" w:cs="Times New Roman"/>
        </w:rPr>
        <w:t xml:space="preserve">FUCAS = </w:t>
      </w:r>
      <w:r w:rsidRPr="0082525C">
        <w:rPr>
          <w:rFonts w:ascii="Times New Roman" w:hAnsi="Times New Roman" w:cs="Times New Roman"/>
          <w:bCs/>
        </w:rPr>
        <w:t>Functional Cognitive Assessment Scale</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GPS = Global Positioning System</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GSH = General Slowing Hypothesis</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 xml:space="preserve">GVLT = </w:t>
      </w:r>
      <w:r w:rsidRPr="00E0380B">
        <w:rPr>
          <w:rFonts w:ascii="Times New Roman" w:hAnsi="Times New Roman" w:cs="Times New Roman"/>
        </w:rPr>
        <w:t>The Greek version of the California Verbal Learning Test</w:t>
      </w:r>
    </w:p>
    <w:p w:rsidR="000F6A15" w:rsidRDefault="000F6A15" w:rsidP="000F6A15">
      <w:pPr>
        <w:spacing w:line="360" w:lineRule="auto"/>
        <w:rPr>
          <w:rFonts w:ascii="Times New Roman" w:hAnsi="Times New Roman" w:cs="Times New Roman"/>
        </w:rPr>
      </w:pPr>
      <w:r>
        <w:rPr>
          <w:rFonts w:ascii="Times New Roman" w:hAnsi="Times New Roman" w:cs="Times New Roman"/>
        </w:rPr>
        <w:t>HLE = Healthy Life Expectancy</w:t>
      </w:r>
    </w:p>
    <w:p w:rsidR="000F6A15" w:rsidRDefault="000F6A15" w:rsidP="000F6A15">
      <w:pPr>
        <w:spacing w:line="360" w:lineRule="auto"/>
        <w:rPr>
          <w:rFonts w:ascii="Times New Roman" w:hAnsi="Times New Roman" w:cs="Times New Roman"/>
        </w:rPr>
      </w:pPr>
      <w:r>
        <w:rPr>
          <w:rFonts w:ascii="Times New Roman" w:hAnsi="Times New Roman" w:cs="Times New Roman"/>
        </w:rPr>
        <w:t>HRS =</w:t>
      </w:r>
      <w:r w:rsidRPr="00046EBC">
        <w:rPr>
          <w:rFonts w:ascii="Times New Roman" w:hAnsi="Times New Roman" w:cs="Times New Roman"/>
          <w:lang w:val="en-US"/>
        </w:rPr>
        <w:t xml:space="preserve"> Health and Retirement Study</w:t>
      </w:r>
    </w:p>
    <w:p w:rsidR="000F6A15" w:rsidRDefault="000F6A15" w:rsidP="000F6A15">
      <w:pPr>
        <w:spacing w:line="360" w:lineRule="auto"/>
        <w:rPr>
          <w:rFonts w:ascii="Times New Roman" w:hAnsi="Times New Roman" w:cs="Times New Roman"/>
        </w:rPr>
      </w:pPr>
      <w:r>
        <w:rPr>
          <w:rFonts w:ascii="Times New Roman" w:hAnsi="Times New Roman" w:cs="Times New Roman"/>
        </w:rPr>
        <w:t>IADL = Instrumental Activities of Daily Living</w:t>
      </w:r>
    </w:p>
    <w:p w:rsidR="000F6A15" w:rsidRDefault="000F6A15" w:rsidP="000F6A15">
      <w:pPr>
        <w:spacing w:line="360" w:lineRule="auto"/>
        <w:rPr>
          <w:rFonts w:ascii="Times New Roman" w:hAnsi="Times New Roman" w:cs="Times New Roman"/>
        </w:rPr>
      </w:pPr>
      <w:r>
        <w:rPr>
          <w:rFonts w:ascii="Times New Roman" w:hAnsi="Times New Roman" w:cs="Times New Roman"/>
        </w:rPr>
        <w:t xml:space="preserve">ILS = </w:t>
      </w:r>
      <w:r w:rsidRPr="0082525C">
        <w:rPr>
          <w:rFonts w:ascii="Times New Roman" w:hAnsi="Times New Roman" w:cs="Times New Roman"/>
        </w:rPr>
        <w:t>Independent Living Scale</w:t>
      </w:r>
    </w:p>
    <w:p w:rsidR="000F6A15" w:rsidRDefault="000F6A15" w:rsidP="000F6A15">
      <w:pPr>
        <w:spacing w:line="360" w:lineRule="auto"/>
        <w:rPr>
          <w:rFonts w:ascii="Times New Roman" w:hAnsi="Times New Roman" w:cs="Times New Roman"/>
        </w:rPr>
      </w:pPr>
      <w:r>
        <w:rPr>
          <w:rFonts w:ascii="Times New Roman" w:hAnsi="Times New Roman" w:cs="Times New Roman"/>
        </w:rPr>
        <w:t xml:space="preserve">LASI = </w:t>
      </w:r>
      <w:r w:rsidRPr="00ED77D4">
        <w:rPr>
          <w:rFonts w:ascii="Times New Roman" w:hAnsi="Times New Roman" w:cs="Times New Roman"/>
          <w:lang w:val="en-US"/>
        </w:rPr>
        <w:t>Longitudinal Aging Study in India</w:t>
      </w:r>
    </w:p>
    <w:p w:rsidR="000F6A15" w:rsidRDefault="000F6A15" w:rsidP="000F6A15">
      <w:pPr>
        <w:spacing w:line="360" w:lineRule="auto"/>
        <w:rPr>
          <w:rFonts w:ascii="Times New Roman" w:hAnsi="Times New Roman" w:cs="Times New Roman"/>
        </w:rPr>
      </w:pPr>
      <w:r>
        <w:rPr>
          <w:rFonts w:ascii="Times New Roman" w:hAnsi="Times New Roman" w:cs="Times New Roman"/>
        </w:rPr>
        <w:t>LC = Learning Curve</w:t>
      </w:r>
    </w:p>
    <w:p w:rsidR="000F6A15" w:rsidRPr="0018298A" w:rsidRDefault="000F6A15" w:rsidP="000F6A15">
      <w:pPr>
        <w:spacing w:line="360" w:lineRule="auto"/>
        <w:rPr>
          <w:rFonts w:ascii="Times New Roman" w:hAnsi="Times New Roman" w:cs="Times New Roman"/>
        </w:rPr>
      </w:pPr>
      <w:r>
        <w:rPr>
          <w:rFonts w:ascii="Times New Roman" w:hAnsi="Times New Roman" w:cs="Times New Roman"/>
        </w:rPr>
        <w:t>LTM = Long Term Memory</w:t>
      </w:r>
    </w:p>
    <w:p w:rsidR="000F6A15" w:rsidRDefault="000F6A15" w:rsidP="000F6A15">
      <w:pPr>
        <w:spacing w:line="360" w:lineRule="auto"/>
        <w:rPr>
          <w:rFonts w:ascii="Times New Roman" w:hAnsi="Times New Roman" w:cs="Times New Roman"/>
        </w:rPr>
      </w:pPr>
      <w:r>
        <w:rPr>
          <w:rFonts w:ascii="Times New Roman" w:hAnsi="Times New Roman" w:cs="Times New Roman"/>
        </w:rPr>
        <w:t xml:space="preserve">MARS = </w:t>
      </w:r>
      <w:r w:rsidRPr="00430ABB">
        <w:rPr>
          <w:rFonts w:ascii="Times New Roman" w:hAnsi="Times New Roman" w:cs="Times New Roman"/>
        </w:rPr>
        <w:t>Meta-Analyses Reporting Standards</w:t>
      </w:r>
    </w:p>
    <w:p w:rsidR="000F6A15" w:rsidRDefault="000F6A15" w:rsidP="000F6A15">
      <w:pPr>
        <w:spacing w:line="360" w:lineRule="auto"/>
        <w:rPr>
          <w:rFonts w:ascii="Times New Roman" w:hAnsi="Times New Roman" w:cs="Times New Roman"/>
        </w:rPr>
      </w:pPr>
      <w:r>
        <w:rPr>
          <w:rFonts w:ascii="Times New Roman" w:hAnsi="Times New Roman" w:cs="Times New Roman"/>
        </w:rPr>
        <w:t xml:space="preserve">MAS = </w:t>
      </w:r>
      <w:r w:rsidRPr="0061372C">
        <w:rPr>
          <w:rFonts w:ascii="Times New Roman" w:hAnsi="Times New Roman" w:cs="Times New Roman"/>
        </w:rPr>
        <w:t xml:space="preserve">Memory Assessment Scale </w:t>
      </w:r>
    </w:p>
    <w:p w:rsidR="000F6A15" w:rsidRDefault="000F6A15" w:rsidP="000F6A15">
      <w:pPr>
        <w:spacing w:line="360" w:lineRule="auto"/>
        <w:rPr>
          <w:rFonts w:ascii="Times New Roman" w:hAnsi="Times New Roman" w:cs="Times New Roman"/>
        </w:rPr>
      </w:pPr>
      <w:r w:rsidRPr="00B16761">
        <w:rPr>
          <w:rFonts w:ascii="Times New Roman" w:hAnsi="Times New Roman" w:cs="Times New Roman"/>
        </w:rPr>
        <w:t>MCI = Mild Cognitive Impairment</w:t>
      </w:r>
    </w:p>
    <w:p w:rsidR="000F6A15" w:rsidRDefault="000F6A15" w:rsidP="000F6A15">
      <w:pPr>
        <w:spacing w:line="360" w:lineRule="auto"/>
        <w:rPr>
          <w:rFonts w:ascii="Times New Roman" w:hAnsi="Times New Roman" w:cs="Times New Roman"/>
        </w:rPr>
      </w:pPr>
      <w:r>
        <w:rPr>
          <w:rFonts w:ascii="Times New Roman" w:hAnsi="Times New Roman" w:cs="Times New Roman"/>
        </w:rPr>
        <w:t>MoCA = Montreal Cognitive Assessment</w:t>
      </w:r>
    </w:p>
    <w:p w:rsidR="000F6A15" w:rsidRDefault="000F6A15" w:rsidP="000F6A15">
      <w:pPr>
        <w:spacing w:line="360" w:lineRule="auto"/>
        <w:rPr>
          <w:rFonts w:ascii="Times New Roman" w:hAnsi="Times New Roman" w:cs="Times New Roman"/>
        </w:rPr>
      </w:pPr>
      <w:r>
        <w:rPr>
          <w:rFonts w:ascii="Times New Roman" w:hAnsi="Times New Roman" w:cs="Times New Roman"/>
        </w:rPr>
        <w:t xml:space="preserve">MRI = </w:t>
      </w:r>
      <w:r w:rsidRPr="00A96577">
        <w:rPr>
          <w:rFonts w:ascii="Times New Roman" w:hAnsi="Times New Roman" w:cs="Times New Roman"/>
        </w:rPr>
        <w:t>M</w:t>
      </w:r>
      <w:r>
        <w:rPr>
          <w:rFonts w:ascii="Times New Roman" w:hAnsi="Times New Roman" w:cs="Times New Roman"/>
        </w:rPr>
        <w:t>agnetic Resonance Imaging</w:t>
      </w:r>
    </w:p>
    <w:p w:rsidR="000F6A15" w:rsidRDefault="000F6A15" w:rsidP="000F6A15">
      <w:pPr>
        <w:spacing w:line="360" w:lineRule="auto"/>
        <w:rPr>
          <w:rFonts w:ascii="Times New Roman" w:hAnsi="Times New Roman" w:cs="Times New Roman"/>
        </w:rPr>
      </w:pPr>
      <w:r>
        <w:rPr>
          <w:rFonts w:ascii="Times New Roman" w:hAnsi="Times New Roman" w:cs="Times New Roman"/>
        </w:rPr>
        <w:t>MSE = Mini Mental State Examination</w:t>
      </w:r>
    </w:p>
    <w:p w:rsidR="000F6A15" w:rsidRPr="00CB7736" w:rsidRDefault="000F6A15" w:rsidP="000F6A15">
      <w:pPr>
        <w:spacing w:line="360" w:lineRule="auto"/>
        <w:rPr>
          <w:rFonts w:ascii="Times New Roman" w:hAnsi="Times New Roman" w:cs="Times New Roman"/>
        </w:rPr>
      </w:pPr>
      <w:r w:rsidRPr="00CB7736">
        <w:rPr>
          <w:rFonts w:ascii="Times New Roman" w:hAnsi="Times New Roman" w:cs="Times New Roman"/>
        </w:rPr>
        <w:t xml:space="preserve">OECD = Organization for Economic Cooperation and Development </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lastRenderedPageBreak/>
        <w:t>OTDL - G = Observed Tasks of Daily Living – Greek version</w:t>
      </w:r>
    </w:p>
    <w:p w:rsidR="000F6A15" w:rsidRDefault="000F6A15" w:rsidP="000F6A15">
      <w:pPr>
        <w:spacing w:line="360" w:lineRule="auto"/>
        <w:rPr>
          <w:rFonts w:ascii="Times New Roman" w:hAnsi="Times New Roman" w:cs="Times New Roman"/>
          <w:lang w:val="en-US"/>
        </w:rPr>
      </w:pPr>
      <w:r>
        <w:rPr>
          <w:rFonts w:ascii="Times New Roman" w:hAnsi="Times New Roman" w:cs="Times New Roman"/>
          <w:lang w:val="en-US"/>
        </w:rPr>
        <w:t>OTDL = Observed Tasks of Daily Living</w:t>
      </w:r>
    </w:p>
    <w:p w:rsidR="000F6A15" w:rsidRPr="00E0380B" w:rsidRDefault="000F6A15" w:rsidP="000F6A15">
      <w:pPr>
        <w:spacing w:line="360" w:lineRule="auto"/>
        <w:rPr>
          <w:rFonts w:ascii="Times New Roman" w:hAnsi="Times New Roman" w:cs="Times New Roman"/>
          <w:lang w:val="en-US"/>
        </w:rPr>
      </w:pPr>
      <w:r w:rsidRPr="00E0380B">
        <w:rPr>
          <w:rFonts w:ascii="Times New Roman" w:hAnsi="Times New Roman" w:cs="Times New Roman"/>
          <w:lang w:val="en-US"/>
        </w:rPr>
        <w:t>OTDL-R = Observed Tasks of Daily Living - Revised</w:t>
      </w:r>
    </w:p>
    <w:p w:rsidR="000F6A15" w:rsidRDefault="000F6A15" w:rsidP="000F6A15">
      <w:pPr>
        <w:spacing w:line="360" w:lineRule="auto"/>
        <w:rPr>
          <w:rFonts w:ascii="Times New Roman" w:hAnsi="Times New Roman" w:cs="Times New Roman"/>
        </w:rPr>
      </w:pPr>
      <w:r>
        <w:rPr>
          <w:rFonts w:ascii="Times New Roman" w:hAnsi="Times New Roman" w:cs="Times New Roman"/>
        </w:rPr>
        <w:t xml:space="preserve">SD = Standard Deviation </w:t>
      </w:r>
    </w:p>
    <w:p w:rsidR="000F6A15" w:rsidRDefault="000F6A15" w:rsidP="000F6A15">
      <w:pPr>
        <w:spacing w:line="360" w:lineRule="auto"/>
        <w:rPr>
          <w:rFonts w:ascii="Times New Roman" w:hAnsi="Times New Roman" w:cs="Times New Roman"/>
        </w:rPr>
      </w:pPr>
      <w:r>
        <w:rPr>
          <w:rFonts w:ascii="Times New Roman" w:hAnsi="Times New Roman" w:cs="Times New Roman"/>
        </w:rPr>
        <w:t>SEM = Structural Equation Modelling</w:t>
      </w:r>
    </w:p>
    <w:p w:rsidR="000F6A15" w:rsidRPr="00E0380B" w:rsidRDefault="000F6A15" w:rsidP="000F6A15">
      <w:pPr>
        <w:spacing w:line="360" w:lineRule="auto"/>
        <w:rPr>
          <w:rFonts w:ascii="Times New Roman" w:hAnsi="Times New Roman" w:cs="Times New Roman"/>
        </w:rPr>
      </w:pPr>
      <w:r w:rsidRPr="00E0380B">
        <w:rPr>
          <w:rFonts w:ascii="Times New Roman" w:hAnsi="Times New Roman" w:cs="Times New Roman"/>
        </w:rPr>
        <w:t>SES = Socio Economic Status</w:t>
      </w:r>
    </w:p>
    <w:p w:rsidR="000F6A15" w:rsidRPr="00E0380B" w:rsidRDefault="000F6A15" w:rsidP="000F6A15">
      <w:pPr>
        <w:spacing w:line="360" w:lineRule="auto"/>
        <w:rPr>
          <w:rFonts w:ascii="Times New Roman" w:hAnsi="Times New Roman" w:cs="Times New Roman"/>
          <w:lang w:val="en-US"/>
        </w:rPr>
      </w:pPr>
      <w:r w:rsidRPr="00E0380B">
        <w:rPr>
          <w:rFonts w:ascii="Times New Roman" w:hAnsi="Times New Roman" w:cs="Times New Roman"/>
          <w:lang w:val="en-US"/>
        </w:rPr>
        <w:t>SHARE = Survey of Health, Ageing and Retirement in Europe</w:t>
      </w:r>
    </w:p>
    <w:p w:rsidR="000F6A15" w:rsidRDefault="000F6A15" w:rsidP="000F6A15">
      <w:pPr>
        <w:spacing w:line="360" w:lineRule="auto"/>
        <w:rPr>
          <w:rFonts w:ascii="Times New Roman" w:hAnsi="Times New Roman" w:cs="Times New Roman"/>
        </w:rPr>
      </w:pPr>
      <w:r>
        <w:rPr>
          <w:rFonts w:ascii="Times New Roman" w:hAnsi="Times New Roman" w:cs="Times New Roman"/>
          <w:lang w:val="en-US"/>
        </w:rPr>
        <w:t xml:space="preserve">SOC = </w:t>
      </w:r>
      <w:r w:rsidRPr="00E334B3">
        <w:rPr>
          <w:rFonts w:ascii="Times New Roman" w:hAnsi="Times New Roman" w:cs="Times New Roman"/>
        </w:rPr>
        <w:t xml:space="preserve">Selection, Optimization, and Compensation model </w:t>
      </w:r>
    </w:p>
    <w:p w:rsidR="000F6A15" w:rsidRPr="00E0380B" w:rsidRDefault="000F6A15" w:rsidP="000F6A15">
      <w:pPr>
        <w:spacing w:line="360" w:lineRule="auto"/>
        <w:rPr>
          <w:rFonts w:ascii="Times New Roman" w:hAnsi="Times New Roman" w:cs="Times New Roman"/>
          <w:lang w:val="en-US"/>
        </w:rPr>
      </w:pPr>
      <w:r w:rsidRPr="00E0380B">
        <w:rPr>
          <w:rFonts w:ascii="Times New Roman" w:hAnsi="Times New Roman" w:cs="Times New Roman"/>
          <w:lang w:val="en-US"/>
        </w:rPr>
        <w:t>SoP = Speed of Processing</w:t>
      </w:r>
    </w:p>
    <w:p w:rsidR="000F6A15" w:rsidRDefault="000F6A15" w:rsidP="000F6A15">
      <w:pPr>
        <w:spacing w:line="360" w:lineRule="auto"/>
        <w:rPr>
          <w:rFonts w:ascii="Times New Roman" w:hAnsi="Times New Roman" w:cs="Times New Roman"/>
        </w:rPr>
      </w:pPr>
      <w:r>
        <w:rPr>
          <w:rFonts w:ascii="Times New Roman" w:hAnsi="Times New Roman" w:cs="Times New Roman"/>
        </w:rPr>
        <w:t>STM = Short Term Memory</w:t>
      </w:r>
    </w:p>
    <w:p w:rsidR="000F6A15" w:rsidRPr="00E0380B" w:rsidRDefault="000F6A15" w:rsidP="000F6A15">
      <w:pPr>
        <w:spacing w:line="360" w:lineRule="auto"/>
        <w:rPr>
          <w:rFonts w:ascii="Times New Roman" w:hAnsi="Times New Roman"/>
        </w:rPr>
      </w:pPr>
      <w:r w:rsidRPr="00E0380B">
        <w:rPr>
          <w:rFonts w:ascii="Times New Roman" w:hAnsi="Times New Roman"/>
        </w:rPr>
        <w:t xml:space="preserve">TMT-A = Trail Making Test part A </w:t>
      </w:r>
    </w:p>
    <w:p w:rsidR="000F6A15" w:rsidRPr="00E0380B" w:rsidRDefault="000F6A15" w:rsidP="000F6A15">
      <w:pPr>
        <w:spacing w:line="360" w:lineRule="auto"/>
        <w:rPr>
          <w:rFonts w:ascii="Times New Roman" w:hAnsi="Times New Roman"/>
        </w:rPr>
      </w:pPr>
      <w:r w:rsidRPr="00E0380B">
        <w:rPr>
          <w:rFonts w:ascii="Times New Roman" w:hAnsi="Times New Roman"/>
        </w:rPr>
        <w:t>TMT-B = Trail Making Test part B</w:t>
      </w:r>
    </w:p>
    <w:p w:rsidR="000F6A15" w:rsidRPr="00E0380B" w:rsidRDefault="000F6A15" w:rsidP="000F6A15">
      <w:pPr>
        <w:spacing w:line="360" w:lineRule="auto"/>
        <w:rPr>
          <w:rFonts w:ascii="Times New Roman" w:hAnsi="Times New Roman" w:cs="Times New Roman"/>
          <w:lang w:val="en-US"/>
        </w:rPr>
      </w:pPr>
      <w:r>
        <w:rPr>
          <w:rFonts w:ascii="Times New Roman" w:hAnsi="Times New Roman"/>
        </w:rPr>
        <w:t>US = United Stated of America</w:t>
      </w:r>
    </w:p>
    <w:p w:rsidR="000F6A15" w:rsidRDefault="000F6A15" w:rsidP="000F6A15">
      <w:pPr>
        <w:spacing w:line="360" w:lineRule="auto"/>
        <w:rPr>
          <w:rFonts w:ascii="Times New Roman" w:hAnsi="Times New Roman"/>
        </w:rPr>
      </w:pPr>
      <w:r w:rsidRPr="00E0380B">
        <w:rPr>
          <w:rFonts w:ascii="Times New Roman" w:hAnsi="Times New Roman"/>
        </w:rPr>
        <w:t>VF = Verbal Fluency</w:t>
      </w:r>
    </w:p>
    <w:p w:rsidR="000F6A15" w:rsidRDefault="000F6A15" w:rsidP="000F6A15">
      <w:pPr>
        <w:spacing w:line="360" w:lineRule="auto"/>
        <w:rPr>
          <w:rFonts w:ascii="Times New Roman" w:hAnsi="Times New Roman" w:cs="Times New Roman"/>
        </w:rPr>
      </w:pPr>
      <w:r>
        <w:rPr>
          <w:rFonts w:ascii="Times New Roman" w:hAnsi="Times New Roman" w:cs="Times New Roman"/>
        </w:rPr>
        <w:t>WEF = World Economic Forum</w:t>
      </w:r>
    </w:p>
    <w:p w:rsidR="000F6A15" w:rsidRDefault="000F6A15" w:rsidP="000F6A15">
      <w:pPr>
        <w:spacing w:line="360" w:lineRule="auto"/>
        <w:rPr>
          <w:rFonts w:ascii="Times New Roman" w:hAnsi="Times New Roman" w:cs="Times New Roman"/>
        </w:rPr>
      </w:pPr>
      <w:r>
        <w:rPr>
          <w:rFonts w:ascii="Times New Roman" w:hAnsi="Times New Roman" w:cs="Times New Roman"/>
        </w:rPr>
        <w:t>WHO = World Health Organization</w:t>
      </w:r>
    </w:p>
    <w:p w:rsidR="000F6A15" w:rsidRDefault="000F6A15" w:rsidP="000F6A15">
      <w:pPr>
        <w:spacing w:line="360" w:lineRule="auto"/>
        <w:rPr>
          <w:rFonts w:ascii="Times New Roman" w:hAnsi="Times New Roman" w:cs="Times New Roman"/>
        </w:rPr>
      </w:pPr>
      <w:r>
        <w:rPr>
          <w:rFonts w:ascii="Times New Roman" w:hAnsi="Times New Roman" w:cs="Times New Roman"/>
        </w:rPr>
        <w:t>WM = Working Memory</w:t>
      </w:r>
    </w:p>
    <w:bookmarkEnd w:id="21"/>
    <w:p w:rsidR="00012B1B" w:rsidRDefault="00012B1B" w:rsidP="00012B1B">
      <w:pPr>
        <w:spacing w:line="480" w:lineRule="auto"/>
        <w:rPr>
          <w:rFonts w:ascii="Times New Roman" w:hAnsi="Times New Roman" w:cs="Times New Roman"/>
          <w:lang w:val="en-US"/>
        </w:rPr>
      </w:pPr>
    </w:p>
    <w:p w:rsidR="00C15008" w:rsidRPr="00CF7468" w:rsidRDefault="00C15008" w:rsidP="00640C1B">
      <w:pPr>
        <w:pStyle w:val="Heading0"/>
        <w:sectPr w:rsidR="00C15008" w:rsidRPr="00CF7468" w:rsidSect="006F13E8">
          <w:headerReference w:type="default" r:id="rId8"/>
          <w:footerReference w:type="even" r:id="rId9"/>
          <w:footerReference w:type="default" r:id="rId10"/>
          <w:footerReference w:type="first" r:id="rId11"/>
          <w:pgSz w:w="11907" w:h="16839" w:code="9"/>
          <w:pgMar w:top="1440" w:right="1440" w:bottom="1440" w:left="1440" w:header="720" w:footer="720" w:gutter="0"/>
          <w:pgNumType w:fmt="upperRoman" w:start="1"/>
          <w:cols w:space="720"/>
          <w:titlePg/>
          <w:docGrid w:linePitch="360"/>
        </w:sectPr>
      </w:pPr>
    </w:p>
    <w:p w:rsidR="00A829CB" w:rsidRPr="00A829CB" w:rsidRDefault="00DB1BCF" w:rsidP="00A829CB">
      <w:pPr>
        <w:pStyle w:val="Heading1"/>
      </w:pPr>
      <w:bookmarkStart w:id="23" w:name="_Toc373425922"/>
      <w:bookmarkStart w:id="24" w:name="_Toc508460188"/>
      <w:bookmarkStart w:id="25" w:name="_Toc521184160"/>
      <w:bookmarkStart w:id="26" w:name="_Toc414007089"/>
      <w:bookmarkEnd w:id="20"/>
      <w:bookmarkEnd w:id="19"/>
      <w:bookmarkEnd w:id="18"/>
      <w:bookmarkEnd w:id="17"/>
      <w:bookmarkEnd w:id="16"/>
      <w:bookmarkEnd w:id="15"/>
      <w:bookmarkEnd w:id="14"/>
      <w:bookmarkEnd w:id="13"/>
      <w:bookmarkEnd w:id="12"/>
      <w:bookmarkEnd w:id="11"/>
      <w:bookmarkEnd w:id="10"/>
      <w:bookmarkEnd w:id="9"/>
      <w:bookmarkEnd w:id="8"/>
      <w:bookmarkEnd w:id="7"/>
      <w:bookmarkEnd w:id="6"/>
      <w:bookmarkEnd w:id="5"/>
      <w:r>
        <w:lastRenderedPageBreak/>
        <w:t xml:space="preserve">CHAPTER  1  </w:t>
      </w:r>
      <w:r w:rsidR="00A829CB" w:rsidRPr="00A829CB">
        <w:t>INTRODUCTION</w:t>
      </w:r>
      <w:bookmarkEnd w:id="23"/>
      <w:bookmarkEnd w:id="24"/>
      <w:bookmarkEnd w:id="25"/>
      <w:r w:rsidR="00A829CB" w:rsidRPr="00A829CB">
        <w:t xml:space="preserve"> </w:t>
      </w:r>
      <w:r w:rsidR="00A829CB" w:rsidRPr="00A829CB">
        <w:tab/>
      </w:r>
    </w:p>
    <w:p w:rsidR="00A829CB" w:rsidRPr="00A829CB" w:rsidRDefault="00A829CB" w:rsidP="00A829CB">
      <w:pPr>
        <w:pStyle w:val="APAPar"/>
      </w:pPr>
      <w:r w:rsidRPr="00A829CB">
        <w:t xml:space="preserve">Advances in medicine, hygiene, and nutrition have resulted </w:t>
      </w:r>
      <w:r w:rsidR="00750441">
        <w:t>in</w:t>
      </w:r>
      <w:r w:rsidRPr="00A829CB">
        <w:t xml:space="preserve"> a decrease in acute and life-threatening diseases and consequently an increase in average life expectancy at birth (Hamilton, 2011; Hertzog, Kramer, Wilson, &amp; Lindenberger, 2009). This is a successful outcome.  In conjunction with the contemporary decline in bi</w:t>
      </w:r>
      <w:r w:rsidR="00DB1BCF">
        <w:t>rth rates however, it fashion</w:t>
      </w:r>
      <w:r w:rsidRPr="00A829CB">
        <w:t xml:space="preserve"> the ever-growing representation of older adults in the general population (Atchley &amp; Barush, 2004; Hamilton, 2012). This demographic change poses certain challenges for the pensions systems’ financial sustainability, due to changes brought in the </w:t>
      </w:r>
      <w:r w:rsidRPr="00A829CB">
        <w:rPr>
          <w:i/>
        </w:rPr>
        <w:t>old-age dependency ratio</w:t>
      </w:r>
      <w:r w:rsidRPr="00A829CB">
        <w:t xml:space="preserve"> (The Bank of America Merrill Lynch, 2014). In addition, it raises concerns for the financial sustainability of the welfare systems, as the increased prevalence of chronic (and often debilitating) diseases in older age, demands increased resources for healthcare and long-term care (Organization for Economic Cooperation and Development, 2014a,b).</w:t>
      </w:r>
    </w:p>
    <w:p w:rsidR="00A829CB" w:rsidRPr="00A829CB" w:rsidRDefault="00A829CB" w:rsidP="00A829CB">
      <w:pPr>
        <w:pStyle w:val="APAPar"/>
      </w:pPr>
      <w:r w:rsidRPr="00A829CB">
        <w:t>To address those challenges, there has been a conscious effort to shape a healthier population, placing att</w:t>
      </w:r>
      <w:r w:rsidR="00750441">
        <w:t>ention o</w:t>
      </w:r>
      <w:r w:rsidRPr="00A829CB">
        <w:t xml:space="preserve">n the average </w:t>
      </w:r>
      <w:r w:rsidRPr="00A829CB">
        <w:rPr>
          <w:i/>
        </w:rPr>
        <w:t>Healthy Life Expectancy</w:t>
      </w:r>
      <w:r w:rsidRPr="00A829CB">
        <w:t xml:space="preserve"> (HLE), namely the ‘Average number of years that a person can expect to live in full health’ (World Health Organization, 2014a). </w:t>
      </w:r>
      <w:r w:rsidR="00750441">
        <w:t>Following</w:t>
      </w:r>
      <w:r w:rsidRPr="00A829CB">
        <w:t xml:space="preserve"> this direction, many political initiatives have taken place, forming an agenda that is widely known as the healthy and active ageing agenda. In the European Union for example, one of the main short-term health strategies has been the promotion of good health and productivity in older age (European Commission, 2014b,c). Similar political initiatives are seen worldwide, echoing a large history of scientific findings in the ageing discourse.</w:t>
      </w:r>
    </w:p>
    <w:p w:rsidR="00A829CB" w:rsidRPr="00A829CB" w:rsidRDefault="00A829CB" w:rsidP="00A829CB">
      <w:pPr>
        <w:pStyle w:val="APAPar"/>
      </w:pPr>
      <w:r w:rsidRPr="00A829CB">
        <w:t>The scientific discourse on ageing counts 60 years of systematic research from mu</w:t>
      </w:r>
      <w:r w:rsidR="00DB1BCF">
        <w:t>ltiple perspectives, including</w:t>
      </w:r>
      <w:r w:rsidRPr="00A829CB">
        <w:t xml:space="preserve"> sociological (Cumming &amp; Henry, 1961), medical (Depp &amp; </w:t>
      </w:r>
      <w:r w:rsidRPr="00A829CB">
        <w:lastRenderedPageBreak/>
        <w:t>Jeste, 2006) and neuropsychological approach</w:t>
      </w:r>
      <w:r w:rsidR="00DB1BCF">
        <w:t>es</w:t>
      </w:r>
      <w:r w:rsidRPr="00A829CB">
        <w:t xml:space="preserve"> (Salthouse, 2006). The available empirical evidence highlights that having good health (physically, mentally, and socially) is an essential preventive component for healthy and active ageing objectives, as well as a desirable outcome in older age (Johnson &amp; Mutchler, 2013). In this context, an adequate status of cognitive vitality in older age is considered a benchmark for older adults’ good mental health (Hertzog et al., 2009), as it allows them to be productive (e.g., participation in labour; OECD, 2013) and live independently (Petersen, 2004). The volume of knowledge produced in this field has been invaluable and has informed scholars in the creation of various ageing theories and concepts, including that of successful ageing (Rowe &amp; Kahn, 1987). In turn, policy makers have been informed from the relevant theories and theoretical concepts, shaping strategic objectives that aim to promote longevity, health and productivity in older age. </w:t>
      </w:r>
    </w:p>
    <w:p w:rsidR="00A829CB" w:rsidRPr="00A829CB" w:rsidRDefault="00A829CB" w:rsidP="00A829CB">
      <w:pPr>
        <w:pStyle w:val="APAPar"/>
      </w:pPr>
      <w:r w:rsidRPr="00A829CB">
        <w:t xml:space="preserve">The present thesis engages with the normative arguments and the empirical findings that have been created in the discourse of cognitive and functional decline with ageing. It is motivated by a critique of the prevailing paradigm of cognitive ageing and the predominant methodologies used to assess cognition and functioning </w:t>
      </w:r>
      <w:r w:rsidR="00953AAA" w:rsidRPr="00A829CB">
        <w:t>among older</w:t>
      </w:r>
      <w:r w:rsidRPr="00A829CB">
        <w:t xml:space="preserve"> people. A critical examination of the relevant literature gives ground to argue for the scientific examination of cognitive and functional performance among cognitively intact older adults, as the relevant discourse has been mainly preoccupied with the documentation of cognitive shortcomings and neuronal degenerations that accompany older age (Depp &amp; Jeste, 2006; Hertzog et al., 2009). In other words, there is an evident bias in the scientific examination of cognitive decline with ageing to examine and document the age-related neurological conditions that lead to cognitive deficits.</w:t>
      </w:r>
    </w:p>
    <w:p w:rsidR="00A829CB" w:rsidRPr="00A829CB" w:rsidRDefault="00A829CB" w:rsidP="00A829CB">
      <w:pPr>
        <w:pStyle w:val="APAPar"/>
      </w:pPr>
      <w:r w:rsidRPr="00A829CB">
        <w:t xml:space="preserve"> This thesis explores various ageing theories in terms of behaviour (e.g., everyday functioning) and cognitive vitality (e.g., memory capacity) and argues that the existence of a </w:t>
      </w:r>
      <w:r w:rsidRPr="00A829CB">
        <w:lastRenderedPageBreak/>
        <w:t xml:space="preserve">bias in documenting negative outcomes with ageing has contributed to the misrepresentation of the non-pathological course of cognitive ageing. It argues that this tendency may have contributed to the formation of an erroneous paradigm of cognitive ageing, which in turn led to erroneous, yet influential assumptions about older adults’ cognitive and functional performance. </w:t>
      </w:r>
    </w:p>
    <w:p w:rsidR="00A829CB" w:rsidRPr="00A829CB" w:rsidRDefault="00A829CB" w:rsidP="00A829CB">
      <w:pPr>
        <w:pStyle w:val="APAPar"/>
      </w:pPr>
      <w:r w:rsidRPr="00A829CB">
        <w:t xml:space="preserve">The prevalence of age-related neurological diseases is by definition higher in older age, and therefore, their prevention has a particular importance. This argument testifies that neurological diseases are probable incidences for older adults, </w:t>
      </w:r>
      <w:r w:rsidR="00441CD9">
        <w:t>and therefore</w:t>
      </w:r>
      <w:r w:rsidR="00441CD9" w:rsidRPr="00A829CB">
        <w:t xml:space="preserve"> </w:t>
      </w:r>
      <w:r w:rsidRPr="00A829CB">
        <w:t xml:space="preserve">does not justify their dominant representation in developmental models of older age. A consequence of conceptualizing poor cognitive vitality as a dominant component of older age is the resilient tendency among scholars and policy makers to over-emphasize the negative effects of age on cognitive vitality, often projecting the effects of age-related neurological conditions into the healthy spectrum of cognitive ageing.  This has contributed to an ill-described </w:t>
      </w:r>
      <w:r w:rsidRPr="00A829CB">
        <w:rPr>
          <w:i/>
        </w:rPr>
        <w:t>paradigm of cognitive ageing</w:t>
      </w:r>
      <w:r w:rsidRPr="00A829CB">
        <w:t>, where cognitive decline trajectories are described as routes inevitably leading to age-related neurological disorders, and therefore to the loss of functional ability (Hertzog et al., 2009).  This thesis argues that, based on the prevailing paradigm of cognitive ageing, many scholars have transformed the probabilistic nature of age-related neurological disorders into a catholic reality of the cognitive ageing process, with the available epidemiological evidence not being supportive of this position (Anderson-Ranberg, Vasegaard, &amp; Jeune, 2001; Ball, Ross, &amp; Viamonte, 2010).</w:t>
      </w:r>
    </w:p>
    <w:p w:rsidR="00A829CB" w:rsidRPr="00A829CB" w:rsidRDefault="00A829CB" w:rsidP="00A829CB">
      <w:pPr>
        <w:pStyle w:val="APAPar"/>
      </w:pPr>
      <w:r w:rsidRPr="00A829CB">
        <w:t xml:space="preserve">This thesis argues that the healthy spectrum of cognitive ageing has been left under-examined and under-explained, informing poorly the objectives set to foster a good life in older age, as well as to maximise the exploitation of older adults' potential. By reviewing the available literature, and by using quantitative empirical research and statistical meta-analyses, </w:t>
      </w:r>
      <w:r w:rsidRPr="00A829CB">
        <w:lastRenderedPageBreak/>
        <w:t xml:space="preserve">this thesis constitutes a preliminary attempt to examine explicitly the healthy spectrum of cognitive and everyday functioning among Greek older adults. </w:t>
      </w:r>
    </w:p>
    <w:p w:rsidR="00A829CB" w:rsidRPr="00A829CB" w:rsidRDefault="00A829CB" w:rsidP="00A829CB">
      <w:pPr>
        <w:pStyle w:val="APAPar"/>
      </w:pPr>
      <w:r w:rsidRPr="00A829CB">
        <w:t>This introductory chapter discusses in more detail the challenges posed by the demographic change into an ageing population, the prevalence of age–related neurological disorders in older age, as well as the relation between cognitive and functional decline with ageing. Then, the efforts made in policy making and in science to address the challenges that refer to older adult’s cognitive vitality and functional capacity are discussed in more detail, stating the thesis’s concerns with regard to the validity of various assumptions that have been made in this context. Subsequently, the scope of the thesis (i.e., the healthy spectrum of cognitive and everyday functioning) and the respective research questions are stated. This introductory chapter concludes with the contribution that this thesis make</w:t>
      </w:r>
      <w:r w:rsidR="008B1A06">
        <w:t>s to the scientific discourse on</w:t>
      </w:r>
      <w:r w:rsidRPr="00A829CB">
        <w:t xml:space="preserve"> cognitive ageing. </w:t>
      </w:r>
      <w:r w:rsidR="008B1A06">
        <w:t>Finally</w:t>
      </w:r>
      <w:r w:rsidRPr="00A829CB">
        <w:t>, the chapter provides a brief overview of the arguments made by the thesis and describes briefly the content of the chapters that follow.</w:t>
      </w:r>
    </w:p>
    <w:p w:rsidR="00A829CB" w:rsidRPr="00A829CB" w:rsidRDefault="00A829CB" w:rsidP="00A829CB">
      <w:pPr>
        <w:pStyle w:val="Heading2"/>
      </w:pPr>
      <w:bookmarkStart w:id="27" w:name="_Toc373425923"/>
      <w:bookmarkStart w:id="28" w:name="_Toc508460189"/>
      <w:bookmarkStart w:id="29" w:name="_Toc521184161"/>
      <w:r w:rsidRPr="00A829CB">
        <w:t>The Challenges Posed by the Demographic Change into an Ageing Population</w:t>
      </w:r>
      <w:bookmarkEnd w:id="27"/>
      <w:bookmarkEnd w:id="28"/>
      <w:bookmarkEnd w:id="29"/>
    </w:p>
    <w:p w:rsidR="00A829CB" w:rsidRPr="00A829CB" w:rsidRDefault="00A829CB" w:rsidP="00A829CB">
      <w:pPr>
        <w:pStyle w:val="APAPar"/>
      </w:pPr>
      <w:r w:rsidRPr="00A829CB">
        <w:t xml:space="preserve">One challenge that arises from the demographic change into an ageing population is the welfare system’s financial sustainability, resulting from the potential changes in the </w:t>
      </w:r>
      <w:r w:rsidRPr="00A829CB">
        <w:rPr>
          <w:i/>
        </w:rPr>
        <w:t>old-age dependency ratio</w:t>
      </w:r>
      <w:r w:rsidRPr="00A829CB">
        <w:t xml:space="preserve"> for the period 2010 to 2050 (The Bank of America Merrill Lynch, 2014). The </w:t>
      </w:r>
      <w:r w:rsidRPr="00A829CB">
        <w:rPr>
          <w:i/>
        </w:rPr>
        <w:t>old-age dependency ratio</w:t>
      </w:r>
      <w:r w:rsidRPr="00A829CB">
        <w:t xml:space="preserve"> is the ratio between the numbers of those in the working population to those receiving pension schemes.  Worldwide, </w:t>
      </w:r>
      <w:r w:rsidRPr="00A829CB">
        <w:rPr>
          <w:i/>
        </w:rPr>
        <w:t>the old-age dependency ratio</w:t>
      </w:r>
      <w:r w:rsidRPr="00A829CB">
        <w:t xml:space="preserve"> was 11.7% in 2010, whereas in 2050 it is estimated to be 25.4% (The Economist, 2009), resulting from an increase of the 65+ populations and a decrease of the working force (The Bank of America Merrill Lynch, 2014). According to The Bank of America Merrill Lynch (2014), this may be translated in additional costs of up to 50% of the Gross Domestic Product (GDP) to cover the expenses posed by an increased demand in pensions and healthcare costs. </w:t>
      </w:r>
      <w:r w:rsidRPr="00A829CB">
        <w:lastRenderedPageBreak/>
        <w:t>If no reforms take place in the near future, pensions in 2050 may drop below the threshold of poverty even in states with seemingly healthy economies (Galatsiatou, 2013).</w:t>
      </w:r>
    </w:p>
    <w:p w:rsidR="00A829CB" w:rsidRPr="00A829CB" w:rsidRDefault="00A829CB" w:rsidP="00A829CB">
      <w:pPr>
        <w:pStyle w:val="APAPar"/>
      </w:pPr>
      <w:r w:rsidRPr="00A829CB">
        <w:t>Due to the increased prevalence of chronic diseases in older age (and in the whole population in general), the demographic change into an ageing population signifies more years spent in less than perfect health for some, and in poor health for others. The Centre of Disease Control and Prevention (CDC, 2011) released a report depicting that 80% of older adults have one chronic condition, whereas 50% of them have at least two. The relevant epidemiological studies (CDC, National Centre of Health Statistics, National Vital Statistics System, 2007 as cited in CDC, 2011) illustrated that the leading causes of death among US adults older than 65 are chronic conditions, such as heart diseases, cancer, stroke, respiratory diseases, Alzheimer disease, and diabetes.</w:t>
      </w:r>
    </w:p>
    <w:p w:rsidR="00A829CB" w:rsidRPr="00A829CB" w:rsidRDefault="00A829CB" w:rsidP="00A829CB">
      <w:pPr>
        <w:pStyle w:val="APAPar"/>
      </w:pPr>
      <w:r w:rsidRPr="00A829CB">
        <w:t xml:space="preserve">It has been argued that the stress posed by the ageing populations on the welfare and pension systems’ financial sustainability can be alleviated by a set of measures and initiatives that shape a growing dynamic </w:t>
      </w:r>
      <w:r w:rsidR="008B1A06">
        <w:t>for</w:t>
      </w:r>
      <w:r w:rsidRPr="00A829CB">
        <w:t xml:space="preserve"> the average HLE. In the relevant report released from the World Economic Forum (WEF, 2015, p.5), it is stated that:</w:t>
      </w:r>
    </w:p>
    <w:p w:rsidR="00A829CB" w:rsidRPr="00A829CB" w:rsidRDefault="00A829CB" w:rsidP="00A829CB">
      <w:pPr>
        <w:pStyle w:val="APAPar"/>
        <w:widowControl w:val="0"/>
        <w:ind w:leftChars="400" w:left="960" w:rightChars="400" w:right="960" w:firstLine="0"/>
        <w:jc w:val="both"/>
        <w:rPr>
          <w:rStyle w:val="Emphasis"/>
        </w:rPr>
      </w:pPr>
      <w:r w:rsidRPr="00A829CB">
        <w:rPr>
          <w:rStyle w:val="Emphasis"/>
        </w:rPr>
        <w:t xml:space="preserve">... a healthy population is able to work for a greater number of years before retirement, contributing more to the social welfare system and depending less on the benefit it offers … Unhealthy populations lead to increases in government expenditure, reductions in the amount of taxable household income on account of ill people withdrawing from the workforce and, through increased morbidity rates, greater numbers taking early retirement (as well as additional costs incurred by social support systems and family) </w:t>
      </w:r>
    </w:p>
    <w:p w:rsidR="00A829CB" w:rsidRPr="00A829CB" w:rsidRDefault="00A829CB" w:rsidP="00A829CB">
      <w:pPr>
        <w:pStyle w:val="APAPar"/>
      </w:pPr>
      <w:r w:rsidRPr="00A829CB">
        <w:lastRenderedPageBreak/>
        <w:t xml:space="preserve">The WEF (2015) proposed a model that explains how investments in creating a healthier population are closely related to economic growth (Figure 1.1). The objectives set for the average HLE, as well as those set within the healthy and active ageing agenda tap well into the WEF model of health and economic growth, as it expands from younger to older age, thus it adopts a life span perspective. </w:t>
      </w:r>
    </w:p>
    <w:p w:rsidR="00A829CB" w:rsidRPr="00A829CB" w:rsidRDefault="00A829CB" w:rsidP="00A829CB">
      <w:pPr>
        <w:spacing w:before="240" w:line="480" w:lineRule="auto"/>
        <w:ind w:firstLine="720"/>
        <w:jc w:val="center"/>
        <w:rPr>
          <w:rFonts w:ascii="Times New Roman" w:eastAsia="Calibri" w:hAnsi="Times New Roman" w:cs="Times New Roman"/>
          <w:color w:val="000000"/>
          <w:szCs w:val="20"/>
        </w:rPr>
      </w:pPr>
      <w:r w:rsidRPr="00A829CB">
        <w:rPr>
          <w:rFonts w:ascii="Times New Roman" w:eastAsia="Calibri" w:hAnsi="Times New Roman" w:cs="Times New Roman"/>
          <w:noProof/>
          <w:color w:val="000000"/>
          <w:szCs w:val="20"/>
          <w:lang w:eastAsia="zh-CN"/>
        </w:rPr>
        <w:drawing>
          <wp:inline distT="0" distB="0" distL="0" distR="0">
            <wp:extent cx="3763717" cy="2091089"/>
            <wp:effectExtent l="0" t="0" r="0" b="0"/>
            <wp:docPr id="117" name="Picture 5"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aptur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63717" cy="2091089"/>
                    </a:xfrm>
                    <a:prstGeom prst="rect">
                      <a:avLst/>
                    </a:prstGeom>
                    <a:noFill/>
                    <a:ln>
                      <a:noFill/>
                    </a:ln>
                  </pic:spPr>
                </pic:pic>
              </a:graphicData>
            </a:graphic>
          </wp:inline>
        </w:drawing>
      </w:r>
    </w:p>
    <w:p w:rsidR="00A829CB" w:rsidRPr="00A829CB" w:rsidRDefault="00A829CB" w:rsidP="00A829CB">
      <w:pPr>
        <w:widowControl w:val="0"/>
        <w:spacing w:before="240" w:line="360" w:lineRule="auto"/>
        <w:ind w:left="1043" w:hanging="1043"/>
        <w:rPr>
          <w:rFonts w:ascii="Times New Roman" w:eastAsia="Calibri" w:hAnsi="Times New Roman" w:cs="Times New Roman"/>
          <w:color w:val="000000"/>
          <w:szCs w:val="20"/>
        </w:rPr>
      </w:pPr>
      <w:r w:rsidRPr="00A829CB">
        <w:rPr>
          <w:rFonts w:ascii="Times New Roman" w:eastAsia="Calibri" w:hAnsi="Times New Roman" w:cs="Times New Roman"/>
          <w:color w:val="000000"/>
          <w:szCs w:val="20"/>
        </w:rPr>
        <w:t>Figure 1.1 A Virtuous Cycle: Healthy Life Years as a Source for Continuous Economic      Growth. From World Economic Forum (2015)</w:t>
      </w:r>
    </w:p>
    <w:p w:rsidR="00A829CB" w:rsidRPr="00A829CB" w:rsidRDefault="00A829CB" w:rsidP="00A829CB">
      <w:pPr>
        <w:pStyle w:val="Heading2"/>
      </w:pPr>
      <w:bookmarkStart w:id="30" w:name="_Toc373425924"/>
      <w:bookmarkStart w:id="31" w:name="_Toc508460190"/>
      <w:bookmarkStart w:id="32" w:name="_Toc521184162"/>
      <w:r w:rsidRPr="00A829CB">
        <w:t>The Need for the Examination of the Healthy Spectrum of Older Age</w:t>
      </w:r>
      <w:bookmarkEnd w:id="30"/>
      <w:bookmarkEnd w:id="31"/>
      <w:bookmarkEnd w:id="32"/>
    </w:p>
    <w:p w:rsidR="00A829CB" w:rsidRPr="00A829CB" w:rsidRDefault="00A829CB" w:rsidP="00A829CB">
      <w:pPr>
        <w:pStyle w:val="APAPar"/>
      </w:pPr>
      <w:r w:rsidRPr="00A829CB">
        <w:t xml:space="preserve">It is evident that the statement from the WEF (2015) focuses on the dynamic in shaping an older but healthy population, and equally frames the threat and the “burden” that can be posed by a potential increase </w:t>
      </w:r>
      <w:r w:rsidR="002D417F">
        <w:t xml:space="preserve">in the numbers </w:t>
      </w:r>
      <w:r w:rsidRPr="00A829CB">
        <w:t>of unhealthy older adults. These statements find great support in a body of research that examined extensively age-related pathologies. Yet, they could not have relied to any great extent on empirical findings that examined the healthy spectrum of ageing. As Johnson and Mutchler (2013) argue, much of the literature on ageing has concentrated on the inevitable decline of human capacity and dependency rates in older age, where</w:t>
      </w:r>
      <w:r w:rsidR="002D417F">
        <w:t>as</w:t>
      </w:r>
      <w:r w:rsidRPr="00A829CB">
        <w:t xml:space="preserve"> only recently and only some scholarly efforts have addressed the positive aspects of ageing. A positive approach to older age constitutes the </w:t>
      </w:r>
      <w:r w:rsidRPr="00A829CB">
        <w:lastRenderedPageBreak/>
        <w:t xml:space="preserve">foundations of </w:t>
      </w:r>
      <w:r w:rsidRPr="00A829CB">
        <w:rPr>
          <w:i/>
        </w:rPr>
        <w:t>positive gerontology</w:t>
      </w:r>
      <w:r w:rsidRPr="00A829CB">
        <w:t>, emphasizing on older adults’ productivity, contribution to society, as well as their civic engagement.</w:t>
      </w:r>
    </w:p>
    <w:p w:rsidR="00A829CB" w:rsidRPr="00A829CB" w:rsidRDefault="00A829CB" w:rsidP="00A829CB">
      <w:pPr>
        <w:pStyle w:val="APAPar"/>
      </w:pPr>
      <w:r w:rsidRPr="00A829CB">
        <w:t xml:space="preserve"> Similar conceptualizations of positive aspects in older age are often referred to as </w:t>
      </w:r>
      <w:r w:rsidRPr="00A829CB">
        <w:rPr>
          <w:i/>
        </w:rPr>
        <w:t>successfu</w:t>
      </w:r>
      <w:r w:rsidRPr="00A829CB">
        <w:t xml:space="preserve">l </w:t>
      </w:r>
      <w:r w:rsidRPr="00A829CB">
        <w:rPr>
          <w:i/>
        </w:rPr>
        <w:t xml:space="preserve">ageing. </w:t>
      </w:r>
      <w:r w:rsidRPr="00A829CB">
        <w:t xml:space="preserve"> Some researchers used the term successful ageing</w:t>
      </w:r>
      <w:r w:rsidRPr="00A829CB">
        <w:rPr>
          <w:i/>
        </w:rPr>
        <w:t xml:space="preserve"> </w:t>
      </w:r>
      <w:r w:rsidRPr="00A829CB">
        <w:t>to describe the prevalence of positive outcomes in older age, such as joy, happiness and satisfaction (Carstensen, Isaacowitz, &amp; Charles, 1999; Havighurst, 1963; Maddox, 1970). Others used the term to describe the effective functional adaptation of older adults, namely the process of maintaining behavioural performance despite cognitive deteriorations (Baltes &amp; Baltes, 1990; Freund &amp; Baltes 2007). The most elaborated model of successful ageing was offered from Rowe and Kahn (1997), a medical doctor and a psychologist who argued that good physical, social and mental health in older age determine how positive the developmental outcomes are in later stages of life.</w:t>
      </w:r>
    </w:p>
    <w:p w:rsidR="00A829CB" w:rsidRPr="00A829CB" w:rsidRDefault="00A829CB" w:rsidP="00A829CB">
      <w:pPr>
        <w:pStyle w:val="APAPar"/>
      </w:pPr>
      <w:r w:rsidRPr="00A829CB">
        <w:t>Many researchers have adopted Rowe and Kahn’s (1997) model to form specific indicators of “success” in older age (Hsu &amp; Jones, 2012; Ng et al., 2011; Wahl et al., 2013). Most of these studies however described risk ratios and prevalence rates of diseases and disability in older age, interpreting the avoidance of such conditions as success. Although providing invaluable knowledge, this approach shifts the scope of examination away from the healthy spectrum of ageing, focusing more into the illustration of age-related pathologies. A similar trend can be observed in the discourse of cognitive ageing. As it is stated in the Alzheimer’s Association (2017) official website</w:t>
      </w:r>
    </w:p>
    <w:p w:rsidR="00A829CB" w:rsidRPr="00A829CB" w:rsidRDefault="00A829CB" w:rsidP="00A829CB">
      <w:pPr>
        <w:pStyle w:val="APAPar"/>
        <w:widowControl w:val="0"/>
        <w:ind w:leftChars="400" w:left="960" w:rightChars="400" w:right="960" w:firstLine="0"/>
        <w:jc w:val="both"/>
        <w:rPr>
          <w:rStyle w:val="Emphasis"/>
        </w:rPr>
      </w:pPr>
      <w:r w:rsidRPr="00A829CB">
        <w:rPr>
          <w:rStyle w:val="Emphasis"/>
        </w:rPr>
        <w:t>Dementia is often incorrectly referred to as "senility" or "senile dementia," which reflects the formerly widespread but incorrect belief that serious mental decline is a normal part of ageing.</w:t>
      </w:r>
    </w:p>
    <w:p w:rsidR="00A829CB" w:rsidRPr="00A829CB" w:rsidRDefault="00A829CB" w:rsidP="00A829CB">
      <w:pPr>
        <w:pStyle w:val="APAPar"/>
      </w:pPr>
      <w:r w:rsidRPr="00A829CB">
        <w:lastRenderedPageBreak/>
        <w:t xml:space="preserve">A representative and influential example is the extensive review of Hertzog et al. (2009), who examined the factors that influence cognitive decline with ageing. Based on the evidence of this review, the authors offered a theoretical framework (Figure 1.2), which depicts a set of differential cognitive decline trajectories depending on a number of social (i.e., social engagement, socioeconomic status, education) and behavioural (i.e., physical activity) factors. </w:t>
      </w:r>
    </w:p>
    <w:p w:rsidR="00A829CB" w:rsidRPr="00A829CB" w:rsidRDefault="00A829CB" w:rsidP="00A829CB">
      <w:pPr>
        <w:tabs>
          <w:tab w:val="left" w:pos="7604"/>
        </w:tabs>
        <w:spacing w:line="480" w:lineRule="auto"/>
        <w:ind w:firstLine="153"/>
        <w:jc w:val="center"/>
      </w:pPr>
      <w:r w:rsidRPr="00A829CB">
        <w:rPr>
          <w:noProof/>
          <w:lang w:eastAsia="zh-CN"/>
        </w:rPr>
        <w:drawing>
          <wp:anchor distT="0" distB="0" distL="114300" distR="114300" simplePos="0" relativeHeight="251820032" behindDoc="0" locked="0" layoutInCell="1" allowOverlap="1">
            <wp:simplePos x="0" y="0"/>
            <wp:positionH relativeFrom="column">
              <wp:posOffset>914400</wp:posOffset>
            </wp:positionH>
            <wp:positionV relativeFrom="paragraph">
              <wp:posOffset>38735</wp:posOffset>
            </wp:positionV>
            <wp:extent cx="3550285" cy="1943100"/>
            <wp:effectExtent l="0" t="0" r="0" b="0"/>
            <wp:wrapSquare wrapText="bothSides"/>
            <wp:docPr id="118" name="Picture 4" descr="Macintosh HD:Users:George:Desktop:Screen Shot 2014-12-09 at 10.25.40 π.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rge:Desktop:Screen Shot 2014-12-09 at 10.25.40 π.μ..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50285" cy="19431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ve="http://schemas.openxmlformats.org/markup-compatibility/2006"/>
                      </a:ext>
                    </a:extLst>
                  </pic:spPr>
                </pic:pic>
              </a:graphicData>
            </a:graphic>
          </wp:anchor>
        </w:drawing>
      </w:r>
    </w:p>
    <w:p w:rsidR="00A829CB" w:rsidRPr="00A829CB" w:rsidRDefault="00C4694A" w:rsidP="00A829CB">
      <w:pPr>
        <w:pStyle w:val="TableofFigures"/>
      </w:pPr>
      <w:r>
        <w:rPr>
          <w:noProof/>
          <w:lang w:eastAsia="en-GB"/>
        </w:rPr>
        <w:pict>
          <v:shapetype id="_x0000_t202" coordsize="21600,21600" o:spt="202" path="m,l,21600r21600,l21600,xe">
            <v:stroke joinstyle="miter"/>
            <v:path gradientshapeok="t" o:connecttype="rect"/>
          </v:shapetype>
          <v:shape id="Text Box 2" o:spid="_x0000_s1136" type="#_x0000_t202" alt="" style="position:absolute;left:0;text-align:left;margin-left:366pt;margin-top:6.35pt;width:60.5pt;height:36pt;z-index:251817984;visibility:visible;mso-wrap-edited:f" wrapcoords="0 0" filled="f" stroked="f">
            <v:path arrowok="t"/>
            <v:textbox style="mso-next-textbox:#Text Box 2" inset=",7.2pt,,7.2pt">
              <w:txbxContent>
                <w:p w:rsidR="00E87F3A" w:rsidRDefault="00E87F3A" w:rsidP="00A829CB">
                  <w:pPr>
                    <w:jc w:val="right"/>
                  </w:pPr>
                  <w:r>
                    <w:t>Area A</w:t>
                  </w:r>
                </w:p>
              </w:txbxContent>
            </v:textbox>
            <w10:wrap type="tight"/>
          </v:shape>
        </w:pict>
      </w:r>
    </w:p>
    <w:p w:rsidR="00A829CB" w:rsidRPr="00A829CB" w:rsidRDefault="00A829CB" w:rsidP="00A829CB">
      <w:pPr>
        <w:pStyle w:val="TableofFigures"/>
      </w:pPr>
    </w:p>
    <w:p w:rsidR="00A829CB" w:rsidRPr="00A829CB" w:rsidRDefault="00C4694A" w:rsidP="00A829CB">
      <w:pPr>
        <w:pStyle w:val="TableofFigures"/>
      </w:pPr>
      <w:r>
        <w:rPr>
          <w:noProof/>
          <w:lang w:eastAsia="en-GB"/>
        </w:rPr>
        <w:pict>
          <v:shape id="Text Box 4" o:spid="_x0000_s1135" type="#_x0000_t202" alt="" style="position:absolute;left:0;text-align:left;margin-left:373.05pt;margin-top:3.95pt;width:52.3pt;height:27pt;z-index:251819008;visibility:visible;mso-wrap-edited:f" wrapcoords="0 0" filled="f" stroked="f">
            <v:path arrowok="t"/>
            <v:textbox style="mso-next-textbox:#Text Box 4" inset=",7.2pt,,7.2pt">
              <w:txbxContent>
                <w:p w:rsidR="00E87F3A" w:rsidRDefault="00E87F3A" w:rsidP="00A829CB">
                  <w:pPr>
                    <w:jc w:val="right"/>
                  </w:pPr>
                  <w:r>
                    <w:t>Area B</w:t>
                  </w:r>
                </w:p>
                <w:p w:rsidR="00E87F3A" w:rsidRDefault="00E87F3A" w:rsidP="00A829CB">
                  <w:pPr>
                    <w:jc w:val="right"/>
                  </w:pPr>
                  <w:r>
                    <w:rPr>
                      <w:vanish/>
                    </w:rPr>
                    <w:t>ontinuous variable, ranging someogy or that al loss of EvF would signify that the lates is a continuous variable, ranging somewh</w:t>
                  </w:r>
                </w:p>
              </w:txbxContent>
            </v:textbox>
            <w10:wrap type="tight"/>
          </v:shape>
        </w:pict>
      </w:r>
    </w:p>
    <w:p w:rsidR="00A829CB" w:rsidRPr="00A829CB" w:rsidRDefault="00A829CB" w:rsidP="00A829CB">
      <w:pPr>
        <w:pStyle w:val="TableofFigures"/>
      </w:pPr>
    </w:p>
    <w:p w:rsidR="00A829CB" w:rsidRPr="00A829CB" w:rsidRDefault="00A829CB" w:rsidP="00A829CB">
      <w:pPr>
        <w:pStyle w:val="TableofFigures"/>
      </w:pPr>
      <w:r w:rsidRPr="00A829CB">
        <w:t>Figure 1.2 Differential cognitive decline trajectories over the life span and the threshold of functional loss. Area A represents the healthy spectrum of cognitive ageing. Area B represents the pathological spectrum of cognitive ageing. Adapted from Hertzog et al. (2009)</w:t>
      </w:r>
    </w:p>
    <w:p w:rsidR="00A829CB" w:rsidRPr="00A829CB" w:rsidRDefault="00A829CB" w:rsidP="00A829CB">
      <w:pPr>
        <w:pStyle w:val="APAPar"/>
      </w:pPr>
      <w:r w:rsidRPr="00A829CB">
        <w:t xml:space="preserve">The conceptualization of cognitive ageing as depicted in the theoretical framework of Hertzog et al. (2009) embraces a large range of interventions (and a respectable proportion of public spending in research funding) to boost cognitive vitality and prolong the average years living independently (Bamidis et al., 2014; Diehl et al., 2005; Jobe et al., 2001). Such interventions are based on the rational that improvements in cognitive performance within </w:t>
      </w:r>
      <w:r w:rsidR="00DB1BCF">
        <w:t>the course of adult development carry</w:t>
      </w:r>
      <w:r w:rsidRPr="00A829CB">
        <w:t xml:space="preserve"> the potential to alter favourably cognitive decline trajectories (as depicted with the green line C in Figure 2) and postpone the </w:t>
      </w:r>
      <w:r w:rsidR="00DB1BCF">
        <w:t>point at which</w:t>
      </w:r>
      <w:r w:rsidRPr="00A829CB">
        <w:t xml:space="preserve"> poor cognitive performance bridges a threshold of functional dependency. </w:t>
      </w:r>
    </w:p>
    <w:p w:rsidR="00A829CB" w:rsidRPr="00A829CB" w:rsidRDefault="00A829CB" w:rsidP="00A829CB">
      <w:pPr>
        <w:pStyle w:val="APAPar"/>
      </w:pPr>
      <w:r w:rsidRPr="00A829CB">
        <w:lastRenderedPageBreak/>
        <w:t>This assumption could have a firm theoretical basis if everybody would bridge the threshold of dependency w</w:t>
      </w:r>
      <w:r w:rsidR="00DB1BCF">
        <w:t>hen growing older. T</w:t>
      </w:r>
      <w:r w:rsidRPr="00A829CB">
        <w:t>his position however does not fit well with existing epidemiological evidence (Anderson-Ranberg, Vasegaard, &amp; Jeune, 2001; Ball, Ross, &amp; Viamonte, 2010) which suggests that the effect of cognitive training interventions in postponing functiona</w:t>
      </w:r>
      <w:r w:rsidR="00DB1BCF">
        <w:t>l dependency is not consistent.</w:t>
      </w:r>
      <w:r w:rsidRPr="00A829CB">
        <w:t xml:space="preserve"> Such a beneficial effect can be only </w:t>
      </w:r>
      <w:r w:rsidR="00DB1BCF">
        <w:t xml:space="preserve">concluded </w:t>
      </w:r>
      <w:r w:rsidR="009A7932">
        <w:t xml:space="preserve">safely </w:t>
      </w:r>
      <w:r w:rsidR="00DB1BCF">
        <w:t xml:space="preserve">if </w:t>
      </w:r>
      <w:r w:rsidRPr="00A829CB">
        <w:t xml:space="preserve">longitudinal studies </w:t>
      </w:r>
      <w:r w:rsidR="009A7932">
        <w:t>using</w:t>
      </w:r>
      <w:r w:rsidR="009A7932" w:rsidRPr="00A829CB">
        <w:t xml:space="preserve"> </w:t>
      </w:r>
      <w:r w:rsidR="009A7932">
        <w:t xml:space="preserve">intervention and </w:t>
      </w:r>
      <w:r w:rsidRPr="00A829CB">
        <w:t>control group</w:t>
      </w:r>
      <w:r w:rsidR="00DB1BCF">
        <w:t>s</w:t>
      </w:r>
      <w:r w:rsidRPr="00A829CB">
        <w:t xml:space="preserve"> </w:t>
      </w:r>
      <w:r w:rsidR="009A7932">
        <w:t xml:space="preserve">will </w:t>
      </w:r>
      <w:r w:rsidRPr="00A829CB">
        <w:t>detect</w:t>
      </w:r>
      <w:r w:rsidR="00787290">
        <w:t xml:space="preserve"> to the former</w:t>
      </w:r>
      <w:r w:rsidRPr="00A829CB">
        <w:t xml:space="preserve"> reduction</w:t>
      </w:r>
      <w:r w:rsidR="009A7932">
        <w:t>s</w:t>
      </w:r>
      <w:r w:rsidRPr="00A829CB">
        <w:t xml:space="preserve"> in the risk of developing age-related neurological diseases, or a difference at the point that functional dependency is manifested. Such studies are costly and hard to implement, and therefore, there is </w:t>
      </w:r>
      <w:r w:rsidR="00DB1BCF">
        <w:t>scarce</w:t>
      </w:r>
      <w:r w:rsidRPr="00A829CB">
        <w:t xml:space="preserve"> </w:t>
      </w:r>
      <w:r w:rsidR="00DB1BCF">
        <w:t xml:space="preserve">relevant </w:t>
      </w:r>
      <w:r w:rsidRPr="00A829CB">
        <w:t xml:space="preserve">evidence in this direction to </w:t>
      </w:r>
      <w:r w:rsidR="00EA1BAC">
        <w:t xml:space="preserve">this </w:t>
      </w:r>
      <w:r w:rsidRPr="00A829CB">
        <w:t xml:space="preserve">date. Instead, many argue for the protective effect produced by cognitive training intervention </w:t>
      </w:r>
      <w:r w:rsidR="002D417F">
        <w:t>for</w:t>
      </w:r>
      <w:r w:rsidRPr="00A829CB">
        <w:t xml:space="preserve"> cognitively healthy older adults based </w:t>
      </w:r>
      <w:r w:rsidR="00E34222">
        <w:t xml:space="preserve">among others </w:t>
      </w:r>
      <w:r w:rsidRPr="00A829CB">
        <w:t>on the assumption that cognitive performance and everyday functioning are strongly related</w:t>
      </w:r>
      <w:r w:rsidR="004C7045">
        <w:t>, and that the threshold is to be reached at some point in life</w:t>
      </w:r>
      <w:r w:rsidRPr="00A829CB">
        <w:t xml:space="preserve">. </w:t>
      </w:r>
    </w:p>
    <w:p w:rsidR="00A829CB" w:rsidRPr="00A829CB" w:rsidRDefault="00A829CB" w:rsidP="00A829CB">
      <w:pPr>
        <w:pStyle w:val="Heading2"/>
      </w:pPr>
      <w:bookmarkStart w:id="33" w:name="_Toc373425925"/>
      <w:bookmarkStart w:id="34" w:name="_Toc508460191"/>
      <w:bookmarkStart w:id="35" w:name="_Toc521184163"/>
      <w:r w:rsidRPr="00A829CB">
        <w:t xml:space="preserve">Advancing the Discourse of Ageing in the Healthy Spectrum of Cognitive </w:t>
      </w:r>
      <w:bookmarkEnd w:id="33"/>
      <w:r w:rsidRPr="00A829CB">
        <w:t>Performance</w:t>
      </w:r>
      <w:bookmarkEnd w:id="34"/>
      <w:bookmarkEnd w:id="35"/>
    </w:p>
    <w:p w:rsidR="00A829CB" w:rsidRPr="00A829CB" w:rsidRDefault="00A829CB" w:rsidP="00A829CB">
      <w:pPr>
        <w:pStyle w:val="APAPar"/>
      </w:pPr>
      <w:r w:rsidRPr="00A829CB">
        <w:t xml:space="preserve">The discussion so far has concentrated on the gap that exists in the examination of the healthy spectrum of cognitive ageing and the associated peril in proceeding with false assumptions </w:t>
      </w:r>
      <w:r w:rsidR="002D417F">
        <w:t>concerning</w:t>
      </w:r>
      <w:r w:rsidRPr="00A829CB">
        <w:t xml:space="preserve"> the cognitive ageing process. The discourse of cognitive ageing carries the potential to </w:t>
      </w:r>
      <w:r w:rsidR="002D417F">
        <w:t>provide</w:t>
      </w:r>
      <w:r w:rsidRPr="00A829CB">
        <w:t xml:space="preserve"> better </w:t>
      </w:r>
      <w:r w:rsidR="002D417F">
        <w:t xml:space="preserve">information </w:t>
      </w:r>
      <w:r w:rsidRPr="00A829CB">
        <w:t xml:space="preserve">about the typical (healthy) spectrum of cognitive performance in older age, by providing more precise theoretical models of cognitive ageing. </w:t>
      </w:r>
      <w:r w:rsidR="002D417F">
        <w:t xml:space="preserve">Such </w:t>
      </w:r>
      <w:r w:rsidRPr="00A829CB">
        <w:t>models can be utilized to inform policies that aim to boost economic growth and prosperity through positive cognitive outcomes in older age. Such information cannot be anticipated by examining the avoidance of age-related neurological diseases, but by examining how functioning and cognitive vitality in older age evolve</w:t>
      </w:r>
      <w:r w:rsidR="002D417F">
        <w:t>s</w:t>
      </w:r>
      <w:r w:rsidRPr="00A829CB">
        <w:t xml:space="preserve"> in the absence of any age-related cognitive neuropathology. In order to support the lat</w:t>
      </w:r>
      <w:r w:rsidR="002D417F">
        <w:t>t</w:t>
      </w:r>
      <w:r w:rsidRPr="00A829CB">
        <w:t xml:space="preserve">er objective, the healthy </w:t>
      </w:r>
      <w:r w:rsidRPr="00A829CB">
        <w:lastRenderedPageBreak/>
        <w:t>spectrum of cognitive ageing has to be examined explicitly and as vigorously as the pathological spectrum of cognitive ageing.</w:t>
      </w:r>
    </w:p>
    <w:p w:rsidR="00A829CB" w:rsidRPr="00A829CB" w:rsidRDefault="00A829CB" w:rsidP="00A829CB">
      <w:pPr>
        <w:pStyle w:val="APAPar"/>
      </w:pPr>
      <w:r w:rsidRPr="00A829CB">
        <w:t xml:space="preserve">In this discourse, it is important to examine the social factors that influence older adults’ successful adaptation </w:t>
      </w:r>
      <w:r w:rsidR="002D417F">
        <w:t>to</w:t>
      </w:r>
      <w:r w:rsidRPr="00A829CB">
        <w:t xml:space="preserve"> a set of healthy lifestyle choices. This would</w:t>
      </w:r>
      <w:r w:rsidR="002D417F">
        <w:t xml:space="preserve"> (to great extent)</w:t>
      </w:r>
      <w:r w:rsidRPr="00A829CB">
        <w:t xml:space="preserve"> </w:t>
      </w:r>
      <w:r w:rsidR="00EA1BAC">
        <w:t xml:space="preserve">discourage </w:t>
      </w:r>
      <w:r w:rsidRPr="00A829CB">
        <w:t xml:space="preserve">negative outcomes in older age </w:t>
      </w:r>
      <w:r w:rsidR="002D417F">
        <w:t xml:space="preserve">being interpreted </w:t>
      </w:r>
      <w:r w:rsidRPr="00A829CB">
        <w:t xml:space="preserve">as the failure of older adults to adapt, </w:t>
      </w:r>
      <w:r w:rsidR="002D417F">
        <w:t xml:space="preserve">or </w:t>
      </w:r>
      <w:r w:rsidRPr="00A829CB">
        <w:t xml:space="preserve">seeing </w:t>
      </w:r>
      <w:r w:rsidR="00274C1D">
        <w:t xml:space="preserve">older adults </w:t>
      </w:r>
      <w:r w:rsidRPr="00A829CB">
        <w:t>as the sole potential agents of change in the context of healthy and active ageing policies</w:t>
      </w:r>
      <w:r w:rsidR="002D417F">
        <w:t xml:space="preserve"> and practises</w:t>
      </w:r>
      <w:r w:rsidRPr="00A829CB">
        <w:t xml:space="preserve">. </w:t>
      </w:r>
      <w:r w:rsidR="00EA1BAC" w:rsidRPr="00A829CB">
        <w:t>Incontrovertibly</w:t>
      </w:r>
      <w:r w:rsidRPr="00A829CB">
        <w:t xml:space="preserve">, there are certain social inequalities in terms of income, gender, and education, which </w:t>
      </w:r>
      <w:r w:rsidR="00EA1BAC">
        <w:t>shape</w:t>
      </w:r>
      <w:r w:rsidRPr="00A829CB">
        <w:t xml:space="preserve"> the ageing process. These inequalities can be observed and measured</w:t>
      </w:r>
      <w:r w:rsidR="00982D18">
        <w:t xml:space="preserve"> </w:t>
      </w:r>
      <w:r w:rsidRPr="00A829CB">
        <w:t>(Aichenbaum &amp; Brengston, 1994; OECD, 2017).</w:t>
      </w:r>
    </w:p>
    <w:p w:rsidR="00A829CB" w:rsidRPr="00A829CB" w:rsidRDefault="00A829CB" w:rsidP="00A829CB">
      <w:pPr>
        <w:pStyle w:val="APAPar"/>
      </w:pPr>
      <w:r w:rsidRPr="00A829CB">
        <w:t xml:space="preserve">A large volume of research has already established the effect of social inequalities in terms of </w:t>
      </w:r>
      <w:r w:rsidR="00AA21B7">
        <w:t>Socioeconomic Status (</w:t>
      </w:r>
      <w:r w:rsidRPr="00A829CB">
        <w:t>SES</w:t>
      </w:r>
      <w:r w:rsidR="00AA21B7">
        <w:t>)</w:t>
      </w:r>
      <w:r w:rsidRPr="00A829CB">
        <w:t xml:space="preserve"> and access to health on the occurrence of age-related neurological disorders (Hertzog et al., 2009; Wilson et al., 2009). The potential relationship between SES, social participation, mental and physical exercise with cognitive and functional decline in the healthy spectrum of cognitive ageing has not been established directly, but rather is often assumed in the context of avoiding age-related neurological pathologies. A recent meta-analytic review (Young, Angevaren, Rusted, &amp; Tabet, 2015) and a number of large-scale longitudinal studies (Christensen et al., 2001; Hofer et al., 2002; Mackinnon, Christensen, Hofer, Korten, &amp; Jorm, 2003; Tucher-Drop, Johnson, &amp; Jones, 2009; Wilson et al., 2009) have challenged the assumptions that SES, social participation, mental and physical exercise have the same effects on cognitively healthy older individuals, as they do on those affected by an age-related neuropathology .</w:t>
      </w:r>
    </w:p>
    <w:p w:rsidR="00A829CB" w:rsidRPr="00A829CB" w:rsidRDefault="00A829CB" w:rsidP="00A829CB">
      <w:pPr>
        <w:pStyle w:val="APAPar"/>
      </w:pPr>
      <w:r w:rsidRPr="00A829CB">
        <w:t xml:space="preserve">This thesis examines the relationship between social factors (i.e., SES) and engagement in health-related behaviours (i.e., physical exercise, mental exercise, social participation) on cognitive vitality, restricting the sample used for this examination to </w:t>
      </w:r>
      <w:r w:rsidRPr="00A829CB">
        <w:lastRenderedPageBreak/>
        <w:t xml:space="preserve">cognitively healthy older adults. In other words, this research deviates from </w:t>
      </w:r>
      <w:r w:rsidR="002D417F">
        <w:t>an</w:t>
      </w:r>
      <w:r w:rsidRPr="00A829CB">
        <w:t xml:space="preserve"> examination of the pathological spectrum</w:t>
      </w:r>
      <w:r w:rsidR="002D417F">
        <w:t xml:space="preserve"> of cognitive functioning, and </w:t>
      </w:r>
      <w:r w:rsidRPr="00A829CB">
        <w:t xml:space="preserve">examines whether the beneficial effects of SES, social participation, mental activities, and physical exercise can be evidenced among cognitively healthy older adults. Such </w:t>
      </w:r>
      <w:r w:rsidR="002D417F">
        <w:t xml:space="preserve">an </w:t>
      </w:r>
      <w:r w:rsidRPr="00A829CB">
        <w:t>examination lies at the intersection of social gerontology and neuropsychology, made possible by quantitative methods that assess social participation, physical exercise, as well as performance in neuropsychological and everyday functioning assessments. For the purpose of informing theory and policies for the typical (non-pathological) spectrum of cognitive vitality, the thesis will use an interdisciplinary, cultural</w:t>
      </w:r>
      <w:r w:rsidR="002D417F">
        <w:t>ly</w:t>
      </w:r>
      <w:r w:rsidRPr="00A829CB">
        <w:t xml:space="preserve"> sensitive approach.</w:t>
      </w:r>
    </w:p>
    <w:p w:rsidR="00A829CB" w:rsidRPr="00A829CB" w:rsidRDefault="00A829CB" w:rsidP="00A829CB">
      <w:pPr>
        <w:pStyle w:val="Heading2"/>
      </w:pPr>
      <w:bookmarkStart w:id="36" w:name="_Toc373425926"/>
      <w:bookmarkStart w:id="37" w:name="_Toc508460192"/>
      <w:bookmarkStart w:id="38" w:name="_Toc521184164"/>
      <w:r w:rsidRPr="00A829CB">
        <w:t>Research Questions</w:t>
      </w:r>
      <w:bookmarkEnd w:id="36"/>
      <w:r w:rsidRPr="00A829CB">
        <w:t xml:space="preserve"> and Hypothesis</w:t>
      </w:r>
      <w:bookmarkEnd w:id="37"/>
      <w:bookmarkEnd w:id="38"/>
    </w:p>
    <w:p w:rsidR="00A829CB" w:rsidRPr="00A829CB" w:rsidRDefault="00A829CB" w:rsidP="00A829CB">
      <w:pPr>
        <w:pStyle w:val="APAPar"/>
      </w:pPr>
      <w:r w:rsidRPr="00A829CB">
        <w:t>The following research questions are addressed in this thesis:</w:t>
      </w:r>
    </w:p>
    <w:p w:rsidR="00A829CB" w:rsidRPr="00A829CB" w:rsidRDefault="00A829CB" w:rsidP="00A829CB">
      <w:pPr>
        <w:numPr>
          <w:ilvl w:val="1"/>
          <w:numId w:val="12"/>
        </w:numPr>
        <w:tabs>
          <w:tab w:val="left" w:pos="567"/>
        </w:tabs>
        <w:spacing w:before="240" w:line="480" w:lineRule="auto"/>
        <w:ind w:left="720" w:right="-45"/>
        <w:rPr>
          <w:rFonts w:ascii="Times New Roman" w:eastAsia="Calibri" w:hAnsi="Times New Roman" w:cs="Times New Roman"/>
          <w:color w:val="000000"/>
          <w:szCs w:val="20"/>
        </w:rPr>
      </w:pPr>
      <w:r w:rsidRPr="00A829CB">
        <w:rPr>
          <w:rFonts w:ascii="Times New Roman" w:eastAsia="Calibri" w:hAnsi="Times New Roman" w:cs="Times New Roman"/>
          <w:color w:val="000000"/>
          <w:szCs w:val="20"/>
        </w:rPr>
        <w:t>Research Question 1: Is cognitive performance related to everyday functioning among cognitively healthy older adults? This research question is addressed in Chapters 4 and 7.</w:t>
      </w:r>
    </w:p>
    <w:p w:rsidR="00A829CB" w:rsidRPr="00A829CB" w:rsidRDefault="00A829CB" w:rsidP="00A829CB">
      <w:pPr>
        <w:numPr>
          <w:ilvl w:val="1"/>
          <w:numId w:val="12"/>
        </w:numPr>
        <w:tabs>
          <w:tab w:val="left" w:pos="567"/>
        </w:tabs>
        <w:spacing w:before="240" w:line="480" w:lineRule="auto"/>
        <w:ind w:left="720" w:right="-45"/>
        <w:rPr>
          <w:rFonts w:ascii="Times New Roman" w:eastAsia="Calibri" w:hAnsi="Times New Roman" w:cs="Times New Roman"/>
          <w:color w:val="000000"/>
          <w:szCs w:val="20"/>
        </w:rPr>
      </w:pPr>
      <w:r w:rsidRPr="00A829CB">
        <w:rPr>
          <w:rFonts w:ascii="Times New Roman" w:eastAsia="Calibri" w:hAnsi="Times New Roman" w:cs="Times New Roman"/>
          <w:color w:val="000000"/>
          <w:szCs w:val="20"/>
        </w:rPr>
        <w:t xml:space="preserve">Research Question 2: Does cognitive performance mediate age-related decrements </w:t>
      </w:r>
      <w:r w:rsidR="002D417F">
        <w:rPr>
          <w:rFonts w:ascii="Times New Roman" w:eastAsia="Calibri" w:hAnsi="Times New Roman" w:cs="Times New Roman"/>
          <w:color w:val="000000"/>
          <w:szCs w:val="20"/>
        </w:rPr>
        <w:t xml:space="preserve">in </w:t>
      </w:r>
      <w:r w:rsidRPr="00A829CB">
        <w:rPr>
          <w:rFonts w:ascii="Times New Roman" w:eastAsia="Calibri" w:hAnsi="Times New Roman" w:cs="Times New Roman"/>
          <w:color w:val="000000"/>
          <w:szCs w:val="20"/>
        </w:rPr>
        <w:t>everyday functioning? This research question is addressed in Chapter 7.</w:t>
      </w:r>
    </w:p>
    <w:p w:rsidR="00A829CB" w:rsidRPr="00A829CB" w:rsidRDefault="00A829CB" w:rsidP="00A829CB">
      <w:pPr>
        <w:numPr>
          <w:ilvl w:val="1"/>
          <w:numId w:val="12"/>
        </w:numPr>
        <w:tabs>
          <w:tab w:val="left" w:pos="567"/>
        </w:tabs>
        <w:spacing w:before="240" w:line="480" w:lineRule="auto"/>
        <w:ind w:left="720" w:right="-45"/>
        <w:rPr>
          <w:rFonts w:ascii="Times New Roman" w:eastAsia="Calibri" w:hAnsi="Times New Roman" w:cs="Times New Roman"/>
          <w:color w:val="000000"/>
          <w:szCs w:val="20"/>
        </w:rPr>
      </w:pPr>
      <w:r w:rsidRPr="00A829CB">
        <w:rPr>
          <w:rFonts w:ascii="Times New Roman" w:eastAsia="Calibri" w:hAnsi="Times New Roman" w:cs="Times New Roman"/>
          <w:color w:val="000000"/>
          <w:szCs w:val="20"/>
        </w:rPr>
        <w:t>Research Question 3: Are older adults’ cognitive and functional performance related with SES, social participation, education, and participation in mental and physical activities? This research question is addressed in Chapter 7</w:t>
      </w:r>
    </w:p>
    <w:p w:rsidR="00A829CB" w:rsidRPr="00A829CB" w:rsidRDefault="00A829CB" w:rsidP="00A829CB">
      <w:pPr>
        <w:numPr>
          <w:ilvl w:val="1"/>
          <w:numId w:val="12"/>
        </w:numPr>
        <w:tabs>
          <w:tab w:val="left" w:pos="567"/>
        </w:tabs>
        <w:spacing w:before="240" w:line="480" w:lineRule="auto"/>
        <w:ind w:left="720" w:right="-45"/>
        <w:rPr>
          <w:rFonts w:ascii="Times New Roman" w:eastAsia="Calibri" w:hAnsi="Times New Roman" w:cs="Times New Roman"/>
          <w:color w:val="000000"/>
          <w:szCs w:val="20"/>
        </w:rPr>
      </w:pPr>
      <w:r w:rsidRPr="00A829CB">
        <w:rPr>
          <w:rFonts w:ascii="Times New Roman" w:eastAsia="Calibri" w:hAnsi="Times New Roman" w:cs="Times New Roman"/>
          <w:color w:val="000000"/>
          <w:szCs w:val="20"/>
        </w:rPr>
        <w:t xml:space="preserve">Research question 4: Do social participation, education, and participation in mental and physical activities moderate age-related decrements </w:t>
      </w:r>
      <w:r w:rsidR="002D417F">
        <w:rPr>
          <w:rFonts w:ascii="Times New Roman" w:eastAsia="Calibri" w:hAnsi="Times New Roman" w:cs="Times New Roman"/>
          <w:color w:val="000000"/>
          <w:szCs w:val="20"/>
        </w:rPr>
        <w:t>in</w:t>
      </w:r>
      <w:r w:rsidRPr="00A829CB">
        <w:rPr>
          <w:rFonts w:ascii="Times New Roman" w:eastAsia="Calibri" w:hAnsi="Times New Roman" w:cs="Times New Roman"/>
          <w:color w:val="000000"/>
          <w:szCs w:val="20"/>
        </w:rPr>
        <w:t xml:space="preserve"> cognitive performance? This research question is addressed in Chapter 7</w:t>
      </w:r>
    </w:p>
    <w:p w:rsidR="00A829CB" w:rsidRPr="00A829CB" w:rsidRDefault="00A829CB" w:rsidP="00A829CB">
      <w:pPr>
        <w:tabs>
          <w:tab w:val="left" w:pos="567"/>
        </w:tabs>
        <w:spacing w:before="240" w:line="480" w:lineRule="auto"/>
        <w:ind w:left="360" w:right="-45"/>
        <w:rPr>
          <w:rFonts w:ascii="Times New Roman" w:eastAsia="Calibri" w:hAnsi="Times New Roman" w:cs="Times New Roman"/>
          <w:color w:val="000000"/>
          <w:szCs w:val="20"/>
        </w:rPr>
      </w:pPr>
      <w:r w:rsidRPr="00A829CB">
        <w:rPr>
          <w:rFonts w:ascii="Times New Roman" w:hAnsi="Times New Roman" w:cs="Times New Roman"/>
          <w:lang w:val="en-US"/>
        </w:rPr>
        <w:lastRenderedPageBreak/>
        <w:tab/>
        <w:t xml:space="preserve">The hypotheses formation was driven by the normative arguments that are shaped within the current paradigm of cognitive ageing, and which are expressed in influential theories and policies to date, as described above. More precisely, </w:t>
      </w:r>
      <w:r w:rsidRPr="00A829CB">
        <w:rPr>
          <w:rFonts w:ascii="Times New Roman" w:hAnsi="Times New Roman" w:cs="Times New Roman"/>
        </w:rPr>
        <w:t>it was hypothesized that</w:t>
      </w:r>
    </w:p>
    <w:p w:rsidR="00A829CB" w:rsidRPr="00A829CB" w:rsidRDefault="00A829CB" w:rsidP="00A829CB">
      <w:pPr>
        <w:pStyle w:val="APAPar"/>
        <w:numPr>
          <w:ilvl w:val="0"/>
          <w:numId w:val="13"/>
        </w:numPr>
        <w:ind w:left="1320"/>
      </w:pPr>
      <w:r w:rsidRPr="00A829CB">
        <w:t>Hypothesis 1: Cognitive performance will be related with everyday functioning in the healthy spectrum of cognitive performance.</w:t>
      </w:r>
    </w:p>
    <w:p w:rsidR="00A829CB" w:rsidRPr="00A829CB" w:rsidRDefault="00A829CB" w:rsidP="00A829CB">
      <w:pPr>
        <w:pStyle w:val="APAPar"/>
        <w:numPr>
          <w:ilvl w:val="0"/>
          <w:numId w:val="13"/>
        </w:numPr>
        <w:ind w:left="1320"/>
      </w:pPr>
      <w:bookmarkStart w:id="39" w:name="_Toc373425927"/>
      <w:r w:rsidRPr="00A829CB">
        <w:t xml:space="preserve">Hypothesis 2: SES, social participation, education, mental and physical exercise will be related with everyday functioning through cognitive performance among older adults. </w:t>
      </w:r>
    </w:p>
    <w:p w:rsidR="00A829CB" w:rsidRPr="00A829CB" w:rsidRDefault="00A829CB" w:rsidP="00A829CB">
      <w:pPr>
        <w:pStyle w:val="APAPar"/>
        <w:numPr>
          <w:ilvl w:val="0"/>
          <w:numId w:val="13"/>
        </w:numPr>
        <w:ind w:left="1320"/>
      </w:pPr>
      <w:r w:rsidRPr="00A829CB">
        <w:t xml:space="preserve">Hypothesis 3: SES, social participation, education, mental and physical exercise will be related to cognitive performance among older adults. </w:t>
      </w:r>
    </w:p>
    <w:p w:rsidR="00A829CB" w:rsidRPr="00A829CB" w:rsidRDefault="00A829CB" w:rsidP="00A829CB">
      <w:pPr>
        <w:pStyle w:val="APAPar"/>
        <w:numPr>
          <w:ilvl w:val="0"/>
          <w:numId w:val="13"/>
        </w:numPr>
        <w:ind w:left="1320"/>
      </w:pPr>
      <w:r w:rsidRPr="00A829CB">
        <w:t>Hypothesis 4: Social participation, education, mental and physical exercise will moderate the relationship between age and cognitive performance</w:t>
      </w:r>
    </w:p>
    <w:p w:rsidR="00A829CB" w:rsidRPr="00A829CB" w:rsidRDefault="00A829CB" w:rsidP="00A829CB">
      <w:pPr>
        <w:pStyle w:val="Heading2"/>
      </w:pPr>
      <w:bookmarkStart w:id="40" w:name="_Toc508460193"/>
      <w:bookmarkStart w:id="41" w:name="_Toc521184165"/>
      <w:r w:rsidRPr="00A829CB">
        <w:t>Contribution to Knowledge</w:t>
      </w:r>
      <w:bookmarkEnd w:id="39"/>
      <w:bookmarkEnd w:id="40"/>
      <w:bookmarkEnd w:id="41"/>
    </w:p>
    <w:p w:rsidR="00A829CB" w:rsidRPr="00A829CB" w:rsidRDefault="00A829CB" w:rsidP="00A829CB">
      <w:pPr>
        <w:pStyle w:val="APAPar"/>
      </w:pPr>
      <w:r w:rsidRPr="00A829CB">
        <w:t>This thesis contributes to the current state of knowledge in several ways. Several reviews have examined the relationship between cognitive vitality and functioning in the past (Martyr &amp; Clare, 2012; Royall et al., 2007), yet, no reviews in this res</w:t>
      </w:r>
      <w:r w:rsidR="002D417F">
        <w:t>pect have been made explicitly o</w:t>
      </w:r>
      <w:r w:rsidRPr="00A829CB">
        <w:t>n the healthy spectrum of cognitive performance. Measures of everyday functioning are the only tangible and observable outcomes that can inform scholars and policy makers about seniors’ ability to live independently, as well as whether improvements in cognitive performance lead to better functional outcomes in older adults’ everyday life. This thesis provides the first statistical meta-</w:t>
      </w:r>
      <w:r w:rsidR="00F46915" w:rsidRPr="00A829CB">
        <w:t>analyses examining</w:t>
      </w:r>
      <w:r w:rsidRPr="00A829CB">
        <w:t xml:space="preserve"> the relationship between cognitive performance and everyday functioning in the healthy spectrum of cognitive ageing. In this way, it provides evidence on the relation between seniors’ cognitive vitality and everyday </w:t>
      </w:r>
      <w:r w:rsidRPr="00A829CB">
        <w:lastRenderedPageBreak/>
        <w:t>functioning in the healthy spectrum of cognitive performance, and more precisely on i) the strength of the relation, ii) which cognitive domains seem to relate more with everyday functioning, and iii) which everyday functioning assessments have better psychometric properties.</w:t>
      </w:r>
    </w:p>
    <w:p w:rsidR="00A829CB" w:rsidRPr="00A829CB" w:rsidRDefault="00A829CB" w:rsidP="00A829CB">
      <w:pPr>
        <w:pStyle w:val="APAPar"/>
      </w:pPr>
      <w:r w:rsidRPr="00A829CB">
        <w:t xml:space="preserve">Secondly, the available tools for assessing everyday functioning in Greece are not designed to detect performance fluctuation among healthy older adults, rather than that they focus on functional restrictions posed by certain pathologies. The only available tool that theoretically examines cognitively healthy older adults’ everyday functioning is the Greek translation of the IADL (Mystakidou et al., 2013). This measure can serve as a self-report, or as an informant report questionnaire-based assessment of everyday functioning. Concerns have been raised however that </w:t>
      </w:r>
      <w:r w:rsidRPr="00A829CB">
        <w:rPr>
          <w:lang w:val="en-US"/>
        </w:rPr>
        <w:t xml:space="preserve">this instrument is susceptible to self-evaluation biases, because participants tend to present themselves in the best positive light (in the case of self-reports), or to overestimate/underestimate everyday functioning in others (in the case of informant-reports).  </w:t>
      </w:r>
      <w:r w:rsidRPr="00A829CB">
        <w:t xml:space="preserve">Observation-based </w:t>
      </w:r>
      <w:r w:rsidR="00ED682A">
        <w:t xml:space="preserve">and performance-based </w:t>
      </w:r>
      <w:r w:rsidRPr="00A829CB">
        <w:t xml:space="preserve">assessments provide a useful alternative, as they are more objective measures of everyday functioning (Diehl, Marsiske, Horgas, Rosenberg, Saczynski, &amp; Willis, 2005). In this research therefore, </w:t>
      </w:r>
      <w:r w:rsidR="0097570F">
        <w:t>one</w:t>
      </w:r>
      <w:r w:rsidRPr="00A829CB">
        <w:t xml:space="preserve"> observation-based </w:t>
      </w:r>
      <w:r w:rsidR="0097570F">
        <w:t xml:space="preserve">and one performance based </w:t>
      </w:r>
      <w:r w:rsidRPr="00A829CB">
        <w:t>everyday functioning measure were translated, culturally adapted and validated for research purposes among cognitively healthy Greek older adults. These tools are the first of their nature to be used in the Greek cultural context.</w:t>
      </w:r>
    </w:p>
    <w:p w:rsidR="00A829CB" w:rsidRPr="00A829CB" w:rsidRDefault="00A829CB" w:rsidP="00A829CB">
      <w:pPr>
        <w:pStyle w:val="APAPar"/>
      </w:pPr>
      <w:r w:rsidRPr="00A829CB">
        <w:t xml:space="preserve">There is little dispute that the sum, type, and frequency of seniors’ </w:t>
      </w:r>
      <w:r w:rsidR="00EA1BAC">
        <w:t xml:space="preserve">social </w:t>
      </w:r>
      <w:r w:rsidRPr="00A829CB">
        <w:t>participation may be heterotypical among cultur</w:t>
      </w:r>
      <w:r w:rsidR="002D417F">
        <w:t>es. Gross cultural disparities i</w:t>
      </w:r>
      <w:r w:rsidRPr="00A829CB">
        <w:t xml:space="preserve">n social relations and self-identification (i.e., individualistic societies vs. collectivistic societies), as well as subtler cultural disparities among interrelated states (i.e., between states within the European Union), has been shown to influence seniors’ social behaviour (Christelis &amp; Dobresku, 2012; Fiori, </w:t>
      </w:r>
      <w:r w:rsidRPr="00A829CB">
        <w:lastRenderedPageBreak/>
        <w:t xml:space="preserve">Antonucci &amp; Akiyama, 2008). This thesis reports the first study that examined cognitively healthy seniors’ social participation in Greece, providing a deeper insight in the most representative sample of older Greeks, namely those that are cognitively healthy. </w:t>
      </w:r>
    </w:p>
    <w:p w:rsidR="00A829CB" w:rsidRPr="00A829CB" w:rsidRDefault="00A829CB" w:rsidP="00A829CB">
      <w:pPr>
        <w:pStyle w:val="APAPar"/>
      </w:pPr>
      <w:r w:rsidRPr="00A829CB">
        <w:t xml:space="preserve">The current paradigm on cognitive ageing describes that SES, social participation and physical exercise have an effect on cognitive and functional decline with ageing. This paradigm has not been well grounded in scientific evidence, as considerable (though sparse in number) publications (Wilson et al., 2009; Young et al., 2015), as well as conceptual and methodological issues, challenge the generalizability of these effects to the healthy spectrum of cognitive performance in Greece. This thesis adds to the body of knowledge concerning the operation of these factors in the healthy spectrum of cognitive performance, using a methodology that respects the differentiated nature of cognitive vitality in the pathological and the non-pathological spectrum of cognitive performance.  </w:t>
      </w:r>
    </w:p>
    <w:p w:rsidR="00A829CB" w:rsidRPr="00A829CB" w:rsidRDefault="00A829CB" w:rsidP="00A829CB">
      <w:pPr>
        <w:pStyle w:val="Heading2"/>
      </w:pPr>
      <w:bookmarkStart w:id="42" w:name="_Toc373425928"/>
      <w:bookmarkStart w:id="43" w:name="_Toc508460194"/>
      <w:bookmarkStart w:id="44" w:name="_Toc521184166"/>
      <w:r w:rsidRPr="00A829CB">
        <w:t>Thesis Plan</w:t>
      </w:r>
      <w:bookmarkEnd w:id="42"/>
      <w:bookmarkEnd w:id="43"/>
      <w:bookmarkEnd w:id="44"/>
    </w:p>
    <w:p w:rsidR="00A829CB" w:rsidRPr="00A829CB" w:rsidRDefault="00A829CB" w:rsidP="00A829CB">
      <w:pPr>
        <w:pStyle w:val="APAPar"/>
      </w:pPr>
      <w:r w:rsidRPr="00A829CB">
        <w:t xml:space="preserve">Chapter 2 defines key concepts in gerontology that are relevant to this investigation, such as who is considered old and who is considered cognitively healthy. What follows is an outline of concepts that describe positive outcomes in older age, some of which constitute the foundation of positive gerontology. There, a critical approach is used to identify significant gaps in describing positively and more accurately the cognitive ageing process. Chapter 3 consists of a literature review on cognitive ageing, in order to examine and approach critically i) the factors that influence cognitive performance in older age, ii) the relation between cognitive performance and everyday functioning in the healthy spectrum of cognitive ageing, iii) the methodologies and the measures used to assess SES, social participation, mental and physical exercise, cognitive performance and everyday functioning.  </w:t>
      </w:r>
    </w:p>
    <w:p w:rsidR="00A829CB" w:rsidRPr="00A829CB" w:rsidRDefault="00A829CB" w:rsidP="00A829CB">
      <w:pPr>
        <w:pStyle w:val="APAPar"/>
      </w:pPr>
      <w:r w:rsidRPr="00A829CB">
        <w:lastRenderedPageBreak/>
        <w:t>Chapter 4 addresses the first research question and begins by discussing the relation between cognitive performance and everyday functioning among cognitively healthy older adults, focusing on the healthy spectrum of cognitive performance. Then, it describes a systematic literature review on the topic using a set of keywords, followed by the process of extracting effect sizes from relevant studies.  It continues by presenting the raw data and by conducting a meta-analysis on them. Lastly, it presents the research findings of the analysis and provides some conclusion on the relation between cognitive performance and everyday functioning among cognitively healthy older adults.</w:t>
      </w:r>
    </w:p>
    <w:p w:rsidR="00A829CB" w:rsidRPr="00A829CB" w:rsidRDefault="00A829CB" w:rsidP="00A829CB">
      <w:pPr>
        <w:pStyle w:val="APAPar"/>
      </w:pPr>
      <w:r w:rsidRPr="00A829CB">
        <w:t xml:space="preserve">Since no measures suitable for assessing everyday functioning in cognitively intact Greek seniors exist, </w:t>
      </w:r>
      <w:r w:rsidR="00627221">
        <w:t>one performance based and one</w:t>
      </w:r>
      <w:r w:rsidR="00627221" w:rsidRPr="00A829CB">
        <w:t xml:space="preserve"> </w:t>
      </w:r>
      <w:r w:rsidRPr="00A829CB">
        <w:t xml:space="preserve">observation-based measure of this nature were translated and culturally adapted in Chapter 5. This Chapter describes how the original measures of Everyday Problem Test – 24 items (Willis et al., 2006) and the Observed Tasks of Daily Living – Revised (Diehl et al., 2005) were translated in the Greek language using the translation-back translation process, as well as culturally and </w:t>
      </w:r>
      <w:r w:rsidRPr="00A829CB">
        <w:rPr>
          <w:bCs/>
        </w:rPr>
        <w:t>linguistically</w:t>
      </w:r>
      <w:r w:rsidRPr="00A829CB">
        <w:t xml:space="preserve"> adapted to the Greek context, using the Geisinger (1994) suggestions. Chapter 4 describes the results and the conclusions for the translation and adaptation process, noting that the reliability and validity analysis of the measures will be conducted in the fieldwork of the thesis (i.e., Chapter 7) .</w:t>
      </w:r>
    </w:p>
    <w:p w:rsidR="00A829CB" w:rsidRPr="00A829CB" w:rsidRDefault="00A829CB" w:rsidP="00A829CB">
      <w:pPr>
        <w:pStyle w:val="APAPar"/>
      </w:pPr>
      <w:r w:rsidRPr="00A829CB">
        <w:t xml:space="preserve">Chapter 6 addresses the methodology used for the examination of the four research questions and their related hypotheses, by proposing a specific examination model and a corresponding research protocol. This model describes a series of direct and indirect effects, that provide either predictions, moderation effects, or mediation effects. Although describing one original study, the analysis of the relevant data is completed in a stepwise fashion, following </w:t>
      </w:r>
      <w:r w:rsidR="00CE0273">
        <w:t xml:space="preserve">an </w:t>
      </w:r>
      <w:r w:rsidRPr="00A829CB">
        <w:t xml:space="preserve">examination model.  This chapter gives a full account of the process followed to examine restrictively cognitively healthy older adult, excluding those who may suffer from </w:t>
      </w:r>
      <w:r w:rsidRPr="00A829CB">
        <w:lastRenderedPageBreak/>
        <w:t>Mild Cognitive Impairment (MCI; Petersen, 2004). The measures used to assess social participation, SES, mental and physical exercise, along with their opera</w:t>
      </w:r>
      <w:r w:rsidR="00EA1BAC">
        <w:t>tiona</w:t>
      </w:r>
      <w:r w:rsidRPr="00A829CB">
        <w:t xml:space="preserve">lization are described in the final section of this chapter. </w:t>
      </w:r>
    </w:p>
    <w:p w:rsidR="00A829CB" w:rsidRPr="00A829CB" w:rsidRDefault="00A829CB" w:rsidP="00A829CB">
      <w:pPr>
        <w:pStyle w:val="APAPar"/>
      </w:pPr>
      <w:r w:rsidRPr="00A829CB">
        <w:t xml:space="preserve">The analysis of the thesis’ fieldwork is presented in Chapter 7, by providing a short introduction for each step followed in the analyses, along with an explanation of the statistical means used. The statistical techniques used and their interpretation followed the recommendations of Frazier, Tix and Barron (2004), as well as of Salthouse and Pink (2008), in order to establish predictions and moderation effects using regression analysis, and mediation effects through Structural Equation Modelling. The analysis of each step follows a brief discussion of the results. </w:t>
      </w:r>
    </w:p>
    <w:p w:rsidR="00EB62F7" w:rsidRDefault="00A829CB">
      <w:pPr>
        <w:pStyle w:val="APAPar"/>
      </w:pPr>
      <w:r w:rsidRPr="00A829CB">
        <w:t xml:space="preserve">Chapter 8 brings the discussion together, stressing the assumptions that have been made in the prevailing paradigm of cognitive ageing so far, juxtaposing them with the findings of this thesis, both from the empirical research, as well as from the literature review. It discusses issues raised throughout the preceding chapters and stresses and justifies the need for the formation of a more accurate and positive theoretical framework of cognitive ageing. Chapter 8 concludes by summarizing how the research questions have been addressed, how these have contributed to scientific knowledge, and how this contribution has policy-making implications, </w:t>
      </w:r>
      <w:r w:rsidR="008F5A77">
        <w:t xml:space="preserve">as well as </w:t>
      </w:r>
      <w:r w:rsidRPr="00A829CB">
        <w:t xml:space="preserve">implications for research and clinical practises. </w:t>
      </w:r>
      <w:r w:rsidR="008F5A77">
        <w:t>The</w:t>
      </w:r>
      <w:r w:rsidRPr="00A829CB">
        <w:t xml:space="preserve"> last chapter also provides some possible directions for future research, in order </w:t>
      </w:r>
      <w:r w:rsidR="0062314B">
        <w:t xml:space="preserve">to </w:t>
      </w:r>
      <w:r w:rsidRPr="00A829CB">
        <w:t xml:space="preserve">develop further knowledge </w:t>
      </w:r>
      <w:r w:rsidR="0062314B">
        <w:t>concerning</w:t>
      </w:r>
      <w:r w:rsidRPr="00A829CB">
        <w:t xml:space="preserve"> the ageing process by adopting a more positive approach </w:t>
      </w:r>
      <w:r w:rsidR="0062314B">
        <w:t>in the</w:t>
      </w:r>
      <w:r w:rsidRPr="00A829CB">
        <w:t xml:space="preserve"> examination </w:t>
      </w:r>
      <w:r w:rsidR="0062314B">
        <w:t>of the effects of age o</w:t>
      </w:r>
      <w:r w:rsidRPr="00A829CB">
        <w:t>n mental abilities.</w:t>
      </w:r>
    </w:p>
    <w:p w:rsidR="00C14184" w:rsidRPr="00CF7468" w:rsidRDefault="00546D49" w:rsidP="00DA7E68">
      <w:pPr>
        <w:pStyle w:val="Heading1"/>
      </w:pPr>
      <w:bookmarkStart w:id="45" w:name="_Toc373425929"/>
      <w:bookmarkStart w:id="46" w:name="_Toc521184167"/>
      <w:r w:rsidRPr="00CF7468">
        <w:lastRenderedPageBreak/>
        <w:t xml:space="preserve">CHAPTER </w:t>
      </w:r>
      <w:r w:rsidR="00A829CB">
        <w:t xml:space="preserve"> </w:t>
      </w:r>
      <w:r w:rsidRPr="00CF7468">
        <w:t xml:space="preserve">2 </w:t>
      </w:r>
      <w:r>
        <w:t xml:space="preserve"> </w:t>
      </w:r>
      <w:r w:rsidRPr="00CF7468">
        <w:t xml:space="preserve">THE AGEING POPULATION AND THE </w:t>
      </w:r>
      <w:r>
        <w:rPr>
          <w:lang w:val="en-US"/>
        </w:rPr>
        <w:t xml:space="preserve">CONCEPT </w:t>
      </w:r>
      <w:r w:rsidRPr="00CF7468">
        <w:t>OF ‘SUCCESSFUL’ AGEING</w:t>
      </w:r>
      <w:bookmarkEnd w:id="45"/>
      <w:bookmarkEnd w:id="46"/>
      <w:r w:rsidRPr="00CF7468">
        <w:t xml:space="preserve"> </w:t>
      </w:r>
    </w:p>
    <w:p w:rsidR="00B01AD4" w:rsidRPr="007A15F6" w:rsidRDefault="00B01AD4" w:rsidP="00FE028D">
      <w:pPr>
        <w:pStyle w:val="Heading2"/>
      </w:pPr>
      <w:bookmarkStart w:id="47" w:name="_Toc373425930"/>
      <w:bookmarkStart w:id="48" w:name="_Toc521184168"/>
      <w:r w:rsidRPr="007A15F6">
        <w:t>Introduction</w:t>
      </w:r>
      <w:bookmarkEnd w:id="47"/>
      <w:bookmarkEnd w:id="48"/>
    </w:p>
    <w:p w:rsidR="00F1263C" w:rsidRPr="007A15F6" w:rsidRDefault="00A91C56" w:rsidP="005C41B7">
      <w:pPr>
        <w:pStyle w:val="APAPar"/>
      </w:pPr>
      <w:r>
        <w:t>This c</w:t>
      </w:r>
      <w:r w:rsidR="00B01AD4" w:rsidRPr="007A15F6">
        <w:t>hapter</w:t>
      </w:r>
      <w:r w:rsidR="00D701CA" w:rsidRPr="007A15F6">
        <w:t xml:space="preserve"> describes </w:t>
      </w:r>
      <w:r w:rsidR="00095C84" w:rsidRPr="007A15F6">
        <w:t xml:space="preserve">relevant </w:t>
      </w:r>
      <w:r w:rsidR="00D1118C" w:rsidRPr="007A15F6">
        <w:t>k</w:t>
      </w:r>
      <w:r w:rsidR="00B01AD4" w:rsidRPr="007A15F6">
        <w:t>ey concepts</w:t>
      </w:r>
      <w:r w:rsidR="00B05E92" w:rsidRPr="007A15F6">
        <w:t xml:space="preserve"> in the field of gerontology,</w:t>
      </w:r>
      <w:r w:rsidR="00B01AD4" w:rsidRPr="007A15F6">
        <w:t xml:space="preserve"> such as who is considered old and healthy</w:t>
      </w:r>
      <w:r w:rsidR="00F254F4" w:rsidRPr="007A15F6">
        <w:t>, what the ‘ageing population’</w:t>
      </w:r>
      <w:r w:rsidR="00922F4A" w:rsidRPr="007A15F6">
        <w:t xml:space="preserve"> is</w:t>
      </w:r>
      <w:r w:rsidR="00B05E92" w:rsidRPr="007A15F6">
        <w:t xml:space="preserve">, and discusses </w:t>
      </w:r>
      <w:r w:rsidR="00B01AD4" w:rsidRPr="007A15F6">
        <w:t xml:space="preserve">why </w:t>
      </w:r>
      <w:r w:rsidR="001E7593" w:rsidRPr="007A15F6">
        <w:t>the latter</w:t>
      </w:r>
      <w:r w:rsidR="00B01AD4" w:rsidRPr="007A15F6">
        <w:t xml:space="preserve"> </w:t>
      </w:r>
      <w:r w:rsidR="001E7593" w:rsidRPr="007A15F6">
        <w:t>produced</w:t>
      </w:r>
      <w:r w:rsidR="00FF521B" w:rsidRPr="007A15F6">
        <w:t xml:space="preserve"> financial </w:t>
      </w:r>
      <w:r w:rsidR="001E7593" w:rsidRPr="007A15F6">
        <w:t>considerations</w:t>
      </w:r>
      <w:r w:rsidR="00FF521B" w:rsidRPr="007A15F6">
        <w:t xml:space="preserve"> that have le</w:t>
      </w:r>
      <w:r w:rsidR="00D1118C" w:rsidRPr="007A15F6">
        <w:t>d</w:t>
      </w:r>
      <w:r w:rsidR="00B01AD4" w:rsidRPr="007A15F6">
        <w:t xml:space="preserve"> to extensive discussions </w:t>
      </w:r>
      <w:r w:rsidR="001E7593" w:rsidRPr="007A15F6">
        <w:t>in policy making</w:t>
      </w:r>
      <w:r w:rsidR="00B01AD4" w:rsidRPr="007A15F6">
        <w:t xml:space="preserve">. </w:t>
      </w:r>
      <w:r w:rsidR="00D1118C" w:rsidRPr="007A15F6">
        <w:t xml:space="preserve">The </w:t>
      </w:r>
      <w:r w:rsidR="00F254F4" w:rsidRPr="007A15F6">
        <w:t>discussion</w:t>
      </w:r>
      <w:r w:rsidR="00D701CA" w:rsidRPr="007A15F6">
        <w:t xml:space="preserve"> </w:t>
      </w:r>
      <w:r w:rsidR="00FF521B" w:rsidRPr="007A15F6">
        <w:t xml:space="preserve">focuses on </w:t>
      </w:r>
      <w:r w:rsidR="00D1118C" w:rsidRPr="007A15F6">
        <w:t xml:space="preserve">the central position that </w:t>
      </w:r>
      <w:r w:rsidR="00FF521B" w:rsidRPr="007A15F6">
        <w:t>health</w:t>
      </w:r>
      <w:r w:rsidR="00D1118C" w:rsidRPr="007A15F6">
        <w:t xml:space="preserve"> has in the </w:t>
      </w:r>
      <w:r w:rsidR="00FF521B" w:rsidRPr="007A15F6">
        <w:t xml:space="preserve">conceptualization </w:t>
      </w:r>
      <w:r w:rsidR="00922F4A" w:rsidRPr="007A15F6">
        <w:t xml:space="preserve">of </w:t>
      </w:r>
      <w:r w:rsidR="00994545">
        <w:t>positive</w:t>
      </w:r>
      <w:r w:rsidR="00922F4A" w:rsidRPr="007A15F6">
        <w:t xml:space="preserve"> </w:t>
      </w:r>
      <w:r w:rsidR="00FD1D26">
        <w:t xml:space="preserve">outcomes with </w:t>
      </w:r>
      <w:r w:rsidR="00515D96">
        <w:t>ageing</w:t>
      </w:r>
      <w:r w:rsidR="0048067F">
        <w:t xml:space="preserve">, </w:t>
      </w:r>
      <w:r w:rsidR="0048067F" w:rsidRPr="00F320B0">
        <w:t>which often have been termed as ‘successful ageing’</w:t>
      </w:r>
      <w:r w:rsidR="00922F4A" w:rsidRPr="007A15F6">
        <w:t xml:space="preserve">. The </w:t>
      </w:r>
      <w:r w:rsidR="00D1118C" w:rsidRPr="007A15F6">
        <w:t xml:space="preserve">findings of the </w:t>
      </w:r>
      <w:r w:rsidR="00922F4A" w:rsidRPr="007A15F6">
        <w:t xml:space="preserve">literature </w:t>
      </w:r>
      <w:r w:rsidR="00D1118C" w:rsidRPr="007A15F6">
        <w:t xml:space="preserve">review </w:t>
      </w:r>
      <w:r w:rsidR="00515D96">
        <w:t>are</w:t>
      </w:r>
      <w:r w:rsidR="00D1118C" w:rsidRPr="007A15F6">
        <w:t xml:space="preserve"> synthesized and approached critically,</w:t>
      </w:r>
      <w:r w:rsidR="00F254F4" w:rsidRPr="007A15F6">
        <w:t xml:space="preserve"> i</w:t>
      </w:r>
      <w:r w:rsidR="006C4FC0">
        <w:t xml:space="preserve">n order to identify whether various theories developed to describe </w:t>
      </w:r>
      <w:r w:rsidR="00994545">
        <w:t>positive</w:t>
      </w:r>
      <w:r w:rsidR="006C4FC0">
        <w:t xml:space="preserve"> outcomes with </w:t>
      </w:r>
      <w:r w:rsidR="00F254F4" w:rsidRPr="007A15F6">
        <w:t xml:space="preserve">ageing </w:t>
      </w:r>
      <w:r w:rsidR="006C4FC0">
        <w:t>have</w:t>
      </w:r>
      <w:r w:rsidR="00F254F4" w:rsidRPr="007A15F6">
        <w:t xml:space="preserve"> </w:t>
      </w:r>
      <w:r w:rsidR="00237816">
        <w:t>addressed</w:t>
      </w:r>
      <w:r w:rsidR="00F254F4" w:rsidRPr="007A15F6">
        <w:t xml:space="preserve"> the healthy, non-pathological spectrum of </w:t>
      </w:r>
      <w:r w:rsidR="009E391F" w:rsidRPr="007A15F6">
        <w:t>ageing</w:t>
      </w:r>
      <w:r w:rsidR="00B05E92" w:rsidRPr="007A15F6">
        <w:t xml:space="preserve">, </w:t>
      </w:r>
      <w:r w:rsidR="0048067F">
        <w:t xml:space="preserve">thus </w:t>
      </w:r>
      <w:r w:rsidR="00B05E92" w:rsidRPr="007A15F6">
        <w:t xml:space="preserve">producing an accurate depiction of </w:t>
      </w:r>
      <w:r w:rsidR="00994545">
        <w:t xml:space="preserve">cognitive </w:t>
      </w:r>
      <w:r w:rsidR="00192822">
        <w:t>ageing</w:t>
      </w:r>
      <w:r w:rsidR="00B05E92" w:rsidRPr="007A15F6">
        <w:t>.</w:t>
      </w:r>
    </w:p>
    <w:p w:rsidR="00F254F4" w:rsidRPr="007A15F6" w:rsidRDefault="00F254F4" w:rsidP="00FE028D">
      <w:pPr>
        <w:pStyle w:val="Heading2"/>
      </w:pPr>
      <w:bookmarkStart w:id="49" w:name="_Toc373425931"/>
      <w:bookmarkStart w:id="50" w:name="_Toc521184169"/>
      <w:r w:rsidRPr="007A15F6">
        <w:t>Method</w:t>
      </w:r>
      <w:bookmarkEnd w:id="49"/>
      <w:bookmarkEnd w:id="50"/>
    </w:p>
    <w:p w:rsidR="00F254F4" w:rsidRPr="007A15F6" w:rsidRDefault="00F254F4" w:rsidP="005C41B7">
      <w:pPr>
        <w:pStyle w:val="APAPar"/>
      </w:pPr>
      <w:r w:rsidRPr="007A15F6">
        <w:t xml:space="preserve">The methodology </w:t>
      </w:r>
      <w:r w:rsidR="00B05E92" w:rsidRPr="007A15F6">
        <w:t xml:space="preserve">followed </w:t>
      </w:r>
      <w:r w:rsidRPr="007A15F6">
        <w:t xml:space="preserve">to retrieve information from the ageing discourse </w:t>
      </w:r>
      <w:r w:rsidR="00B05E92" w:rsidRPr="007A15F6">
        <w:t>was</w:t>
      </w:r>
      <w:r w:rsidRPr="007A15F6">
        <w:t xml:space="preserve"> the typical </w:t>
      </w:r>
      <w:r w:rsidR="0048067F">
        <w:t>one</w:t>
      </w:r>
      <w:r w:rsidR="00B05E92" w:rsidRPr="007A15F6">
        <w:t xml:space="preserve"> </w:t>
      </w:r>
      <w:r w:rsidRPr="007A15F6">
        <w:t>used in desktop research, namely a literature review.  The articles were retrieved from an online search conducted</w:t>
      </w:r>
      <w:r w:rsidR="00B05E92" w:rsidRPr="007A15F6">
        <w:t xml:space="preserve"> in</w:t>
      </w:r>
      <w:r w:rsidRPr="007A15F6">
        <w:t xml:space="preserve"> the database of the University of Sheffield. This database includes the most </w:t>
      </w:r>
      <w:r w:rsidR="0048067F" w:rsidRPr="007A15F6">
        <w:t>well-known</w:t>
      </w:r>
      <w:r w:rsidRPr="007A15F6">
        <w:t xml:space="preserve"> scientific </w:t>
      </w:r>
      <w:r w:rsidR="00B05E92" w:rsidRPr="007A15F6">
        <w:t>catalogues</w:t>
      </w:r>
      <w:r w:rsidRPr="007A15F6">
        <w:t xml:space="preserve"> </w:t>
      </w:r>
      <w:r w:rsidR="00B05E92" w:rsidRPr="007A15F6">
        <w:t xml:space="preserve">of scientific journals, </w:t>
      </w:r>
      <w:r w:rsidRPr="007A15F6">
        <w:t xml:space="preserve">such as Scopus, EBSCO, Web of Knowledge, and APA. No restriction on date of publication was imposed, where the articles were chosen based on their relevance </w:t>
      </w:r>
      <w:r w:rsidR="0048067F">
        <w:t>to</w:t>
      </w:r>
      <w:r w:rsidRPr="007A15F6">
        <w:t xml:space="preserve"> the </w:t>
      </w:r>
      <w:r w:rsidR="00192822">
        <w:t xml:space="preserve">topics of </w:t>
      </w:r>
      <w:r w:rsidRPr="007A15F6">
        <w:t>ageing</w:t>
      </w:r>
      <w:r w:rsidR="00192822">
        <w:t xml:space="preserve">, cognitive ageing, positive outcomes with ageing, successful outcomes with ageing, </w:t>
      </w:r>
      <w:r w:rsidR="007720BC">
        <w:t xml:space="preserve">healthy and active ageing. </w:t>
      </w:r>
      <w:r w:rsidRPr="007A15F6">
        <w:t xml:space="preserve">The findings were supplemented from </w:t>
      </w:r>
      <w:r w:rsidR="00A65953">
        <w:t>sources referenced</w:t>
      </w:r>
      <w:r w:rsidR="007720BC">
        <w:t xml:space="preserve"> in the articles retrieved and with information </w:t>
      </w:r>
      <w:r w:rsidRPr="007A15F6">
        <w:t xml:space="preserve">retrieved from a typical search using the Google search engine. </w:t>
      </w:r>
    </w:p>
    <w:p w:rsidR="00934534" w:rsidRPr="007A15F6" w:rsidRDefault="00F77202" w:rsidP="00FE028D">
      <w:pPr>
        <w:pStyle w:val="Heading2"/>
      </w:pPr>
      <w:bookmarkStart w:id="51" w:name="_Toc373425932"/>
      <w:bookmarkStart w:id="52" w:name="_Toc521184170"/>
      <w:r w:rsidRPr="007A15F6">
        <w:lastRenderedPageBreak/>
        <w:t xml:space="preserve">Who </w:t>
      </w:r>
      <w:r w:rsidR="00D42F6D">
        <w:t>is</w:t>
      </w:r>
      <w:r w:rsidRPr="007A15F6">
        <w:t xml:space="preserve"> Old</w:t>
      </w:r>
      <w:bookmarkEnd w:id="26"/>
      <w:r w:rsidR="00095C84" w:rsidRPr="007A15F6">
        <w:t>?</w:t>
      </w:r>
      <w:bookmarkEnd w:id="51"/>
      <w:bookmarkEnd w:id="52"/>
    </w:p>
    <w:p w:rsidR="00934534" w:rsidRPr="007A15F6" w:rsidRDefault="007F7343" w:rsidP="005C41B7">
      <w:pPr>
        <w:pStyle w:val="APAPar"/>
      </w:pPr>
      <w:r w:rsidRPr="007A15F6">
        <w:t>Defining</w:t>
      </w:r>
      <w:r w:rsidR="00934534" w:rsidRPr="007A15F6">
        <w:t xml:space="preserve"> who is considered old, or else, how to define the threshold of old age</w:t>
      </w:r>
      <w:r w:rsidRPr="007A15F6">
        <w:t xml:space="preserve">, </w:t>
      </w:r>
      <w:r w:rsidR="00B05E92" w:rsidRPr="007A15F6">
        <w:t xml:space="preserve">constitutes </w:t>
      </w:r>
      <w:r w:rsidRPr="007A15F6">
        <w:t>a great challenge</w:t>
      </w:r>
      <w:r w:rsidR="00934534" w:rsidRPr="007A15F6">
        <w:t>. The French statistician Quetelet (1836, as cited in Hamilton, 2012) placed the onset of old age in the 60</w:t>
      </w:r>
      <w:r w:rsidR="00934534" w:rsidRPr="007A15F6">
        <w:rPr>
          <w:vertAlign w:val="superscript"/>
        </w:rPr>
        <w:t>th</w:t>
      </w:r>
      <w:r w:rsidR="00934534" w:rsidRPr="007A15F6">
        <w:t xml:space="preserve"> year of life</w:t>
      </w:r>
      <w:r w:rsidR="009E23C9">
        <w:t>, claiming</w:t>
      </w:r>
      <w:r w:rsidR="00934534" w:rsidRPr="007A15F6">
        <w:t xml:space="preserve"> that at this age, most of the human energy gets lost, and the probability of living longer becomes vast</w:t>
      </w:r>
      <w:r w:rsidR="00F049DA" w:rsidRPr="007A15F6">
        <w:t xml:space="preserve">ly smaller. It is </w:t>
      </w:r>
      <w:r w:rsidR="00F458A6" w:rsidRPr="007A15F6">
        <w:t xml:space="preserve">relatively </w:t>
      </w:r>
      <w:r w:rsidR="00F049DA" w:rsidRPr="007A15F6">
        <w:t>unknown if the</w:t>
      </w:r>
      <w:r w:rsidR="00934534" w:rsidRPr="007A15F6">
        <w:t>s</w:t>
      </w:r>
      <w:r w:rsidR="00F049DA" w:rsidRPr="007A15F6">
        <w:t>e</w:t>
      </w:r>
      <w:r w:rsidR="00934534" w:rsidRPr="007A15F6">
        <w:t xml:space="preserve"> argument</w:t>
      </w:r>
      <w:r w:rsidR="00F049DA" w:rsidRPr="007A15F6">
        <w:t xml:space="preserve">s </w:t>
      </w:r>
      <w:r w:rsidR="00B05E92" w:rsidRPr="007A15F6">
        <w:t>he</w:t>
      </w:r>
      <w:r w:rsidR="004527E1" w:rsidRPr="007A15F6">
        <w:t xml:space="preserve">ld true </w:t>
      </w:r>
      <w:r w:rsidR="00095C84" w:rsidRPr="007A15F6">
        <w:t>for those living</w:t>
      </w:r>
      <w:r w:rsidR="00934534" w:rsidRPr="007A15F6">
        <w:t xml:space="preserve"> in the 19</w:t>
      </w:r>
      <w:r w:rsidR="00934534" w:rsidRPr="007A15F6">
        <w:rPr>
          <w:vertAlign w:val="superscript"/>
        </w:rPr>
        <w:t>th</w:t>
      </w:r>
      <w:r w:rsidR="00934534" w:rsidRPr="007A15F6">
        <w:t xml:space="preserve"> century, but one can be doubtful </w:t>
      </w:r>
      <w:r w:rsidR="00E565A9">
        <w:rPr>
          <w:lang w:val="en-US"/>
        </w:rPr>
        <w:t>about their relevance nowadays</w:t>
      </w:r>
      <w:r w:rsidR="001C4AA6" w:rsidRPr="007A15F6">
        <w:t>.</w:t>
      </w:r>
      <w:r w:rsidR="00934534" w:rsidRPr="007A15F6">
        <w:t xml:space="preserve"> </w:t>
      </w:r>
      <w:r w:rsidR="00C46246" w:rsidRPr="007A15F6">
        <w:t xml:space="preserve">Recent </w:t>
      </w:r>
      <w:r w:rsidR="004527E1" w:rsidRPr="007A15F6">
        <w:t>studies</w:t>
      </w:r>
      <w:r w:rsidR="00C46246" w:rsidRPr="007A15F6">
        <w:t xml:space="preserve"> </w:t>
      </w:r>
      <w:r w:rsidR="00E565A9">
        <w:t xml:space="preserve">have </w:t>
      </w:r>
      <w:r w:rsidR="004527E1" w:rsidRPr="007A15F6">
        <w:t>challenge</w:t>
      </w:r>
      <w:r w:rsidR="00E565A9">
        <w:t>d</w:t>
      </w:r>
      <w:r w:rsidR="00062C18" w:rsidRPr="007A15F6">
        <w:t xml:space="preserve"> </w:t>
      </w:r>
      <w:r w:rsidR="004527E1" w:rsidRPr="007A15F6">
        <w:t xml:space="preserve">whether </w:t>
      </w:r>
      <w:r w:rsidR="00934534" w:rsidRPr="007A15F6">
        <w:t xml:space="preserve">the point of decay for many mental processes is </w:t>
      </w:r>
      <w:r w:rsidR="003A37B5" w:rsidRPr="007A15F6">
        <w:t>the age of 60, as t</w:t>
      </w:r>
      <w:r w:rsidR="004527E1" w:rsidRPr="007A15F6">
        <w:t>he relevant empirical findings depict that</w:t>
      </w:r>
      <w:r w:rsidR="00934534" w:rsidRPr="007A15F6">
        <w:t xml:space="preserve"> some cognitive abiliti</w:t>
      </w:r>
      <w:r w:rsidR="009D5524" w:rsidRPr="007A15F6">
        <w:t>es start to decay much earlier</w:t>
      </w:r>
      <w:r w:rsidR="00934534" w:rsidRPr="007A15F6">
        <w:t xml:space="preserve">, whereas others do not </w:t>
      </w:r>
      <w:r w:rsidR="00F23068" w:rsidRPr="007A15F6">
        <w:t xml:space="preserve">manifest any significant </w:t>
      </w:r>
      <w:r w:rsidR="00934534" w:rsidRPr="007A15F6">
        <w:t>decay (</w:t>
      </w:r>
      <w:r w:rsidR="009D5524" w:rsidRPr="007A15F6">
        <w:t>Hamilton, 2012; Hertzog et al., 2009; Salthouse, 2006; Shaie, 1994</w:t>
      </w:r>
      <w:r w:rsidR="00934534" w:rsidRPr="007A15F6">
        <w:t>).</w:t>
      </w:r>
    </w:p>
    <w:p w:rsidR="000C50F0" w:rsidRPr="007A15F6" w:rsidRDefault="00B05E92" w:rsidP="005C41B7">
      <w:pPr>
        <w:pStyle w:val="APAPar"/>
      </w:pPr>
      <w:r w:rsidRPr="007A15F6">
        <w:t xml:space="preserve">Despite that, </w:t>
      </w:r>
      <w:r w:rsidR="00F75AD7">
        <w:t>tendencies to</w:t>
      </w:r>
      <w:r w:rsidR="00934534" w:rsidRPr="007A15F6">
        <w:t xml:space="preserve"> demark old age </w:t>
      </w:r>
      <w:r w:rsidR="001E1A0C">
        <w:t xml:space="preserve">using criteria such as </w:t>
      </w:r>
      <w:r w:rsidR="00D45BE0" w:rsidRPr="007A15F6">
        <w:t>retirement</w:t>
      </w:r>
      <w:r w:rsidR="00934534" w:rsidRPr="007A15F6">
        <w:t xml:space="preserve">, decays in appearance, and proximity to death </w:t>
      </w:r>
      <w:r w:rsidR="00F75AD7">
        <w:t xml:space="preserve">still persist </w:t>
      </w:r>
      <w:r w:rsidR="00934534" w:rsidRPr="007A15F6">
        <w:t xml:space="preserve">(for a review, see Hamilton, 2012, p. 1-6). </w:t>
      </w:r>
      <w:r w:rsidR="00F75AD7">
        <w:t>These</w:t>
      </w:r>
      <w:r w:rsidR="00D45BE0">
        <w:t xml:space="preserve"> </w:t>
      </w:r>
      <w:r w:rsidRPr="007A15F6">
        <w:t>d</w:t>
      </w:r>
      <w:r w:rsidR="005C18AA">
        <w:t>o</w:t>
      </w:r>
      <w:r w:rsidRPr="007A15F6">
        <w:t xml:space="preserve"> not </w:t>
      </w:r>
      <w:r w:rsidR="000C50F0" w:rsidRPr="007A15F6">
        <w:t xml:space="preserve">comprise a valid </w:t>
      </w:r>
      <w:r w:rsidR="005C18AA">
        <w:t>set</w:t>
      </w:r>
      <w:r w:rsidR="000F7612">
        <w:t xml:space="preserve"> of criteria</w:t>
      </w:r>
      <w:r w:rsidR="005C18AA">
        <w:t xml:space="preserve"> for </w:t>
      </w:r>
      <w:r w:rsidR="00D45BE0">
        <w:t xml:space="preserve">the systematic </w:t>
      </w:r>
      <w:r w:rsidR="00790DFA">
        <w:t xml:space="preserve">examination of the ageing process, as they </w:t>
      </w:r>
      <w:r w:rsidR="00BF12B2">
        <w:t>do not offer</w:t>
      </w:r>
      <w:r w:rsidR="00790DFA">
        <w:t xml:space="preserve"> </w:t>
      </w:r>
      <w:r w:rsidR="00BF12B2">
        <w:t>any discriminative</w:t>
      </w:r>
      <w:r w:rsidR="00D872A8">
        <w:t xml:space="preserve"> or differential</w:t>
      </w:r>
      <w:r w:rsidR="00BF12B2">
        <w:t xml:space="preserve"> </w:t>
      </w:r>
      <w:r w:rsidR="00241056">
        <w:t>ability</w:t>
      </w:r>
      <w:r w:rsidR="00934534" w:rsidRPr="007A15F6">
        <w:t>. Retirement and pensions</w:t>
      </w:r>
      <w:r w:rsidR="00790DFA">
        <w:t xml:space="preserve"> for example,</w:t>
      </w:r>
      <w:r w:rsidR="00934534" w:rsidRPr="007A15F6">
        <w:t xml:space="preserve"> are inventions of the 19</w:t>
      </w:r>
      <w:r w:rsidR="00934534" w:rsidRPr="007A15F6">
        <w:rPr>
          <w:vertAlign w:val="superscript"/>
        </w:rPr>
        <w:t>th</w:t>
      </w:r>
      <w:r w:rsidR="0048067F">
        <w:t xml:space="preserve"> C</w:t>
      </w:r>
      <w:r w:rsidR="00790DFA">
        <w:t>entury</w:t>
      </w:r>
      <w:r w:rsidR="00934534" w:rsidRPr="007A15F6">
        <w:t xml:space="preserve"> </w:t>
      </w:r>
      <w:r w:rsidR="00AC1DDA">
        <w:t>that</w:t>
      </w:r>
      <w:r w:rsidR="00934534" w:rsidRPr="007A15F6">
        <w:t xml:space="preserve"> initially serve</w:t>
      </w:r>
      <w:r w:rsidR="0048067F">
        <w:t>d</w:t>
      </w:r>
      <w:r w:rsidR="00934534" w:rsidRPr="007A15F6">
        <w:t xml:space="preserve"> as incentive</w:t>
      </w:r>
      <w:r w:rsidR="005754E1" w:rsidRPr="007A15F6">
        <w:t>s</w:t>
      </w:r>
      <w:r w:rsidR="00934534" w:rsidRPr="007A15F6">
        <w:t xml:space="preserve"> </w:t>
      </w:r>
      <w:r w:rsidR="00AC1DDA">
        <w:t xml:space="preserve">for </w:t>
      </w:r>
      <w:r w:rsidR="00934534" w:rsidRPr="007A15F6">
        <w:t xml:space="preserve">older workers to retire </w:t>
      </w:r>
      <w:r w:rsidR="003A37B5" w:rsidRPr="007A15F6">
        <w:t>and “</w:t>
      </w:r>
      <w:r w:rsidR="00934534" w:rsidRPr="007A15F6">
        <w:t xml:space="preserve">make room” for the younger </w:t>
      </w:r>
      <w:r w:rsidR="00563D61">
        <w:t xml:space="preserve">generations </w:t>
      </w:r>
      <w:r w:rsidR="00563D61" w:rsidRPr="007A15F6">
        <w:t>in</w:t>
      </w:r>
      <w:r w:rsidR="00934534" w:rsidRPr="007A15F6">
        <w:t xml:space="preserve"> the labour market. </w:t>
      </w:r>
      <w:r w:rsidR="00563D61">
        <w:t>Following this rational</w:t>
      </w:r>
      <w:r w:rsidR="00934534" w:rsidRPr="007A15F6">
        <w:t xml:space="preserve">, many who were not working (e.g., </w:t>
      </w:r>
      <w:r w:rsidR="0084764C">
        <w:t xml:space="preserve">a large percentage of </w:t>
      </w:r>
      <w:r w:rsidR="00934534" w:rsidRPr="007A15F6">
        <w:t xml:space="preserve">women </w:t>
      </w:r>
      <w:r w:rsidR="0084764C">
        <w:t xml:space="preserve">in the 50’s </w:t>
      </w:r>
      <w:r w:rsidR="00934534" w:rsidRPr="007A15F6">
        <w:t xml:space="preserve">that have never being placed in </w:t>
      </w:r>
      <w:r w:rsidR="0048067F">
        <w:t>paid jobs</w:t>
      </w:r>
      <w:r w:rsidR="00934534" w:rsidRPr="007A15F6">
        <w:t>)</w:t>
      </w:r>
      <w:r w:rsidR="002A60EA">
        <w:t>, or</w:t>
      </w:r>
      <w:r w:rsidR="00934534" w:rsidRPr="007A15F6">
        <w:t xml:space="preserve"> were never granted a pension</w:t>
      </w:r>
      <w:r w:rsidR="00B16C77">
        <w:t>,</w:t>
      </w:r>
      <w:r w:rsidR="002A60EA">
        <w:t xml:space="preserve"> </w:t>
      </w:r>
      <w:r w:rsidR="0084764C">
        <w:t>cannot</w:t>
      </w:r>
      <w:r w:rsidR="002A60EA">
        <w:t xml:space="preserve"> be considered old at </w:t>
      </w:r>
      <w:r w:rsidR="00B16C77">
        <w:t xml:space="preserve">some point in their lives. </w:t>
      </w:r>
      <w:r w:rsidR="00934534" w:rsidRPr="007A15F6">
        <w:t xml:space="preserve">Similarly, appearance, health status, and proximity to death </w:t>
      </w:r>
      <w:r w:rsidR="0031319B" w:rsidRPr="007A15F6">
        <w:t>va</w:t>
      </w:r>
      <w:r w:rsidR="0048067F">
        <w:t>ry and it is not age dependent</w:t>
      </w:r>
      <w:r w:rsidR="00576FB8">
        <w:t>;</w:t>
      </w:r>
      <w:r w:rsidR="00934534" w:rsidRPr="007A15F6">
        <w:t xml:space="preserve"> </w:t>
      </w:r>
      <w:r w:rsidR="00576FB8">
        <w:t>o</w:t>
      </w:r>
      <w:r w:rsidR="0031319B" w:rsidRPr="007A15F6">
        <w:t>ne</w:t>
      </w:r>
      <w:r w:rsidR="00934534" w:rsidRPr="007A15F6">
        <w:t xml:space="preserve"> may look </w:t>
      </w:r>
      <w:r w:rsidR="0048067F">
        <w:t xml:space="preserve">younger, or be healthier, than </w:t>
      </w:r>
      <w:r w:rsidR="00934534" w:rsidRPr="007A15F6">
        <w:t xml:space="preserve">most </w:t>
      </w:r>
      <w:r w:rsidR="0048067F">
        <w:t xml:space="preserve">people </w:t>
      </w:r>
      <w:r w:rsidR="00934534" w:rsidRPr="007A15F6">
        <w:t xml:space="preserve">of their </w:t>
      </w:r>
      <w:r w:rsidR="00D27105" w:rsidRPr="007A15F6">
        <w:t>age</w:t>
      </w:r>
      <w:r w:rsidR="00934534" w:rsidRPr="007A15F6">
        <w:t xml:space="preserve">, or may be </w:t>
      </w:r>
      <w:r w:rsidR="00576FB8">
        <w:t>closer to death due to illness.</w:t>
      </w:r>
      <w:r w:rsidR="0031319B">
        <w:t xml:space="preserve"> </w:t>
      </w:r>
      <w:r w:rsidR="00576FB8">
        <w:t>That</w:t>
      </w:r>
      <w:r w:rsidR="00934534" w:rsidRPr="007A15F6">
        <w:t xml:space="preserve"> does not mean that they </w:t>
      </w:r>
      <w:r w:rsidR="0079640A" w:rsidRPr="007A15F6">
        <w:t>c</w:t>
      </w:r>
      <w:r w:rsidR="00934534" w:rsidRPr="007A15F6">
        <w:t>ould</w:t>
      </w:r>
      <w:r w:rsidR="0031319B">
        <w:t xml:space="preserve"> (or could not)</w:t>
      </w:r>
      <w:r w:rsidR="00934534" w:rsidRPr="007A15F6">
        <w:t xml:space="preserve"> be</w:t>
      </w:r>
      <w:r w:rsidR="0079640A" w:rsidRPr="007A15F6">
        <w:t xml:space="preserve"> acknowledged as </w:t>
      </w:r>
      <w:r w:rsidR="00F87E45">
        <w:t>old individuals</w:t>
      </w:r>
      <w:r w:rsidR="004F526B" w:rsidRPr="007A15F6">
        <w:t>.</w:t>
      </w:r>
      <w:r w:rsidR="00AC6345" w:rsidRPr="007A15F6">
        <w:t xml:space="preserve"> </w:t>
      </w:r>
      <w:r w:rsidR="00934534" w:rsidRPr="007A15F6">
        <w:t>A</w:t>
      </w:r>
      <w:r w:rsidR="00D27105" w:rsidRPr="007A15F6">
        <w:t>s Hamilton (2012, p.3) stresses</w:t>
      </w:r>
      <w:r w:rsidR="009B62F1" w:rsidRPr="007A15F6">
        <w:t>:</w:t>
      </w:r>
    </w:p>
    <w:p w:rsidR="009B420A" w:rsidRPr="00053476" w:rsidRDefault="007E325A" w:rsidP="00546D49">
      <w:pPr>
        <w:pStyle w:val="APAPar"/>
        <w:widowControl w:val="0"/>
        <w:adjustRightInd w:val="0"/>
        <w:snapToGrid w:val="0"/>
        <w:ind w:leftChars="400" w:left="960" w:rightChars="400" w:right="960" w:firstLine="0"/>
        <w:jc w:val="both"/>
        <w:rPr>
          <w:rStyle w:val="Emphasis"/>
        </w:rPr>
      </w:pPr>
      <w:r w:rsidRPr="00053476">
        <w:rPr>
          <w:rStyle w:val="Emphasis"/>
        </w:rPr>
        <w:t>It</w:t>
      </w:r>
      <w:r w:rsidR="00934534" w:rsidRPr="00053476">
        <w:rPr>
          <w:rStyle w:val="Emphasis"/>
        </w:rPr>
        <w:t xml:space="preserve"> is perfectly possible to argue that by having a threshold age, we lose sight of the fact that age is a part of the continuum. We do not become</w:t>
      </w:r>
      <w:r w:rsidR="00E43E89" w:rsidRPr="00053476">
        <w:rPr>
          <w:rStyle w:val="Emphasis"/>
        </w:rPr>
        <w:t xml:space="preserve"> </w:t>
      </w:r>
      <w:r w:rsidR="00E43E89" w:rsidRPr="00053476">
        <w:rPr>
          <w:rStyle w:val="Emphasis"/>
        </w:rPr>
        <w:lastRenderedPageBreak/>
        <w:t>old overnight when we reach 60</w:t>
      </w:r>
      <w:r w:rsidR="00934534" w:rsidRPr="00053476">
        <w:rPr>
          <w:rStyle w:val="Emphasis"/>
        </w:rPr>
        <w:t>.</w:t>
      </w:r>
    </w:p>
    <w:p w:rsidR="00162B0D" w:rsidRPr="00053476" w:rsidRDefault="00162B0D" w:rsidP="005E0740">
      <w:pPr>
        <w:pStyle w:val="APAPar"/>
        <w:widowControl w:val="0"/>
        <w:ind w:rightChars="150" w:right="360"/>
        <w:jc w:val="both"/>
        <w:rPr>
          <w:rStyle w:val="Emphasis"/>
        </w:rPr>
      </w:pPr>
      <w:r w:rsidRPr="00162B0D">
        <w:rPr>
          <w:lang w:val="en-US"/>
        </w:rPr>
        <w:t>The same author argues that most age thresholds set by researchers in the literature are arbitrary, and as such, they do not demark the onset of old age. As the World He</w:t>
      </w:r>
      <w:r w:rsidR="0048067F">
        <w:rPr>
          <w:lang w:val="en-US"/>
        </w:rPr>
        <w:t>alth Organization (WHO, 2017a) argues</w:t>
      </w:r>
      <w:r w:rsidR="008D0483">
        <w:rPr>
          <w:lang w:val="en-US"/>
        </w:rPr>
        <w:t>:</w:t>
      </w:r>
      <w:r w:rsidRPr="00162B0D">
        <w:rPr>
          <w:lang w:val="en-US"/>
        </w:rPr>
        <w:t xml:space="preserve"> </w:t>
      </w:r>
    </w:p>
    <w:p w:rsidR="0060672D" w:rsidRPr="00053476" w:rsidRDefault="003E3747" w:rsidP="00546D49">
      <w:pPr>
        <w:pStyle w:val="APAPar"/>
        <w:widowControl w:val="0"/>
        <w:ind w:leftChars="400" w:left="960" w:rightChars="400" w:right="960" w:firstLine="0"/>
        <w:jc w:val="both"/>
        <w:rPr>
          <w:rStyle w:val="Emphasis"/>
        </w:rPr>
      </w:pPr>
      <w:r w:rsidRPr="00053476">
        <w:rPr>
          <w:rStyle w:val="Emphasis"/>
        </w:rPr>
        <w:t>Most</w:t>
      </w:r>
      <w:r w:rsidR="00E456BC" w:rsidRPr="00053476">
        <w:rPr>
          <w:rStyle w:val="Emphasis"/>
        </w:rPr>
        <w:t xml:space="preserve"> developed world countries have accepted the chronological age of 65 years as a definitio</w:t>
      </w:r>
      <w:r w:rsidR="0092199B" w:rsidRPr="00053476">
        <w:rPr>
          <w:rStyle w:val="Emphasis"/>
        </w:rPr>
        <w:t>n of 'elderly' or older person … w</w:t>
      </w:r>
      <w:r w:rsidR="00E456BC" w:rsidRPr="00053476">
        <w:rPr>
          <w:rStyle w:val="Emphasis"/>
        </w:rPr>
        <w:t xml:space="preserve">hile this definition is somewhat arbitrary, it is many times associated with the age at which one can begin to receive pension benefits. At the moment, there is no United Nations standard numerical criterion, but the UN agreed </w:t>
      </w:r>
      <w:r w:rsidRPr="00053476">
        <w:rPr>
          <w:rStyle w:val="Emphasis"/>
        </w:rPr>
        <w:t>cut-off</w:t>
      </w:r>
      <w:r w:rsidR="00E456BC" w:rsidRPr="00053476">
        <w:rPr>
          <w:rStyle w:val="Emphasis"/>
        </w:rPr>
        <w:t xml:space="preserve"> is 60+ years t</w:t>
      </w:r>
      <w:r w:rsidR="00C02157" w:rsidRPr="00053476">
        <w:rPr>
          <w:rStyle w:val="Emphasis"/>
        </w:rPr>
        <w:t>o refer to the older population</w:t>
      </w:r>
      <w:r w:rsidR="00420E69" w:rsidRPr="00053476">
        <w:rPr>
          <w:rStyle w:val="Emphasis"/>
        </w:rPr>
        <w:t xml:space="preserve"> … The ages of 60 and 65 years are often used, despite its arbitrary nature, for which the origins and surrounding debates can be followed from the end of the</w:t>
      </w:r>
      <w:r w:rsidR="0060672D" w:rsidRPr="00053476">
        <w:rPr>
          <w:rStyle w:val="Emphasis"/>
        </w:rPr>
        <w:t xml:space="preserve"> 1800's through the mid-1900's.</w:t>
      </w:r>
    </w:p>
    <w:p w:rsidR="00053476" w:rsidRPr="00053476" w:rsidRDefault="00053476" w:rsidP="005C41B7">
      <w:pPr>
        <w:pStyle w:val="APAPar"/>
        <w:rPr>
          <w:lang w:val="en-US"/>
        </w:rPr>
      </w:pPr>
      <w:r w:rsidRPr="00053476">
        <w:t xml:space="preserve">In other words, the WHO (2017) accepts its inability to apply strict numerical criteria to demark the onset of old age, thus the age threshold of 60 can be used only as a ‘working definition’. </w:t>
      </w:r>
      <w:r w:rsidRPr="00053476">
        <w:rPr>
          <w:lang w:val="en-US"/>
        </w:rPr>
        <w:t xml:space="preserve">In this context, the Survey of Health, Ageing and Retirement in Europe (SHARE, 2017), the largest longitudinal study conducted among 120,000 non-institutionalized populations in 27 European countries (with the addition of Israel) have used the age threshold of 50 as their working definition of older age. The same working definition of old age has been adopted by the English Longitudinal Study in Ageing (ELSA, 2017), by the Health and Retirement Study in the United States of America (HRS, 2017), as well as by the </w:t>
      </w:r>
      <w:r w:rsidRPr="00053476">
        <w:rPr>
          <w:bCs/>
          <w:lang w:val="en-US"/>
        </w:rPr>
        <w:t xml:space="preserve">Japanese Study of Aging and Retirement (Research Institute of Economy, Trade and Industry, 2017). </w:t>
      </w:r>
      <w:r w:rsidRPr="00053476">
        <w:rPr>
          <w:lang w:val="en-US"/>
        </w:rPr>
        <w:t xml:space="preserve">Differently, but still deviating from the practice proposed by WHO (2017a), the China Health </w:t>
      </w:r>
      <w:r w:rsidRPr="00053476">
        <w:rPr>
          <w:lang w:val="en-US"/>
        </w:rPr>
        <w:lastRenderedPageBreak/>
        <w:t xml:space="preserve">and Retirement Longitudinal Study (CHARLS) and the Longitudinal Aging Study in India (LASI, 2017) use the age threshold of 45 as their working definition of older adults. </w:t>
      </w:r>
    </w:p>
    <w:p w:rsidR="00392BAA" w:rsidRPr="003E3747" w:rsidRDefault="00D35C28" w:rsidP="005C41B7">
      <w:pPr>
        <w:pStyle w:val="APAPar"/>
        <w:rPr>
          <w:lang w:val="en-US"/>
        </w:rPr>
      </w:pPr>
      <w:r>
        <w:t>Given that there are not valid scientific criteria that demark the</w:t>
      </w:r>
      <w:r w:rsidR="004D6971">
        <w:t xml:space="preserve"> onset of older age, and given that there is not a great consensus for the definition of older age, this thesis follow</w:t>
      </w:r>
      <w:r w:rsidR="0048067F">
        <w:t>s</w:t>
      </w:r>
      <w:r w:rsidR="00666E82">
        <w:t xml:space="preserve"> the example of </w:t>
      </w:r>
      <w:r w:rsidR="004D6971">
        <w:t>the</w:t>
      </w:r>
      <w:r w:rsidR="00666E82">
        <w:t xml:space="preserve"> </w:t>
      </w:r>
      <w:r w:rsidR="00174A89">
        <w:t>SHARE, ELSA and HRS</w:t>
      </w:r>
      <w:r w:rsidR="00443A67">
        <w:t xml:space="preserve"> </w:t>
      </w:r>
      <w:r w:rsidR="00666E82">
        <w:t>studies</w:t>
      </w:r>
      <w:r w:rsidR="000B0FF6">
        <w:t xml:space="preserve"> </w:t>
      </w:r>
      <w:r w:rsidR="00443A67">
        <w:t>and use</w:t>
      </w:r>
      <w:r w:rsidR="0048067F">
        <w:t>s</w:t>
      </w:r>
      <w:r w:rsidR="00C24AD5">
        <w:t xml:space="preserve"> </w:t>
      </w:r>
      <w:r w:rsidR="00443A67">
        <w:t xml:space="preserve">the age of 50 </w:t>
      </w:r>
      <w:r w:rsidR="00D32532">
        <w:t>as</w:t>
      </w:r>
      <w:r w:rsidR="00443A67">
        <w:t xml:space="preserve"> the working</w:t>
      </w:r>
      <w:r w:rsidR="00C24AD5">
        <w:t xml:space="preserve"> definition</w:t>
      </w:r>
      <w:r w:rsidR="00870E36">
        <w:t xml:space="preserve"> of older age</w:t>
      </w:r>
      <w:r w:rsidR="00C24AD5">
        <w:t xml:space="preserve">. </w:t>
      </w:r>
      <w:r w:rsidR="00F63216" w:rsidRPr="007A15F6">
        <w:t xml:space="preserve">This </w:t>
      </w:r>
      <w:r w:rsidR="00D32532">
        <w:t xml:space="preserve">working definition </w:t>
      </w:r>
      <w:r w:rsidR="00F63216" w:rsidRPr="007A15F6">
        <w:t>does</w:t>
      </w:r>
      <w:r w:rsidR="00934534" w:rsidRPr="007A15F6">
        <w:t xml:space="preserve"> not imply any onset of any kind of decline</w:t>
      </w:r>
      <w:r w:rsidR="00A61C82" w:rsidRPr="007A15F6">
        <w:t xml:space="preserve"> at this age</w:t>
      </w:r>
      <w:r w:rsidR="009F14E8">
        <w:t>, but is</w:t>
      </w:r>
      <w:r w:rsidR="00934534" w:rsidRPr="007A15F6">
        <w:t xml:space="preserve"> used purely to facilitate the discussion around </w:t>
      </w:r>
      <w:r w:rsidR="009F14E8">
        <w:t xml:space="preserve">the progressive nature of </w:t>
      </w:r>
      <w:r w:rsidR="008456BD" w:rsidRPr="007A15F6">
        <w:t>ageing</w:t>
      </w:r>
      <w:r w:rsidR="009F14E8">
        <w:t xml:space="preserve">, and </w:t>
      </w:r>
      <w:r w:rsidR="00A43678">
        <w:t xml:space="preserve">to </w:t>
      </w:r>
      <w:r w:rsidR="009F14E8">
        <w:t xml:space="preserve">define the </w:t>
      </w:r>
      <w:r w:rsidR="00582E7F">
        <w:t xml:space="preserve">target population </w:t>
      </w:r>
      <w:r w:rsidR="00D32532">
        <w:t xml:space="preserve">of examination in </w:t>
      </w:r>
      <w:r w:rsidR="00582E7F">
        <w:t xml:space="preserve">this thesis. </w:t>
      </w:r>
      <w:r w:rsidR="00A43678">
        <w:t xml:space="preserve"> </w:t>
      </w:r>
      <w:r w:rsidR="009F14E8">
        <w:t xml:space="preserve"> </w:t>
      </w:r>
    </w:p>
    <w:p w:rsidR="004F526B" w:rsidRPr="00FD1D26" w:rsidRDefault="004F526B" w:rsidP="00FE028D">
      <w:pPr>
        <w:pStyle w:val="Heading2"/>
      </w:pPr>
      <w:bookmarkStart w:id="53" w:name="_Toc373425933"/>
      <w:bookmarkStart w:id="54" w:name="_Toc521184171"/>
      <w:r w:rsidRPr="007A15F6">
        <w:t>Who is Healthy</w:t>
      </w:r>
      <w:r w:rsidR="00476548">
        <w:t xml:space="preserve"> in Older Age</w:t>
      </w:r>
      <w:r w:rsidR="00095C84" w:rsidRPr="007A15F6">
        <w:t>?</w:t>
      </w:r>
      <w:bookmarkEnd w:id="53"/>
      <w:bookmarkEnd w:id="54"/>
    </w:p>
    <w:p w:rsidR="00206452" w:rsidRDefault="00B05E92" w:rsidP="005C41B7">
      <w:pPr>
        <w:pStyle w:val="APAPar"/>
      </w:pPr>
      <w:r w:rsidRPr="007A15F6">
        <w:t xml:space="preserve">Equally </w:t>
      </w:r>
      <w:r w:rsidR="004F035C" w:rsidRPr="007A15F6">
        <w:t>challenging</w:t>
      </w:r>
      <w:r w:rsidR="00934534" w:rsidRPr="007A15F6">
        <w:t xml:space="preserve"> </w:t>
      </w:r>
      <w:r w:rsidRPr="007A15F6">
        <w:t xml:space="preserve">with defining who is old </w:t>
      </w:r>
      <w:r w:rsidR="00095C84" w:rsidRPr="007A15F6">
        <w:t>is</w:t>
      </w:r>
      <w:r w:rsidR="00934534" w:rsidRPr="007A15F6">
        <w:t xml:space="preserve"> to define </w:t>
      </w:r>
      <w:r w:rsidR="00AE053B" w:rsidRPr="007A15F6">
        <w:t xml:space="preserve">who </w:t>
      </w:r>
      <w:r w:rsidRPr="007A15F6">
        <w:t xml:space="preserve">is considered </w:t>
      </w:r>
      <w:r w:rsidR="00934534" w:rsidRPr="007A15F6">
        <w:t>health</w:t>
      </w:r>
      <w:r w:rsidR="00AE053B" w:rsidRPr="007A15F6">
        <w:t>y</w:t>
      </w:r>
      <w:r w:rsidRPr="007A15F6">
        <w:t xml:space="preserve"> in older age</w:t>
      </w:r>
      <w:r w:rsidR="00284262" w:rsidRPr="007A15F6">
        <w:t>.</w:t>
      </w:r>
      <w:r w:rsidR="00934534" w:rsidRPr="007A15F6">
        <w:t xml:space="preserve"> </w:t>
      </w:r>
      <w:r w:rsidR="00206452">
        <w:t>The WHO conceptualizes health</w:t>
      </w:r>
      <w:r w:rsidR="00206452" w:rsidRPr="007A15F6">
        <w:t xml:space="preserve"> </w:t>
      </w:r>
      <w:r w:rsidR="00206452">
        <w:t xml:space="preserve">as </w:t>
      </w:r>
      <w:r w:rsidR="00206452" w:rsidRPr="007A15F6">
        <w:t>‘</w:t>
      </w:r>
      <w:r w:rsidR="00206452">
        <w:t>the complete</w:t>
      </w:r>
      <w:r w:rsidR="00206452" w:rsidRPr="007A15F6">
        <w:t xml:space="preserve"> physical, mental, and social well-being, not simply the absence of i</w:t>
      </w:r>
      <w:r w:rsidR="00206452">
        <w:t>njury or disease or infirmity’</w:t>
      </w:r>
      <w:r w:rsidR="00206452" w:rsidRPr="00E33D3E">
        <w:t xml:space="preserve"> </w:t>
      </w:r>
      <w:r w:rsidR="00206452">
        <w:t>(WHO, 2017</w:t>
      </w:r>
      <w:r w:rsidR="0048067F">
        <w:t>b)</w:t>
      </w:r>
      <w:r w:rsidR="00206452">
        <w:t>. This conceptualization is known as t</w:t>
      </w:r>
      <w:r w:rsidR="00206452" w:rsidRPr="007A15F6">
        <w:t xml:space="preserve">he </w:t>
      </w:r>
      <w:r w:rsidR="00206452" w:rsidRPr="007A15F6">
        <w:rPr>
          <w:i/>
        </w:rPr>
        <w:t>biopsychosocial</w:t>
      </w:r>
      <w:r w:rsidR="00206452" w:rsidRPr="007A15F6">
        <w:t xml:space="preserve"> </w:t>
      </w:r>
      <w:r w:rsidR="00206452">
        <w:t>paradigm</w:t>
      </w:r>
      <w:r w:rsidR="00206452" w:rsidRPr="007A15F6">
        <w:t xml:space="preserve"> of health</w:t>
      </w:r>
      <w:r w:rsidR="00206452">
        <w:t>, adopted and described</w:t>
      </w:r>
      <w:r w:rsidR="0078152C">
        <w:t xml:space="preserve"> by WHO</w:t>
      </w:r>
      <w:r w:rsidR="00206452">
        <w:t xml:space="preserve"> for the first time in 1948 (as cited in WHO, 2017</w:t>
      </w:r>
      <w:r w:rsidR="0048067F">
        <w:t>b</w:t>
      </w:r>
      <w:r w:rsidR="00206452">
        <w:t xml:space="preserve">). </w:t>
      </w:r>
      <w:r w:rsidR="00206452" w:rsidRPr="007A15F6">
        <w:t xml:space="preserve">The </w:t>
      </w:r>
      <w:r w:rsidR="002C58A5">
        <w:t xml:space="preserve">advantages of </w:t>
      </w:r>
      <w:r w:rsidR="002C58A5" w:rsidRPr="007A15F6">
        <w:t>the biopsychosocial paradigm of health are</w:t>
      </w:r>
      <w:r w:rsidR="00206452" w:rsidRPr="007A15F6">
        <w:t xml:space="preserve"> that it uses a life span </w:t>
      </w:r>
      <w:r w:rsidR="00206452">
        <w:t xml:space="preserve">and dynamic </w:t>
      </w:r>
      <w:r w:rsidR="00206452" w:rsidRPr="007A15F6">
        <w:t>perspective. As such, the mere absence of disease is not considered a good predictor of positive health outcomes in the future, as concurrent malignant lifestyles (e.g., smoking, obesity, sedentary</w:t>
      </w:r>
      <w:r w:rsidR="00942868">
        <w:t xml:space="preserve"> lifestyles</w:t>
      </w:r>
      <w:r w:rsidR="00206452" w:rsidRPr="007A15F6">
        <w:t xml:space="preserve">) or social conditions (poverty, poor access to health and quality diets) </w:t>
      </w:r>
      <w:r w:rsidR="008C71DF">
        <w:t xml:space="preserve">may </w:t>
      </w:r>
      <w:r w:rsidR="00206452" w:rsidRPr="007A15F6">
        <w:t>predict adverse healt</w:t>
      </w:r>
      <w:r w:rsidR="005E577B">
        <w:t>h outcomes in the near future.</w:t>
      </w:r>
    </w:p>
    <w:p w:rsidR="00967B5D" w:rsidRDefault="00206452" w:rsidP="005C41B7">
      <w:pPr>
        <w:pStyle w:val="APAPar"/>
      </w:pPr>
      <w:r>
        <w:t xml:space="preserve">The disadvantage of the biopsychosocial model of health is that it gives a rather rigid and unrealistic definition of health, </w:t>
      </w:r>
      <w:r w:rsidR="006B6B8A">
        <w:t>namely</w:t>
      </w:r>
      <w:r>
        <w:t xml:space="preserve"> a “complete </w:t>
      </w:r>
      <w:r w:rsidR="007C6B40" w:rsidRPr="007A15F6">
        <w:t>absence of i</w:t>
      </w:r>
      <w:r w:rsidR="007C6B40">
        <w:t>njury or disease or infirmity</w:t>
      </w:r>
      <w:r>
        <w:t>”</w:t>
      </w:r>
      <w:r w:rsidR="006B6B8A">
        <w:t>. This kind of health status</w:t>
      </w:r>
      <w:r>
        <w:t xml:space="preserve"> is hardly prevalent among older adults. </w:t>
      </w:r>
      <w:r w:rsidR="00F44BB6" w:rsidRPr="007A15F6">
        <w:t>Epidemiological studies illustrate that</w:t>
      </w:r>
      <w:r w:rsidR="004F526B" w:rsidRPr="007A15F6">
        <w:t xml:space="preserve"> 80% of older adults have one chronic condition, </w:t>
      </w:r>
      <w:r w:rsidR="00DE5162">
        <w:t>and</w:t>
      </w:r>
      <w:r w:rsidR="004F526B" w:rsidRPr="007A15F6">
        <w:t xml:space="preserve"> 50% have at least </w:t>
      </w:r>
      <w:r w:rsidR="00423B4E" w:rsidRPr="007A15F6">
        <w:lastRenderedPageBreak/>
        <w:t xml:space="preserve">two. </w:t>
      </w:r>
      <w:r w:rsidR="00AC1447" w:rsidRPr="007A15F6">
        <w:t>T</w:t>
      </w:r>
      <w:r w:rsidR="00423B4E" w:rsidRPr="007A15F6">
        <w:t xml:space="preserve">he leading causes of death among older adults are chronic conditions, such as heart diseases, cancer, stroke, respiratory diseases, Alzheimer disease, and diabetes </w:t>
      </w:r>
      <w:r w:rsidR="00F44BB6" w:rsidRPr="007A15F6">
        <w:t xml:space="preserve">(CDC, </w:t>
      </w:r>
      <w:r w:rsidR="00423B4E" w:rsidRPr="007A15F6">
        <w:t>2011).</w:t>
      </w:r>
    </w:p>
    <w:p w:rsidR="00595002" w:rsidRDefault="006B6B8A" w:rsidP="005C41B7">
      <w:pPr>
        <w:pStyle w:val="APAPar"/>
      </w:pPr>
      <w:r>
        <w:t>Th</w:t>
      </w:r>
      <w:r w:rsidR="002C58A5">
        <w:t>e</w:t>
      </w:r>
      <w:r w:rsidR="00872BEE" w:rsidRPr="007A15F6">
        <w:t xml:space="preserve"> vast majority of </w:t>
      </w:r>
      <w:r w:rsidR="00872BEE">
        <w:t>chronic</w:t>
      </w:r>
      <w:r w:rsidR="00872BEE" w:rsidRPr="007A15F6">
        <w:t xml:space="preserve"> conditions are </w:t>
      </w:r>
      <w:r w:rsidR="00F80A84">
        <w:t>not</w:t>
      </w:r>
      <w:r w:rsidR="006001EC">
        <w:t xml:space="preserve"> debilitating </w:t>
      </w:r>
      <w:r w:rsidR="00DE5162">
        <w:t>to a</w:t>
      </w:r>
      <w:r w:rsidR="006001EC">
        <w:t xml:space="preserve"> </w:t>
      </w:r>
      <w:r w:rsidR="00DE5162">
        <w:t>great extent</w:t>
      </w:r>
      <w:r w:rsidR="006001EC">
        <w:t>.</w:t>
      </w:r>
      <w:r w:rsidR="00423B4E" w:rsidRPr="007A15F6">
        <w:t xml:space="preserve"> </w:t>
      </w:r>
      <w:r w:rsidR="00F80A84">
        <w:t>H</w:t>
      </w:r>
      <w:r w:rsidR="00F44BB6" w:rsidRPr="007A15F6">
        <w:t>ypertension</w:t>
      </w:r>
      <w:r w:rsidR="00F80A84">
        <w:t xml:space="preserve"> for example</w:t>
      </w:r>
      <w:r w:rsidR="00423B4E" w:rsidRPr="007A15F6">
        <w:t xml:space="preserve"> </w:t>
      </w:r>
      <w:r w:rsidR="00AC1447" w:rsidRPr="007A15F6">
        <w:t xml:space="preserve">is a condition that </w:t>
      </w:r>
      <w:r w:rsidR="00423B4E" w:rsidRPr="007A15F6">
        <w:t>differentiate</w:t>
      </w:r>
      <w:r w:rsidR="00AC1447" w:rsidRPr="007A15F6">
        <w:t>s</w:t>
      </w:r>
      <w:r w:rsidR="004F526B" w:rsidRPr="007A15F6">
        <w:t xml:space="preserve"> one’s health st</w:t>
      </w:r>
      <w:r w:rsidR="00F44BB6" w:rsidRPr="007A15F6">
        <w:t xml:space="preserve">atus from </w:t>
      </w:r>
      <w:r w:rsidR="002C58A5">
        <w:t>the</w:t>
      </w:r>
      <w:r w:rsidR="00125270" w:rsidRPr="007A15F6">
        <w:t xml:space="preserve"> </w:t>
      </w:r>
      <w:r w:rsidR="002C58A5">
        <w:t xml:space="preserve">“complete </w:t>
      </w:r>
      <w:r w:rsidR="002C58A5" w:rsidRPr="007A15F6">
        <w:t>absence of i</w:t>
      </w:r>
      <w:r w:rsidR="002C58A5">
        <w:t>njury or disease or infirmity”</w:t>
      </w:r>
      <w:r w:rsidR="00F44BB6" w:rsidRPr="007A15F6">
        <w:t>,</w:t>
      </w:r>
      <w:r w:rsidR="002C58A5">
        <w:t xml:space="preserve"> but</w:t>
      </w:r>
      <w:r w:rsidR="00125270">
        <w:t xml:space="preserve"> </w:t>
      </w:r>
      <w:r w:rsidR="004F526B" w:rsidRPr="007A15F6">
        <w:t>when treated adequat</w:t>
      </w:r>
      <w:r w:rsidR="002C58A5">
        <w:t>ely it</w:t>
      </w:r>
      <w:r w:rsidR="004F526B" w:rsidRPr="007A15F6">
        <w:t xml:space="preserve"> d</w:t>
      </w:r>
      <w:r w:rsidR="00423B4E" w:rsidRPr="007A15F6">
        <w:t>o</w:t>
      </w:r>
      <w:r w:rsidR="006001EC">
        <w:t>es</w:t>
      </w:r>
      <w:r w:rsidR="00423B4E" w:rsidRPr="007A15F6">
        <w:t xml:space="preserve"> not have an adverse effect on</w:t>
      </w:r>
      <w:r w:rsidR="004F526B" w:rsidRPr="007A15F6">
        <w:t xml:space="preserve"> ones’ productivity or functional ability. </w:t>
      </w:r>
      <w:r w:rsidR="00DE5162">
        <w:t>The</w:t>
      </w:r>
      <w:r w:rsidR="004F526B" w:rsidRPr="007A15F6">
        <w:t xml:space="preserve"> continuous treatment</w:t>
      </w:r>
      <w:r w:rsidR="00423B4E" w:rsidRPr="007A15F6">
        <w:t xml:space="preserve"> </w:t>
      </w:r>
      <w:r w:rsidR="00125270">
        <w:t xml:space="preserve">for hypertension </w:t>
      </w:r>
      <w:r w:rsidR="00423B4E" w:rsidRPr="007A15F6">
        <w:t xml:space="preserve">may be </w:t>
      </w:r>
      <w:r w:rsidR="004F526B" w:rsidRPr="007A15F6">
        <w:t xml:space="preserve">translated </w:t>
      </w:r>
      <w:r w:rsidR="00DE5162">
        <w:t>to</w:t>
      </w:r>
      <w:r w:rsidR="004F526B" w:rsidRPr="007A15F6">
        <w:t xml:space="preserve"> constant health care costs (e.g., for medication)</w:t>
      </w:r>
      <w:r w:rsidR="00423B4E" w:rsidRPr="007A15F6">
        <w:t xml:space="preserve">, however, they are far less expensive </w:t>
      </w:r>
      <w:r w:rsidR="004C6978">
        <w:t>compared to</w:t>
      </w:r>
      <w:r w:rsidR="00423B4E" w:rsidRPr="007A15F6">
        <w:t xml:space="preserve"> those needed in the case of frailty. </w:t>
      </w:r>
      <w:r w:rsidR="004C6978">
        <w:t xml:space="preserve">As such, </w:t>
      </w:r>
      <w:r w:rsidR="00574229">
        <w:t xml:space="preserve">it is questionable if </w:t>
      </w:r>
      <w:r w:rsidR="004C6978">
        <w:t xml:space="preserve">an individual suffering from hypertension </w:t>
      </w:r>
      <w:r w:rsidR="00574229">
        <w:t>or any other treatable condition that does not affect</w:t>
      </w:r>
      <w:r w:rsidR="00595002">
        <w:t xml:space="preserve"> </w:t>
      </w:r>
      <w:r w:rsidR="00595002" w:rsidRPr="007A15F6">
        <w:t>productivity or functional ability</w:t>
      </w:r>
      <w:r w:rsidR="00574229">
        <w:t xml:space="preserve"> </w:t>
      </w:r>
      <w:r w:rsidR="00595002">
        <w:t xml:space="preserve">can </w:t>
      </w:r>
      <w:r w:rsidR="004C6978">
        <w:t xml:space="preserve">be </w:t>
      </w:r>
      <w:r w:rsidR="002D7098">
        <w:t>considered as 'unhealthy'</w:t>
      </w:r>
      <w:r w:rsidR="00DE5162">
        <w:t xml:space="preserve"> or</w:t>
      </w:r>
      <w:r w:rsidR="002D7098">
        <w:t xml:space="preserve"> as a frail older adult</w:t>
      </w:r>
      <w:r w:rsidR="00595002">
        <w:t xml:space="preserve">. </w:t>
      </w:r>
      <w:r w:rsidR="00574229">
        <w:t xml:space="preserve"> </w:t>
      </w:r>
    </w:p>
    <w:p w:rsidR="003715B1" w:rsidRPr="007A15F6" w:rsidRDefault="00300A3D" w:rsidP="005C41B7">
      <w:pPr>
        <w:pStyle w:val="APAPar"/>
      </w:pPr>
      <w:r>
        <w:t xml:space="preserve">The definition of health has a particular importance in policy making processes, as </w:t>
      </w:r>
      <w:r w:rsidRPr="007A15F6">
        <w:t xml:space="preserve">retaining a good state of health and an active lifestyle in older age </w:t>
      </w:r>
      <w:r>
        <w:t>has become an articulated political objective with a dual value;</w:t>
      </w:r>
      <w:r w:rsidRPr="007A15F6">
        <w:t xml:space="preserve"> </w:t>
      </w:r>
      <w:r>
        <w:t xml:space="preserve">to </w:t>
      </w:r>
      <w:r w:rsidRPr="007A15F6">
        <w:t>maximize</w:t>
      </w:r>
      <w:r>
        <w:t xml:space="preserve"> </w:t>
      </w:r>
      <w:r w:rsidRPr="007A15F6">
        <w:t xml:space="preserve">seniors’ productivity in goods or services, and </w:t>
      </w:r>
      <w:r>
        <w:t>to restrict</w:t>
      </w:r>
      <w:r w:rsidRPr="007A15F6">
        <w:t xml:space="preserve"> public expenditure for health care costs</w:t>
      </w:r>
      <w:r>
        <w:t xml:space="preserve"> (Walker, 2002)</w:t>
      </w:r>
      <w:r w:rsidRPr="007A15F6">
        <w:t>.</w:t>
      </w:r>
      <w:r w:rsidR="006A5A01">
        <w:t xml:space="preserve"> </w:t>
      </w:r>
      <w:r w:rsidR="00423B4E" w:rsidRPr="007A15F6">
        <w:t xml:space="preserve">This </w:t>
      </w:r>
      <w:r w:rsidR="004F526B" w:rsidRPr="007A15F6">
        <w:t>raise</w:t>
      </w:r>
      <w:r w:rsidR="00423B4E" w:rsidRPr="007A15F6">
        <w:t>s</w:t>
      </w:r>
      <w:r w:rsidR="004F526B" w:rsidRPr="007A15F6">
        <w:t xml:space="preserve"> the question </w:t>
      </w:r>
      <w:r w:rsidR="00BF1A66">
        <w:t>whether</w:t>
      </w:r>
      <w:r w:rsidR="002D7098">
        <w:t xml:space="preserve"> in the political dialogue,</w:t>
      </w:r>
      <w:r w:rsidR="004F526B" w:rsidRPr="007A15F6">
        <w:t xml:space="preserve"> the criteria used to define </w:t>
      </w:r>
      <w:r w:rsidR="006A5A01">
        <w:t>good health in an</w:t>
      </w:r>
      <w:r w:rsidR="001A672F">
        <w:t xml:space="preserve"> older person</w:t>
      </w:r>
      <w:r w:rsidR="006A5A01">
        <w:t xml:space="preserve"> </w:t>
      </w:r>
      <w:r w:rsidR="00BF1A66">
        <w:t xml:space="preserve">are </w:t>
      </w:r>
      <w:r w:rsidR="001A672F">
        <w:t xml:space="preserve">as </w:t>
      </w:r>
      <w:r w:rsidR="00BF1A66">
        <w:t>strict</w:t>
      </w:r>
      <w:r w:rsidR="001A672F">
        <w:t xml:space="preserve"> as denoting</w:t>
      </w:r>
      <w:r w:rsidR="004F526B" w:rsidRPr="007A15F6">
        <w:t xml:space="preserve"> </w:t>
      </w:r>
      <w:r w:rsidR="001A672F">
        <w:t xml:space="preserve">the </w:t>
      </w:r>
      <w:r w:rsidR="004F526B" w:rsidRPr="007A15F6">
        <w:t xml:space="preserve">complete absence of any illness or </w:t>
      </w:r>
      <w:r w:rsidR="00E06C32" w:rsidRPr="007A15F6">
        <w:t>other health condition</w:t>
      </w:r>
      <w:r w:rsidR="006A5A01">
        <w:t>s</w:t>
      </w:r>
      <w:r w:rsidR="00DD58DF">
        <w:t xml:space="preserve">, or if it is closely </w:t>
      </w:r>
      <w:r w:rsidR="00DC331E">
        <w:t>tied</w:t>
      </w:r>
      <w:r w:rsidR="00DD58DF">
        <w:t xml:space="preserve"> to health care costs and </w:t>
      </w:r>
      <w:r w:rsidR="00DF7D50">
        <w:t>productivity</w:t>
      </w:r>
      <w:r w:rsidR="00FC23E9">
        <w:t xml:space="preserve">. </w:t>
      </w:r>
      <w:r w:rsidR="00F44BB6" w:rsidRPr="007A15F6">
        <w:t xml:space="preserve">A precise definition </w:t>
      </w:r>
      <w:r w:rsidR="00471E00" w:rsidRPr="007A15F6">
        <w:t>of</w:t>
      </w:r>
      <w:r w:rsidR="00F44BB6" w:rsidRPr="007A15F6">
        <w:t xml:space="preserve"> good </w:t>
      </w:r>
      <w:r w:rsidR="00551096" w:rsidRPr="007A15F6">
        <w:t>health</w:t>
      </w:r>
      <w:r w:rsidR="00F44BB6" w:rsidRPr="007A15F6">
        <w:t xml:space="preserve"> </w:t>
      </w:r>
      <w:r w:rsidR="00551096" w:rsidRPr="007A15F6">
        <w:t xml:space="preserve">may </w:t>
      </w:r>
      <w:r w:rsidR="00FC23E9">
        <w:t xml:space="preserve">facilitate </w:t>
      </w:r>
      <w:r w:rsidR="002235A7" w:rsidRPr="007A15F6">
        <w:t xml:space="preserve">the </w:t>
      </w:r>
      <w:r w:rsidR="00C71FF6">
        <w:t>direct</w:t>
      </w:r>
      <w:r w:rsidR="00FF5F03" w:rsidRPr="007A15F6">
        <w:t xml:space="preserve"> comparison of relevant </w:t>
      </w:r>
      <w:r w:rsidR="006A5A01">
        <w:t xml:space="preserve">scientific </w:t>
      </w:r>
      <w:r w:rsidR="002235A7" w:rsidRPr="007A15F6">
        <w:t>findings</w:t>
      </w:r>
      <w:r w:rsidR="00056EAF">
        <w:t xml:space="preserve"> and inform policy mak</w:t>
      </w:r>
      <w:r w:rsidR="00DF7D50">
        <w:t xml:space="preserve">ers </w:t>
      </w:r>
      <w:r w:rsidR="00056EAF">
        <w:t>better</w:t>
      </w:r>
      <w:r w:rsidR="00DF7D50">
        <w:t xml:space="preserve"> in this respect</w:t>
      </w:r>
      <w:r w:rsidR="002235A7" w:rsidRPr="007A15F6">
        <w:t xml:space="preserve">. A </w:t>
      </w:r>
      <w:r w:rsidR="00471E00" w:rsidRPr="007A15F6">
        <w:t>“</w:t>
      </w:r>
      <w:r w:rsidR="002235A7" w:rsidRPr="007A15F6">
        <w:t>loose</w:t>
      </w:r>
      <w:r w:rsidR="00471E00" w:rsidRPr="007A15F6">
        <w:t>”</w:t>
      </w:r>
      <w:r w:rsidR="002235A7" w:rsidRPr="007A15F6">
        <w:t xml:space="preserve"> interpretation </w:t>
      </w:r>
      <w:r w:rsidR="00056EAF">
        <w:t xml:space="preserve">of health </w:t>
      </w:r>
      <w:r w:rsidR="00FF5F03" w:rsidRPr="007A15F6">
        <w:t>would make the</w:t>
      </w:r>
      <w:r w:rsidR="00551096" w:rsidRPr="007A15F6">
        <w:t xml:space="preserve"> syn</w:t>
      </w:r>
      <w:r w:rsidR="00DD000E" w:rsidRPr="007A15F6">
        <w:t>thesis</w:t>
      </w:r>
      <w:r w:rsidR="00551096" w:rsidRPr="007A15F6">
        <w:t xml:space="preserve"> </w:t>
      </w:r>
      <w:r w:rsidR="00DC331E">
        <w:t xml:space="preserve">and </w:t>
      </w:r>
      <w:r w:rsidR="00FF5F03" w:rsidRPr="007A15F6">
        <w:t xml:space="preserve">comparison </w:t>
      </w:r>
      <w:r w:rsidR="00551096" w:rsidRPr="007A15F6">
        <w:t xml:space="preserve">of empirical results </w:t>
      </w:r>
      <w:r w:rsidR="00DC331E">
        <w:t xml:space="preserve">from different studies </w:t>
      </w:r>
      <w:r w:rsidR="00551096" w:rsidRPr="007A15F6">
        <w:t xml:space="preserve">on health </w:t>
      </w:r>
      <w:r w:rsidR="002967E1" w:rsidRPr="007A15F6">
        <w:t>a very difficult task</w:t>
      </w:r>
      <w:r w:rsidR="00C71FF6">
        <w:t xml:space="preserve">, but it would offer a more pragmatic view of </w:t>
      </w:r>
      <w:r w:rsidR="00056EAF">
        <w:t>what constitutes a good (but not</w:t>
      </w:r>
      <w:r w:rsidR="00C71FF6">
        <w:t xml:space="preserve"> perfect) health status in older age</w:t>
      </w:r>
      <w:r w:rsidR="002967E1" w:rsidRPr="007A15F6">
        <w:t>.</w:t>
      </w:r>
      <w:r w:rsidR="007440B2" w:rsidRPr="007A15F6">
        <w:t xml:space="preserve"> </w:t>
      </w:r>
      <w:r w:rsidR="00056EAF">
        <w:t xml:space="preserve">As Glass (2003) stated </w:t>
      </w:r>
      <w:r w:rsidR="003715B1" w:rsidRPr="007A15F6">
        <w:t>(p. 382)</w:t>
      </w:r>
      <w:r w:rsidR="008D0483">
        <w:t>:</w:t>
      </w:r>
    </w:p>
    <w:p w:rsidR="003715B1" w:rsidRPr="006B3C9D" w:rsidRDefault="00DC625F" w:rsidP="00546D49">
      <w:pPr>
        <w:pStyle w:val="APAPar"/>
        <w:widowControl w:val="0"/>
        <w:ind w:leftChars="400" w:left="960" w:rightChars="400" w:right="960" w:firstLine="0"/>
        <w:jc w:val="both"/>
        <w:rPr>
          <w:rStyle w:val="Emphasis"/>
        </w:rPr>
      </w:pPr>
      <w:r w:rsidRPr="006B3C9D">
        <w:rPr>
          <w:rStyle w:val="Emphasis"/>
        </w:rPr>
        <w:t>We</w:t>
      </w:r>
      <w:r w:rsidR="003715B1" w:rsidRPr="006B3C9D">
        <w:rPr>
          <w:rStyle w:val="Emphasis"/>
        </w:rPr>
        <w:t xml:space="preserve"> must protect ourselves against the belief that successful ag</w:t>
      </w:r>
      <w:r w:rsidR="00180092" w:rsidRPr="006B3C9D">
        <w:rPr>
          <w:rStyle w:val="Emphasis"/>
        </w:rPr>
        <w:t>e</w:t>
      </w:r>
      <w:r w:rsidR="003715B1" w:rsidRPr="006B3C9D">
        <w:rPr>
          <w:rStyle w:val="Emphasis"/>
        </w:rPr>
        <w:t xml:space="preserve">ing is </w:t>
      </w:r>
      <w:r w:rsidR="003715B1" w:rsidRPr="006B3C9D">
        <w:rPr>
          <w:rStyle w:val="Emphasis"/>
        </w:rPr>
        <w:lastRenderedPageBreak/>
        <w:t>impossible if disease and disability occur. If our concept of successful ag</w:t>
      </w:r>
      <w:r w:rsidR="00180092" w:rsidRPr="006B3C9D">
        <w:rPr>
          <w:rStyle w:val="Emphasis"/>
        </w:rPr>
        <w:t>e</w:t>
      </w:r>
      <w:r w:rsidR="003715B1" w:rsidRPr="006B3C9D">
        <w:rPr>
          <w:rStyle w:val="Emphasis"/>
        </w:rPr>
        <w:t>ing includes dignity, autonomy, social engagement, and the absence of suffering, we will be better positioned to configure our systems of care to address</w:t>
      </w:r>
      <w:r w:rsidR="00E43E89" w:rsidRPr="006B3C9D">
        <w:rPr>
          <w:rStyle w:val="Emphasis"/>
        </w:rPr>
        <w:t xml:space="preserve"> the needs of older populations</w:t>
      </w:r>
    </w:p>
    <w:p w:rsidR="008C71DF" w:rsidRDefault="008C71DF" w:rsidP="005C41B7">
      <w:pPr>
        <w:pStyle w:val="APAPar"/>
      </w:pPr>
      <w:r w:rsidRPr="007A15F6">
        <w:t xml:space="preserve">Under this light, older individuals that are treated for </w:t>
      </w:r>
      <w:r w:rsidR="00E9796D">
        <w:t>chronic conditions</w:t>
      </w:r>
      <w:r w:rsidRPr="007A15F6">
        <w:t xml:space="preserve"> could be considered both as ‘healthy’ and ‘productive’ adults, whereas seemingly healthy individuals with unfavourable social characteristics and habits could be considered members of an at-risk population</w:t>
      </w:r>
      <w:r w:rsidR="00E9796D">
        <w:t xml:space="preserve">. </w:t>
      </w:r>
      <w:r w:rsidR="00DC331E" w:rsidRPr="00F320B0">
        <w:t xml:space="preserve">Given the complexity of assessing </w:t>
      </w:r>
      <w:r w:rsidR="00D901DA" w:rsidRPr="00F320B0">
        <w:t>and categorizing</w:t>
      </w:r>
      <w:r w:rsidR="00DC331E" w:rsidRPr="00F320B0">
        <w:t xml:space="preserve"> </w:t>
      </w:r>
      <w:r w:rsidR="00D901DA" w:rsidRPr="00F320B0">
        <w:t>physical</w:t>
      </w:r>
      <w:r w:rsidR="00DC331E" w:rsidRPr="00F320B0">
        <w:t xml:space="preserve"> health with empirical means, </w:t>
      </w:r>
      <w:r w:rsidR="00D901DA" w:rsidRPr="00F320B0">
        <w:t xml:space="preserve">physical </w:t>
      </w:r>
      <w:r w:rsidR="00DC331E" w:rsidRPr="00F320B0">
        <w:t xml:space="preserve">health will not be considered as an inclusion/exclusion criterion in this thesis. </w:t>
      </w:r>
      <w:r w:rsidR="00D901DA" w:rsidRPr="00F320B0">
        <w:t xml:space="preserve">The implications of </w:t>
      </w:r>
      <w:r w:rsidR="00906FE3">
        <w:t xml:space="preserve">cognitive </w:t>
      </w:r>
      <w:r w:rsidR="00D901DA" w:rsidRPr="00F320B0">
        <w:t xml:space="preserve">health however will </w:t>
      </w:r>
      <w:r w:rsidR="004C48DB">
        <w:t xml:space="preserve">be </w:t>
      </w:r>
      <w:r w:rsidR="00D901DA" w:rsidRPr="00F320B0">
        <w:t xml:space="preserve">examined thoroughly.  </w:t>
      </w:r>
      <w:r w:rsidR="004C48DB">
        <w:t>As</w:t>
      </w:r>
      <w:r w:rsidR="00FF1DB8" w:rsidRPr="00F320B0">
        <w:t xml:space="preserve"> it will be described in the next section, </w:t>
      </w:r>
      <w:r w:rsidR="00E9796D" w:rsidRPr="00F320B0">
        <w:t>defining who is cognitively healthy proves to be a</w:t>
      </w:r>
      <w:r w:rsidR="00FF1DB8" w:rsidRPr="00F320B0">
        <w:t xml:space="preserve"> much</w:t>
      </w:r>
      <w:r w:rsidR="00DC331E" w:rsidRPr="00F320B0">
        <w:t xml:space="preserve"> easier task, and therefore, cognitive health will be a defining criterion for the empirical part of this thesis.</w:t>
      </w:r>
    </w:p>
    <w:p w:rsidR="00476548" w:rsidRPr="00FD1D26" w:rsidRDefault="00476548" w:rsidP="00FE028D">
      <w:pPr>
        <w:pStyle w:val="Heading2"/>
      </w:pPr>
      <w:bookmarkStart w:id="55" w:name="_Toc373425934"/>
      <w:bookmarkStart w:id="56" w:name="_Toc521184172"/>
      <w:r w:rsidRPr="007A15F6">
        <w:t xml:space="preserve">Who is </w:t>
      </w:r>
      <w:r w:rsidR="00926AB7">
        <w:t>Old</w:t>
      </w:r>
      <w:r w:rsidR="00D42F6D">
        <w:t>er</w:t>
      </w:r>
      <w:r w:rsidR="00926AB7">
        <w:t xml:space="preserve"> and </w:t>
      </w:r>
      <w:r>
        <w:t>Cognitively</w:t>
      </w:r>
      <w:r w:rsidR="00926AB7">
        <w:t xml:space="preserve"> Healthy</w:t>
      </w:r>
      <w:r w:rsidRPr="007A15F6">
        <w:t>?</w:t>
      </w:r>
      <w:bookmarkEnd w:id="55"/>
      <w:bookmarkEnd w:id="56"/>
    </w:p>
    <w:p w:rsidR="00917D7F" w:rsidRDefault="0078605D" w:rsidP="005C41B7">
      <w:pPr>
        <w:pStyle w:val="APAPar"/>
        <w:rPr>
          <w:lang w:val="en-US"/>
        </w:rPr>
      </w:pPr>
      <w:r>
        <w:t xml:space="preserve">In the first chapter, it </w:t>
      </w:r>
      <w:r w:rsidR="00DC331E">
        <w:t>was</w:t>
      </w:r>
      <w:r>
        <w:t xml:space="preserve"> </w:t>
      </w:r>
      <w:r w:rsidR="00632A64">
        <w:t xml:space="preserve">illustrated </w:t>
      </w:r>
      <w:r>
        <w:t>that c</w:t>
      </w:r>
      <w:r w:rsidR="00614F52" w:rsidRPr="007A15F6">
        <w:t xml:space="preserve">ognitive </w:t>
      </w:r>
      <w:r>
        <w:t xml:space="preserve">decline with </w:t>
      </w:r>
      <w:r w:rsidR="00614F52" w:rsidRPr="007A15F6">
        <w:t xml:space="preserve">ageing is </w:t>
      </w:r>
      <w:r w:rsidR="00B876DC">
        <w:t>an inescapable process in life</w:t>
      </w:r>
      <w:r w:rsidR="008363B8">
        <w:t>.</w:t>
      </w:r>
      <w:r w:rsidR="00614F52" w:rsidRPr="007A15F6">
        <w:t xml:space="preserve"> </w:t>
      </w:r>
      <w:r w:rsidR="008363B8">
        <w:t>In this context, only</w:t>
      </w:r>
      <w:r w:rsidR="000C411F">
        <w:t xml:space="preserve"> </w:t>
      </w:r>
      <w:r w:rsidR="002F5201">
        <w:t>t</w:t>
      </w:r>
      <w:r w:rsidR="001A5919" w:rsidRPr="007A15F6">
        <w:t>he occurrence of age-</w:t>
      </w:r>
      <w:r w:rsidR="001A5919">
        <w:t>related neurological disorders</w:t>
      </w:r>
      <w:r w:rsidR="000C2EED">
        <w:t xml:space="preserve"> lead to s</w:t>
      </w:r>
      <w:r w:rsidR="00614F52" w:rsidRPr="007A15F6">
        <w:t xml:space="preserve">evere </w:t>
      </w:r>
      <w:r w:rsidR="00B876DC">
        <w:t xml:space="preserve">functioning </w:t>
      </w:r>
      <w:r w:rsidR="00614F52" w:rsidRPr="007A15F6">
        <w:t>impairments</w:t>
      </w:r>
      <w:r w:rsidR="00B876DC">
        <w:t xml:space="preserve"> (</w:t>
      </w:r>
      <w:r w:rsidR="00EA1E58">
        <w:t xml:space="preserve">Alzheimer’s Association, 2017; </w:t>
      </w:r>
      <w:r w:rsidR="00B876DC" w:rsidRPr="007A15F6">
        <w:t>Farias et al., 2009; Kramer, et al., 2004</w:t>
      </w:r>
      <w:r w:rsidR="00B876DC">
        <w:t>; Petersen, 2004</w:t>
      </w:r>
      <w:r w:rsidR="00B876DC" w:rsidRPr="007A15F6">
        <w:t>)</w:t>
      </w:r>
      <w:r w:rsidR="00614F52" w:rsidRPr="007A15F6">
        <w:t>.</w:t>
      </w:r>
      <w:r w:rsidR="00FC45A1">
        <w:t xml:space="preserve"> </w:t>
      </w:r>
      <w:r w:rsidR="00EA1E58">
        <w:rPr>
          <w:lang w:val="en-US"/>
        </w:rPr>
        <w:t xml:space="preserve">The </w:t>
      </w:r>
      <w:r w:rsidR="00B76D8D">
        <w:rPr>
          <w:lang w:val="en-US"/>
        </w:rPr>
        <w:t xml:space="preserve">term </w:t>
      </w:r>
      <w:r w:rsidR="0087057D">
        <w:rPr>
          <w:lang w:val="en-US"/>
        </w:rPr>
        <w:t xml:space="preserve">commonly </w:t>
      </w:r>
      <w:r w:rsidR="00FC45A1">
        <w:rPr>
          <w:lang w:val="en-US"/>
        </w:rPr>
        <w:t xml:space="preserve">associated </w:t>
      </w:r>
      <w:r w:rsidR="00B76D8D">
        <w:rPr>
          <w:lang w:val="en-US"/>
        </w:rPr>
        <w:t xml:space="preserve">with age-related cognitive </w:t>
      </w:r>
      <w:r w:rsidR="00CC2584">
        <w:rPr>
          <w:lang w:val="en-US"/>
        </w:rPr>
        <w:t>decline</w:t>
      </w:r>
      <w:r w:rsidR="00B76D8D">
        <w:rPr>
          <w:lang w:val="en-US"/>
        </w:rPr>
        <w:t xml:space="preserve"> </w:t>
      </w:r>
      <w:r w:rsidR="0087057D">
        <w:rPr>
          <w:lang w:val="en-US"/>
        </w:rPr>
        <w:t>is that of dementia</w:t>
      </w:r>
      <w:r w:rsidR="00F52EC2">
        <w:rPr>
          <w:lang w:val="en-US"/>
        </w:rPr>
        <w:t>, an</w:t>
      </w:r>
      <w:r w:rsidR="0087057D">
        <w:rPr>
          <w:lang w:val="en-US"/>
        </w:rPr>
        <w:t xml:space="preserve"> umbrella-term that includes a wide range of age-related </w:t>
      </w:r>
      <w:r w:rsidR="00947130">
        <w:rPr>
          <w:lang w:val="en-US"/>
        </w:rPr>
        <w:t>neurological disorders</w:t>
      </w:r>
      <w:r w:rsidR="0087057D">
        <w:rPr>
          <w:lang w:val="en-US"/>
        </w:rPr>
        <w:t xml:space="preserve">, </w:t>
      </w:r>
      <w:r w:rsidR="007E76B4">
        <w:rPr>
          <w:lang w:val="en-US"/>
        </w:rPr>
        <w:t xml:space="preserve">Alzheimer’s being the most representative </w:t>
      </w:r>
      <w:r w:rsidR="00947130">
        <w:rPr>
          <w:lang w:val="en-US"/>
        </w:rPr>
        <w:t xml:space="preserve">and prevalent </w:t>
      </w:r>
      <w:r w:rsidR="00FC45A1">
        <w:rPr>
          <w:lang w:val="en-US"/>
        </w:rPr>
        <w:t>example</w:t>
      </w:r>
      <w:r w:rsidR="007E76B4">
        <w:rPr>
          <w:lang w:val="en-US"/>
        </w:rPr>
        <w:t xml:space="preserve">. </w:t>
      </w:r>
      <w:r w:rsidR="00DB22CB">
        <w:rPr>
          <w:lang w:val="en-US"/>
        </w:rPr>
        <w:t>It is estimated that</w:t>
      </w:r>
      <w:r w:rsidR="00DC331E">
        <w:rPr>
          <w:lang w:val="en-US"/>
        </w:rPr>
        <w:t xml:space="preserve"> to date,</w:t>
      </w:r>
      <w:r w:rsidR="00DB22CB">
        <w:rPr>
          <w:lang w:val="en-US"/>
        </w:rPr>
        <w:t xml:space="preserve"> </w:t>
      </w:r>
      <w:r w:rsidR="00462069">
        <w:rPr>
          <w:lang w:val="en-US"/>
        </w:rPr>
        <w:t>1-</w:t>
      </w:r>
      <w:r w:rsidR="00DB22CB">
        <w:rPr>
          <w:lang w:val="en-US"/>
        </w:rPr>
        <w:t xml:space="preserve">10% of older individuals live with </w:t>
      </w:r>
      <w:r w:rsidR="00165A30">
        <w:rPr>
          <w:lang w:val="en-US"/>
        </w:rPr>
        <w:t xml:space="preserve">Alzheimer’s dementia </w:t>
      </w:r>
      <w:r w:rsidR="00DB22CB">
        <w:rPr>
          <w:lang w:val="en-US"/>
        </w:rPr>
        <w:t xml:space="preserve">after the age of </w:t>
      </w:r>
      <w:r w:rsidR="00F52EC2">
        <w:rPr>
          <w:lang w:val="en-US"/>
        </w:rPr>
        <w:t>65</w:t>
      </w:r>
      <w:r w:rsidR="00DB22CB">
        <w:rPr>
          <w:lang w:val="en-US"/>
        </w:rPr>
        <w:t xml:space="preserve"> </w:t>
      </w:r>
      <w:r w:rsidR="00F52EC2">
        <w:rPr>
          <w:lang w:val="en-US"/>
        </w:rPr>
        <w:t xml:space="preserve">with </w:t>
      </w:r>
      <w:r w:rsidR="00165A30">
        <w:rPr>
          <w:lang w:val="en-US"/>
        </w:rPr>
        <w:t xml:space="preserve">women being affected twice as </w:t>
      </w:r>
      <w:r w:rsidR="00AD56E1">
        <w:rPr>
          <w:lang w:val="en-US"/>
        </w:rPr>
        <w:t>frequent</w:t>
      </w:r>
      <w:r w:rsidR="00DC331E">
        <w:rPr>
          <w:lang w:val="en-US"/>
        </w:rPr>
        <w:t>ly as</w:t>
      </w:r>
      <w:r w:rsidR="00364663">
        <w:rPr>
          <w:lang w:val="en-US"/>
        </w:rPr>
        <w:t xml:space="preserve"> </w:t>
      </w:r>
      <w:r w:rsidR="00AD56E1">
        <w:rPr>
          <w:lang w:val="en-US"/>
        </w:rPr>
        <w:t>men</w:t>
      </w:r>
      <w:r w:rsidR="007423BB">
        <w:rPr>
          <w:lang w:val="en-US"/>
        </w:rPr>
        <w:t xml:space="preserve"> </w:t>
      </w:r>
      <w:r w:rsidR="001D2082">
        <w:rPr>
          <w:lang w:val="en-US"/>
        </w:rPr>
        <w:t xml:space="preserve">(Alzheimer’s Association, </w:t>
      </w:r>
      <w:r w:rsidR="007423BB">
        <w:rPr>
          <w:lang w:val="en-US"/>
        </w:rPr>
        <w:t>2017</w:t>
      </w:r>
      <w:r w:rsidR="00462069">
        <w:rPr>
          <w:lang w:val="en-US"/>
        </w:rPr>
        <w:t xml:space="preserve">; </w:t>
      </w:r>
      <w:r w:rsidR="00462069">
        <w:t>Hamilton, 2011</w:t>
      </w:r>
      <w:r w:rsidR="007423BB">
        <w:rPr>
          <w:lang w:val="en-US"/>
        </w:rPr>
        <w:t>)</w:t>
      </w:r>
      <w:r w:rsidR="00165A30">
        <w:rPr>
          <w:lang w:val="en-US"/>
        </w:rPr>
        <w:t xml:space="preserve">. </w:t>
      </w:r>
    </w:p>
    <w:p w:rsidR="00FC6941" w:rsidRDefault="00C8381E" w:rsidP="005C41B7">
      <w:pPr>
        <w:pStyle w:val="APAPar"/>
      </w:pPr>
      <w:r>
        <w:rPr>
          <w:lang w:val="en-US"/>
        </w:rPr>
        <w:lastRenderedPageBreak/>
        <w:t xml:space="preserve">Despite the vigorous examination </w:t>
      </w:r>
      <w:r w:rsidR="00AD56E1">
        <w:rPr>
          <w:lang w:val="en-US"/>
        </w:rPr>
        <w:t>of</w:t>
      </w:r>
      <w:r>
        <w:rPr>
          <w:lang w:val="en-US"/>
        </w:rPr>
        <w:t xml:space="preserve"> this disease and the numer</w:t>
      </w:r>
      <w:r w:rsidR="0063530B">
        <w:rPr>
          <w:lang w:val="en-US"/>
        </w:rPr>
        <w:t xml:space="preserve">ous publications </w:t>
      </w:r>
      <w:r w:rsidR="00DC331E">
        <w:rPr>
          <w:lang w:val="en-US"/>
        </w:rPr>
        <w:t>produced o</w:t>
      </w:r>
      <w:r w:rsidR="00D542D2">
        <w:rPr>
          <w:lang w:val="en-US"/>
        </w:rPr>
        <w:t>n this topic</w:t>
      </w:r>
      <w:r w:rsidR="0063530B">
        <w:rPr>
          <w:lang w:val="en-US"/>
        </w:rPr>
        <w:t>, t</w:t>
      </w:r>
      <w:r w:rsidR="009F5901">
        <w:rPr>
          <w:lang w:val="en-US"/>
        </w:rPr>
        <w:t>he</w:t>
      </w:r>
      <w:r w:rsidR="00D37088">
        <w:rPr>
          <w:lang w:val="en-US"/>
        </w:rPr>
        <w:t>re is not</w:t>
      </w:r>
      <w:r w:rsidR="00A42CDB">
        <w:rPr>
          <w:lang w:val="en-US"/>
        </w:rPr>
        <w:t xml:space="preserve"> </w:t>
      </w:r>
      <w:r w:rsidR="00C876E6">
        <w:rPr>
          <w:lang w:val="en-US"/>
        </w:rPr>
        <w:t>a</w:t>
      </w:r>
      <w:r w:rsidR="00A42CDB">
        <w:rPr>
          <w:lang w:val="en-US"/>
        </w:rPr>
        <w:t xml:space="preserve"> </w:t>
      </w:r>
      <w:r w:rsidR="00D37088">
        <w:rPr>
          <w:lang w:val="en-US"/>
        </w:rPr>
        <w:t>broad consensus</w:t>
      </w:r>
      <w:r w:rsidR="009F5901">
        <w:rPr>
          <w:lang w:val="en-US"/>
        </w:rPr>
        <w:t xml:space="preserve"> </w:t>
      </w:r>
      <w:r w:rsidR="00D37088">
        <w:rPr>
          <w:lang w:val="en-US"/>
        </w:rPr>
        <w:t xml:space="preserve">for </w:t>
      </w:r>
      <w:r w:rsidR="00C876E6">
        <w:rPr>
          <w:lang w:val="en-US"/>
        </w:rPr>
        <w:t xml:space="preserve">the </w:t>
      </w:r>
      <w:r w:rsidR="00547878">
        <w:rPr>
          <w:lang w:val="en-US"/>
        </w:rPr>
        <w:t xml:space="preserve">exact </w:t>
      </w:r>
      <w:r w:rsidR="009F5901">
        <w:rPr>
          <w:lang w:val="en-US"/>
        </w:rPr>
        <w:t>prevalen</w:t>
      </w:r>
      <w:r w:rsidR="00D37088">
        <w:rPr>
          <w:lang w:val="en-US"/>
        </w:rPr>
        <w:t>ce rates</w:t>
      </w:r>
      <w:r w:rsidR="00C876E6">
        <w:rPr>
          <w:lang w:val="en-US"/>
        </w:rPr>
        <w:t xml:space="preserve"> </w:t>
      </w:r>
      <w:r w:rsidR="00D37088">
        <w:rPr>
          <w:lang w:val="en-US"/>
        </w:rPr>
        <w:t>of Alzheimer’s disease</w:t>
      </w:r>
      <w:r w:rsidR="00A42CDB">
        <w:rPr>
          <w:lang w:val="en-US"/>
        </w:rPr>
        <w:t xml:space="preserve"> (Brookmayer</w:t>
      </w:r>
      <w:r w:rsidR="00C876E6">
        <w:rPr>
          <w:lang w:val="en-US"/>
        </w:rPr>
        <w:t>,</w:t>
      </w:r>
      <w:r w:rsidR="00A42CDB">
        <w:rPr>
          <w:lang w:val="en-US"/>
        </w:rPr>
        <w:t xml:space="preserve"> </w:t>
      </w:r>
      <w:r w:rsidR="00C56C6B">
        <w:rPr>
          <w:lang w:val="en-US"/>
        </w:rPr>
        <w:t>Gray, &amp; Kaw</w:t>
      </w:r>
      <w:r w:rsidR="0063530B">
        <w:rPr>
          <w:lang w:val="en-US"/>
        </w:rPr>
        <w:t xml:space="preserve">as, 2007). The main reason for the disparity </w:t>
      </w:r>
      <w:r w:rsidR="00A36D22">
        <w:rPr>
          <w:lang w:val="en-US"/>
        </w:rPr>
        <w:t>among epidemiological studies</w:t>
      </w:r>
      <w:r w:rsidR="00C876E6">
        <w:rPr>
          <w:lang w:val="en-US"/>
        </w:rPr>
        <w:t xml:space="preserve"> </w:t>
      </w:r>
      <w:r w:rsidR="000D0664">
        <w:rPr>
          <w:lang w:val="en-US"/>
        </w:rPr>
        <w:t xml:space="preserve">is </w:t>
      </w:r>
      <w:r w:rsidR="0063530B">
        <w:rPr>
          <w:lang w:val="en-US"/>
        </w:rPr>
        <w:t>the</w:t>
      </w:r>
      <w:r w:rsidR="00992535">
        <w:rPr>
          <w:lang w:val="en-US"/>
        </w:rPr>
        <w:t xml:space="preserve"> debate </w:t>
      </w:r>
      <w:r w:rsidR="000D0664">
        <w:rPr>
          <w:lang w:val="en-US"/>
        </w:rPr>
        <w:t>on</w:t>
      </w:r>
      <w:r w:rsidR="00DE350E">
        <w:rPr>
          <w:lang w:val="en-US"/>
        </w:rPr>
        <w:t xml:space="preserve"> </w:t>
      </w:r>
      <w:r w:rsidR="000D0664">
        <w:rPr>
          <w:lang w:val="en-US"/>
        </w:rPr>
        <w:t xml:space="preserve">whether </w:t>
      </w:r>
      <w:r w:rsidR="00992535">
        <w:rPr>
          <w:lang w:val="en-US"/>
        </w:rPr>
        <w:t>Mild Cognitive Impairment</w:t>
      </w:r>
      <w:r w:rsidR="00DE350E">
        <w:rPr>
          <w:lang w:val="en-US"/>
        </w:rPr>
        <w:t xml:space="preserve"> (MCI) </w:t>
      </w:r>
      <w:r w:rsidR="00601BA3">
        <w:rPr>
          <w:lang w:val="en-US"/>
        </w:rPr>
        <w:t>is</w:t>
      </w:r>
      <w:r w:rsidR="00DE350E">
        <w:rPr>
          <w:lang w:val="en-US"/>
        </w:rPr>
        <w:t xml:space="preserve"> the</w:t>
      </w:r>
      <w:r w:rsidR="00097BF1">
        <w:rPr>
          <w:lang w:val="en-US"/>
        </w:rPr>
        <w:t xml:space="preserve"> </w:t>
      </w:r>
      <w:r w:rsidR="00F66282">
        <w:rPr>
          <w:lang w:val="en-US"/>
        </w:rPr>
        <w:t>pre-clinical</w:t>
      </w:r>
      <w:r w:rsidR="00097BF1">
        <w:rPr>
          <w:lang w:val="en-US"/>
        </w:rPr>
        <w:t xml:space="preserve"> st</w:t>
      </w:r>
      <w:r w:rsidR="000D0664">
        <w:rPr>
          <w:lang w:val="en-US"/>
        </w:rPr>
        <w:t>age</w:t>
      </w:r>
      <w:r w:rsidR="00097BF1">
        <w:rPr>
          <w:lang w:val="en-US"/>
        </w:rPr>
        <w:t xml:space="preserve"> of</w:t>
      </w:r>
      <w:r w:rsidR="000D0664">
        <w:rPr>
          <w:lang w:val="en-US"/>
        </w:rPr>
        <w:t xml:space="preserve"> </w:t>
      </w:r>
      <w:r w:rsidR="00097BF1">
        <w:rPr>
          <w:lang w:val="en-US"/>
        </w:rPr>
        <w:t xml:space="preserve">Alzheimer’s </w:t>
      </w:r>
      <w:r w:rsidR="000D0664">
        <w:rPr>
          <w:lang w:val="en-US"/>
        </w:rPr>
        <w:t xml:space="preserve">disease </w:t>
      </w:r>
      <w:r w:rsidR="00A36D22">
        <w:rPr>
          <w:lang w:val="en-US"/>
        </w:rPr>
        <w:t>or not</w:t>
      </w:r>
      <w:r w:rsidR="000D0664">
        <w:rPr>
          <w:lang w:val="en-US"/>
        </w:rPr>
        <w:t xml:space="preserve">. </w:t>
      </w:r>
      <w:r w:rsidR="00363348" w:rsidRPr="007A15F6">
        <w:t xml:space="preserve">This condition is characterized by subtle cognitive impairments accompanied by </w:t>
      </w:r>
      <w:r w:rsidR="00F66786">
        <w:t xml:space="preserve">subtle everyday functioning </w:t>
      </w:r>
      <w:r w:rsidR="00363348" w:rsidRPr="007A15F6">
        <w:t>impairments (Petersen, 2004)</w:t>
      </w:r>
      <w:r w:rsidR="00F66786">
        <w:t>, and affects 20% of those older than 65</w:t>
      </w:r>
      <w:r w:rsidR="00D93D8C">
        <w:t xml:space="preserve"> (Alzheimer’s Association</w:t>
      </w:r>
      <w:r w:rsidR="007A0024">
        <w:t>, 2017</w:t>
      </w:r>
      <w:r w:rsidR="00F66282">
        <w:t xml:space="preserve">), </w:t>
      </w:r>
      <w:r w:rsidR="00021B80">
        <w:t>differing</w:t>
      </w:r>
      <w:r w:rsidR="00D93D8C">
        <w:t xml:space="preserve"> </w:t>
      </w:r>
      <w:r w:rsidR="00F66282">
        <w:t xml:space="preserve">from </w:t>
      </w:r>
      <w:r w:rsidR="00D93D8C">
        <w:t xml:space="preserve">Alzheimer’s </w:t>
      </w:r>
      <w:r w:rsidR="00241045">
        <w:t>in</w:t>
      </w:r>
      <w:r w:rsidR="00A01CF6">
        <w:t xml:space="preserve"> </w:t>
      </w:r>
      <w:r w:rsidR="000F61E4">
        <w:t>the seve</w:t>
      </w:r>
      <w:r w:rsidR="00F66282">
        <w:t>rity of the underlying symptoms.</w:t>
      </w:r>
    </w:p>
    <w:p w:rsidR="00E55A06" w:rsidRDefault="00F66282" w:rsidP="005C41B7">
      <w:pPr>
        <w:pStyle w:val="APAPar"/>
      </w:pPr>
      <w:r>
        <w:t xml:space="preserve">Studies support that </w:t>
      </w:r>
      <w:r w:rsidR="00A01CF6">
        <w:t xml:space="preserve">the cognitive function of those </w:t>
      </w:r>
      <w:r>
        <w:t>diagnosed with</w:t>
      </w:r>
      <w:r w:rsidR="00D93D8C">
        <w:t xml:space="preserve"> MCI </w:t>
      </w:r>
      <w:r w:rsidR="00241045">
        <w:t>can either revers</w:t>
      </w:r>
      <w:r w:rsidR="00E565A9">
        <w:t>e</w:t>
      </w:r>
      <w:r w:rsidR="00A01CF6">
        <w:t xml:space="preserve"> to normal (an estimated 20%)</w:t>
      </w:r>
      <w:r w:rsidR="00E455A3">
        <w:t>,</w:t>
      </w:r>
      <w:r w:rsidR="00E74C89">
        <w:t xml:space="preserve"> progress</w:t>
      </w:r>
      <w:r w:rsidR="00A40B42">
        <w:t xml:space="preserve"> to Alzheimer’s (</w:t>
      </w:r>
      <w:r w:rsidR="00E74C89">
        <w:t xml:space="preserve">an estimate of </w:t>
      </w:r>
      <w:r w:rsidR="00A40B42">
        <w:t>20 to 40%</w:t>
      </w:r>
      <w:r w:rsidR="00E74C89">
        <w:t xml:space="preserve">), or remain </w:t>
      </w:r>
      <w:r>
        <w:t>stable</w:t>
      </w:r>
      <w:r w:rsidR="00E74C89">
        <w:t xml:space="preserve"> (</w:t>
      </w:r>
      <w:r w:rsidR="003E4C95">
        <w:t>Roberts &amp; Knobman, 2013).</w:t>
      </w:r>
      <w:r w:rsidR="00E55A06">
        <w:t xml:space="preserve"> In contrast, Alzheimer’s</w:t>
      </w:r>
      <w:r w:rsidR="00E565A9">
        <w:t xml:space="preserve"> disease</w:t>
      </w:r>
      <w:r w:rsidR="00E55A06">
        <w:t xml:space="preserve"> has a progressive nature that inevitably leads to death.</w:t>
      </w:r>
      <w:r w:rsidR="003E4C95">
        <w:t xml:space="preserve"> </w:t>
      </w:r>
      <w:r w:rsidR="00DB1CB1">
        <w:t xml:space="preserve">As such, </w:t>
      </w:r>
      <w:r w:rsidR="00DC7CFF">
        <w:t xml:space="preserve">some argue that MCI is the </w:t>
      </w:r>
      <w:r>
        <w:t xml:space="preserve">pre-clinical </w:t>
      </w:r>
      <w:r w:rsidR="00DC7CFF">
        <w:t>stage of Alzheimer's</w:t>
      </w:r>
      <w:r w:rsidR="001B6269">
        <w:t xml:space="preserve"> </w:t>
      </w:r>
      <w:r w:rsidR="00E565A9">
        <w:t xml:space="preserve">disease </w:t>
      </w:r>
      <w:r w:rsidR="001B6269">
        <w:t>despite its differential nature</w:t>
      </w:r>
      <w:r w:rsidR="00DC7CFF">
        <w:t>, whereas others</w:t>
      </w:r>
      <w:r w:rsidR="001B6269">
        <w:t xml:space="preserve"> argue that MCI should be regarded as a separate </w:t>
      </w:r>
      <w:r>
        <w:t>diagnostic category</w:t>
      </w:r>
      <w:r w:rsidR="001B6269">
        <w:t>. D</w:t>
      </w:r>
      <w:r w:rsidR="00D93D8C">
        <w:t xml:space="preserve">epending </w:t>
      </w:r>
      <w:r w:rsidR="001B6269">
        <w:t xml:space="preserve">on </w:t>
      </w:r>
      <w:r w:rsidR="00E455A3">
        <w:t>whether</w:t>
      </w:r>
      <w:r w:rsidR="007946AA">
        <w:t xml:space="preserve"> MCI </w:t>
      </w:r>
      <w:r w:rsidR="00E455A3">
        <w:t xml:space="preserve">is included </w:t>
      </w:r>
      <w:r w:rsidR="007946AA">
        <w:t xml:space="preserve">as the </w:t>
      </w:r>
      <w:r>
        <w:t>pre-clinical stage of Alzheimer’s disease</w:t>
      </w:r>
      <w:r w:rsidR="00BE6FBE">
        <w:t xml:space="preserve"> in epidemiological studies</w:t>
      </w:r>
      <w:r w:rsidR="007946AA">
        <w:t xml:space="preserve">, the prevalence rates of </w:t>
      </w:r>
      <w:r w:rsidR="00BE6FBE">
        <w:t>Alzheimer's</w:t>
      </w:r>
      <w:r w:rsidR="00E565A9">
        <w:t xml:space="preserve"> disease</w:t>
      </w:r>
      <w:r w:rsidR="003B071B">
        <w:t xml:space="preserve"> </w:t>
      </w:r>
      <w:r w:rsidR="00BE6FBE">
        <w:t xml:space="preserve">can </w:t>
      </w:r>
      <w:r w:rsidR="007946AA">
        <w:t>va</w:t>
      </w:r>
      <w:r w:rsidR="00E55A06">
        <w:t>ry from 1-10% (Hamilton, 2011).</w:t>
      </w:r>
    </w:p>
    <w:p w:rsidR="00913DAA" w:rsidRPr="00BE6FBE" w:rsidRDefault="00E55A06" w:rsidP="005C41B7">
      <w:pPr>
        <w:pStyle w:val="APAPar"/>
      </w:pPr>
      <w:r>
        <w:t>I</w:t>
      </w:r>
      <w:r w:rsidR="00181024">
        <w:t>n this thesis</w:t>
      </w:r>
      <w:r w:rsidR="00583A73">
        <w:t>,</w:t>
      </w:r>
      <w:r w:rsidR="00913DAA">
        <w:t xml:space="preserve"> cognitively healthy older adults </w:t>
      </w:r>
      <w:r w:rsidR="00F66282">
        <w:t>are</w:t>
      </w:r>
      <w:r w:rsidR="00913DAA">
        <w:t xml:space="preserve"> considered those</w:t>
      </w:r>
      <w:r w:rsidR="0018731A">
        <w:t xml:space="preserve"> </w:t>
      </w:r>
      <w:r w:rsidR="0032116D">
        <w:t xml:space="preserve">who </w:t>
      </w:r>
      <w:r w:rsidR="0018731A">
        <w:t>are older than 50 and</w:t>
      </w:r>
      <w:r w:rsidR="00913DAA">
        <w:t xml:space="preserve"> have not suffered a stroke, </w:t>
      </w:r>
      <w:r w:rsidR="003B071B">
        <w:t xml:space="preserve">do </w:t>
      </w:r>
      <w:r w:rsidR="00913DAA">
        <w:t>not have a</w:t>
      </w:r>
      <w:r w:rsidR="00181024">
        <w:t>n official</w:t>
      </w:r>
      <w:r w:rsidR="00B02C0C">
        <w:t xml:space="preserve"> diagnosis of</w:t>
      </w:r>
      <w:r w:rsidR="00913DAA">
        <w:t xml:space="preserve"> Alzheimer’s disease</w:t>
      </w:r>
      <w:r w:rsidR="00181024">
        <w:t>,</w:t>
      </w:r>
      <w:r w:rsidR="00913DAA">
        <w:t xml:space="preserve"> or</w:t>
      </w:r>
      <w:r w:rsidR="00B02C0C">
        <w:t xml:space="preserve"> of</w:t>
      </w:r>
      <w:r w:rsidR="00913DAA">
        <w:t xml:space="preserve"> a</w:t>
      </w:r>
      <w:r w:rsidR="0018731A">
        <w:t>n</w:t>
      </w:r>
      <w:r w:rsidR="00913DAA">
        <w:t xml:space="preserve">y other form of dementia, </w:t>
      </w:r>
      <w:r w:rsidR="00D240EC">
        <w:t xml:space="preserve">including that of MCI. </w:t>
      </w:r>
      <w:r w:rsidR="0032116D">
        <w:t>These criteria</w:t>
      </w:r>
      <w:r w:rsidR="00D240EC">
        <w:t xml:space="preserve"> will be applied </w:t>
      </w:r>
      <w:r w:rsidR="0003413A">
        <w:t>to</w:t>
      </w:r>
      <w:r w:rsidR="00D240EC">
        <w:t xml:space="preserve"> ensure that the target group under examination will </w:t>
      </w:r>
      <w:r w:rsidR="00B02C0C">
        <w:t xml:space="preserve">represent </w:t>
      </w:r>
      <w:r w:rsidR="00C6149B">
        <w:t>those that are free of any</w:t>
      </w:r>
      <w:r w:rsidR="00B02C0C">
        <w:t xml:space="preserve"> </w:t>
      </w:r>
      <w:r w:rsidR="00C6149B">
        <w:t>indications of</w:t>
      </w:r>
      <w:r w:rsidR="00B02C0C">
        <w:t xml:space="preserve"> impaired cognitive ability</w:t>
      </w:r>
      <w:r w:rsidR="00136B9C">
        <w:t>, thus representing the healthy spectrum of cognitive performance in older age.</w:t>
      </w:r>
    </w:p>
    <w:p w:rsidR="00922F4A" w:rsidRPr="007A15F6" w:rsidRDefault="00922F4A" w:rsidP="00FE028D">
      <w:pPr>
        <w:pStyle w:val="Heading2"/>
      </w:pPr>
      <w:bookmarkStart w:id="57" w:name="_Toc373425935"/>
      <w:bookmarkStart w:id="58" w:name="_Toc521184173"/>
      <w:r w:rsidRPr="007A15F6">
        <w:lastRenderedPageBreak/>
        <w:t xml:space="preserve">The </w:t>
      </w:r>
      <w:r w:rsidR="00145CDA" w:rsidRPr="007A15F6">
        <w:t>Challenges p</w:t>
      </w:r>
      <w:r w:rsidR="00285EC0" w:rsidRPr="007A15F6">
        <w:t xml:space="preserve">osed by the </w:t>
      </w:r>
      <w:r w:rsidRPr="007A15F6">
        <w:t>Demographic Change into an Ageing Population</w:t>
      </w:r>
      <w:bookmarkEnd w:id="57"/>
      <w:bookmarkEnd w:id="58"/>
    </w:p>
    <w:p w:rsidR="00F45EFB" w:rsidRDefault="005F190D" w:rsidP="005C41B7">
      <w:pPr>
        <w:pStyle w:val="APAPar"/>
        <w:rPr>
          <w:lang w:val="en-US"/>
        </w:rPr>
      </w:pPr>
      <w:r w:rsidRPr="007A15F6">
        <w:t>Th</w:t>
      </w:r>
      <w:r w:rsidR="00951934" w:rsidRPr="007A15F6">
        <w:t xml:space="preserve">e ageing population refers to a change </w:t>
      </w:r>
      <w:r w:rsidR="00336BBE" w:rsidRPr="007A15F6">
        <w:t>in the</w:t>
      </w:r>
      <w:r w:rsidR="00DD792B" w:rsidRPr="007A15F6">
        <w:t xml:space="preserve"> distribution of age</w:t>
      </w:r>
      <w:r w:rsidRPr="007A15F6">
        <w:t xml:space="preserve">, </w:t>
      </w:r>
      <w:r w:rsidR="00213263" w:rsidRPr="007A15F6">
        <w:t xml:space="preserve">where older adults </w:t>
      </w:r>
      <w:r w:rsidR="00440000" w:rsidRPr="007A15F6">
        <w:t>increasingly account</w:t>
      </w:r>
      <w:r w:rsidR="00213263" w:rsidRPr="007A15F6">
        <w:t xml:space="preserve"> for a greater percentage</w:t>
      </w:r>
      <w:r w:rsidR="008F6557">
        <w:t xml:space="preserve"> of</w:t>
      </w:r>
      <w:r w:rsidR="00951934" w:rsidRPr="007A15F6">
        <w:t xml:space="preserve"> the population</w:t>
      </w:r>
      <w:r w:rsidR="00213263" w:rsidRPr="007A15F6">
        <w:t>. This</w:t>
      </w:r>
      <w:r w:rsidRPr="007A15F6">
        <w:t xml:space="preserve"> </w:t>
      </w:r>
      <w:r w:rsidR="009E7347">
        <w:t xml:space="preserve">demographic </w:t>
      </w:r>
      <w:r w:rsidR="009211A5" w:rsidRPr="007A15F6">
        <w:t>change</w:t>
      </w:r>
      <w:r w:rsidR="00213263" w:rsidRPr="007A15F6">
        <w:t xml:space="preserve"> </w:t>
      </w:r>
      <w:r w:rsidR="00336BBE" w:rsidRPr="007A15F6">
        <w:t>has been explained as the result of</w:t>
      </w:r>
      <w:r w:rsidR="003D016B">
        <w:t xml:space="preserve"> a simultaneous but </w:t>
      </w:r>
      <w:r w:rsidR="00F66282">
        <w:t>inverse</w:t>
      </w:r>
      <w:r w:rsidR="009E7347">
        <w:t xml:space="preserve"> tendency where</w:t>
      </w:r>
      <w:r w:rsidR="00336BBE" w:rsidRPr="007A15F6">
        <w:t xml:space="preserve"> </w:t>
      </w:r>
      <w:r w:rsidR="00DD792B" w:rsidRPr="007A15F6">
        <w:t xml:space="preserve">i) </w:t>
      </w:r>
      <w:r w:rsidR="00213263" w:rsidRPr="007A15F6">
        <w:t>the average life expectancy at birth</w:t>
      </w:r>
      <w:r w:rsidR="009E7347">
        <w:t xml:space="preserve"> </w:t>
      </w:r>
      <w:r w:rsidR="00E565A9">
        <w:t>has increased</w:t>
      </w:r>
      <w:r w:rsidR="00336BBE" w:rsidRPr="007A15F6">
        <w:t xml:space="preserve"> </w:t>
      </w:r>
      <w:r w:rsidR="008E7BBA">
        <w:t>sharply</w:t>
      </w:r>
      <w:r w:rsidR="00336BBE" w:rsidRPr="007A15F6">
        <w:t xml:space="preserve"> the last 100 years and </w:t>
      </w:r>
      <w:r w:rsidR="00DD792B" w:rsidRPr="007A15F6">
        <w:t xml:space="preserve">ii) </w:t>
      </w:r>
      <w:r w:rsidR="00336BBE" w:rsidRPr="007A15F6">
        <w:t>fertility and</w:t>
      </w:r>
      <w:r w:rsidR="00213263" w:rsidRPr="007A15F6">
        <w:t xml:space="preserve"> birth rates </w:t>
      </w:r>
      <w:r w:rsidR="00863CFD">
        <w:t xml:space="preserve">have declined sharply </w:t>
      </w:r>
      <w:r w:rsidR="00213263" w:rsidRPr="007A15F6">
        <w:t>the last 50 years</w:t>
      </w:r>
      <w:r w:rsidR="00AC1447" w:rsidRPr="007A15F6">
        <w:t xml:space="preserve"> (Hamilton, 2011)</w:t>
      </w:r>
      <w:r w:rsidR="00213263" w:rsidRPr="007A15F6">
        <w:t>.</w:t>
      </w:r>
      <w:r w:rsidR="00440000" w:rsidRPr="007A15F6">
        <w:t xml:space="preserve"> </w:t>
      </w:r>
      <w:r w:rsidR="00A278A5">
        <w:t xml:space="preserve">To the </w:t>
      </w:r>
      <w:r w:rsidR="00E565A9">
        <w:t>extension</w:t>
      </w:r>
      <w:r w:rsidR="00A278A5">
        <w:t xml:space="preserve"> of</w:t>
      </w:r>
      <w:r w:rsidR="00A278A5" w:rsidRPr="00A278A5">
        <w:t xml:space="preserve"> </w:t>
      </w:r>
      <w:r w:rsidR="00A278A5" w:rsidRPr="007A15F6">
        <w:t xml:space="preserve">the average life expectancy </w:t>
      </w:r>
      <w:r w:rsidR="00A278A5">
        <w:t>have contributed the vast a</w:t>
      </w:r>
      <w:r w:rsidRPr="007A15F6">
        <w:t>dvances in medicine, hygiene, and nutrition</w:t>
      </w:r>
      <w:r w:rsidR="0095573E">
        <w:t>, which</w:t>
      </w:r>
      <w:r w:rsidRPr="007A15F6">
        <w:t xml:space="preserve"> </w:t>
      </w:r>
      <w:r w:rsidR="00C54338">
        <w:t xml:space="preserve">in turn </w:t>
      </w:r>
      <w:r w:rsidRPr="007A15F6">
        <w:t xml:space="preserve">have resulted </w:t>
      </w:r>
      <w:r w:rsidR="00F66282">
        <w:t>in</w:t>
      </w:r>
      <w:r w:rsidRPr="007A15F6">
        <w:t xml:space="preserve"> a decrease in acute and </w:t>
      </w:r>
      <w:r w:rsidR="00F66282" w:rsidRPr="007A15F6">
        <w:t>life-threatening</w:t>
      </w:r>
      <w:r w:rsidRPr="007A15F6">
        <w:t xml:space="preserve"> diseases</w:t>
      </w:r>
      <w:r w:rsidR="0095573E">
        <w:t>.</w:t>
      </w:r>
      <w:r w:rsidR="00F66282">
        <w:t xml:space="preserve"> As a result</w:t>
      </w:r>
      <w:r w:rsidR="0095573E">
        <w:t xml:space="preserve">, </w:t>
      </w:r>
      <w:r w:rsidR="007C7F12" w:rsidRPr="007A15F6">
        <w:t>from an average life expectancy of 50 years in 1900</w:t>
      </w:r>
      <w:r w:rsidR="00C54338">
        <w:t xml:space="preserve">, </w:t>
      </w:r>
      <w:r w:rsidR="00F66282">
        <w:t>developed countries</w:t>
      </w:r>
      <w:r w:rsidR="00C54338">
        <w:t xml:space="preserve"> have experienced</w:t>
      </w:r>
      <w:r w:rsidR="0095573E">
        <w:t xml:space="preserve"> a rise</w:t>
      </w:r>
      <w:r w:rsidR="00BB509F">
        <w:t xml:space="preserve"> to</w:t>
      </w:r>
      <w:r w:rsidR="007C7F12" w:rsidRPr="007A15F6">
        <w:t xml:space="preserve"> almost 80 years in 2009 (Population Reference Bureau, 2016a)</w:t>
      </w:r>
      <w:r w:rsidR="007C7F12">
        <w:t>. This</w:t>
      </w:r>
      <w:r w:rsidR="00863CFD">
        <w:t xml:space="preserve"> tendency</w:t>
      </w:r>
      <w:r w:rsidR="007C7F12">
        <w:t xml:space="preserve"> </w:t>
      </w:r>
      <w:r w:rsidR="0095573E">
        <w:t>continued</w:t>
      </w:r>
      <w:r w:rsidR="00704369">
        <w:t xml:space="preserve"> </w:t>
      </w:r>
      <w:r w:rsidR="00863CFD">
        <w:t xml:space="preserve">in Europe </w:t>
      </w:r>
      <w:r w:rsidR="00035D51">
        <w:t xml:space="preserve">during </w:t>
      </w:r>
      <w:r w:rsidR="00704369">
        <w:t>the period 2002-2015</w:t>
      </w:r>
      <w:r w:rsidR="002A087B">
        <w:t xml:space="preserve"> (Figure 2.1</w:t>
      </w:r>
      <w:r w:rsidR="00022161">
        <w:t>)</w:t>
      </w:r>
      <w:r w:rsidR="007C7F12">
        <w:t>, where</w:t>
      </w:r>
      <w:r w:rsidR="00DD792B" w:rsidRPr="007A15F6">
        <w:t xml:space="preserve"> </w:t>
      </w:r>
      <w:r w:rsidR="007C7F12">
        <w:t>t</w:t>
      </w:r>
      <w:r w:rsidR="00F45EFB">
        <w:t xml:space="preserve">he average </w:t>
      </w:r>
      <w:r w:rsidR="00F45EFB" w:rsidRPr="00F45EFB">
        <w:rPr>
          <w:lang w:val="en-US"/>
        </w:rPr>
        <w:t xml:space="preserve">life expectancy increased by 2.9 </w:t>
      </w:r>
      <w:r w:rsidR="001C64D1">
        <w:rPr>
          <w:lang w:val="en-US"/>
        </w:rPr>
        <w:t>years</w:t>
      </w:r>
      <w:r w:rsidR="00C54338">
        <w:rPr>
          <w:lang w:val="en-US"/>
        </w:rPr>
        <w:t xml:space="preserve"> in this specific time period</w:t>
      </w:r>
      <w:r w:rsidR="001C64D1">
        <w:rPr>
          <w:lang w:val="en-US"/>
        </w:rPr>
        <w:t>, from 77.7 to 80.6 years (Eurostat, 2017)</w:t>
      </w:r>
      <w:r w:rsidR="00277744">
        <w:rPr>
          <w:lang w:val="en-US"/>
        </w:rPr>
        <w:t>.</w:t>
      </w:r>
    </w:p>
    <w:p w:rsidR="00C7505B" w:rsidRDefault="00A8154D" w:rsidP="005C41B7">
      <w:pPr>
        <w:pStyle w:val="APAPar"/>
      </w:pPr>
      <w:r>
        <w:t xml:space="preserve">Inversely, </w:t>
      </w:r>
      <w:r w:rsidRPr="007A15F6">
        <w:t>modern lifestyles in western societies and financial strains in various periods after the Second World War have led to decreased rates of fertility and to a significant d</w:t>
      </w:r>
      <w:r>
        <w:t>ecline in birth rat</w:t>
      </w:r>
      <w:r w:rsidR="002A087B">
        <w:t>es (Figure 2.3</w:t>
      </w:r>
      <w:r>
        <w:t>)</w:t>
      </w:r>
      <w:r w:rsidRPr="007A15F6">
        <w:t>, which are estimated to decrease further due to the recent era of economic recession (Population Reference Bureau, 2016b).</w:t>
      </w:r>
      <w:r w:rsidR="00C7505B" w:rsidRPr="00C7505B">
        <w:t xml:space="preserve"> </w:t>
      </w:r>
      <w:r w:rsidR="00C7505B">
        <w:t xml:space="preserve">In the European Union for example, there was an evident decline in birth rates </w:t>
      </w:r>
      <w:r w:rsidR="00231414">
        <w:t>in</w:t>
      </w:r>
      <w:r w:rsidR="00C7505B">
        <w:t xml:space="preserve"> the period 2013-2015, with the lowest birth rates reported in Greece, Spain, Cyprus and Portugal</w:t>
      </w:r>
      <w:r w:rsidR="001F2611">
        <w:t>.</w:t>
      </w:r>
      <w:r w:rsidR="00C7505B">
        <w:t xml:space="preserve"> </w:t>
      </w:r>
      <w:r w:rsidR="001F2611">
        <w:t>Namely,</w:t>
      </w:r>
      <w:r w:rsidR="00C7505B">
        <w:t xml:space="preserve"> those countries applied for financial help from the European Union in order to avoid bankruptcy</w:t>
      </w:r>
      <w:r w:rsidR="001F2611">
        <w:t xml:space="preserve"> during this period</w:t>
      </w:r>
      <w:r w:rsidR="00C7505B">
        <w:t xml:space="preserve"> (Eurostat, 2017</w:t>
      </w:r>
      <w:r w:rsidR="00C7505B" w:rsidRPr="002A087B">
        <w:t>b</w:t>
      </w:r>
      <w:r w:rsidR="00C7505B">
        <w:t xml:space="preserve">). </w:t>
      </w:r>
    </w:p>
    <w:p w:rsidR="00231414" w:rsidRPr="00231414" w:rsidRDefault="002C49DE" w:rsidP="005C41B7">
      <w:pPr>
        <w:pStyle w:val="APAPar"/>
      </w:pPr>
      <w:r w:rsidRPr="007A15F6">
        <w:rPr>
          <w:noProof/>
          <w:lang w:eastAsia="zh-CN"/>
        </w:rPr>
        <w:lastRenderedPageBreak/>
        <w:drawing>
          <wp:inline distT="0" distB="0" distL="0" distR="0">
            <wp:extent cx="4320726" cy="2550347"/>
            <wp:effectExtent l="0" t="0" r="0" b="0"/>
            <wp:docPr id="1" name="Picture 1" descr="Macintosh HD:Users:georgepavlidis:Desktop:Screen Shot 2016-10-30 at 18.3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rgepavlidis:Desktop:Screen Shot 2016-10-30 at 18.31.0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40224" cy="2561856"/>
                    </a:xfrm>
                    <a:prstGeom prst="rect">
                      <a:avLst/>
                    </a:prstGeom>
                    <a:noFill/>
                    <a:ln>
                      <a:noFill/>
                    </a:ln>
                  </pic:spPr>
                </pic:pic>
              </a:graphicData>
            </a:graphic>
          </wp:inline>
        </w:drawing>
      </w:r>
    </w:p>
    <w:p w:rsidR="002C49DE" w:rsidRDefault="002C49DE" w:rsidP="00053476">
      <w:pPr>
        <w:pStyle w:val="APARefs"/>
        <w:ind w:left="1043" w:hanging="1043"/>
      </w:pPr>
      <w:r w:rsidRPr="008D0483">
        <w:t>F</w:t>
      </w:r>
      <w:r w:rsidR="002A087B">
        <w:t>igure 2</w:t>
      </w:r>
      <w:r w:rsidR="008D0483">
        <w:t>.1</w:t>
      </w:r>
      <w:r w:rsidRPr="007A15F6">
        <w:rPr>
          <w:i/>
        </w:rPr>
        <w:t xml:space="preserve"> </w:t>
      </w:r>
      <w:r w:rsidRPr="007A15F6">
        <w:t>Life expectancy at birth in the United States,</w:t>
      </w:r>
      <w:r w:rsidR="00285021" w:rsidRPr="007A15F6">
        <w:t xml:space="preserve"> in the period</w:t>
      </w:r>
      <w:r w:rsidRPr="007A15F6">
        <w:t xml:space="preserve"> 1900-2009. Fr</w:t>
      </w:r>
      <w:r w:rsidR="00285021" w:rsidRPr="007A15F6">
        <w:t>om the Population Reference Bureau (</w:t>
      </w:r>
      <w:r w:rsidRPr="007A15F6">
        <w:t>2016</w:t>
      </w:r>
      <w:r w:rsidR="00231414">
        <w:t>a</w:t>
      </w:r>
      <w:r w:rsidR="00285021" w:rsidRPr="007A15F6">
        <w:t>)</w:t>
      </w:r>
    </w:p>
    <w:p w:rsidR="009F53CE" w:rsidRDefault="009F53CE" w:rsidP="00F2255A">
      <w:pPr>
        <w:pStyle w:val="APARefs"/>
      </w:pPr>
    </w:p>
    <w:p w:rsidR="00231414" w:rsidRDefault="00231414" w:rsidP="00F2255A">
      <w:pPr>
        <w:pStyle w:val="APARefs"/>
      </w:pPr>
    </w:p>
    <w:p w:rsidR="00231414" w:rsidRDefault="00231414" w:rsidP="00F2255A">
      <w:pPr>
        <w:pStyle w:val="APARefs"/>
      </w:pPr>
    </w:p>
    <w:p w:rsidR="00730D59" w:rsidRDefault="00730D59" w:rsidP="00F2255A">
      <w:pPr>
        <w:pStyle w:val="APARefs"/>
        <w:rPr>
          <w:lang w:val="en-GB"/>
        </w:rPr>
      </w:pPr>
      <w:r>
        <w:rPr>
          <w:noProof/>
          <w:lang w:val="en-GB" w:eastAsia="zh-CN"/>
        </w:rPr>
        <w:drawing>
          <wp:inline distT="0" distB="0" distL="0" distR="0">
            <wp:extent cx="5732145" cy="2955508"/>
            <wp:effectExtent l="0" t="0" r="825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2145" cy="2955508"/>
                    </a:xfrm>
                    <a:prstGeom prst="rect">
                      <a:avLst/>
                    </a:prstGeom>
                    <a:noFill/>
                    <a:ln>
                      <a:noFill/>
                    </a:ln>
                  </pic:spPr>
                </pic:pic>
              </a:graphicData>
            </a:graphic>
          </wp:inline>
        </w:drawing>
      </w:r>
    </w:p>
    <w:p w:rsidR="00730D59" w:rsidRPr="00730D59" w:rsidRDefault="00730D59" w:rsidP="00730D59">
      <w:pPr>
        <w:rPr>
          <w:lang w:val="en-AU"/>
        </w:rPr>
      </w:pPr>
    </w:p>
    <w:p w:rsidR="00730D59" w:rsidRDefault="00730D59" w:rsidP="00730D59">
      <w:pPr>
        <w:rPr>
          <w:lang w:val="en-AU"/>
        </w:rPr>
      </w:pPr>
    </w:p>
    <w:p w:rsidR="00730D59" w:rsidRDefault="009F53CE" w:rsidP="00053476">
      <w:pPr>
        <w:pStyle w:val="APARefs"/>
        <w:ind w:left="1043" w:hanging="1043"/>
      </w:pPr>
      <w:r w:rsidRPr="002A087B">
        <w:t>Figure</w:t>
      </w:r>
      <w:r w:rsidR="002A087B">
        <w:t xml:space="preserve"> 2</w:t>
      </w:r>
      <w:r w:rsidR="00730D59" w:rsidRPr="002A087B">
        <w:t>.</w:t>
      </w:r>
      <w:r w:rsidR="002A087B" w:rsidRPr="002A087B">
        <w:t>2</w:t>
      </w:r>
      <w:r w:rsidR="00730D59" w:rsidRPr="007A15F6">
        <w:rPr>
          <w:i/>
        </w:rPr>
        <w:t xml:space="preserve"> </w:t>
      </w:r>
      <w:r w:rsidR="00730D59" w:rsidRPr="007A15F6">
        <w:t xml:space="preserve">Life expectancy at birth in the </w:t>
      </w:r>
      <w:r w:rsidR="00277744">
        <w:t>European Union</w:t>
      </w:r>
      <w:r w:rsidR="00730D59" w:rsidRPr="007A15F6">
        <w:t xml:space="preserve">, in the period </w:t>
      </w:r>
      <w:r w:rsidR="00277744">
        <w:t>2002</w:t>
      </w:r>
      <w:r w:rsidR="00730D59" w:rsidRPr="007A15F6">
        <w:t>-20</w:t>
      </w:r>
      <w:r w:rsidR="00277744">
        <w:t>15</w:t>
      </w:r>
      <w:r w:rsidR="00730D59" w:rsidRPr="007A15F6">
        <w:t xml:space="preserve">. From </w:t>
      </w:r>
      <w:r w:rsidR="00277744">
        <w:t>Eurostat (2017</w:t>
      </w:r>
      <w:r w:rsidR="00231414">
        <w:t>a</w:t>
      </w:r>
      <w:r w:rsidR="00730D59" w:rsidRPr="007A15F6">
        <w:t>)</w:t>
      </w:r>
    </w:p>
    <w:p w:rsidR="00173F94" w:rsidRPr="007A15F6" w:rsidRDefault="00173F94" w:rsidP="005C41B7">
      <w:pPr>
        <w:pStyle w:val="APAPar"/>
      </w:pPr>
      <w:r w:rsidRPr="007A15F6">
        <w:rPr>
          <w:noProof/>
          <w:lang w:eastAsia="zh-CN"/>
        </w:rPr>
        <w:lastRenderedPageBreak/>
        <w:drawing>
          <wp:inline distT="0" distB="0" distL="0" distR="0">
            <wp:extent cx="6052051" cy="2914396"/>
            <wp:effectExtent l="0" t="0" r="0" b="6985"/>
            <wp:docPr id="7" name="Picture 7" descr="Macintosh HD:Users:georgepavlidis:Desktop:Screen Shot 2016-10-30 at 18.5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orgepavlidis:Desktop:Screen Shot 2016-10-30 at 18.57.2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57320" cy="2916933"/>
                    </a:xfrm>
                    <a:prstGeom prst="rect">
                      <a:avLst/>
                    </a:prstGeom>
                    <a:noFill/>
                    <a:ln>
                      <a:noFill/>
                    </a:ln>
                  </pic:spPr>
                </pic:pic>
              </a:graphicData>
            </a:graphic>
          </wp:inline>
        </w:drawing>
      </w:r>
    </w:p>
    <w:p w:rsidR="00173F94" w:rsidRDefault="00104843" w:rsidP="00640C1B">
      <w:pPr>
        <w:pStyle w:val="APARefs"/>
        <w:ind w:left="1051" w:hanging="1051"/>
      </w:pPr>
      <w:r w:rsidRPr="002A087B">
        <w:t>Figure</w:t>
      </w:r>
      <w:r w:rsidR="002A087B" w:rsidRPr="002A087B">
        <w:t xml:space="preserve"> </w:t>
      </w:r>
      <w:r w:rsidR="002A087B">
        <w:t>2</w:t>
      </w:r>
      <w:r w:rsidR="00173F94" w:rsidRPr="002A087B">
        <w:t>.</w:t>
      </w:r>
      <w:r w:rsidR="002A087B" w:rsidRPr="002A087B">
        <w:t>3</w:t>
      </w:r>
      <w:r w:rsidR="00173F94" w:rsidRPr="007A15F6">
        <w:rPr>
          <w:i/>
        </w:rPr>
        <w:t xml:space="preserve"> </w:t>
      </w:r>
      <w:r w:rsidR="00285021" w:rsidRPr="007A15F6">
        <w:t>F</w:t>
      </w:r>
      <w:r w:rsidR="00173F94" w:rsidRPr="007A15F6">
        <w:t>ertility rate</w:t>
      </w:r>
      <w:r w:rsidR="00285021" w:rsidRPr="007A15F6">
        <w:t>s in the United States, in the period</w:t>
      </w:r>
      <w:r w:rsidR="00173F94" w:rsidRPr="007A15F6">
        <w:t xml:space="preserve"> </w:t>
      </w:r>
      <w:r w:rsidR="00285021" w:rsidRPr="007A15F6">
        <w:t>1911-2011</w:t>
      </w:r>
      <w:r w:rsidR="00173F94" w:rsidRPr="007A15F6">
        <w:t>. Fr</w:t>
      </w:r>
      <w:r w:rsidR="00285021" w:rsidRPr="007A15F6">
        <w:t>om the Population Reference Bureau (</w:t>
      </w:r>
      <w:r w:rsidR="00173F94" w:rsidRPr="007A15F6">
        <w:t>2016</w:t>
      </w:r>
      <w:r w:rsidR="00231414">
        <w:t>b</w:t>
      </w:r>
      <w:r w:rsidR="00285021" w:rsidRPr="007A15F6">
        <w:t>)</w:t>
      </w:r>
    </w:p>
    <w:p w:rsidR="00231414" w:rsidRDefault="00231414" w:rsidP="00F2255A">
      <w:pPr>
        <w:pStyle w:val="APARefs"/>
      </w:pPr>
    </w:p>
    <w:p w:rsidR="007652F0" w:rsidRDefault="007652F0" w:rsidP="00F2255A">
      <w:pPr>
        <w:pStyle w:val="APARefs"/>
      </w:pPr>
    </w:p>
    <w:p w:rsidR="007652F0" w:rsidRPr="007A15F6" w:rsidRDefault="007652F0" w:rsidP="00F2255A">
      <w:pPr>
        <w:pStyle w:val="APARefs"/>
      </w:pPr>
      <w:r>
        <w:rPr>
          <w:noProof/>
          <w:lang w:val="en-GB" w:eastAsia="zh-CN"/>
        </w:rPr>
        <w:drawing>
          <wp:inline distT="0" distB="0" distL="0" distR="0">
            <wp:extent cx="5564017" cy="4119033"/>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5849" cy="4120390"/>
                    </a:xfrm>
                    <a:prstGeom prst="rect">
                      <a:avLst/>
                    </a:prstGeom>
                    <a:noFill/>
                    <a:ln>
                      <a:noFill/>
                    </a:ln>
                  </pic:spPr>
                </pic:pic>
              </a:graphicData>
            </a:graphic>
          </wp:inline>
        </w:drawing>
      </w:r>
    </w:p>
    <w:p w:rsidR="007652F0" w:rsidRDefault="002A087B" w:rsidP="00053476">
      <w:pPr>
        <w:pStyle w:val="APARefs"/>
        <w:ind w:left="1043" w:hanging="1043"/>
      </w:pPr>
      <w:r>
        <w:t>Figure 2.4</w:t>
      </w:r>
      <w:r w:rsidR="007652F0" w:rsidRPr="007A15F6">
        <w:rPr>
          <w:i/>
        </w:rPr>
        <w:t xml:space="preserve"> </w:t>
      </w:r>
      <w:r w:rsidR="007652F0" w:rsidRPr="007A15F6">
        <w:t xml:space="preserve">Fertility rates in the </w:t>
      </w:r>
      <w:r w:rsidR="0051163E">
        <w:t>European Union, in the period 1960-2015</w:t>
      </w:r>
      <w:r w:rsidR="007652F0" w:rsidRPr="007A15F6">
        <w:t xml:space="preserve">. From </w:t>
      </w:r>
      <w:r w:rsidR="00F2255A">
        <w:t>Eurostat (2017</w:t>
      </w:r>
      <w:r w:rsidR="00231414">
        <w:t>b</w:t>
      </w:r>
      <w:r w:rsidR="007652F0" w:rsidRPr="007A15F6">
        <w:t>)</w:t>
      </w:r>
    </w:p>
    <w:p w:rsidR="00AC3880" w:rsidRPr="007A15F6" w:rsidRDefault="00AC3880" w:rsidP="005C41B7">
      <w:pPr>
        <w:pStyle w:val="APAPar"/>
      </w:pPr>
      <w:r>
        <w:lastRenderedPageBreak/>
        <w:t>Somewhat differently than the rise of the average life expectancy in the last century, the decline in birth rates did not follow a homogeneous</w:t>
      </w:r>
      <w:r w:rsidR="00231414">
        <w:t>ly</w:t>
      </w:r>
      <w:r>
        <w:t xml:space="preserve"> progressive decline. A visual examination </w:t>
      </w:r>
      <w:r w:rsidR="00231414">
        <w:t>in</w:t>
      </w:r>
      <w:r>
        <w:t xml:space="preserve"> Figure </w:t>
      </w:r>
      <w:r w:rsidR="002A087B">
        <w:t>2.3</w:t>
      </w:r>
      <w:r>
        <w:t xml:space="preserve"> reveals that </w:t>
      </w:r>
      <w:r w:rsidRPr="007A15F6">
        <w:t>there was an explosion of new births</w:t>
      </w:r>
      <w:r>
        <w:t xml:space="preserve"> a</w:t>
      </w:r>
      <w:r w:rsidR="00231414">
        <w:t xml:space="preserve">t the end of </w:t>
      </w:r>
      <w:r w:rsidR="001F2611">
        <w:t xml:space="preserve"> the </w:t>
      </w:r>
      <w:r w:rsidR="00231414">
        <w:t xml:space="preserve">Second World War, a </w:t>
      </w:r>
      <w:r>
        <w:t xml:space="preserve">generation </w:t>
      </w:r>
      <w:r w:rsidR="00231414">
        <w:t xml:space="preserve">that </w:t>
      </w:r>
      <w:r w:rsidRPr="007A15F6">
        <w:t xml:space="preserve">is </w:t>
      </w:r>
      <w:r w:rsidR="00231414">
        <w:t xml:space="preserve">widely </w:t>
      </w:r>
      <w:r w:rsidRPr="007A15F6">
        <w:t xml:space="preserve">known </w:t>
      </w:r>
      <w:r>
        <w:t xml:space="preserve">to date as </w:t>
      </w:r>
      <w:r w:rsidRPr="007A15F6">
        <w:t>the baby-boom</w:t>
      </w:r>
      <w:r>
        <w:t>ers</w:t>
      </w:r>
      <w:r w:rsidRPr="007A15F6">
        <w:t xml:space="preserve"> (Atchley &amp; Barush, 2004). The representation of </w:t>
      </w:r>
      <w:r>
        <w:t xml:space="preserve">the </w:t>
      </w:r>
      <w:r w:rsidRPr="007A15F6">
        <w:t xml:space="preserve">baby-boom generation </w:t>
      </w:r>
      <w:r>
        <w:t>(who have reached their retirement age</w:t>
      </w:r>
      <w:r w:rsidRPr="007A15F6">
        <w:t xml:space="preserve"> </w:t>
      </w:r>
      <w:r>
        <w:t xml:space="preserve">to date) </w:t>
      </w:r>
      <w:r w:rsidRPr="007A15F6">
        <w:t>account</w:t>
      </w:r>
      <w:r>
        <w:t>s for 19.3</w:t>
      </w:r>
      <w:r w:rsidRPr="007A15F6">
        <w:t xml:space="preserve"> % of the population </w:t>
      </w:r>
      <w:r>
        <w:t>in the European Union, with Greece having the second highest share (21.3%) among the 28 member states</w:t>
      </w:r>
      <w:r w:rsidRPr="007A15F6">
        <w:t xml:space="preserve">. </w:t>
      </w:r>
    </w:p>
    <w:p w:rsidR="00BC14D9" w:rsidRPr="007A15F6" w:rsidRDefault="00BC14D9" w:rsidP="005C41B7">
      <w:pPr>
        <w:pStyle w:val="APAPar"/>
      </w:pPr>
      <w:r w:rsidRPr="007A15F6">
        <w:t xml:space="preserve">The Bank of America Merrill Lynch (2014) published a report starting that the </w:t>
      </w:r>
      <w:r w:rsidR="00F004E3">
        <w:t xml:space="preserve">specificities of the </w:t>
      </w:r>
      <w:r w:rsidRPr="007A15F6">
        <w:t>demographic change into an ageing population will produce severe financial sustainability risks for the retirement system</w:t>
      </w:r>
      <w:r w:rsidR="00F004E3">
        <w:t xml:space="preserve"> in the near future</w:t>
      </w:r>
      <w:r w:rsidRPr="007A15F6">
        <w:t>. Th</w:t>
      </w:r>
      <w:r w:rsidR="00F42420">
        <w:t>e</w:t>
      </w:r>
      <w:r w:rsidRPr="007A15F6">
        <w:t xml:space="preserve"> risk</w:t>
      </w:r>
      <w:r w:rsidR="00F42420">
        <w:t>s stem</w:t>
      </w:r>
      <w:r w:rsidRPr="007A15F6">
        <w:t xml:space="preserve"> from the </w:t>
      </w:r>
      <w:r w:rsidR="001F4BF5">
        <w:t xml:space="preserve">expected </w:t>
      </w:r>
      <w:r w:rsidR="00F42420">
        <w:t>upsurge of</w:t>
      </w:r>
      <w:r w:rsidRPr="007A15F6">
        <w:t xml:space="preserve"> pen</w:t>
      </w:r>
      <w:r w:rsidR="00F42420">
        <w:t xml:space="preserve">sion </w:t>
      </w:r>
      <w:r w:rsidR="001F4BF5">
        <w:t xml:space="preserve">beneficiaries </w:t>
      </w:r>
      <w:r w:rsidRPr="007A15F6">
        <w:t xml:space="preserve">to 77% in the period 2010 to 2050, </w:t>
      </w:r>
      <w:r w:rsidR="00F004E3">
        <w:t xml:space="preserve">and the parallel </w:t>
      </w:r>
      <w:r w:rsidR="00F004E3" w:rsidRPr="007A15F6">
        <w:t>shrinkage</w:t>
      </w:r>
      <w:r w:rsidR="00F004E3">
        <w:t xml:space="preserve"> of the workforce</w:t>
      </w:r>
      <w:r w:rsidRPr="007A15F6">
        <w:t xml:space="preserve"> to 16%.  According to the same report, </w:t>
      </w:r>
      <w:r w:rsidR="001F4BF5" w:rsidRPr="007A15F6">
        <w:t xml:space="preserve">by 2050 </w:t>
      </w:r>
      <w:r w:rsidR="00D75C55">
        <w:t xml:space="preserve">and </w:t>
      </w:r>
      <w:r w:rsidR="00D75C55" w:rsidRPr="007A15F6">
        <w:t>for any developed country</w:t>
      </w:r>
      <w:r w:rsidR="00D75C55">
        <w:t xml:space="preserve">, </w:t>
      </w:r>
      <w:r w:rsidRPr="007A15F6">
        <w:t xml:space="preserve">this may be translated in additional costs up to 50% of the Gross Domestic Product (GDP). These </w:t>
      </w:r>
      <w:r w:rsidR="00D75C55">
        <w:t xml:space="preserve">costs </w:t>
      </w:r>
      <w:r w:rsidRPr="007A15F6">
        <w:t xml:space="preserve">are based on the calculation of the </w:t>
      </w:r>
      <w:r w:rsidRPr="007A15F6">
        <w:rPr>
          <w:i/>
        </w:rPr>
        <w:t>old-age dependency ratio</w:t>
      </w:r>
      <w:r w:rsidRPr="007A15F6">
        <w:t>, namely the ratio between the populations that comprises those of working age (ages 16-65), to those eligible for receiving pensions (ages 65+).</w:t>
      </w:r>
    </w:p>
    <w:p w:rsidR="00E525CB" w:rsidRPr="007A15F6" w:rsidRDefault="00285EC0" w:rsidP="005C41B7">
      <w:pPr>
        <w:pStyle w:val="APAPar"/>
      </w:pPr>
      <w:r w:rsidRPr="007A15F6">
        <w:t>The old-age dep</w:t>
      </w:r>
      <w:r w:rsidR="00305C7B">
        <w:t xml:space="preserve">endency ratio is a rather gross </w:t>
      </w:r>
      <w:r w:rsidRPr="007A15F6">
        <w:t xml:space="preserve">estimation </w:t>
      </w:r>
      <w:r w:rsidR="00912D91" w:rsidRPr="007A15F6">
        <w:t xml:space="preserve">that </w:t>
      </w:r>
      <w:r w:rsidR="00AE7FEA" w:rsidRPr="007A15F6">
        <w:t>conceptualizes</w:t>
      </w:r>
      <w:r w:rsidRPr="007A15F6">
        <w:t xml:space="preserve"> </w:t>
      </w:r>
      <w:r w:rsidR="009D02DC">
        <w:t>financial productivity</w:t>
      </w:r>
      <w:r w:rsidR="00912D91" w:rsidRPr="007A15F6">
        <w:t xml:space="preserve"> as</w:t>
      </w:r>
      <w:r w:rsidRPr="007A15F6">
        <w:t xml:space="preserve"> </w:t>
      </w:r>
      <w:r w:rsidR="001F20E2" w:rsidRPr="007A15F6">
        <w:t>the</w:t>
      </w:r>
      <w:r w:rsidRPr="007A15F6">
        <w:t xml:space="preserve"> </w:t>
      </w:r>
      <w:r w:rsidR="00AE7FEA" w:rsidRPr="007A15F6">
        <w:t>only</w:t>
      </w:r>
      <w:r w:rsidR="00231414">
        <w:t xml:space="preserve"> measurable</w:t>
      </w:r>
      <w:r w:rsidR="00AE7FEA" w:rsidRPr="007A15F6">
        <w:t xml:space="preserve"> </w:t>
      </w:r>
      <w:r w:rsidRPr="007A15F6">
        <w:t xml:space="preserve">contribution </w:t>
      </w:r>
      <w:r w:rsidR="001F20E2" w:rsidRPr="007A15F6">
        <w:t xml:space="preserve">of citizens </w:t>
      </w:r>
      <w:r w:rsidRPr="007A15F6">
        <w:t xml:space="preserve">to </w:t>
      </w:r>
      <w:r w:rsidR="00231414">
        <w:t>society</w:t>
      </w:r>
      <w:r w:rsidRPr="007A15F6">
        <w:t xml:space="preserve">. In </w:t>
      </w:r>
      <w:r w:rsidR="00E525CB" w:rsidRPr="007A15F6">
        <w:t>this context,</w:t>
      </w:r>
      <w:r w:rsidRPr="007A15F6">
        <w:t xml:space="preserve"> younger </w:t>
      </w:r>
      <w:r w:rsidR="000E20C8" w:rsidRPr="007A15F6">
        <w:t xml:space="preserve">and middle-aged </w:t>
      </w:r>
      <w:r w:rsidRPr="007A15F6">
        <w:t xml:space="preserve">workers </w:t>
      </w:r>
      <w:r w:rsidR="00AE7FEA" w:rsidRPr="007A15F6">
        <w:t>are</w:t>
      </w:r>
      <w:r w:rsidRPr="007A15F6">
        <w:t xml:space="preserve"> regarded as the only productive members in a society, within which they contribute to the sustainability of their own needs, as well as </w:t>
      </w:r>
      <w:r w:rsidR="009D02DC">
        <w:t>through their salary and tax withholding</w:t>
      </w:r>
      <w:r w:rsidR="00B017C9" w:rsidRPr="00B017C9">
        <w:t xml:space="preserve"> </w:t>
      </w:r>
      <w:r w:rsidR="00B017C9" w:rsidRPr="007A15F6">
        <w:t>for state pensions and health care systems</w:t>
      </w:r>
      <w:r w:rsidRPr="007A15F6">
        <w:t xml:space="preserve">. </w:t>
      </w:r>
      <w:r w:rsidR="001F20E2" w:rsidRPr="007A15F6">
        <w:t>At the same time</w:t>
      </w:r>
      <w:r w:rsidRPr="007A15F6">
        <w:t>, older adults are regarded as unproductive and passive recipients of state pensions and health care schemes</w:t>
      </w:r>
      <w:r w:rsidR="00E525CB" w:rsidRPr="007A15F6">
        <w:t xml:space="preserve">, therefore dependent </w:t>
      </w:r>
      <w:r w:rsidR="000E20C8" w:rsidRPr="007A15F6">
        <w:t>upon</w:t>
      </w:r>
      <w:r w:rsidR="00E525CB" w:rsidRPr="007A15F6">
        <w:t xml:space="preserve"> the </w:t>
      </w:r>
      <w:r w:rsidR="00536A91">
        <w:t>former group of workers</w:t>
      </w:r>
      <w:r w:rsidR="00E525CB" w:rsidRPr="007A15F6">
        <w:t>.</w:t>
      </w:r>
    </w:p>
    <w:p w:rsidR="00C3690F" w:rsidRDefault="00285EC0" w:rsidP="005C41B7">
      <w:pPr>
        <w:pStyle w:val="APAPar"/>
      </w:pPr>
      <w:r w:rsidRPr="007A15F6">
        <w:lastRenderedPageBreak/>
        <w:t xml:space="preserve">This </w:t>
      </w:r>
      <w:r w:rsidR="00912D91" w:rsidRPr="007A15F6">
        <w:t>conceptualization contains several inaccuracies that lead often to erroneous conclusions and ageist views</w:t>
      </w:r>
      <w:r w:rsidRPr="007A15F6">
        <w:t>.</w:t>
      </w:r>
      <w:r w:rsidR="00912D91" w:rsidRPr="007A15F6">
        <w:rPr>
          <w:rFonts w:eastAsia="Times New Roman"/>
          <w:lang w:eastAsia="en-US"/>
        </w:rPr>
        <w:t xml:space="preserve"> </w:t>
      </w:r>
      <w:r w:rsidR="00912D91" w:rsidRPr="007A15F6">
        <w:t>For example, the old-age dependency</w:t>
      </w:r>
      <w:r w:rsidR="00912D91" w:rsidRPr="007A15F6">
        <w:rPr>
          <w:i/>
        </w:rPr>
        <w:t xml:space="preserve"> </w:t>
      </w:r>
      <w:r w:rsidR="00912D91" w:rsidRPr="007A15F6">
        <w:t xml:space="preserve">ratio assumes all individuals over the age of 65 </w:t>
      </w:r>
      <w:r w:rsidR="00C5523B">
        <w:t>a</w:t>
      </w:r>
      <w:r w:rsidR="00C97D23">
        <w:t>re</w:t>
      </w:r>
      <w:r w:rsidR="00C5523B">
        <w:t xml:space="preserve"> </w:t>
      </w:r>
      <w:r w:rsidR="00912D91" w:rsidRPr="007A15F6">
        <w:t>pensioners</w:t>
      </w:r>
      <w:r w:rsidR="00C5523B">
        <w:t xml:space="preserve">; </w:t>
      </w:r>
      <w:r w:rsidR="00CA3236">
        <w:t xml:space="preserve">but </w:t>
      </w:r>
      <w:r w:rsidR="00C5523B">
        <w:t>the</w:t>
      </w:r>
      <w:r w:rsidR="00B017C9">
        <w:t xml:space="preserve"> demographic evidence</w:t>
      </w:r>
      <w:r w:rsidR="00C5523B">
        <w:t xml:space="preserve"> </w:t>
      </w:r>
      <w:r w:rsidR="00912D91" w:rsidRPr="007A15F6">
        <w:t>can</w:t>
      </w:r>
      <w:r w:rsidR="008F33C9" w:rsidRPr="007A15F6">
        <w:t>not</w:t>
      </w:r>
      <w:r w:rsidR="00912D91" w:rsidRPr="007A15F6">
        <w:t xml:space="preserve"> support </w:t>
      </w:r>
      <w:r w:rsidR="00C5523B">
        <w:t>this view</w:t>
      </w:r>
      <w:r w:rsidR="00E647C7" w:rsidRPr="007A15F6">
        <w:t>. M</w:t>
      </w:r>
      <w:r w:rsidR="00912D91" w:rsidRPr="007A15F6">
        <w:t>any business owners, consultants and politicians</w:t>
      </w:r>
      <w:r w:rsidR="008F33C9" w:rsidRPr="007A15F6">
        <w:t xml:space="preserve"> for exam</w:t>
      </w:r>
      <w:r w:rsidR="002C2CD1">
        <w:t xml:space="preserve">ple </w:t>
      </w:r>
      <w:r w:rsidR="00912D91" w:rsidRPr="007A15F6">
        <w:t>remain in the working force way beyond the age of 65, where</w:t>
      </w:r>
      <w:r w:rsidR="008F33C9" w:rsidRPr="007A15F6">
        <w:t>as</w:t>
      </w:r>
      <w:r w:rsidR="00912D91" w:rsidRPr="007A15F6">
        <w:t xml:space="preserve"> many pensioners take </w:t>
      </w:r>
      <w:r w:rsidR="00CA3236">
        <w:t>on</w:t>
      </w:r>
      <w:r w:rsidR="00912D91" w:rsidRPr="007A15F6">
        <w:t xml:space="preserve"> part-time or substitute jobs (International Longevity Center-USA, as cited in Kaye</w:t>
      </w:r>
      <w:r w:rsidR="00C33364" w:rsidRPr="007A15F6">
        <w:t>,</w:t>
      </w:r>
      <w:r w:rsidR="00912D91" w:rsidRPr="007A15F6">
        <w:t xml:space="preserve"> </w:t>
      </w:r>
      <w:r w:rsidR="00C33364" w:rsidRPr="007A15F6">
        <w:t xml:space="preserve">Butler, &amp; Webster, </w:t>
      </w:r>
      <w:r w:rsidR="00912D91" w:rsidRPr="007A15F6">
        <w:t>2003).</w:t>
      </w:r>
      <w:r w:rsidR="006B6DC3">
        <w:t xml:space="preserve"> </w:t>
      </w:r>
      <w:r w:rsidR="001F20E2" w:rsidRPr="007A15F6">
        <w:t>In addition</w:t>
      </w:r>
      <w:r w:rsidR="00E647C7" w:rsidRPr="007A15F6">
        <w:t xml:space="preserve">, </w:t>
      </w:r>
      <w:r w:rsidR="00912D91" w:rsidRPr="007A15F6">
        <w:t>seniors are significant contribut</w:t>
      </w:r>
      <w:r w:rsidR="00FF5F03" w:rsidRPr="007A15F6">
        <w:t xml:space="preserve">ors </w:t>
      </w:r>
      <w:r w:rsidR="00912D91" w:rsidRPr="007A15F6">
        <w:t>in society,</w:t>
      </w:r>
      <w:r w:rsidR="00CA3236">
        <w:t xml:space="preserve"> for example as tax payers, </w:t>
      </w:r>
      <w:r w:rsidR="00912D91" w:rsidRPr="007A15F6">
        <w:t>by covering childcare needs for working parents, and by producing a broad array of social benefits through volunteering.</w:t>
      </w:r>
    </w:p>
    <w:p w:rsidR="006B6DC3" w:rsidRDefault="00912D91" w:rsidP="005C41B7">
      <w:pPr>
        <w:pStyle w:val="APAPar"/>
      </w:pPr>
      <w:r w:rsidRPr="007A15F6">
        <w:t xml:space="preserve">Two working parents in the same household </w:t>
      </w:r>
      <w:r w:rsidR="00E565A9">
        <w:t>has become</w:t>
      </w:r>
      <w:r w:rsidRPr="007A15F6">
        <w:t xml:space="preserve"> increasingly the traditional family structure in western societies, which poses important child rearing </w:t>
      </w:r>
      <w:r w:rsidR="002C2CD1">
        <w:t>needs</w:t>
      </w:r>
      <w:r w:rsidRPr="007A15F6">
        <w:t xml:space="preserve"> within the core family (Wheelock &amp; Jones, 2002). Although formal care structures can cover some of those needs, many times it is a solution that becomes unfeasible or insufficient, due to financial strains or due to additional hours for childcare needed. </w:t>
      </w:r>
      <w:r w:rsidR="00564F22">
        <w:t>M</w:t>
      </w:r>
      <w:r w:rsidRPr="007A15F6">
        <w:t>uch of th</w:t>
      </w:r>
      <w:r w:rsidR="00564F22">
        <w:t>os</w:t>
      </w:r>
      <w:r w:rsidRPr="007A15F6">
        <w:t xml:space="preserve">e childcare needs are taken over </w:t>
      </w:r>
      <w:r w:rsidR="00FF5F03" w:rsidRPr="007A15F6">
        <w:t>by</w:t>
      </w:r>
      <w:r w:rsidRPr="007A15F6">
        <w:t xml:space="preserve"> grandparents, without any financial compensation </w:t>
      </w:r>
      <w:r w:rsidR="00CA3236">
        <w:t>being sought</w:t>
      </w:r>
      <w:r w:rsidRPr="007A15F6">
        <w:t xml:space="preserve"> (Livingston </w:t>
      </w:r>
      <w:r w:rsidR="00C33364" w:rsidRPr="007A15F6">
        <w:t>&amp; Parker</w:t>
      </w:r>
      <w:r w:rsidR="0035027E" w:rsidRPr="007A15F6">
        <w:t xml:space="preserve"> 2013; Wheelock &amp; Jones, 2002).</w:t>
      </w:r>
    </w:p>
    <w:p w:rsidR="00D113F2" w:rsidRDefault="00E647C7" w:rsidP="005C41B7">
      <w:pPr>
        <w:pStyle w:val="APAPar"/>
      </w:pPr>
      <w:r w:rsidRPr="007A15F6">
        <w:t>The financial quantification of seniors’ contribution</w:t>
      </w:r>
      <w:r w:rsidR="0035027E" w:rsidRPr="007A15F6">
        <w:t xml:space="preserve"> </w:t>
      </w:r>
      <w:r w:rsidR="00FF5F03" w:rsidRPr="007A15F6">
        <w:t>to</w:t>
      </w:r>
      <w:r w:rsidR="0035027E" w:rsidRPr="007A15F6">
        <w:t xml:space="preserve"> childcare</w:t>
      </w:r>
      <w:r w:rsidRPr="007A15F6">
        <w:t xml:space="preserve"> has not been explored thoroughly</w:t>
      </w:r>
      <w:r w:rsidR="00564F22">
        <w:t xml:space="preserve"> yet</w:t>
      </w:r>
      <w:r w:rsidRPr="007A15F6">
        <w:t xml:space="preserve">, though seniors’ participation in volunteering </w:t>
      </w:r>
      <w:r w:rsidR="001F20E2" w:rsidRPr="007A15F6">
        <w:t>has been</w:t>
      </w:r>
      <w:r w:rsidRPr="007A15F6">
        <w:t xml:space="preserve">. </w:t>
      </w:r>
      <w:r w:rsidR="00426028" w:rsidRPr="007A15F6">
        <w:t>More precisely</w:t>
      </w:r>
      <w:r w:rsidRPr="007A15F6">
        <w:t>, s</w:t>
      </w:r>
      <w:r w:rsidR="00912D91" w:rsidRPr="007A15F6">
        <w:t>eniors’ participation in volunteer</w:t>
      </w:r>
      <w:r w:rsidRPr="007A15F6">
        <w:t xml:space="preserve">ing in the </w:t>
      </w:r>
      <w:r w:rsidR="00C3690F">
        <w:t>US</w:t>
      </w:r>
      <w:r w:rsidRPr="007A15F6">
        <w:t xml:space="preserve"> has been </w:t>
      </w:r>
      <w:r w:rsidR="00912D91" w:rsidRPr="007A15F6">
        <w:t xml:space="preserve">estimated to correspond </w:t>
      </w:r>
      <w:r w:rsidR="00FF5F03" w:rsidRPr="007A15F6">
        <w:t>to</w:t>
      </w:r>
      <w:r w:rsidR="00912D91" w:rsidRPr="007A15F6">
        <w:t xml:space="preserve"> 36 billion hours of services, valued </w:t>
      </w:r>
      <w:r w:rsidRPr="007A15F6">
        <w:t xml:space="preserve">in 1993 </w:t>
      </w:r>
      <w:r w:rsidR="00912D91" w:rsidRPr="007A15F6">
        <w:t>up to 15.3 million dollars (Fisher &amp; Shaffer, 1993).</w:t>
      </w:r>
      <w:r w:rsidRPr="007A15F6">
        <w:t xml:space="preserve"> </w:t>
      </w:r>
      <w:r w:rsidR="00D03419">
        <w:t>Finally</w:t>
      </w:r>
      <w:r w:rsidR="00D113F2" w:rsidRPr="007A15F6">
        <w:t xml:space="preserve">, the old-age dependency ratio ignores that much of seniors’ health care needs are not covered from state welfare systems. It is indisputable that older age </w:t>
      </w:r>
      <w:r w:rsidR="00CA3236">
        <w:t xml:space="preserve">brings </w:t>
      </w:r>
      <w:r w:rsidR="00D113F2" w:rsidRPr="007A15F6">
        <w:t>higher</w:t>
      </w:r>
      <w:r w:rsidR="00CA3236">
        <w:t xml:space="preserve"> than average</w:t>
      </w:r>
      <w:r w:rsidR="00D113F2" w:rsidRPr="007A15F6">
        <w:t xml:space="preserve"> rates of long-term care needs due to illness and frailty than any other age group. </w:t>
      </w:r>
      <w:r w:rsidR="00ED2958">
        <w:t>H</w:t>
      </w:r>
      <w:r w:rsidR="00ED2958" w:rsidRPr="007A15F6">
        <w:t xml:space="preserve">owever, </w:t>
      </w:r>
      <w:r w:rsidR="00ED2958">
        <w:t>t</w:t>
      </w:r>
      <w:r w:rsidR="00D113F2" w:rsidRPr="007A15F6">
        <w:t>he evidence of Bien et al.</w:t>
      </w:r>
      <w:r w:rsidR="00CA3236">
        <w:t>,</w:t>
      </w:r>
      <w:r w:rsidR="00D113F2" w:rsidRPr="007A15F6">
        <w:t xml:space="preserve"> (2013) study in 6 European countries (i.e., Germany, Greece, Italy, </w:t>
      </w:r>
      <w:r w:rsidR="00D113F2" w:rsidRPr="007A15F6">
        <w:lastRenderedPageBreak/>
        <w:t xml:space="preserve">Poland, United Kingdom, Sweden) illustrated that the largest proportion of long-term care </w:t>
      </w:r>
      <w:r w:rsidR="00CA3236">
        <w:t xml:space="preserve">is </w:t>
      </w:r>
      <w:r w:rsidR="00D113F2" w:rsidRPr="007A15F6">
        <w:t>not covered by formal structures, especially in those countries that have poor social services (e.g., Greece, Poland, Italy). Consequently, most of the (unmet) care needs</w:t>
      </w:r>
      <w:r w:rsidR="00CD3DB0">
        <w:t xml:space="preserve"> of older frail adults</w:t>
      </w:r>
      <w:r w:rsidR="00D113F2" w:rsidRPr="007A15F6">
        <w:t xml:space="preserve"> are covered informally</w:t>
      </w:r>
      <w:r w:rsidR="00CD3DB0">
        <w:t xml:space="preserve"> by their spouse or another</w:t>
      </w:r>
      <w:r w:rsidR="00D113F2" w:rsidRPr="007A15F6">
        <w:t xml:space="preserve"> </w:t>
      </w:r>
      <w:r w:rsidR="00CD3DB0">
        <w:t>member of the family</w:t>
      </w:r>
      <w:r w:rsidR="00D113F2" w:rsidRPr="007A15F6">
        <w:t xml:space="preserve"> (Pinquart &amp; Sorensen, 2011).</w:t>
      </w:r>
    </w:p>
    <w:p w:rsidR="00D03419" w:rsidRPr="007A15F6" w:rsidRDefault="00D03419" w:rsidP="005C41B7">
      <w:pPr>
        <w:pStyle w:val="APAPar"/>
      </w:pPr>
      <w:r>
        <w:t>T</w:t>
      </w:r>
      <w:r w:rsidRPr="007A15F6">
        <w:t xml:space="preserve">he old-dependency ratio </w:t>
      </w:r>
      <w:r>
        <w:t>may have</w:t>
      </w:r>
      <w:r w:rsidRPr="007A15F6">
        <w:t xml:space="preserve"> contributed </w:t>
      </w:r>
      <w:r w:rsidR="00CA3236">
        <w:t>to</w:t>
      </w:r>
      <w:r w:rsidRPr="007A15F6">
        <w:t xml:space="preserve"> overstating and overestimating the financial “burden” of the ageing population, </w:t>
      </w:r>
      <w:r w:rsidR="00CA3236">
        <w:t>and obscuring</w:t>
      </w:r>
      <w:r w:rsidRPr="007A15F6">
        <w:t xml:space="preserve"> the positive and contributing dynamics of this age group (Walker, 2002; Walker &amp; Maltby, 2012). </w:t>
      </w:r>
      <w:r>
        <w:t xml:space="preserve">The examination for positive outcomes in older age, as well as seniors’ contribution in society can be </w:t>
      </w:r>
      <w:r w:rsidR="00FD149C">
        <w:t xml:space="preserve">seen </w:t>
      </w:r>
      <w:r>
        <w:t xml:space="preserve">as </w:t>
      </w:r>
      <w:r w:rsidR="002C2B5A">
        <w:t xml:space="preserve">an effort to remedy the financial concerns </w:t>
      </w:r>
      <w:r w:rsidR="00E565A9">
        <w:t>brought</w:t>
      </w:r>
      <w:r w:rsidR="002C2B5A">
        <w:t xml:space="preserve"> by a demographic ch</w:t>
      </w:r>
      <w:r w:rsidR="00FB05D7">
        <w:t xml:space="preserve">ange into an ageing population, </w:t>
      </w:r>
      <w:r w:rsidR="00191A76">
        <w:t xml:space="preserve">or </w:t>
      </w:r>
      <w:r w:rsidR="00FB05D7">
        <w:t xml:space="preserve">as </w:t>
      </w:r>
      <w:r w:rsidR="00010EAD">
        <w:t>a</w:t>
      </w:r>
      <w:r w:rsidR="00191A76">
        <w:t xml:space="preserve"> </w:t>
      </w:r>
      <w:r w:rsidR="00010EAD">
        <w:t>‘rallying cry for elders’ advocates looking for a more positive approach to ageing’ (</w:t>
      </w:r>
      <w:r w:rsidR="00191A76">
        <w:t xml:space="preserve">Walker, 1999, </w:t>
      </w:r>
      <w:r w:rsidR="00010EAD">
        <w:t>p.123).</w:t>
      </w:r>
    </w:p>
    <w:p w:rsidR="00AC6345" w:rsidRPr="007A15F6" w:rsidRDefault="00974A23" w:rsidP="00FE028D">
      <w:pPr>
        <w:pStyle w:val="Heading2"/>
      </w:pPr>
      <w:bookmarkStart w:id="59" w:name="_Toc373425936"/>
      <w:bookmarkStart w:id="60" w:name="_Toc521184174"/>
      <w:r>
        <w:t>The Development</w:t>
      </w:r>
      <w:r w:rsidR="00324AE3">
        <w:t xml:space="preserve"> of </w:t>
      </w:r>
      <w:r w:rsidR="00D03419">
        <w:t xml:space="preserve">Successful </w:t>
      </w:r>
      <w:r w:rsidR="00324AE3">
        <w:t>Ageing Concepts</w:t>
      </w:r>
      <w:bookmarkEnd w:id="59"/>
      <w:bookmarkEnd w:id="60"/>
    </w:p>
    <w:p w:rsidR="005E64EA" w:rsidRPr="007A15F6" w:rsidRDefault="00413B6A" w:rsidP="005C41B7">
      <w:pPr>
        <w:pStyle w:val="APAPar"/>
      </w:pPr>
      <w:r w:rsidRPr="007A15F6">
        <w:t>After the end of the Second World War, there was a conscious effort</w:t>
      </w:r>
      <w:r w:rsidR="005E64EA" w:rsidRPr="007A15F6">
        <w:t xml:space="preserve"> in the United States of America</w:t>
      </w:r>
      <w:r w:rsidRPr="007A15F6">
        <w:t xml:space="preserve"> ‘to secure the kind of knowledge which may assist ageing persons on such questions as employment, health, civic participation and the issue of leisure time’ (Committee of Human Development, 1947). </w:t>
      </w:r>
      <w:r w:rsidR="005E64EA" w:rsidRPr="007A15F6">
        <w:t xml:space="preserve">Only limited evidence </w:t>
      </w:r>
      <w:r w:rsidR="00682B6D" w:rsidRPr="007A15F6">
        <w:t xml:space="preserve">was available at the time </w:t>
      </w:r>
      <w:r w:rsidR="005E64EA" w:rsidRPr="007A15F6">
        <w:t xml:space="preserve">for the </w:t>
      </w:r>
      <w:r w:rsidR="00A951DE" w:rsidRPr="007A15F6">
        <w:t>ageing process</w:t>
      </w:r>
      <w:r w:rsidR="005E64EA" w:rsidRPr="007A15F6">
        <w:t>, mainly stemming from the</w:t>
      </w:r>
      <w:r w:rsidR="004F1B0F" w:rsidRPr="007A15F6">
        <w:t xml:space="preserve"> psychoanalytic perspective and</w:t>
      </w:r>
      <w:r w:rsidR="005E64EA" w:rsidRPr="007A15F6">
        <w:t xml:space="preserve"> </w:t>
      </w:r>
      <w:r w:rsidR="004F1B0F" w:rsidRPr="007A15F6">
        <w:t xml:space="preserve">the </w:t>
      </w:r>
      <w:r w:rsidR="005E64EA" w:rsidRPr="007A15F6">
        <w:t>work of Erikson (1950) on</w:t>
      </w:r>
      <w:r w:rsidR="004F1B0F" w:rsidRPr="007A15F6">
        <w:t xml:space="preserve"> the</w:t>
      </w:r>
      <w:r w:rsidR="005E64EA" w:rsidRPr="007A15F6">
        <w:t xml:space="preserve"> </w:t>
      </w:r>
      <w:r w:rsidR="005E64EA" w:rsidRPr="007A15F6">
        <w:rPr>
          <w:i/>
        </w:rPr>
        <w:t>stage theory of psychosocial development</w:t>
      </w:r>
      <w:r w:rsidR="005E64EA" w:rsidRPr="007A15F6">
        <w:t>. According to the latter, in each period of life</w:t>
      </w:r>
      <w:r w:rsidR="00A951DE" w:rsidRPr="007A15F6">
        <w:t>,</w:t>
      </w:r>
      <w:r w:rsidR="005E64EA" w:rsidRPr="007A15F6">
        <w:t xml:space="preserve"> certain emotional or motivational conflicts occur, where </w:t>
      </w:r>
      <w:r w:rsidR="0096380F" w:rsidRPr="007A15F6">
        <w:t>a person may</w:t>
      </w:r>
      <w:r w:rsidR="000F3CE2">
        <w:t xml:space="preserve"> (or may not)</w:t>
      </w:r>
      <w:r w:rsidR="00A951DE" w:rsidRPr="007A15F6">
        <w:t xml:space="preserve"> </w:t>
      </w:r>
      <w:r w:rsidR="005E64EA" w:rsidRPr="007A15F6">
        <w:t>resolve effecti</w:t>
      </w:r>
      <w:r w:rsidR="00A951DE" w:rsidRPr="007A15F6">
        <w:t xml:space="preserve">vely.  </w:t>
      </w:r>
      <w:r w:rsidR="00013BD8">
        <w:t>A s</w:t>
      </w:r>
      <w:r w:rsidR="00A951DE" w:rsidRPr="007A15F6">
        <w:t xml:space="preserve">uccessful </w:t>
      </w:r>
      <w:r w:rsidR="00013BD8">
        <w:t xml:space="preserve">psychosocial development </w:t>
      </w:r>
      <w:r w:rsidR="005E64EA" w:rsidRPr="007A15F6">
        <w:t>can be achieved only by resolving effectively the conflict of the specific developmental</w:t>
      </w:r>
      <w:r w:rsidR="004F1B0F" w:rsidRPr="007A15F6">
        <w:t xml:space="preserve"> stage</w:t>
      </w:r>
      <w:r w:rsidR="00A951DE" w:rsidRPr="007A15F6">
        <w:t>,</w:t>
      </w:r>
      <w:r w:rsidR="004F1B0F" w:rsidRPr="007A15F6">
        <w:t xml:space="preserve"> </w:t>
      </w:r>
      <w:r w:rsidR="00802F3E" w:rsidRPr="007A15F6">
        <w:t>giving the necessary psychological maturity</w:t>
      </w:r>
      <w:r w:rsidR="00A951DE" w:rsidRPr="007A15F6">
        <w:t xml:space="preserve"> </w:t>
      </w:r>
      <w:r w:rsidR="00802F3E" w:rsidRPr="007A15F6">
        <w:t xml:space="preserve">to </w:t>
      </w:r>
      <w:r w:rsidR="004F1B0F" w:rsidRPr="007A15F6">
        <w:t>move</w:t>
      </w:r>
      <w:r w:rsidR="00802F3E" w:rsidRPr="007A15F6">
        <w:t xml:space="preserve"> into</w:t>
      </w:r>
      <w:r w:rsidR="004F1B0F" w:rsidRPr="007A15F6">
        <w:t xml:space="preserve"> the next</w:t>
      </w:r>
      <w:r w:rsidR="00A951DE" w:rsidRPr="007A15F6">
        <w:t xml:space="preserve"> </w:t>
      </w:r>
      <w:r w:rsidR="00534609">
        <w:t>one</w:t>
      </w:r>
      <w:r w:rsidR="00802F3E" w:rsidRPr="007A15F6">
        <w:t xml:space="preserve">. </w:t>
      </w:r>
    </w:p>
    <w:p w:rsidR="00484E36" w:rsidRDefault="005E64EA" w:rsidP="005C41B7">
      <w:pPr>
        <w:pStyle w:val="APAPar"/>
      </w:pPr>
      <w:r w:rsidRPr="007A15F6">
        <w:lastRenderedPageBreak/>
        <w:t>Erikson’s t</w:t>
      </w:r>
      <w:r w:rsidR="00457562" w:rsidRPr="007A15F6">
        <w:t xml:space="preserve">heory (1950) was </w:t>
      </w:r>
      <w:r w:rsidR="00BD41E2" w:rsidRPr="007A15F6">
        <w:t>hardly</w:t>
      </w:r>
      <w:r w:rsidR="00023F9C">
        <w:t xml:space="preserve"> based o</w:t>
      </w:r>
      <w:r w:rsidR="00534609">
        <w:t>n empirical evidence</w:t>
      </w:r>
      <w:r w:rsidR="00023F9C">
        <w:t xml:space="preserve">, dealing </w:t>
      </w:r>
      <w:r w:rsidR="00802F3E" w:rsidRPr="007A15F6">
        <w:t xml:space="preserve">mainly </w:t>
      </w:r>
      <w:r w:rsidRPr="007A15F6">
        <w:t xml:space="preserve">with older adult’s </w:t>
      </w:r>
      <w:r w:rsidR="00802F3E" w:rsidRPr="007A15F6">
        <w:t>psychological adaptation</w:t>
      </w:r>
      <w:r w:rsidR="004F1B0F" w:rsidRPr="007A15F6">
        <w:t xml:space="preserve"> in the ageing process</w:t>
      </w:r>
      <w:r w:rsidR="00802F3E" w:rsidRPr="007A15F6">
        <w:t xml:space="preserve">. </w:t>
      </w:r>
      <w:r w:rsidR="0096380F" w:rsidRPr="007A15F6">
        <w:t>In other words, i</w:t>
      </w:r>
      <w:r w:rsidR="00802F3E" w:rsidRPr="007A15F6">
        <w:t xml:space="preserve">t gave </w:t>
      </w:r>
      <w:r w:rsidR="0096380F" w:rsidRPr="007A15F6">
        <w:t xml:space="preserve">little </w:t>
      </w:r>
      <w:r w:rsidR="00802F3E" w:rsidRPr="007A15F6">
        <w:t xml:space="preserve">insight </w:t>
      </w:r>
      <w:r w:rsidR="000E20C8" w:rsidRPr="007A15F6">
        <w:t>into</w:t>
      </w:r>
      <w:r w:rsidR="00802F3E" w:rsidRPr="007A15F6">
        <w:t xml:space="preserve"> seniors’ social behaviour </w:t>
      </w:r>
      <w:r w:rsidR="0096380F" w:rsidRPr="007A15F6">
        <w:t xml:space="preserve">and the </w:t>
      </w:r>
      <w:r w:rsidR="00802F3E" w:rsidRPr="007A15F6">
        <w:t>social context</w:t>
      </w:r>
      <w:r w:rsidR="001D25E3">
        <w:t xml:space="preserve">. Using a different approach, </w:t>
      </w:r>
      <w:r w:rsidR="00413B6A" w:rsidRPr="007A15F6">
        <w:t>Cumming and Henry (1961</w:t>
      </w:r>
      <w:r w:rsidR="001D25E3">
        <w:t>) conducted a large-scale study</w:t>
      </w:r>
      <w:r w:rsidR="00413B6A" w:rsidRPr="007A15F6">
        <w:t xml:space="preserve"> by observing a large sample of Kansas City’s residents. The authors </w:t>
      </w:r>
      <w:r w:rsidR="001D25E3">
        <w:t xml:space="preserve">used a sociological perspective and </w:t>
      </w:r>
      <w:r w:rsidR="00413B6A" w:rsidRPr="007A15F6">
        <w:t xml:space="preserve">concluded that old age is marked by a gradual withdrawal from society, presumably as a consequence of retirement and the death of loved ones, which results inevitably to a mass loss of social ties. Social withdrawal with ageing was </w:t>
      </w:r>
      <w:r w:rsidR="00F00B3E">
        <w:t xml:space="preserve">understood </w:t>
      </w:r>
      <w:r w:rsidR="00413B6A" w:rsidRPr="007A15F6">
        <w:t xml:space="preserve">as a </w:t>
      </w:r>
      <w:r w:rsidR="00EF393C">
        <w:t>‘</w:t>
      </w:r>
      <w:r w:rsidR="00413B6A" w:rsidRPr="007A15F6">
        <w:t>natural</w:t>
      </w:r>
      <w:r w:rsidR="00EF393C">
        <w:t>’</w:t>
      </w:r>
      <w:r w:rsidR="00413B6A" w:rsidRPr="007A15F6">
        <w:t xml:space="preserve"> process, </w:t>
      </w:r>
      <w:r w:rsidR="007D777F">
        <w:t>since</w:t>
      </w:r>
      <w:r w:rsidR="00413B6A" w:rsidRPr="007A15F6">
        <w:t xml:space="preserve"> realizing one’s mortality leads to lose any m</w:t>
      </w:r>
      <w:r w:rsidR="007D777F">
        <w:t>otivation for personal welfare</w:t>
      </w:r>
      <w:r w:rsidR="00F00B3E">
        <w:t>,</w:t>
      </w:r>
      <w:r w:rsidR="007D777F">
        <w:t xml:space="preserve"> </w:t>
      </w:r>
      <w:r w:rsidR="00413B6A" w:rsidRPr="007A15F6">
        <w:t>prepar</w:t>
      </w:r>
      <w:r w:rsidR="00F00B3E">
        <w:t>ing</w:t>
      </w:r>
      <w:r w:rsidR="00413B6A" w:rsidRPr="007A15F6">
        <w:t xml:space="preserve"> for one’s own death. </w:t>
      </w:r>
      <w:r w:rsidR="00802F3E" w:rsidRPr="007A15F6">
        <w:t xml:space="preserve"> </w:t>
      </w:r>
      <w:r w:rsidR="00413B6A" w:rsidRPr="007A15F6">
        <w:t xml:space="preserve">The conclusions of Cumming and Henry (1961) were summed </w:t>
      </w:r>
      <w:r w:rsidR="000E20C8" w:rsidRPr="007A15F6">
        <w:t xml:space="preserve">up </w:t>
      </w:r>
      <w:r w:rsidR="00413B6A" w:rsidRPr="007A15F6">
        <w:t xml:space="preserve">in the </w:t>
      </w:r>
      <w:r w:rsidR="00413B6A" w:rsidRPr="007A15F6">
        <w:rPr>
          <w:i/>
        </w:rPr>
        <w:t>disengagement theory</w:t>
      </w:r>
      <w:r w:rsidR="00B61071">
        <w:t xml:space="preserve">. </w:t>
      </w:r>
    </w:p>
    <w:p w:rsidR="00DF03D3" w:rsidRPr="007A15F6" w:rsidRDefault="00B61071" w:rsidP="005C41B7">
      <w:pPr>
        <w:pStyle w:val="APAPar"/>
      </w:pPr>
      <w:r>
        <w:t xml:space="preserve">Since </w:t>
      </w:r>
      <w:r w:rsidR="00E565A9">
        <w:t>its</w:t>
      </w:r>
      <w:r>
        <w:t xml:space="preserve"> publication</w:t>
      </w:r>
      <w:r w:rsidR="00E565A9">
        <w:t>, the</w:t>
      </w:r>
      <w:r>
        <w:t xml:space="preserve"> disengagement theory has been criticized </w:t>
      </w:r>
      <w:r w:rsidR="00413B6A" w:rsidRPr="007A15F6">
        <w:t>vigorously</w:t>
      </w:r>
      <w:r w:rsidR="00F00B3E">
        <w:t>. At the same time</w:t>
      </w:r>
      <w:r w:rsidR="004F71E0">
        <w:t xml:space="preserve"> </w:t>
      </w:r>
      <w:r w:rsidR="00F00B3E">
        <w:t>however,</w:t>
      </w:r>
      <w:r w:rsidR="002601AA">
        <w:t xml:space="preserve"> it</w:t>
      </w:r>
      <w:r w:rsidR="004F71E0">
        <w:t xml:space="preserve"> </w:t>
      </w:r>
      <w:r w:rsidR="0064400C" w:rsidRPr="007A15F6">
        <w:t xml:space="preserve">stimulated </w:t>
      </w:r>
      <w:r w:rsidR="003D401E" w:rsidRPr="007A15F6">
        <w:t xml:space="preserve">many </w:t>
      </w:r>
      <w:r w:rsidR="0064400C" w:rsidRPr="007A15F6">
        <w:t>scholars</w:t>
      </w:r>
      <w:r w:rsidR="003D401E" w:rsidRPr="007A15F6">
        <w:t xml:space="preserve"> to engage</w:t>
      </w:r>
      <w:r w:rsidR="0064400C" w:rsidRPr="007A15F6">
        <w:t xml:space="preserve"> in </w:t>
      </w:r>
      <w:r w:rsidR="00413B6A" w:rsidRPr="007A15F6">
        <w:t xml:space="preserve">empirical research </w:t>
      </w:r>
      <w:r w:rsidR="004F71E0">
        <w:t xml:space="preserve">to </w:t>
      </w:r>
      <w:r w:rsidR="004F1B0F" w:rsidRPr="007A15F6">
        <w:t xml:space="preserve">support </w:t>
      </w:r>
      <w:r w:rsidR="00BE7436" w:rsidRPr="007A15F6">
        <w:t xml:space="preserve">a more positive </w:t>
      </w:r>
      <w:r w:rsidR="00802F3E" w:rsidRPr="007A15F6">
        <w:t>view of</w:t>
      </w:r>
      <w:r w:rsidR="00BE7436" w:rsidRPr="007A15F6">
        <w:t xml:space="preserve"> ageing.</w:t>
      </w:r>
      <w:r w:rsidR="00110B0C" w:rsidRPr="007A15F6">
        <w:t xml:space="preserve"> </w:t>
      </w:r>
      <w:r w:rsidR="00802F3E" w:rsidRPr="007A15F6">
        <w:t>In this vein</w:t>
      </w:r>
      <w:r w:rsidR="00413B6A" w:rsidRPr="007A15F6">
        <w:t xml:space="preserve">, </w:t>
      </w:r>
      <w:r w:rsidR="00BE7436" w:rsidRPr="007A15F6">
        <w:t>Havighurst</w:t>
      </w:r>
      <w:r w:rsidR="00413B6A" w:rsidRPr="007A15F6">
        <w:t xml:space="preserve"> (1963) through </w:t>
      </w:r>
      <w:r w:rsidR="00413B6A" w:rsidRPr="007A15F6">
        <w:rPr>
          <w:i/>
        </w:rPr>
        <w:t>activity theory</w:t>
      </w:r>
      <w:r w:rsidR="00BE7436" w:rsidRPr="007A15F6">
        <w:t>, and Atchley</w:t>
      </w:r>
      <w:r w:rsidR="00413B6A" w:rsidRPr="007A15F6">
        <w:t xml:space="preserve"> (1971) through </w:t>
      </w:r>
      <w:r w:rsidR="00413B6A" w:rsidRPr="007A15F6">
        <w:rPr>
          <w:i/>
        </w:rPr>
        <w:t>continuity theor</w:t>
      </w:r>
      <w:r w:rsidR="00802F3E" w:rsidRPr="007A15F6">
        <w:rPr>
          <w:i/>
        </w:rPr>
        <w:t>y,</w:t>
      </w:r>
      <w:r w:rsidR="00413B6A" w:rsidRPr="007A15F6">
        <w:t xml:space="preserve"> argued that</w:t>
      </w:r>
      <w:r w:rsidR="001721C7" w:rsidRPr="007A15F6">
        <w:t xml:space="preserve"> ageing successfully mean</w:t>
      </w:r>
      <w:r w:rsidR="00095737" w:rsidRPr="007A15F6">
        <w:t>s</w:t>
      </w:r>
      <w:r w:rsidR="001721C7" w:rsidRPr="007A15F6">
        <w:t xml:space="preserve"> to maintain</w:t>
      </w:r>
      <w:r w:rsidR="00BE7436" w:rsidRPr="007A15F6">
        <w:t xml:space="preserve"> middle-age activities </w:t>
      </w:r>
      <w:r w:rsidR="001721C7" w:rsidRPr="007A15F6">
        <w:t xml:space="preserve">and attitudes </w:t>
      </w:r>
      <w:r w:rsidR="00413B6A" w:rsidRPr="007A15F6">
        <w:t>a</w:t>
      </w:r>
      <w:r w:rsidR="00BE7436" w:rsidRPr="007A15F6">
        <w:t>s long as possible in older age</w:t>
      </w:r>
      <w:r w:rsidR="005E64EA" w:rsidRPr="007A15F6">
        <w:t xml:space="preserve">. </w:t>
      </w:r>
      <w:r w:rsidR="00802F3E" w:rsidRPr="007A15F6">
        <w:t>Many commented that this</w:t>
      </w:r>
      <w:r w:rsidR="005E64EA" w:rsidRPr="007A15F6">
        <w:t xml:space="preserve"> </w:t>
      </w:r>
      <w:r w:rsidR="0096380F" w:rsidRPr="007A15F6">
        <w:t>might</w:t>
      </w:r>
      <w:r w:rsidR="005E64EA" w:rsidRPr="007A15F6">
        <w:t xml:space="preserve"> be </w:t>
      </w:r>
      <w:r w:rsidR="000917B0" w:rsidRPr="007A15F6">
        <w:t xml:space="preserve">a </w:t>
      </w:r>
      <w:r w:rsidR="005E64EA" w:rsidRPr="007A15F6">
        <w:t>desirable</w:t>
      </w:r>
      <w:r w:rsidR="000917B0" w:rsidRPr="007A15F6">
        <w:t xml:space="preserve"> goal, </w:t>
      </w:r>
      <w:r w:rsidR="00802F3E" w:rsidRPr="007A15F6">
        <w:t>however as an approach</w:t>
      </w:r>
      <w:r w:rsidR="0096380F" w:rsidRPr="007A15F6">
        <w:t>,</w:t>
      </w:r>
      <w:r w:rsidR="00802F3E" w:rsidRPr="007A15F6">
        <w:t xml:space="preserve"> </w:t>
      </w:r>
      <w:r w:rsidR="0096380F" w:rsidRPr="007A15F6">
        <w:t xml:space="preserve">it </w:t>
      </w:r>
      <w:r w:rsidR="005E64EA" w:rsidRPr="007A15F6">
        <w:t>neglect</w:t>
      </w:r>
      <w:r w:rsidR="000917B0" w:rsidRPr="007A15F6">
        <w:t>s</w:t>
      </w:r>
      <w:r w:rsidR="005E64EA" w:rsidRPr="007A15F6">
        <w:t xml:space="preserve"> the biological limitation that </w:t>
      </w:r>
      <w:r w:rsidR="00802F3E" w:rsidRPr="007A15F6">
        <w:t xml:space="preserve">the </w:t>
      </w:r>
      <w:r w:rsidR="005E64EA" w:rsidRPr="007A15F6">
        <w:t xml:space="preserve">ageing </w:t>
      </w:r>
      <w:r w:rsidR="00802F3E" w:rsidRPr="007A15F6">
        <w:t>process brings upon. As a consequence, the activity and the continuity</w:t>
      </w:r>
      <w:r w:rsidR="000917B0" w:rsidRPr="007A15F6">
        <w:t xml:space="preserve"> theories were criticized as </w:t>
      </w:r>
      <w:r w:rsidR="001B3B05" w:rsidRPr="007A15F6">
        <w:t xml:space="preserve">being </w:t>
      </w:r>
      <w:r w:rsidR="000917B0" w:rsidRPr="007A15F6">
        <w:t>to</w:t>
      </w:r>
      <w:r w:rsidR="001B3B05" w:rsidRPr="007A15F6">
        <w:t>o</w:t>
      </w:r>
      <w:r w:rsidR="000917B0" w:rsidRPr="007A15F6">
        <w:t xml:space="preserve"> </w:t>
      </w:r>
      <w:r w:rsidR="005E64EA" w:rsidRPr="007A15F6">
        <w:t>idealistic and unrealistic (Hamilton, 2012).</w:t>
      </w:r>
      <w:r w:rsidR="00145CDA" w:rsidRPr="007A15F6">
        <w:t xml:space="preserve"> Walker (2002, p. 122) commented</w:t>
      </w:r>
      <w:r w:rsidR="00DF03D3" w:rsidRPr="007A15F6">
        <w:t xml:space="preserve">: </w:t>
      </w:r>
    </w:p>
    <w:p w:rsidR="00BB536C" w:rsidRPr="00053476" w:rsidRDefault="00DF03D3" w:rsidP="00546D49">
      <w:pPr>
        <w:pStyle w:val="APAPar"/>
        <w:widowControl w:val="0"/>
        <w:ind w:leftChars="400" w:left="960" w:rightChars="400" w:right="960" w:firstLine="0"/>
        <w:jc w:val="both"/>
        <w:rPr>
          <w:rStyle w:val="Emphasis"/>
        </w:rPr>
      </w:pPr>
      <w:r w:rsidRPr="00053476">
        <w:rPr>
          <w:rStyle w:val="Emphasis"/>
        </w:rPr>
        <w:t xml:space="preserve">… successful ageing was to be achieved by denying </w:t>
      </w:r>
      <w:r w:rsidR="00C65232" w:rsidRPr="00053476">
        <w:rPr>
          <w:rStyle w:val="Emphasis"/>
        </w:rPr>
        <w:t>the onset of old age and replacing</w:t>
      </w:r>
      <w:r w:rsidRPr="00053476">
        <w:rPr>
          <w:rStyle w:val="Emphasis"/>
        </w:rPr>
        <w:t xml:space="preserve"> those relationship, activities and roles of middle age that are lost with new ones in order to maintain activities and job satisfaction … it placed an unrealistic expectation on ageing individuals to maintain </w:t>
      </w:r>
      <w:r w:rsidRPr="00053476">
        <w:rPr>
          <w:rStyle w:val="Emphasis"/>
        </w:rPr>
        <w:lastRenderedPageBreak/>
        <w:t>the levels of activity associated with</w:t>
      </w:r>
      <w:r w:rsidR="00E43E89" w:rsidRPr="00053476">
        <w:rPr>
          <w:rStyle w:val="Emphasis"/>
        </w:rPr>
        <w:t xml:space="preserve"> middle </w:t>
      </w:r>
      <w:r w:rsidR="00C65232" w:rsidRPr="00053476">
        <w:rPr>
          <w:rStyle w:val="Emphasis"/>
        </w:rPr>
        <w:t xml:space="preserve">age </w:t>
      </w:r>
      <w:r w:rsidR="00E43E89" w:rsidRPr="00053476">
        <w:rPr>
          <w:rStyle w:val="Emphasis"/>
        </w:rPr>
        <w:t>through to advanced age</w:t>
      </w:r>
      <w:r w:rsidRPr="00053476">
        <w:rPr>
          <w:rStyle w:val="Emphasis"/>
        </w:rPr>
        <w:t xml:space="preserve">. </w:t>
      </w:r>
      <w:r w:rsidR="00503C2D" w:rsidRPr="00053476">
        <w:rPr>
          <w:rStyle w:val="Emphasis"/>
        </w:rPr>
        <w:t xml:space="preserve"> </w:t>
      </w:r>
    </w:p>
    <w:p w:rsidR="00F61D2A" w:rsidRPr="007A15F6" w:rsidRDefault="00DF03D3" w:rsidP="005C41B7">
      <w:pPr>
        <w:pStyle w:val="APAPar"/>
      </w:pPr>
      <w:r w:rsidRPr="007A15F6">
        <w:t xml:space="preserve">Havighurst (1963) and Atchley (1971) had great difficulties in developing measurable indicators, in order to support their theory. </w:t>
      </w:r>
      <w:r w:rsidR="00AD409C">
        <w:t xml:space="preserve">Reacting to this need, </w:t>
      </w:r>
      <w:r w:rsidR="000B1A01" w:rsidRPr="007A15F6">
        <w:t xml:space="preserve">the Baltimore Longitudinal Study of Ageing (BLSA) was </w:t>
      </w:r>
      <w:r w:rsidR="00C86FF1">
        <w:t xml:space="preserve">set out to </w:t>
      </w:r>
      <w:r w:rsidR="00F44F7C" w:rsidRPr="007A15F6">
        <w:t>examine</w:t>
      </w:r>
      <w:r w:rsidR="000B1A01" w:rsidRPr="007A15F6">
        <w:t xml:space="preserve"> the ageing process </w:t>
      </w:r>
      <w:r w:rsidR="00F32BD5" w:rsidRPr="007A15F6">
        <w:t>from a multidisciplinary perspective</w:t>
      </w:r>
      <w:r w:rsidR="000B1A01" w:rsidRPr="007A15F6">
        <w:t xml:space="preserve">. The basic assumption of the </w:t>
      </w:r>
      <w:r w:rsidR="00BB536C" w:rsidRPr="007A15F6">
        <w:t xml:space="preserve">BLSA </w:t>
      </w:r>
      <w:r w:rsidR="008614A8" w:rsidRPr="007A15F6">
        <w:t xml:space="preserve">scientific group </w:t>
      </w:r>
      <w:r w:rsidR="000B1A01" w:rsidRPr="007A15F6">
        <w:t xml:space="preserve">was </w:t>
      </w:r>
      <w:r w:rsidR="00F32BD5" w:rsidRPr="007A15F6">
        <w:t xml:space="preserve">that </w:t>
      </w:r>
      <w:r w:rsidR="000B1A01" w:rsidRPr="007A15F6">
        <w:t xml:space="preserve">the pure </w:t>
      </w:r>
      <w:r w:rsidR="00F32BD5" w:rsidRPr="007A15F6">
        <w:t>effect of ageing (also referred</w:t>
      </w:r>
      <w:r w:rsidR="008614A8" w:rsidRPr="007A15F6">
        <w:t xml:space="preserve"> to</w:t>
      </w:r>
      <w:r w:rsidR="00F32BD5" w:rsidRPr="007A15F6">
        <w:t xml:space="preserve"> as normal ageing) is</w:t>
      </w:r>
      <w:r w:rsidR="000B1A01" w:rsidRPr="007A15F6">
        <w:t xml:space="preserve"> distinct to the processes that characterize the occurrence of illness and disorders. </w:t>
      </w:r>
      <w:r w:rsidR="00F61D2A" w:rsidRPr="007A15F6">
        <w:t>As it was stated (Shock, 1984, p. 22)</w:t>
      </w:r>
      <w:r w:rsidR="002A087B">
        <w:t>:</w:t>
      </w:r>
    </w:p>
    <w:p w:rsidR="00F61D2A" w:rsidRPr="00053476" w:rsidRDefault="00F61D2A" w:rsidP="00546D49">
      <w:pPr>
        <w:pStyle w:val="APAPar"/>
        <w:widowControl w:val="0"/>
        <w:ind w:leftChars="400" w:left="960" w:rightChars="400" w:right="960" w:firstLine="0"/>
        <w:jc w:val="both"/>
        <w:rPr>
          <w:rStyle w:val="Emphasis"/>
        </w:rPr>
      </w:pPr>
      <w:r w:rsidRPr="00053476">
        <w:rPr>
          <w:rStyle w:val="Emphasis"/>
        </w:rPr>
        <w:t>Although ag</w:t>
      </w:r>
      <w:r w:rsidR="008340D5" w:rsidRPr="00053476">
        <w:rPr>
          <w:rStyle w:val="Emphasis"/>
        </w:rPr>
        <w:t>e</w:t>
      </w:r>
      <w:r w:rsidRPr="00053476">
        <w:rPr>
          <w:rStyle w:val="Emphasis"/>
        </w:rPr>
        <w:t>ing changes proceed at a much slower rate than changes that occur with growth and development, and are often associated with decrements in performance, it cannot be assumed that ag</w:t>
      </w:r>
      <w:r w:rsidR="008340D5" w:rsidRPr="00053476">
        <w:rPr>
          <w:rStyle w:val="Emphasis"/>
        </w:rPr>
        <w:t>e</w:t>
      </w:r>
      <w:r w:rsidRPr="00053476">
        <w:rPr>
          <w:rStyle w:val="Emphasis"/>
        </w:rPr>
        <w:t>ing is always characterized by impairment of function</w:t>
      </w:r>
      <w:r w:rsidR="00F32BD5" w:rsidRPr="00053476">
        <w:rPr>
          <w:rStyle w:val="Emphasis"/>
        </w:rPr>
        <w:t xml:space="preserve"> ... Although the incidence of disease increases with age, ag</w:t>
      </w:r>
      <w:r w:rsidR="008340D5" w:rsidRPr="00053476">
        <w:rPr>
          <w:rStyle w:val="Emphasis"/>
        </w:rPr>
        <w:t>e</w:t>
      </w:r>
      <w:r w:rsidR="00F32BD5" w:rsidRPr="00053476">
        <w:rPr>
          <w:rStyle w:val="Emphasis"/>
        </w:rPr>
        <w:t>ing</w:t>
      </w:r>
      <w:r w:rsidR="004C10B6" w:rsidRPr="00053476">
        <w:rPr>
          <w:rStyle w:val="Emphasis"/>
        </w:rPr>
        <w:t xml:space="preserve"> and disease are not synonymous</w:t>
      </w:r>
    </w:p>
    <w:p w:rsidR="00E16ACF" w:rsidRPr="007A15F6" w:rsidRDefault="000B1A01" w:rsidP="005C41B7">
      <w:pPr>
        <w:pStyle w:val="APAPar"/>
      </w:pPr>
      <w:r w:rsidRPr="007A15F6">
        <w:t xml:space="preserve">  </w:t>
      </w:r>
      <w:r w:rsidR="008340D5" w:rsidRPr="007A15F6">
        <w:t xml:space="preserve">The scientific group of the BLSA study was based in Duke University, and traced 1000 seemingly healthy individuals for over 23 years (starting from 1957), </w:t>
      </w:r>
      <w:r w:rsidR="003C2C4A">
        <w:t>with</w:t>
      </w:r>
      <w:r w:rsidR="008340D5" w:rsidRPr="007A15F6">
        <w:t xml:space="preserve"> women </w:t>
      </w:r>
      <w:r w:rsidR="003C2C4A">
        <w:t>being</w:t>
      </w:r>
      <w:r w:rsidR="008340D5" w:rsidRPr="007A15F6">
        <w:t xml:space="preserve"> underrepresented in many stages of the study. It</w:t>
      </w:r>
      <w:r w:rsidR="004C10B6" w:rsidRPr="007A15F6">
        <w:t xml:space="preserve"> was</w:t>
      </w:r>
      <w:r w:rsidR="00254E3D">
        <w:t xml:space="preserve"> </w:t>
      </w:r>
      <w:r w:rsidR="004C10B6" w:rsidRPr="007A15F6">
        <w:t xml:space="preserve">the first </w:t>
      </w:r>
      <w:r w:rsidR="008340D5" w:rsidRPr="007A15F6">
        <w:t>large-scale</w:t>
      </w:r>
      <w:r w:rsidR="000917B0" w:rsidRPr="007A15F6">
        <w:t xml:space="preserve"> study that</w:t>
      </w:r>
      <w:r w:rsidR="008614A8" w:rsidRPr="007A15F6">
        <w:t xml:space="preserve"> </w:t>
      </w:r>
      <w:r w:rsidR="004C10B6" w:rsidRPr="007A15F6">
        <w:t>examine</w:t>
      </w:r>
      <w:r w:rsidR="000917B0" w:rsidRPr="007A15F6">
        <w:t>d</w:t>
      </w:r>
      <w:r w:rsidR="004C10B6" w:rsidRPr="007A15F6">
        <w:t xml:space="preserve"> empirically the process of cognitive </w:t>
      </w:r>
      <w:r w:rsidR="00AC4A2C" w:rsidRPr="007A15F6">
        <w:t>ageing</w:t>
      </w:r>
      <w:r w:rsidR="00241A42" w:rsidRPr="007A15F6">
        <w:t xml:space="preserve">, </w:t>
      </w:r>
      <w:r w:rsidR="003C2C4A">
        <w:t>examining</w:t>
      </w:r>
      <w:r w:rsidR="00241A42" w:rsidRPr="007A15F6">
        <w:t xml:space="preserve"> psychological, medical and behavioural outcomes</w:t>
      </w:r>
      <w:r w:rsidR="00AC4A2C" w:rsidRPr="007A15F6">
        <w:t>.</w:t>
      </w:r>
      <w:r w:rsidR="008614A8" w:rsidRPr="007A15F6">
        <w:t xml:space="preserve"> </w:t>
      </w:r>
      <w:r w:rsidR="008340D5" w:rsidRPr="007A15F6">
        <w:t>More precisely</w:t>
      </w:r>
      <w:r w:rsidR="008D737E" w:rsidRPr="007A15F6">
        <w:t xml:space="preserve">, </w:t>
      </w:r>
      <w:r w:rsidR="00A90836">
        <w:t xml:space="preserve">it measured changes in </w:t>
      </w:r>
      <w:r w:rsidR="008D737E" w:rsidRPr="007A15F6">
        <w:t xml:space="preserve">human physiology (e.g., </w:t>
      </w:r>
      <w:r w:rsidR="0073041A" w:rsidRPr="007A15F6">
        <w:t xml:space="preserve">body </w:t>
      </w:r>
      <w:r w:rsidR="00BB536C" w:rsidRPr="007A15F6">
        <w:t xml:space="preserve">fat </w:t>
      </w:r>
      <w:r w:rsidR="00241A42" w:rsidRPr="007A15F6">
        <w:t>composition</w:t>
      </w:r>
      <w:r w:rsidR="0073041A" w:rsidRPr="007A15F6">
        <w:t xml:space="preserve">, drug metabolism, pulmonary </w:t>
      </w:r>
      <w:r w:rsidR="00BB536C" w:rsidRPr="007A15F6">
        <w:t>function</w:t>
      </w:r>
      <w:r w:rsidR="0073041A" w:rsidRPr="007A15F6">
        <w:t xml:space="preserve"> </w:t>
      </w:r>
      <w:r w:rsidR="00241A42" w:rsidRPr="007A15F6">
        <w:t>and cardiovascular</w:t>
      </w:r>
      <w:r w:rsidR="0073041A" w:rsidRPr="007A15F6">
        <w:t xml:space="preserve"> performance), </w:t>
      </w:r>
      <w:r w:rsidR="00BB536C" w:rsidRPr="007A15F6">
        <w:t>psychological dimensions</w:t>
      </w:r>
      <w:r w:rsidR="00260D87" w:rsidRPr="007A15F6">
        <w:t xml:space="preserve"> (e.g., </w:t>
      </w:r>
      <w:r w:rsidR="00BB536C" w:rsidRPr="007A15F6">
        <w:t>intelligence</w:t>
      </w:r>
      <w:r w:rsidR="00260D87" w:rsidRPr="007A15F6">
        <w:t xml:space="preserve"> and</w:t>
      </w:r>
      <w:r w:rsidR="00241A42" w:rsidRPr="007A15F6">
        <w:t xml:space="preserve"> personality</w:t>
      </w:r>
      <w:r w:rsidR="00260D87" w:rsidRPr="007A15F6">
        <w:t>)</w:t>
      </w:r>
      <w:r w:rsidR="00241A42" w:rsidRPr="007A15F6">
        <w:t xml:space="preserve">, </w:t>
      </w:r>
      <w:r w:rsidR="00A90836">
        <w:t xml:space="preserve">and </w:t>
      </w:r>
      <w:r w:rsidR="0073041A" w:rsidRPr="007A15F6">
        <w:t xml:space="preserve">provided evidence for age-related declines in seniors’ </w:t>
      </w:r>
      <w:r w:rsidR="008E7E19">
        <w:t>cognitive p</w:t>
      </w:r>
      <w:r w:rsidR="00241A42" w:rsidRPr="007A15F6">
        <w:t>erformance</w:t>
      </w:r>
      <w:r w:rsidR="008E7E19">
        <w:t xml:space="preserve"> using</w:t>
      </w:r>
      <w:r w:rsidR="00241A42" w:rsidRPr="007A15F6">
        <w:t xml:space="preserve"> </w:t>
      </w:r>
      <w:r w:rsidR="0073041A" w:rsidRPr="007A15F6">
        <w:t xml:space="preserve">neuropsychological measures </w:t>
      </w:r>
      <w:r w:rsidR="008E7E19">
        <w:t>of</w:t>
      </w:r>
      <w:r w:rsidR="0073041A" w:rsidRPr="007A15F6">
        <w:t xml:space="preserve"> reaction time, accuracy,</w:t>
      </w:r>
      <w:r w:rsidR="00241A42" w:rsidRPr="007A15F6">
        <w:t xml:space="preserve"> vigilance, </w:t>
      </w:r>
      <w:r w:rsidR="0073041A" w:rsidRPr="007A15F6">
        <w:t xml:space="preserve">learning, and memory. </w:t>
      </w:r>
    </w:p>
    <w:p w:rsidR="00750DED" w:rsidRDefault="00F44F7C" w:rsidP="005C41B7">
      <w:pPr>
        <w:pStyle w:val="APAPar"/>
      </w:pPr>
      <w:r w:rsidRPr="007A15F6">
        <w:t xml:space="preserve">The BLSA provided invaluable knowledge for the physiological and psychological </w:t>
      </w:r>
      <w:r w:rsidR="00D21FE3" w:rsidRPr="007A15F6">
        <w:t xml:space="preserve">changes </w:t>
      </w:r>
      <w:r w:rsidR="00BB536C" w:rsidRPr="007A15F6">
        <w:t xml:space="preserve">that occur </w:t>
      </w:r>
      <w:r w:rsidR="00D21FE3" w:rsidRPr="007A15F6">
        <w:t>with ageing</w:t>
      </w:r>
      <w:r w:rsidRPr="007A15F6">
        <w:t xml:space="preserve">. However, it provided limited evidence for the </w:t>
      </w:r>
      <w:r w:rsidR="00D21FE3" w:rsidRPr="007A15F6">
        <w:t xml:space="preserve">possible </w:t>
      </w:r>
      <w:r w:rsidRPr="007A15F6">
        <w:t>effect</w:t>
      </w:r>
      <w:r w:rsidR="00D21FE3" w:rsidRPr="007A15F6">
        <w:t>s</w:t>
      </w:r>
      <w:r w:rsidRPr="007A15F6">
        <w:t xml:space="preserve"> </w:t>
      </w:r>
      <w:r w:rsidR="00555580">
        <w:t>that</w:t>
      </w:r>
      <w:r w:rsidR="00555580" w:rsidRPr="007A15F6">
        <w:t xml:space="preserve"> income and education </w:t>
      </w:r>
      <w:r w:rsidR="00555580">
        <w:t xml:space="preserve">might have </w:t>
      </w:r>
      <w:r w:rsidR="00D21FE3" w:rsidRPr="007A15F6">
        <w:t>on</w:t>
      </w:r>
      <w:r w:rsidRPr="007A15F6">
        <w:t xml:space="preserve"> </w:t>
      </w:r>
      <w:r w:rsidR="00BB536C" w:rsidRPr="007A15F6">
        <w:t>those changes</w:t>
      </w:r>
      <w:r w:rsidRPr="007A15F6">
        <w:t xml:space="preserve">. </w:t>
      </w:r>
      <w:r w:rsidR="00555580">
        <w:t>Furthermore,</w:t>
      </w:r>
      <w:r w:rsidRPr="007A15F6">
        <w:t xml:space="preserve"> it did not examine </w:t>
      </w:r>
      <w:r w:rsidR="00E76F50">
        <w:t xml:space="preserve">as </w:t>
      </w:r>
      <w:r w:rsidRPr="007A15F6">
        <w:lastRenderedPageBreak/>
        <w:t xml:space="preserve">thoroughly the evolvement of civic or </w:t>
      </w:r>
      <w:r w:rsidR="00DA3B86">
        <w:t>social participation with age</w:t>
      </w:r>
      <w:r w:rsidR="00D21FE3" w:rsidRPr="007A15F6">
        <w:t>, and how the latter are influenced</w:t>
      </w:r>
      <w:r w:rsidR="00DA3B86">
        <w:t>, or can predict,</w:t>
      </w:r>
      <w:r w:rsidR="00D21FE3" w:rsidRPr="007A15F6">
        <w:t xml:space="preserve"> physical and cognitive </w:t>
      </w:r>
      <w:r w:rsidR="00DA3B86">
        <w:t>health</w:t>
      </w:r>
      <w:r w:rsidRPr="007A15F6">
        <w:t xml:space="preserve">. </w:t>
      </w:r>
      <w:r w:rsidR="00503C2D" w:rsidRPr="007A15F6">
        <w:t xml:space="preserve">Rowe and Kahn </w:t>
      </w:r>
      <w:r w:rsidR="00A47335">
        <w:t>addressed these issues by</w:t>
      </w:r>
      <w:r w:rsidR="00E10D18" w:rsidRPr="007A15F6">
        <w:t xml:space="preserve"> </w:t>
      </w:r>
      <w:r w:rsidR="001427AF">
        <w:t>using</w:t>
      </w:r>
      <w:r w:rsidR="00CC5F1E">
        <w:t xml:space="preserve"> a more holistic conceptualization of </w:t>
      </w:r>
      <w:r w:rsidR="00BE5F85">
        <w:t xml:space="preserve">positive outcomes in older </w:t>
      </w:r>
      <w:r w:rsidR="00A4694A">
        <w:t>age</w:t>
      </w:r>
      <w:r w:rsidR="00A47335">
        <w:t>, and by developing</w:t>
      </w:r>
      <w:r w:rsidR="00BE5F85">
        <w:t xml:space="preserve"> </w:t>
      </w:r>
      <w:r w:rsidR="00E10D18" w:rsidRPr="007A15F6">
        <w:t xml:space="preserve">the </w:t>
      </w:r>
      <w:r w:rsidR="00D21FE3" w:rsidRPr="007A15F6">
        <w:t xml:space="preserve">concept </w:t>
      </w:r>
      <w:r w:rsidR="00E10D18" w:rsidRPr="007A15F6">
        <w:t xml:space="preserve">of </w:t>
      </w:r>
      <w:r w:rsidR="00E10D18" w:rsidRPr="00472314">
        <w:rPr>
          <w:i/>
        </w:rPr>
        <w:t>successful ageing</w:t>
      </w:r>
      <w:r w:rsidR="00E10D18" w:rsidRPr="007A15F6">
        <w:t xml:space="preserve"> (Rowe &amp; Kahn, 198</w:t>
      </w:r>
      <w:r w:rsidR="00DB58D1" w:rsidRPr="007A15F6">
        <w:t>7</w:t>
      </w:r>
      <w:r w:rsidR="00E10D18" w:rsidRPr="007A15F6">
        <w:t xml:space="preserve">). </w:t>
      </w:r>
      <w:r w:rsidR="00BB536C" w:rsidRPr="007A15F6">
        <w:t xml:space="preserve">This concept advocated </w:t>
      </w:r>
      <w:r w:rsidR="00E565A9">
        <w:t>for</w:t>
      </w:r>
      <w:r w:rsidR="00590B30">
        <w:t xml:space="preserve"> </w:t>
      </w:r>
      <w:r w:rsidR="000E1CA2">
        <w:t>three</w:t>
      </w:r>
      <w:r w:rsidR="002A5DF4">
        <w:t xml:space="preserve"> main components</w:t>
      </w:r>
      <w:r w:rsidR="000E1CA2">
        <w:t xml:space="preserve"> </w:t>
      </w:r>
      <w:r w:rsidR="00BE5F85">
        <w:t xml:space="preserve">of positive outcomes </w:t>
      </w:r>
      <w:r w:rsidR="00472314">
        <w:t>in older age</w:t>
      </w:r>
      <w:r w:rsidR="00E565A9">
        <w:t xml:space="preserve">; </w:t>
      </w:r>
      <w:r w:rsidR="00BB536C" w:rsidRPr="007A15F6">
        <w:t xml:space="preserve">i) avoiding disease and disability, ii) engagement with life, and iii) high cognitive and physical function. </w:t>
      </w:r>
      <w:r w:rsidR="00590B30">
        <w:t xml:space="preserve">The authors </w:t>
      </w:r>
      <w:r w:rsidR="00D21FE3" w:rsidRPr="007A15F6">
        <w:t xml:space="preserve">developed a </w:t>
      </w:r>
      <w:r w:rsidR="00BB536C" w:rsidRPr="007A15F6">
        <w:t xml:space="preserve">graphical </w:t>
      </w:r>
      <w:r w:rsidR="00D21FE3" w:rsidRPr="007A15F6">
        <w:t xml:space="preserve">model that included </w:t>
      </w:r>
      <w:r w:rsidR="00BB536C" w:rsidRPr="007A15F6">
        <w:t xml:space="preserve">these </w:t>
      </w:r>
      <w:r w:rsidR="002A5DF4">
        <w:t>components</w:t>
      </w:r>
      <w:r w:rsidR="00503C2D" w:rsidRPr="007A15F6">
        <w:t xml:space="preserve"> </w:t>
      </w:r>
      <w:r w:rsidR="008340D5" w:rsidRPr="007A15F6">
        <w:t>(F</w:t>
      </w:r>
      <w:r w:rsidR="002A087B">
        <w:t>igure 2.5</w:t>
      </w:r>
      <w:r w:rsidR="000D7F09" w:rsidRPr="007A15F6">
        <w:t>)</w:t>
      </w:r>
      <w:r w:rsidR="00590B30">
        <w:t>, arguing</w:t>
      </w:r>
      <w:r w:rsidR="00764FA4" w:rsidRPr="007A15F6">
        <w:t xml:space="preserve"> that the area </w:t>
      </w:r>
      <w:r w:rsidR="00DB58D1" w:rsidRPr="007A15F6">
        <w:t>wher</w:t>
      </w:r>
      <w:r w:rsidR="009D5524" w:rsidRPr="007A15F6">
        <w:t xml:space="preserve">e </w:t>
      </w:r>
      <w:r w:rsidR="002A5DF4">
        <w:t>they</w:t>
      </w:r>
      <w:r w:rsidR="009D5524" w:rsidRPr="007A15F6">
        <w:t xml:space="preserve"> overlap </w:t>
      </w:r>
      <w:r w:rsidR="00876388" w:rsidRPr="007A15F6">
        <w:t xml:space="preserve">depicts </w:t>
      </w:r>
      <w:r w:rsidR="002A087B">
        <w:t>successful ageing.</w:t>
      </w:r>
    </w:p>
    <w:p w:rsidR="002A087B" w:rsidRPr="007A15F6" w:rsidRDefault="002A087B" w:rsidP="005C41B7">
      <w:pPr>
        <w:pStyle w:val="APAPar"/>
      </w:pPr>
    </w:p>
    <w:p w:rsidR="00110B0C" w:rsidRPr="007A15F6" w:rsidRDefault="00C64F1D" w:rsidP="00935FD2">
      <w:pPr>
        <w:pStyle w:val="APAPar"/>
        <w:jc w:val="center"/>
      </w:pPr>
      <w:r w:rsidRPr="007A15F6">
        <w:rPr>
          <w:noProof/>
          <w:lang w:eastAsia="zh-CN"/>
        </w:rPr>
        <w:drawing>
          <wp:inline distT="0" distB="0" distL="0" distR="0">
            <wp:extent cx="2778926" cy="2906744"/>
            <wp:effectExtent l="0" t="0" r="0" b="0"/>
            <wp:docPr id="11" name="Picture 1"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8926" cy="2906744"/>
                    </a:xfrm>
                    <a:prstGeom prst="rect">
                      <a:avLst/>
                    </a:prstGeom>
                    <a:noFill/>
                    <a:ln>
                      <a:noFill/>
                    </a:ln>
                  </pic:spPr>
                </pic:pic>
              </a:graphicData>
            </a:graphic>
          </wp:inline>
        </w:drawing>
      </w:r>
      <w:r w:rsidR="00503C2D" w:rsidRPr="007A15F6">
        <w:t>.</w:t>
      </w:r>
    </w:p>
    <w:p w:rsidR="000D7F09" w:rsidRPr="007A15F6" w:rsidRDefault="00A704E4" w:rsidP="005D6C71">
      <w:pPr>
        <w:pStyle w:val="APAPar"/>
        <w:ind w:firstLine="0"/>
      </w:pPr>
      <w:r w:rsidRPr="002A087B">
        <w:t>Figure</w:t>
      </w:r>
      <w:r w:rsidR="002A087B" w:rsidRPr="002A087B">
        <w:t xml:space="preserve"> 2.</w:t>
      </w:r>
      <w:r w:rsidR="002A087B">
        <w:t>5</w:t>
      </w:r>
      <w:r w:rsidR="000D7F09" w:rsidRPr="007A15F6">
        <w:rPr>
          <w:i/>
        </w:rPr>
        <w:t xml:space="preserve"> </w:t>
      </w:r>
      <w:r w:rsidR="000D7F09" w:rsidRPr="007A15F6">
        <w:t>The model of successful aging by Rowe and Kahn (1997)</w:t>
      </w:r>
    </w:p>
    <w:p w:rsidR="00072AF7" w:rsidRPr="007A15F6" w:rsidRDefault="00072AF7" w:rsidP="00FE028D">
      <w:pPr>
        <w:pStyle w:val="Heading2"/>
      </w:pPr>
      <w:bookmarkStart w:id="61" w:name="_Toc373425937"/>
      <w:bookmarkStart w:id="62" w:name="_Toc521184175"/>
      <w:r w:rsidRPr="007A15F6">
        <w:t>The Success of the Successful Ageing Concept</w:t>
      </w:r>
      <w:r>
        <w:t>s</w:t>
      </w:r>
      <w:bookmarkEnd w:id="61"/>
      <w:bookmarkEnd w:id="62"/>
      <w:r w:rsidRPr="007A15F6">
        <w:t xml:space="preserve"> </w:t>
      </w:r>
    </w:p>
    <w:p w:rsidR="00072AF7" w:rsidRDefault="00072AF7" w:rsidP="005C41B7">
      <w:pPr>
        <w:pStyle w:val="APAPar"/>
      </w:pPr>
      <w:r w:rsidRPr="00E366AD">
        <w:t xml:space="preserve">The concept of </w:t>
      </w:r>
      <w:r w:rsidRPr="00E366AD">
        <w:rPr>
          <w:i/>
        </w:rPr>
        <w:t>successful ageing</w:t>
      </w:r>
      <w:r w:rsidRPr="00E366AD">
        <w:t xml:space="preserve"> evolved in parallel in the fields of psychosocial and biomedical studies (Glass, 2003) and gained a prominent position, </w:t>
      </w:r>
      <w:r w:rsidRPr="00F320B0">
        <w:t xml:space="preserve">as it provided a theoretical framework for the operationalization of successful ageing indicators. As a model however, it </w:t>
      </w:r>
      <w:r w:rsidRPr="00F320B0">
        <w:lastRenderedPageBreak/>
        <w:t>did not provide a suitable context for the examination of positive outcomes in older age, including that of cognitive health.</w:t>
      </w:r>
      <w:r>
        <w:t xml:space="preserve"> </w:t>
      </w:r>
      <w:r w:rsidRPr="00E366AD">
        <w:t xml:space="preserve">The critique for this model lies in that avoiding health issues </w:t>
      </w:r>
      <w:r>
        <w:t>appears as a prerequisite</w:t>
      </w:r>
      <w:r w:rsidRPr="00E366AD">
        <w:t xml:space="preserve"> in the conceptualization of </w:t>
      </w:r>
      <w:r>
        <w:t>positive</w:t>
      </w:r>
      <w:r w:rsidRPr="00E366AD">
        <w:t xml:space="preserve"> outcomes in older age. Health issues are a concern at any age; yet, avoiding them has not been included as a determinant of positive developmental outcomes in any</w:t>
      </w:r>
      <w:r>
        <w:t xml:space="preserve"> other developmental model</w:t>
      </w:r>
      <w:r w:rsidR="00DF0923">
        <w:t xml:space="preserve"> </w:t>
      </w:r>
      <w:r w:rsidRPr="00E366AD">
        <w:t xml:space="preserve">of infancy, adolescents, </w:t>
      </w:r>
      <w:r>
        <w:t>or middle age. The emphasis in health in th</w:t>
      </w:r>
      <w:r w:rsidR="00DF0923">
        <w:t>e successful ageing</w:t>
      </w:r>
      <w:r>
        <w:t xml:space="preserve"> model</w:t>
      </w:r>
      <w:r w:rsidRPr="00E366AD">
        <w:t xml:space="preserve"> may contribute in creating a subtle impression that poor health is a characteristic of older age, or as Shock (1984) stated that </w:t>
      </w:r>
      <w:r w:rsidRPr="00E366AD">
        <w:rPr>
          <w:lang w:val="en-US"/>
        </w:rPr>
        <w:t>ageing and disease are synonymous</w:t>
      </w:r>
      <w:r w:rsidRPr="00E366AD">
        <w:t xml:space="preserve">, despite their </w:t>
      </w:r>
      <w:r>
        <w:t xml:space="preserve">probabilistic nature. </w:t>
      </w:r>
    </w:p>
    <w:p w:rsidR="001F27DD" w:rsidRDefault="00C2721B" w:rsidP="005C41B7">
      <w:pPr>
        <w:pStyle w:val="APAPar"/>
      </w:pPr>
      <w:r>
        <w:t>Relevant studies give</w:t>
      </w:r>
      <w:r w:rsidR="00E621C7">
        <w:t xml:space="preserve"> a provoking illustration of why disability and illness retain a probabilistic nature in older a</w:t>
      </w:r>
      <w:r>
        <w:t xml:space="preserve">ge. </w:t>
      </w:r>
      <w:r w:rsidR="00876388" w:rsidRPr="007A15F6">
        <w:t>Franke</w:t>
      </w:r>
      <w:r w:rsidR="00086DBF" w:rsidRPr="007A15F6">
        <w:t xml:space="preserve"> (1987) reported </w:t>
      </w:r>
      <w:r>
        <w:t xml:space="preserve">that </w:t>
      </w:r>
      <w:r w:rsidR="00086DBF" w:rsidRPr="007A15F6">
        <w:t>25%</w:t>
      </w:r>
      <w:r w:rsidR="00876388" w:rsidRPr="007A15F6">
        <w:t xml:space="preserve"> of </w:t>
      </w:r>
      <w:r w:rsidR="008B0142">
        <w:t xml:space="preserve">centenarians </w:t>
      </w:r>
      <w:r w:rsidR="00086DBF" w:rsidRPr="007A15F6">
        <w:t xml:space="preserve">have a good functionality, Lehr (1991) reported 18% </w:t>
      </w:r>
      <w:r w:rsidR="00876388" w:rsidRPr="007A15F6">
        <w:t xml:space="preserve">of them </w:t>
      </w:r>
      <w:r w:rsidR="00086DBF" w:rsidRPr="007A15F6">
        <w:t xml:space="preserve">to have little physical impairment and to be very active, Gondo and Hirose (2006) </w:t>
      </w:r>
      <w:r w:rsidR="00876388" w:rsidRPr="007A15F6">
        <w:t>reported</w:t>
      </w:r>
      <w:r w:rsidR="00086DBF" w:rsidRPr="007A15F6">
        <w:t xml:space="preserve"> 20% </w:t>
      </w:r>
      <w:r w:rsidR="00876388" w:rsidRPr="007A15F6">
        <w:t xml:space="preserve">of them </w:t>
      </w:r>
      <w:r w:rsidR="00086DBF" w:rsidRPr="007A15F6">
        <w:t xml:space="preserve">as being functionally independent with no sever sensory impairment, </w:t>
      </w:r>
      <w:r w:rsidR="00722FCE" w:rsidRPr="007A15F6">
        <w:t>where</w:t>
      </w:r>
      <w:r w:rsidR="00217CAD">
        <w:t>as</w:t>
      </w:r>
      <w:r w:rsidR="00722FCE" w:rsidRPr="007A15F6">
        <w:t xml:space="preserve"> Arnold et al. (2010) reported 43% </w:t>
      </w:r>
      <w:r w:rsidR="00876388" w:rsidRPr="007A15F6">
        <w:t>of them not having any</w:t>
      </w:r>
      <w:r w:rsidR="00722FCE" w:rsidRPr="007A15F6">
        <w:t xml:space="preserve"> cognitive impairment (as cited in Johnson &amp; Mutchler, 2013). </w:t>
      </w:r>
      <w:r w:rsidR="008079F3" w:rsidRPr="007A15F6">
        <w:t xml:space="preserve"> </w:t>
      </w:r>
      <w:r w:rsidR="003A08DA" w:rsidRPr="007A15F6">
        <w:t>Cho</w:t>
      </w:r>
      <w:r w:rsidR="00B44A3C" w:rsidRPr="007A15F6">
        <w:t xml:space="preserve">, Martin and Poon </w:t>
      </w:r>
      <w:r w:rsidR="00722FCE" w:rsidRPr="007A15F6">
        <w:t xml:space="preserve">(2012) reported that </w:t>
      </w:r>
      <w:r w:rsidR="00B44A3C" w:rsidRPr="007A15F6">
        <w:t xml:space="preserve">48% </w:t>
      </w:r>
      <w:r w:rsidR="00722FCE" w:rsidRPr="007A15F6">
        <w:t xml:space="preserve">of the </w:t>
      </w:r>
      <w:r w:rsidR="00B44A3C" w:rsidRPr="007A15F6">
        <w:t xml:space="preserve">centenarian </w:t>
      </w:r>
      <w:r w:rsidR="00722FCE" w:rsidRPr="007A15F6">
        <w:t>participants in the Georgia Centenarian Study</w:t>
      </w:r>
      <w:r w:rsidR="00B44A3C" w:rsidRPr="007A15F6">
        <w:t>, as well as 62% of the octogenarians,</w:t>
      </w:r>
      <w:r w:rsidR="00722FCE" w:rsidRPr="007A15F6">
        <w:t xml:space="preserve"> could be classified as ‘successful’ if the criteria used were those of perceived health, happiness, and economic status. </w:t>
      </w:r>
      <w:r w:rsidR="00B44A3C" w:rsidRPr="007A15F6">
        <w:t>However, none</w:t>
      </w:r>
      <w:r w:rsidR="00722FCE" w:rsidRPr="007A15F6">
        <w:t xml:space="preserve"> </w:t>
      </w:r>
      <w:r w:rsidR="00B44A3C" w:rsidRPr="007A15F6">
        <w:t xml:space="preserve">of the centenarians and only 15% of the octogenarians </w:t>
      </w:r>
      <w:r w:rsidR="00722FCE" w:rsidRPr="007A15F6">
        <w:t>could be classified as ‘</w:t>
      </w:r>
      <w:r w:rsidR="00B44A3C" w:rsidRPr="007A15F6">
        <w:t>successful agers</w:t>
      </w:r>
      <w:r w:rsidR="00722FCE" w:rsidRPr="007A15F6">
        <w:t xml:space="preserve">’ when the criteria </w:t>
      </w:r>
      <w:r w:rsidR="008B0142">
        <w:t>stemming from</w:t>
      </w:r>
      <w:r w:rsidR="00722FCE" w:rsidRPr="007A15F6">
        <w:t xml:space="preserve"> </w:t>
      </w:r>
      <w:r w:rsidR="00876388" w:rsidRPr="007A15F6">
        <w:t xml:space="preserve">the </w:t>
      </w:r>
      <w:r w:rsidR="00722FCE" w:rsidRPr="007A15F6">
        <w:t xml:space="preserve">successful aging model from Rowe and Kahn (1997) were </w:t>
      </w:r>
      <w:r w:rsidR="00DF45C2">
        <w:t xml:space="preserve">strictly </w:t>
      </w:r>
      <w:r w:rsidR="00722FCE" w:rsidRPr="007A15F6">
        <w:t>applied</w:t>
      </w:r>
      <w:r w:rsidR="00DF45C2">
        <w:t xml:space="preserve"> (e.g., absence of disease)</w:t>
      </w:r>
      <w:r w:rsidR="00722FCE" w:rsidRPr="007A15F6">
        <w:t xml:space="preserve">. </w:t>
      </w:r>
    </w:p>
    <w:p w:rsidR="00F02D21" w:rsidRDefault="00C94D35" w:rsidP="005C41B7">
      <w:pPr>
        <w:pStyle w:val="APAPar"/>
      </w:pPr>
      <w:r>
        <w:t>I</w:t>
      </w:r>
      <w:r w:rsidR="001D0401">
        <w:t>t</w:t>
      </w:r>
      <w:r w:rsidR="008079F3" w:rsidRPr="007A15F6">
        <w:t xml:space="preserve"> may not come </w:t>
      </w:r>
      <w:r w:rsidR="00876388" w:rsidRPr="007A15F6">
        <w:t xml:space="preserve">as a surprise </w:t>
      </w:r>
      <w:r w:rsidR="008079F3" w:rsidRPr="007A15F6">
        <w:t xml:space="preserve">that </w:t>
      </w:r>
      <w:r w:rsidR="00876388" w:rsidRPr="007A15F6">
        <w:t xml:space="preserve">studies </w:t>
      </w:r>
      <w:r w:rsidR="00F02D21">
        <w:t>applying</w:t>
      </w:r>
      <w:r w:rsidR="00551316">
        <w:t xml:space="preserve"> strictly </w:t>
      </w:r>
      <w:r w:rsidR="0095035F" w:rsidRPr="007A15F6">
        <w:t>Rowe and Kahn</w:t>
      </w:r>
      <w:r w:rsidR="00E565A9">
        <w:t>’s</w:t>
      </w:r>
      <w:r w:rsidR="0095035F" w:rsidRPr="007A15F6">
        <w:t xml:space="preserve"> (1997) </w:t>
      </w:r>
      <w:r w:rsidR="00750DED" w:rsidRPr="007A15F6">
        <w:t xml:space="preserve">theoretical </w:t>
      </w:r>
      <w:r w:rsidR="00876388" w:rsidRPr="007A15F6">
        <w:t xml:space="preserve">model as the context </w:t>
      </w:r>
      <w:r w:rsidR="00750DED" w:rsidRPr="007A15F6">
        <w:t xml:space="preserve">for the development of measurable successful ageing </w:t>
      </w:r>
      <w:r w:rsidR="005F12EC" w:rsidRPr="007A15F6">
        <w:t>indicators (Hsu &amp; Jones, 2012; Ng et al., 2011; Wahl et al., 2013 as cited in Johnson &amp; Mutchler, 2013</w:t>
      </w:r>
      <w:r w:rsidR="008079F3" w:rsidRPr="007A15F6">
        <w:t xml:space="preserve">) </w:t>
      </w:r>
      <w:r w:rsidR="005F12EC" w:rsidRPr="007A15F6">
        <w:t xml:space="preserve">were mostly </w:t>
      </w:r>
      <w:r w:rsidR="008079F3" w:rsidRPr="007A15F6">
        <w:t xml:space="preserve">describing </w:t>
      </w:r>
      <w:r w:rsidR="005F12EC" w:rsidRPr="007A15F6">
        <w:t xml:space="preserve">risk ratios of diseases and disability, interpreting the </w:t>
      </w:r>
      <w:r w:rsidR="005F12EC" w:rsidRPr="007A15F6">
        <w:lastRenderedPageBreak/>
        <w:t xml:space="preserve">avoidance of such conditions as success indicators </w:t>
      </w:r>
      <w:r w:rsidR="00876388" w:rsidRPr="007A15F6">
        <w:t>for</w:t>
      </w:r>
      <w:r w:rsidR="005F12EC" w:rsidRPr="007A15F6">
        <w:t xml:space="preserve"> older age. </w:t>
      </w:r>
      <w:r w:rsidR="00217CAD">
        <w:t>This may be because</w:t>
      </w:r>
      <w:r w:rsidR="00F02D21">
        <w:t xml:space="preserve"> the </w:t>
      </w:r>
      <w:r w:rsidR="00F02D21" w:rsidRPr="007A15F6">
        <w:t>use of the word ‘success’ to describe positiv</w:t>
      </w:r>
      <w:r w:rsidR="00F02D21">
        <w:t xml:space="preserve">e outcomes in older age </w:t>
      </w:r>
      <w:r w:rsidR="00217CAD">
        <w:t>puts</w:t>
      </w:r>
      <w:r w:rsidR="00F02D21" w:rsidRPr="007A15F6">
        <w:t xml:space="preserve"> the ‘yardstick of success to life’s final chapter’ (Glass, 20003, p. 382</w:t>
      </w:r>
      <w:r w:rsidR="00F02D21">
        <w:t>) by</w:t>
      </w:r>
      <w:r w:rsidR="00F02D21" w:rsidRPr="007A15F6">
        <w:t xml:space="preserve"> perceiving health in older age as ‘the chimera of younger adults’ health in an older adults’ bod</w:t>
      </w:r>
      <w:r w:rsidR="00F02D21">
        <w:t>y’ (Martin et al., 2015, p. 22)</w:t>
      </w:r>
      <w:r w:rsidR="00F02D21" w:rsidRPr="007A15F6">
        <w:t>.</w:t>
      </w:r>
      <w:r w:rsidR="00217CAD">
        <w:t xml:space="preserve"> </w:t>
      </w:r>
      <w:r w:rsidR="00217CAD" w:rsidRPr="00F320B0">
        <w:t>As such, the successful ageing model cannot be used (and will not be used in this thesis) as the dominant theoretical framework to examine positive outcomes in older age.</w:t>
      </w:r>
      <w:r w:rsidR="00217CAD">
        <w:t xml:space="preserve"> </w:t>
      </w:r>
    </w:p>
    <w:p w:rsidR="00552BF3" w:rsidRDefault="00097DF9" w:rsidP="005C41B7">
      <w:pPr>
        <w:pStyle w:val="APAPar"/>
        <w:rPr>
          <w:lang w:val="en-US"/>
        </w:rPr>
      </w:pPr>
      <w:r>
        <w:t xml:space="preserve">Subsequent </w:t>
      </w:r>
      <w:r w:rsidR="00150998">
        <w:t>concept</w:t>
      </w:r>
      <w:r w:rsidR="00F24EFB">
        <w:t>s</w:t>
      </w:r>
      <w:r w:rsidR="00150998">
        <w:t xml:space="preserve"> developed to describe positive outcomes in older age</w:t>
      </w:r>
      <w:r w:rsidR="00F24EFB">
        <w:t xml:space="preserve"> were not successful </w:t>
      </w:r>
      <w:r w:rsidR="00217CAD">
        <w:t>in overcoming</w:t>
      </w:r>
      <w:r w:rsidR="00F24EFB">
        <w:t xml:space="preserve"> the inherent limitation of the successful ageing concept.</w:t>
      </w:r>
      <w:r w:rsidR="00150998">
        <w:t xml:space="preserve"> </w:t>
      </w:r>
      <w:r w:rsidR="00A97E6A">
        <w:t>A representative example is the</w:t>
      </w:r>
      <w:r w:rsidR="00150998">
        <w:t xml:space="preserve"> </w:t>
      </w:r>
      <w:r w:rsidR="00150998" w:rsidRPr="00150998">
        <w:rPr>
          <w:i/>
        </w:rPr>
        <w:t>healthy ageing</w:t>
      </w:r>
      <w:r w:rsidR="00A97E6A">
        <w:rPr>
          <w:i/>
        </w:rPr>
        <w:t xml:space="preserve"> </w:t>
      </w:r>
      <w:r w:rsidR="00A97E6A">
        <w:t>concept</w:t>
      </w:r>
      <w:r w:rsidR="00150998">
        <w:t xml:space="preserve">. </w:t>
      </w:r>
      <w:r w:rsidR="00B41D45">
        <w:t xml:space="preserve">Peel, Bartlett, </w:t>
      </w:r>
      <w:r w:rsidR="005128C6">
        <w:t>McClure (</w:t>
      </w:r>
      <w:r w:rsidR="00552BF3">
        <w:t xml:space="preserve">2004) reviewed the available literature on this concept, and argued that it served well to </w:t>
      </w:r>
      <w:r w:rsidR="00FD4E01">
        <w:t xml:space="preserve">describe </w:t>
      </w:r>
      <w:r w:rsidR="00EA6DB1" w:rsidRPr="00FD4E01">
        <w:rPr>
          <w:lang w:val="en-US"/>
        </w:rPr>
        <w:t>successful life-course transitions</w:t>
      </w:r>
      <w:r w:rsidR="00EA6DB1">
        <w:rPr>
          <w:lang w:val="en-US"/>
        </w:rPr>
        <w:t xml:space="preserve"> and </w:t>
      </w:r>
      <w:r w:rsidR="00FD4E01">
        <w:t xml:space="preserve">a </w:t>
      </w:r>
      <w:r w:rsidR="00FD4E01" w:rsidRPr="00FD4E01">
        <w:rPr>
          <w:lang w:val="en-US"/>
        </w:rPr>
        <w:t xml:space="preserve">lifelong process </w:t>
      </w:r>
      <w:r w:rsidR="00FD4E01">
        <w:rPr>
          <w:lang w:val="en-US"/>
        </w:rPr>
        <w:t>for optimizing</w:t>
      </w:r>
      <w:r w:rsidR="00EA6DB1">
        <w:rPr>
          <w:lang w:val="en-US"/>
        </w:rPr>
        <w:t xml:space="preserve"> and</w:t>
      </w:r>
      <w:r w:rsidR="00960C33">
        <w:rPr>
          <w:lang w:val="en-US"/>
        </w:rPr>
        <w:t xml:space="preserve"> </w:t>
      </w:r>
      <w:r w:rsidR="00FD4E01" w:rsidRPr="00FD4E01">
        <w:rPr>
          <w:lang w:val="en-US"/>
        </w:rPr>
        <w:t>improving</w:t>
      </w:r>
      <w:r w:rsidR="00EA6DB1">
        <w:rPr>
          <w:lang w:val="en-US"/>
        </w:rPr>
        <w:t xml:space="preserve"> </w:t>
      </w:r>
      <w:r w:rsidR="00FD4E01" w:rsidRPr="00FD4E01">
        <w:rPr>
          <w:lang w:val="en-US"/>
        </w:rPr>
        <w:t>physical,</w:t>
      </w:r>
      <w:r w:rsidR="00960C33">
        <w:rPr>
          <w:lang w:val="en-US"/>
        </w:rPr>
        <w:t xml:space="preserve"> social </w:t>
      </w:r>
      <w:r w:rsidR="00B272C1">
        <w:rPr>
          <w:lang w:val="en-US"/>
        </w:rPr>
        <w:t>and mental health in older age</w:t>
      </w:r>
      <w:r w:rsidR="00EA6DB1">
        <w:rPr>
          <w:lang w:val="en-US"/>
        </w:rPr>
        <w:t xml:space="preserve">. </w:t>
      </w:r>
      <w:r w:rsidR="003F25B8">
        <w:rPr>
          <w:lang w:val="en-US"/>
        </w:rPr>
        <w:t>They also commented that</w:t>
      </w:r>
      <w:r w:rsidR="00E06705">
        <w:rPr>
          <w:lang w:val="en-US"/>
        </w:rPr>
        <w:t xml:space="preserve"> although the</w:t>
      </w:r>
      <w:r w:rsidR="003F25B8">
        <w:rPr>
          <w:lang w:val="en-US"/>
        </w:rPr>
        <w:t xml:space="preserve"> healthy ageing </w:t>
      </w:r>
      <w:r w:rsidR="00E06705">
        <w:rPr>
          <w:lang w:val="en-US"/>
        </w:rPr>
        <w:t>concept</w:t>
      </w:r>
      <w:r w:rsidR="003F25B8">
        <w:rPr>
          <w:lang w:val="en-US"/>
        </w:rPr>
        <w:t xml:space="preserve"> helped greatly to frame </w:t>
      </w:r>
      <w:r w:rsidR="006B6D64">
        <w:rPr>
          <w:lang w:val="en-US"/>
        </w:rPr>
        <w:t>policy-making</w:t>
      </w:r>
      <w:r w:rsidR="003F25B8">
        <w:rPr>
          <w:lang w:val="en-US"/>
        </w:rPr>
        <w:t xml:space="preserve"> goals and strategies</w:t>
      </w:r>
      <w:r w:rsidR="006B6D64">
        <w:rPr>
          <w:lang w:val="en-US"/>
        </w:rPr>
        <w:t xml:space="preserve">, it failed to provide </w:t>
      </w:r>
      <w:r w:rsidR="0072119B">
        <w:rPr>
          <w:lang w:val="en-US"/>
        </w:rPr>
        <w:t xml:space="preserve">rigid </w:t>
      </w:r>
      <w:r w:rsidR="006B6D64">
        <w:rPr>
          <w:lang w:val="en-US"/>
        </w:rPr>
        <w:t xml:space="preserve">measurable indicators to validate such processes or outcomes empirically. </w:t>
      </w:r>
      <w:r w:rsidR="0072119B">
        <w:rPr>
          <w:lang w:val="en-US"/>
        </w:rPr>
        <w:t>According to their review</w:t>
      </w:r>
      <w:r w:rsidR="00E06705">
        <w:rPr>
          <w:lang w:val="en-US"/>
        </w:rPr>
        <w:t>, it was argued that</w:t>
      </w:r>
      <w:r w:rsidR="00217CAD">
        <w:rPr>
          <w:lang w:val="en-US"/>
        </w:rPr>
        <w:t>:</w:t>
      </w:r>
    </w:p>
    <w:p w:rsidR="00EB30D5" w:rsidRPr="00053476" w:rsidRDefault="0072119B" w:rsidP="00546D49">
      <w:pPr>
        <w:pStyle w:val="APAPar"/>
        <w:widowControl w:val="0"/>
        <w:ind w:leftChars="400" w:left="960" w:rightChars="400" w:right="960" w:firstLine="0"/>
        <w:jc w:val="both"/>
        <w:rPr>
          <w:rStyle w:val="Emphasis"/>
        </w:rPr>
      </w:pPr>
      <w:r w:rsidRPr="00053476">
        <w:rPr>
          <w:rStyle w:val="Emphasis"/>
        </w:rPr>
        <w:t>The arbitrary nature of the definition, populations sampled, domains selected and</w:t>
      </w:r>
      <w:r w:rsidR="009E289E" w:rsidRPr="00053476">
        <w:rPr>
          <w:rStyle w:val="Emphasis"/>
        </w:rPr>
        <w:t xml:space="preserve"> </w:t>
      </w:r>
      <w:r w:rsidRPr="00053476">
        <w:rPr>
          <w:rStyle w:val="Emphasis"/>
        </w:rPr>
        <w:t>measures within the domains resulted in considerable variation</w:t>
      </w:r>
      <w:r w:rsidR="009E289E" w:rsidRPr="00053476">
        <w:rPr>
          <w:rStyle w:val="Emphasis"/>
        </w:rPr>
        <w:t xml:space="preserve"> </w:t>
      </w:r>
      <w:r w:rsidRPr="00053476">
        <w:rPr>
          <w:rStyle w:val="Emphasis"/>
        </w:rPr>
        <w:t>between the studies in the proportion of the study population</w:t>
      </w:r>
      <w:r w:rsidR="009E289E" w:rsidRPr="00053476">
        <w:rPr>
          <w:rStyle w:val="Emphasis"/>
        </w:rPr>
        <w:t xml:space="preserve"> </w:t>
      </w:r>
      <w:r w:rsidRPr="00053476">
        <w:rPr>
          <w:rStyle w:val="Emphasis"/>
        </w:rPr>
        <w:t>classified as ‘healthy agein</w:t>
      </w:r>
      <w:r w:rsidR="00217CAD" w:rsidRPr="00053476">
        <w:rPr>
          <w:rStyle w:val="Emphasis"/>
        </w:rPr>
        <w:t>g’, which ranged from 3% to 80% (</w:t>
      </w:r>
      <w:r w:rsidR="00217CAD">
        <w:rPr>
          <w:lang w:val="en-US"/>
        </w:rPr>
        <w:t>Peel et al., 2004, p.115)</w:t>
      </w:r>
    </w:p>
    <w:p w:rsidR="0028450E" w:rsidRPr="00233AC9" w:rsidRDefault="00217CAD" w:rsidP="005D6C71">
      <w:pPr>
        <w:pStyle w:val="APAPar"/>
        <w:widowControl w:val="0"/>
        <w:ind w:rightChars="150" w:right="360" w:firstLine="0"/>
        <w:jc w:val="both"/>
        <w:rPr>
          <w:lang w:val="en-US"/>
        </w:rPr>
      </w:pPr>
      <w:r>
        <w:t>Furthermore,</w:t>
      </w:r>
      <w:r w:rsidR="0028450E">
        <w:t xml:space="preserve"> they </w:t>
      </w:r>
      <w:r w:rsidR="00F1246F">
        <w:t>criticized</w:t>
      </w:r>
      <w:r w:rsidR="001F27DD">
        <w:t xml:space="preserve"> the applicability of the healthy ageing </w:t>
      </w:r>
      <w:r w:rsidR="00F1246F">
        <w:t xml:space="preserve">concept in terms that </w:t>
      </w:r>
      <w:r w:rsidR="00E565A9">
        <w:t xml:space="preserve">it </w:t>
      </w:r>
      <w:r w:rsidR="00F1246F">
        <w:t>may apply for the successful ageing concept as well</w:t>
      </w:r>
      <w:r w:rsidR="00774C83">
        <w:t xml:space="preserve"> </w:t>
      </w:r>
      <w:r w:rsidR="002A087B" w:rsidRPr="00053476">
        <w:rPr>
          <w:rStyle w:val="Emphasis"/>
        </w:rPr>
        <w:t>(</w:t>
      </w:r>
      <w:r w:rsidR="002A087B">
        <w:rPr>
          <w:lang w:val="en-US"/>
        </w:rPr>
        <w:t>Peel et al., 2004, p.115)</w:t>
      </w:r>
      <w:r w:rsidR="00233AC9">
        <w:t>:</w:t>
      </w:r>
    </w:p>
    <w:p w:rsidR="0028450E" w:rsidRPr="00053476" w:rsidRDefault="0028450E" w:rsidP="00546D49">
      <w:pPr>
        <w:pStyle w:val="APAPar"/>
        <w:widowControl w:val="0"/>
        <w:ind w:leftChars="400" w:left="960" w:rightChars="400" w:right="960" w:firstLine="0"/>
        <w:jc w:val="both"/>
        <w:rPr>
          <w:rStyle w:val="Emphasis"/>
        </w:rPr>
      </w:pPr>
      <w:r w:rsidRPr="00053476">
        <w:rPr>
          <w:rStyle w:val="Emphasis"/>
        </w:rPr>
        <w:t>An example of the confusion relating to the concept of healthy</w:t>
      </w:r>
      <w:r w:rsidR="00DE737C" w:rsidRPr="00053476">
        <w:rPr>
          <w:rStyle w:val="Emphasis"/>
        </w:rPr>
        <w:t xml:space="preserve"> </w:t>
      </w:r>
      <w:r w:rsidRPr="00053476">
        <w:rPr>
          <w:rStyle w:val="Emphasis"/>
        </w:rPr>
        <w:t>ageing is that, despite policy documents conceiving healthy ageing</w:t>
      </w:r>
      <w:r w:rsidR="00DE737C" w:rsidRPr="00053476">
        <w:rPr>
          <w:rStyle w:val="Emphasis"/>
        </w:rPr>
        <w:t xml:space="preserve"> </w:t>
      </w:r>
      <w:r w:rsidRPr="00053476">
        <w:rPr>
          <w:rStyle w:val="Emphasis"/>
        </w:rPr>
        <w:t xml:space="preserve">in positive </w:t>
      </w:r>
      <w:r w:rsidRPr="00053476">
        <w:rPr>
          <w:rStyle w:val="Emphasis"/>
        </w:rPr>
        <w:lastRenderedPageBreak/>
        <w:t>terms, empirical research has largely been based</w:t>
      </w:r>
      <w:r w:rsidR="00DE737C" w:rsidRPr="00053476">
        <w:rPr>
          <w:rStyle w:val="Emphasis"/>
        </w:rPr>
        <w:t xml:space="preserve"> </w:t>
      </w:r>
      <w:r w:rsidRPr="00053476">
        <w:rPr>
          <w:rStyle w:val="Emphasis"/>
        </w:rPr>
        <w:t>on negative aspects; mort</w:t>
      </w:r>
      <w:r w:rsidR="00DE737C" w:rsidRPr="00053476">
        <w:rPr>
          <w:rStyle w:val="Emphasis"/>
        </w:rPr>
        <w:t xml:space="preserve">ality, morbidity and disability. </w:t>
      </w:r>
      <w:r w:rsidRPr="00053476">
        <w:rPr>
          <w:rStyle w:val="Emphasis"/>
        </w:rPr>
        <w:t>Many studies of the aged population have examined functional</w:t>
      </w:r>
      <w:r w:rsidR="00DE737C" w:rsidRPr="00053476">
        <w:rPr>
          <w:rStyle w:val="Emphasis"/>
        </w:rPr>
        <w:t xml:space="preserve"> status decline</w:t>
      </w:r>
      <w:r w:rsidRPr="00053476">
        <w:rPr>
          <w:rStyle w:val="Emphasis"/>
        </w:rPr>
        <w:t xml:space="preserve"> or restricted assessment to individual disease</w:t>
      </w:r>
      <w:r w:rsidR="00DE737C" w:rsidRPr="00053476">
        <w:rPr>
          <w:rStyle w:val="Emphasis"/>
        </w:rPr>
        <w:t xml:space="preserve"> </w:t>
      </w:r>
      <w:r w:rsidRPr="00053476">
        <w:rPr>
          <w:rStyle w:val="Emphasis"/>
        </w:rPr>
        <w:t>specific</w:t>
      </w:r>
      <w:r w:rsidR="00DE737C" w:rsidRPr="00053476">
        <w:rPr>
          <w:rStyle w:val="Emphasis"/>
        </w:rPr>
        <w:t xml:space="preserve"> </w:t>
      </w:r>
      <w:r w:rsidRPr="00053476">
        <w:rPr>
          <w:rStyle w:val="Emphasis"/>
        </w:rPr>
        <w:t>outcomes, suc</w:t>
      </w:r>
      <w:r w:rsidR="00DE737C" w:rsidRPr="00053476">
        <w:rPr>
          <w:rStyle w:val="Emphasis"/>
        </w:rPr>
        <w:t>h as dementia</w:t>
      </w:r>
      <w:r w:rsidRPr="00053476">
        <w:rPr>
          <w:rStyle w:val="Emphasis"/>
        </w:rPr>
        <w:t>. Descriptive and evaluative</w:t>
      </w:r>
      <w:r w:rsidR="00DE737C" w:rsidRPr="00053476">
        <w:rPr>
          <w:rStyle w:val="Emphasis"/>
        </w:rPr>
        <w:t xml:space="preserve"> </w:t>
      </w:r>
      <w:r w:rsidRPr="00053476">
        <w:rPr>
          <w:rStyle w:val="Emphasis"/>
        </w:rPr>
        <w:t>research based on such ‘pathology’ models neglects the</w:t>
      </w:r>
      <w:r w:rsidR="00DE737C" w:rsidRPr="00053476">
        <w:rPr>
          <w:rStyle w:val="Emphasis"/>
        </w:rPr>
        <w:t xml:space="preserve"> </w:t>
      </w:r>
      <w:r w:rsidRPr="00053476">
        <w:rPr>
          <w:rStyle w:val="Emphasis"/>
        </w:rPr>
        <w:t>vast heterogeneity in healt</w:t>
      </w:r>
      <w:r w:rsidR="00DE737C" w:rsidRPr="00053476">
        <w:rPr>
          <w:rStyle w:val="Emphasis"/>
        </w:rPr>
        <w:t>h status among older adults</w:t>
      </w:r>
      <w:r w:rsidRPr="00053476">
        <w:rPr>
          <w:rStyle w:val="Emphasis"/>
        </w:rPr>
        <w:t>, and</w:t>
      </w:r>
      <w:r w:rsidR="00DE737C" w:rsidRPr="00053476">
        <w:rPr>
          <w:rStyle w:val="Emphasis"/>
        </w:rPr>
        <w:t xml:space="preserve"> </w:t>
      </w:r>
      <w:r w:rsidRPr="00053476">
        <w:rPr>
          <w:rStyle w:val="Emphasis"/>
        </w:rPr>
        <w:t xml:space="preserve">cannot adequately address </w:t>
      </w:r>
      <w:r w:rsidR="00DE737C" w:rsidRPr="00053476">
        <w:rPr>
          <w:rStyle w:val="Emphasis"/>
        </w:rPr>
        <w:t>the issue of healthy ageing</w:t>
      </w:r>
      <w:r w:rsidR="00217CAD" w:rsidRPr="00053476">
        <w:rPr>
          <w:rStyle w:val="Emphasis"/>
        </w:rPr>
        <w:t xml:space="preserve"> </w:t>
      </w:r>
    </w:p>
    <w:p w:rsidR="00AB67A4" w:rsidRDefault="00E62673" w:rsidP="005C41B7">
      <w:pPr>
        <w:pStyle w:val="APAPar"/>
      </w:pPr>
      <w:r>
        <w:t>O</w:t>
      </w:r>
      <w:r w:rsidR="00F72886">
        <w:t xml:space="preserve">ther </w:t>
      </w:r>
      <w:r w:rsidR="00291987">
        <w:t xml:space="preserve">overlapping concepts </w:t>
      </w:r>
      <w:r w:rsidR="00187742">
        <w:t xml:space="preserve">used interchangeably in the </w:t>
      </w:r>
      <w:r w:rsidR="005B1912">
        <w:t>literature in</w:t>
      </w:r>
      <w:r w:rsidR="00346B5B">
        <w:t xml:space="preserve"> order to describe </w:t>
      </w:r>
      <w:r>
        <w:t>positive outcomes in older age</w:t>
      </w:r>
      <w:r w:rsidR="00A712F4">
        <w:t xml:space="preserve"> </w:t>
      </w:r>
      <w:r w:rsidR="00752B03">
        <w:t xml:space="preserve">where that of </w:t>
      </w:r>
      <w:r w:rsidR="00752B03" w:rsidRPr="00EF2C5B">
        <w:rPr>
          <w:i/>
        </w:rPr>
        <w:t>resilient ageing</w:t>
      </w:r>
      <w:r w:rsidR="00752B03">
        <w:t xml:space="preserve">, and </w:t>
      </w:r>
      <w:r w:rsidR="00752B03" w:rsidRPr="00EF2C5B">
        <w:rPr>
          <w:i/>
        </w:rPr>
        <w:t>ageing well</w:t>
      </w:r>
      <w:r w:rsidR="00752B03">
        <w:t xml:space="preserve"> </w:t>
      </w:r>
      <w:r w:rsidR="005B1912">
        <w:t>(Peel et al., 2004)</w:t>
      </w:r>
      <w:r w:rsidR="00346B5B">
        <w:t>.</w:t>
      </w:r>
      <w:r w:rsidR="000C644D">
        <w:t xml:space="preserve"> Hicks and Conner (2013) argued that resilient ageing is a healthy ageing concept that</w:t>
      </w:r>
      <w:r w:rsidR="00C07DA8">
        <w:t xml:space="preserve"> has a health promotion perspective, focusing in a clearly stated problem (i.e., the health challenges posed by older age)</w:t>
      </w:r>
      <w:r w:rsidR="00417BB7">
        <w:t xml:space="preserve">, along with </w:t>
      </w:r>
      <w:r w:rsidR="00885EA6">
        <w:t xml:space="preserve">the </w:t>
      </w:r>
      <w:r w:rsidR="00417BB7">
        <w:t xml:space="preserve">personal ability to adapt successfully in </w:t>
      </w:r>
      <w:r w:rsidR="00D33EF4">
        <w:t>r</w:t>
      </w:r>
      <w:r w:rsidR="00885EA6">
        <w:t>educing</w:t>
      </w:r>
      <w:r w:rsidR="00D33EF4">
        <w:t xml:space="preserve"> the related health risks. </w:t>
      </w:r>
      <w:r w:rsidR="00752B03">
        <w:t xml:space="preserve"> As a concept, </w:t>
      </w:r>
      <w:r w:rsidR="00097F84">
        <w:t>resilient ageing</w:t>
      </w:r>
      <w:r w:rsidR="00752B03">
        <w:t xml:space="preserve"> seems to put</w:t>
      </w:r>
      <w:r w:rsidR="00DA48E6">
        <w:t xml:space="preserve"> the responsibility of </w:t>
      </w:r>
      <w:r w:rsidR="00097F84">
        <w:t>addressing age</w:t>
      </w:r>
      <w:r w:rsidR="00DA48E6">
        <w:t>-related health challenges</w:t>
      </w:r>
      <w:r w:rsidR="00F0283C">
        <w:t xml:space="preserve"> exclusively on the shoulders of the older, the obvious shortcoming </w:t>
      </w:r>
      <w:r w:rsidR="00C93CA4">
        <w:t>of that being that it</w:t>
      </w:r>
      <w:r w:rsidR="00F0283C">
        <w:t xml:space="preserve"> neglects the social determinants of health (</w:t>
      </w:r>
      <w:r w:rsidR="00C93CA4">
        <w:t>e.g.</w:t>
      </w:r>
      <w:r w:rsidR="00F0283C">
        <w:t xml:space="preserve">, </w:t>
      </w:r>
      <w:r w:rsidR="00B230CD">
        <w:t>availability of</w:t>
      </w:r>
      <w:r w:rsidR="00F0283C">
        <w:t xml:space="preserve"> </w:t>
      </w:r>
      <w:r w:rsidR="00F320B0">
        <w:t>health-related</w:t>
      </w:r>
      <w:r w:rsidR="00B230CD">
        <w:t xml:space="preserve"> </w:t>
      </w:r>
      <w:r w:rsidR="00F0283C">
        <w:t>facilities</w:t>
      </w:r>
      <w:r w:rsidR="00C93CA4">
        <w:t xml:space="preserve">, access </w:t>
      </w:r>
      <w:r w:rsidR="00E565A9">
        <w:t xml:space="preserve">to </w:t>
      </w:r>
      <w:r w:rsidR="00F0283C">
        <w:t>health care</w:t>
      </w:r>
      <w:r w:rsidR="00B230CD">
        <w:t>).</w:t>
      </w:r>
      <w:r w:rsidR="00065CB5">
        <w:t xml:space="preserve"> </w:t>
      </w:r>
      <w:r w:rsidR="00AD2277">
        <w:t>The</w:t>
      </w:r>
      <w:r w:rsidR="00346B5B" w:rsidRPr="00D643F8">
        <w:rPr>
          <w:i/>
        </w:rPr>
        <w:t xml:space="preserve"> ageing well</w:t>
      </w:r>
      <w:r w:rsidR="00346B5B">
        <w:t xml:space="preserve"> concept</w:t>
      </w:r>
      <w:r w:rsidR="00AD2277">
        <w:t xml:space="preserve"> on the other hand</w:t>
      </w:r>
      <w:r w:rsidR="00346B5B">
        <w:t xml:space="preserve"> was developed focusing on the lay perception of positive outcomes in older age</w:t>
      </w:r>
      <w:r w:rsidR="00FB036C">
        <w:t>. In the relevant cross-cultural study</w:t>
      </w:r>
      <w:r w:rsidR="007F0F8C">
        <w:t xml:space="preserve"> </w:t>
      </w:r>
      <w:r w:rsidR="00FB036C">
        <w:t>from Fernandez-Ballesteros et al</w:t>
      </w:r>
      <w:r w:rsidR="00F6561B">
        <w:t>. (2010, p.54), it was concluded that:</w:t>
      </w:r>
    </w:p>
    <w:p w:rsidR="007822C0" w:rsidRPr="00053476" w:rsidRDefault="00AB67A4" w:rsidP="00546D49">
      <w:pPr>
        <w:pStyle w:val="APAPar"/>
        <w:widowControl w:val="0"/>
        <w:ind w:leftChars="400" w:left="960" w:rightChars="400" w:right="960" w:firstLine="0"/>
        <w:jc w:val="both"/>
        <w:rPr>
          <w:rStyle w:val="Emphasis"/>
        </w:rPr>
      </w:pPr>
      <w:r w:rsidRPr="00053476">
        <w:rPr>
          <w:rStyle w:val="Emphasis"/>
        </w:rPr>
        <w:t xml:space="preserve">… </w:t>
      </w:r>
      <w:r w:rsidR="006D3DCE" w:rsidRPr="00053476">
        <w:rPr>
          <w:rStyle w:val="Emphasis"/>
        </w:rPr>
        <w:t xml:space="preserve">a set of key components, such as health, psychological and social components of successful </w:t>
      </w:r>
      <w:r w:rsidRPr="00053476">
        <w:rPr>
          <w:rStyle w:val="Emphasis"/>
        </w:rPr>
        <w:t>a</w:t>
      </w:r>
      <w:r w:rsidR="006D3DCE" w:rsidRPr="00053476">
        <w:rPr>
          <w:rStyle w:val="Emphasis"/>
        </w:rPr>
        <w:t>geing, constitutes a quasi-universal conceptualization in older people</w:t>
      </w:r>
      <w:r w:rsidRPr="00053476">
        <w:rPr>
          <w:rStyle w:val="Emphasis"/>
        </w:rPr>
        <w:t xml:space="preserve"> themselves.</w:t>
      </w:r>
    </w:p>
    <w:p w:rsidR="00522DD5" w:rsidRPr="007A15F6" w:rsidRDefault="00072527" w:rsidP="005C41B7">
      <w:pPr>
        <w:pStyle w:val="APAPar"/>
      </w:pPr>
      <w:r w:rsidRPr="007A15F6">
        <w:t>I</w:t>
      </w:r>
      <w:r w:rsidR="002E5DE1" w:rsidRPr="007A15F6">
        <w:t xml:space="preserve">n this </w:t>
      </w:r>
      <w:r w:rsidR="00F320B0" w:rsidRPr="007A15F6">
        <w:t>thesis,</w:t>
      </w:r>
      <w:r w:rsidRPr="007A15F6">
        <w:t xml:space="preserve"> it is argued</w:t>
      </w:r>
      <w:r w:rsidR="002E5DE1" w:rsidRPr="007A15F6">
        <w:t xml:space="preserve"> </w:t>
      </w:r>
      <w:r w:rsidR="005F12EC" w:rsidRPr="007A15F6">
        <w:t>that</w:t>
      </w:r>
      <w:r w:rsidR="00745C08">
        <w:t xml:space="preserve"> </w:t>
      </w:r>
      <w:r w:rsidR="00745C08">
        <w:rPr>
          <w:lang w:val="en-US"/>
        </w:rPr>
        <w:t xml:space="preserve">being healthy in older age can be only characterized as a success if the meaning of the word ‘success’ transcends its official etymology: ‘a </w:t>
      </w:r>
      <w:r w:rsidR="00745C08" w:rsidRPr="00750DED">
        <w:t>good</w:t>
      </w:r>
      <w:r w:rsidR="00745C08">
        <w:t xml:space="preserve"> result </w:t>
      </w:r>
      <w:r w:rsidR="00745C08">
        <w:lastRenderedPageBreak/>
        <w:t>or a happy outcome’</w:t>
      </w:r>
      <w:r w:rsidR="00745C08">
        <w:rPr>
          <w:lang w:val="en-US"/>
        </w:rPr>
        <w:t xml:space="preserve"> (Douglas Harper, 2016).</w:t>
      </w:r>
      <w:r w:rsidR="005F12EC" w:rsidRPr="007A15F6">
        <w:t xml:space="preserve"> </w:t>
      </w:r>
      <w:r w:rsidR="00522DD5">
        <w:t>It is also argued in this thesis that a</w:t>
      </w:r>
      <w:r w:rsidR="00522DD5" w:rsidRPr="007A15F6">
        <w:t xml:space="preserve"> positive approach to</w:t>
      </w:r>
      <w:r w:rsidR="00522DD5">
        <w:t xml:space="preserve"> </w:t>
      </w:r>
      <w:r w:rsidR="00522DD5" w:rsidRPr="007A15F6">
        <w:t xml:space="preserve">ageing </w:t>
      </w:r>
      <w:r w:rsidR="00522DD5">
        <w:t xml:space="preserve">will allow </w:t>
      </w:r>
      <w:r w:rsidR="00F6561B">
        <w:t xml:space="preserve">us </w:t>
      </w:r>
      <w:r w:rsidR="00522DD5">
        <w:t>to</w:t>
      </w:r>
      <w:r w:rsidR="00522DD5" w:rsidRPr="007A15F6">
        <w:t xml:space="preserve"> examine more thoroughly the healthy spectrum of </w:t>
      </w:r>
      <w:r w:rsidR="00522DD5">
        <w:t>cognitive vitality</w:t>
      </w:r>
      <w:r w:rsidR="00522DD5" w:rsidRPr="007A15F6">
        <w:t xml:space="preserve">, by constraining in the </w:t>
      </w:r>
      <w:r w:rsidR="00522DD5">
        <w:t>relevant</w:t>
      </w:r>
      <w:r w:rsidR="00522DD5" w:rsidRPr="007A15F6">
        <w:t xml:space="preserve"> discourse what Depp and Jeste (2006, p.16) termed as a ‘bias towards studying negative outcomes’. </w:t>
      </w:r>
    </w:p>
    <w:p w:rsidR="00502715" w:rsidRDefault="00745C08" w:rsidP="005C41B7">
      <w:pPr>
        <w:pStyle w:val="APAPar"/>
      </w:pPr>
      <w:r>
        <w:t>Most concepts that aim</w:t>
      </w:r>
      <w:r w:rsidR="00E565A9">
        <w:t xml:space="preserve"> at describing</w:t>
      </w:r>
      <w:r>
        <w:t xml:space="preserve"> positive outcomes</w:t>
      </w:r>
      <w:r w:rsidR="00254CF0">
        <w:t xml:space="preserve"> in older age consider </w:t>
      </w:r>
      <w:r w:rsidR="00490CBF">
        <w:t xml:space="preserve">physical </w:t>
      </w:r>
      <w:r w:rsidR="00490CBF" w:rsidRPr="006D3DCE">
        <w:rPr>
          <w:lang w:val="en-US"/>
        </w:rPr>
        <w:t>h</w:t>
      </w:r>
      <w:r w:rsidR="00490CBF">
        <w:rPr>
          <w:lang w:val="en-US"/>
        </w:rPr>
        <w:t xml:space="preserve">ealth, psychological health and social </w:t>
      </w:r>
      <w:r w:rsidR="00666764" w:rsidRPr="006D3DCE">
        <w:rPr>
          <w:lang w:val="en-US"/>
        </w:rPr>
        <w:t>co</w:t>
      </w:r>
      <w:r w:rsidR="00666764">
        <w:rPr>
          <w:lang w:val="en-US"/>
        </w:rPr>
        <w:t>ntext</w:t>
      </w:r>
      <w:r w:rsidR="00490CBF" w:rsidRPr="007A15F6">
        <w:t xml:space="preserve"> </w:t>
      </w:r>
      <w:r w:rsidR="00254CF0">
        <w:t>as essential components</w:t>
      </w:r>
      <w:r w:rsidR="00CC5B2E">
        <w:t>.</w:t>
      </w:r>
      <w:r w:rsidR="007F5993">
        <w:t xml:space="preserve"> </w:t>
      </w:r>
      <w:r w:rsidR="00CC5B2E">
        <w:t>The</w:t>
      </w:r>
      <w:r w:rsidR="007F5993">
        <w:t xml:space="preserve"> factors </w:t>
      </w:r>
      <w:r w:rsidR="008D66C0">
        <w:t>contributing</w:t>
      </w:r>
      <w:r w:rsidR="007F5993">
        <w:t xml:space="preserve"> to positive outcomes in older age </w:t>
      </w:r>
      <w:r w:rsidR="00CC5B2E">
        <w:t xml:space="preserve">have been described to </w:t>
      </w:r>
      <w:r w:rsidR="007F70AF">
        <w:t>derive</w:t>
      </w:r>
      <w:r w:rsidR="007F5993">
        <w:t xml:space="preserve"> from these three </w:t>
      </w:r>
      <w:r w:rsidR="007F70AF">
        <w:t xml:space="preserve">respective </w:t>
      </w:r>
      <w:r w:rsidR="007F5993">
        <w:t>spheres</w:t>
      </w:r>
      <w:r w:rsidR="00CC5B2E">
        <w:t xml:space="preserve">, namely </w:t>
      </w:r>
      <w:r w:rsidR="007F5993">
        <w:t>the physical</w:t>
      </w:r>
      <w:r w:rsidR="00321F81">
        <w:t>, psychological and social</w:t>
      </w:r>
      <w:r w:rsidR="00CC5B2E">
        <w:t xml:space="preserve"> one</w:t>
      </w:r>
      <w:r w:rsidR="00F6561B">
        <w:t>s</w:t>
      </w:r>
      <w:r w:rsidR="00321F81">
        <w:t xml:space="preserve">. </w:t>
      </w:r>
      <w:r w:rsidR="00502715" w:rsidRPr="007A15F6">
        <w:t xml:space="preserve">The common ground of the aforementioned </w:t>
      </w:r>
      <w:r w:rsidR="004E6815">
        <w:t>concepts</w:t>
      </w:r>
      <w:r w:rsidR="00221F0C">
        <w:t xml:space="preserve"> </w:t>
      </w:r>
      <w:r w:rsidR="00502715" w:rsidRPr="007A15F6">
        <w:t>is that ageing by itself cannot accou</w:t>
      </w:r>
      <w:r w:rsidR="00221F0C">
        <w:t xml:space="preserve">nt as the </w:t>
      </w:r>
      <w:r w:rsidR="00374C0B">
        <w:t>sole factor</w:t>
      </w:r>
      <w:r w:rsidR="004E6815">
        <w:t xml:space="preserve"> </w:t>
      </w:r>
      <w:r w:rsidR="00374C0B">
        <w:t xml:space="preserve">that determines positive outcomes in older age (i.e., the more the age, the less positive outcomes </w:t>
      </w:r>
      <w:r w:rsidR="00AD13AF">
        <w:t>experienced)</w:t>
      </w:r>
      <w:r w:rsidR="00502715" w:rsidRPr="007A15F6">
        <w:t xml:space="preserve">. Rather than that, </w:t>
      </w:r>
      <w:r w:rsidR="00AD13AF">
        <w:t xml:space="preserve">the social environment and health related conditions </w:t>
      </w:r>
      <w:r w:rsidR="00E3582C" w:rsidRPr="007A15F6">
        <w:t>might</w:t>
      </w:r>
      <w:r w:rsidR="00502715" w:rsidRPr="007A15F6">
        <w:t xml:space="preserve"> </w:t>
      </w:r>
      <w:r w:rsidR="00AD13AF">
        <w:t>constitute</w:t>
      </w:r>
      <w:r w:rsidR="00502715" w:rsidRPr="007A15F6">
        <w:t xml:space="preserve"> significant risk factors</w:t>
      </w:r>
      <w:r w:rsidR="00AD13AF">
        <w:t xml:space="preserve"> as well</w:t>
      </w:r>
      <w:r w:rsidR="00221F0C">
        <w:t>, among others</w:t>
      </w:r>
      <w:r w:rsidR="00502715" w:rsidRPr="007A15F6">
        <w:t xml:space="preserve"> for</w:t>
      </w:r>
      <w:r w:rsidR="00221F0C">
        <w:t xml:space="preserve"> the occurrence</w:t>
      </w:r>
      <w:r w:rsidR="00502715" w:rsidRPr="007A15F6">
        <w:t xml:space="preserve"> </w:t>
      </w:r>
      <w:r w:rsidR="00221F0C">
        <w:t xml:space="preserve">of </w:t>
      </w:r>
      <w:r w:rsidR="00502715" w:rsidRPr="007A15F6">
        <w:t>age-related neurological conditions</w:t>
      </w:r>
      <w:r w:rsidR="00F04365">
        <w:t>.</w:t>
      </w:r>
    </w:p>
    <w:p w:rsidR="009E391F" w:rsidRPr="007A15F6" w:rsidRDefault="009E391F" w:rsidP="00FE028D">
      <w:pPr>
        <w:pStyle w:val="Heading2"/>
      </w:pPr>
      <w:bookmarkStart w:id="63" w:name="_Toc373425938"/>
      <w:bookmarkStart w:id="64" w:name="_Toc521184176"/>
      <w:r w:rsidRPr="007A15F6">
        <w:t>Conclusions</w:t>
      </w:r>
      <w:bookmarkEnd w:id="63"/>
      <w:bookmarkEnd w:id="64"/>
    </w:p>
    <w:p w:rsidR="00D901DA" w:rsidRDefault="00FE61B7" w:rsidP="005C41B7">
      <w:pPr>
        <w:pStyle w:val="APAPar"/>
      </w:pPr>
      <w:r w:rsidRPr="007A15F6">
        <w:t>Th</w:t>
      </w:r>
      <w:r w:rsidR="00E525CB" w:rsidRPr="007A15F6">
        <w:t>e</w:t>
      </w:r>
      <w:r w:rsidRPr="007A15F6">
        <w:t xml:space="preserve"> </w:t>
      </w:r>
      <w:r w:rsidR="00B86C47" w:rsidRPr="007A15F6">
        <w:t xml:space="preserve">demographic change in the </w:t>
      </w:r>
      <w:r w:rsidR="004C756E" w:rsidRPr="007A15F6">
        <w:t>ageing population</w:t>
      </w:r>
      <w:r w:rsidR="00E525CB" w:rsidRPr="007A15F6">
        <w:t xml:space="preserve"> </w:t>
      </w:r>
      <w:r w:rsidR="004C756E" w:rsidRPr="007A15F6">
        <w:t xml:space="preserve">has brought certain </w:t>
      </w:r>
      <w:r w:rsidR="00D901DA">
        <w:t xml:space="preserve">official </w:t>
      </w:r>
      <w:r w:rsidR="004C756E" w:rsidRPr="007A15F6">
        <w:t>concerns</w:t>
      </w:r>
      <w:r w:rsidR="00B86C47" w:rsidRPr="007A15F6">
        <w:t>,</w:t>
      </w:r>
      <w:r w:rsidR="00BD4C71" w:rsidRPr="007A15F6">
        <w:t xml:space="preserve"> due to the </w:t>
      </w:r>
      <w:r w:rsidR="00D901DA">
        <w:t>reduction in later life labour market participation, and the</w:t>
      </w:r>
      <w:r w:rsidR="00EF304B">
        <w:t xml:space="preserve"> parallel increase in pension beneficiaries and health care costs</w:t>
      </w:r>
      <w:r w:rsidR="00B86C47" w:rsidRPr="007A15F6">
        <w:t xml:space="preserve"> </w:t>
      </w:r>
      <w:r w:rsidR="00BD4C71" w:rsidRPr="007A15F6">
        <w:t xml:space="preserve">(Bank of America Merrill Lynch, 2014). </w:t>
      </w:r>
      <w:r w:rsidR="00476263">
        <w:t>T</w:t>
      </w:r>
      <w:r w:rsidR="003E6422" w:rsidRPr="007A15F6">
        <w:t xml:space="preserve">he ageing population has been more often than not </w:t>
      </w:r>
      <w:r w:rsidR="00D877D9">
        <w:t>identified</w:t>
      </w:r>
      <w:r w:rsidR="00476263">
        <w:t xml:space="preserve"> as a “burden”,</w:t>
      </w:r>
      <w:r w:rsidR="003E6422" w:rsidRPr="007A15F6">
        <w:t xml:space="preserve"> living out of sight the social contribution of </w:t>
      </w:r>
      <w:r w:rsidR="00B86C47" w:rsidRPr="007A15F6">
        <w:t>older adults</w:t>
      </w:r>
      <w:r w:rsidR="003E6422" w:rsidRPr="007A15F6">
        <w:t xml:space="preserve"> in labour, childcare, volunteering, as well as in long-term care (Walker, 2002). Mobilizing the potential of the ageing population can be jeopardized</w:t>
      </w:r>
      <w:r w:rsidR="00E565A9">
        <w:t xml:space="preserve"> by</w:t>
      </w:r>
      <w:r w:rsidR="003E6422" w:rsidRPr="007A15F6">
        <w:t xml:space="preserve"> </w:t>
      </w:r>
      <w:r w:rsidR="00686C68" w:rsidRPr="007A15F6">
        <w:t xml:space="preserve">the </w:t>
      </w:r>
      <w:r w:rsidR="003E6422" w:rsidRPr="007A15F6">
        <w:t xml:space="preserve">increased prevalence of </w:t>
      </w:r>
      <w:r w:rsidR="001E3728">
        <w:t>infirmity</w:t>
      </w:r>
      <w:r w:rsidR="003E6422" w:rsidRPr="007A15F6">
        <w:t xml:space="preserve"> and </w:t>
      </w:r>
      <w:r w:rsidR="00064091" w:rsidRPr="007A15F6">
        <w:t>disability in older age</w:t>
      </w:r>
      <w:r w:rsidR="003E6422" w:rsidRPr="007A15F6">
        <w:t xml:space="preserve">, </w:t>
      </w:r>
      <w:r w:rsidR="00064091" w:rsidRPr="007A15F6">
        <w:t>a hazard that has stimulated</w:t>
      </w:r>
      <w:r w:rsidR="003E6422" w:rsidRPr="007A15F6">
        <w:t xml:space="preserve"> </w:t>
      </w:r>
      <w:r w:rsidR="00064091" w:rsidRPr="007A15F6">
        <w:t xml:space="preserve">the last 60 years </w:t>
      </w:r>
      <w:r w:rsidR="00686C68" w:rsidRPr="007A15F6">
        <w:t xml:space="preserve">extensive </w:t>
      </w:r>
      <w:r w:rsidR="003E6422" w:rsidRPr="007A15F6">
        <w:t>research</w:t>
      </w:r>
      <w:r w:rsidR="00646102">
        <w:t xml:space="preserve"> </w:t>
      </w:r>
      <w:r w:rsidR="003E6422" w:rsidRPr="007A15F6">
        <w:t xml:space="preserve">(Martin et al., 2015). </w:t>
      </w:r>
      <w:r w:rsidR="004F0D36">
        <w:t>Some</w:t>
      </w:r>
      <w:r w:rsidR="004F0D36" w:rsidRPr="007A15F6">
        <w:t xml:space="preserve"> approaches have been useful </w:t>
      </w:r>
      <w:r w:rsidR="004F0D36">
        <w:t>by adopting</w:t>
      </w:r>
      <w:r w:rsidR="004F0D36" w:rsidRPr="007A15F6">
        <w:t xml:space="preserve"> a life-span perspective and </w:t>
      </w:r>
      <w:r w:rsidR="004F0D36">
        <w:t>by examining positive deve</w:t>
      </w:r>
      <w:r w:rsidR="000036BC">
        <w:t xml:space="preserve">lopmental outcomes in older age. </w:t>
      </w:r>
      <w:r w:rsidR="00064091" w:rsidRPr="007A15F6">
        <w:rPr>
          <w:rFonts w:eastAsia="Times New Roman"/>
        </w:rPr>
        <w:t xml:space="preserve">The model of Rowe and Kahn (1997) has been the </w:t>
      </w:r>
      <w:r w:rsidR="00064091" w:rsidRPr="007A15F6">
        <w:rPr>
          <w:rFonts w:eastAsia="Times New Roman"/>
        </w:rPr>
        <w:lastRenderedPageBreak/>
        <w:t xml:space="preserve">most representative example, setting three criteria of successful ageing: </w:t>
      </w:r>
      <w:r w:rsidR="00064091" w:rsidRPr="007A15F6">
        <w:t>avoiding disease and disability, engagement with life, and high cognitive and physical function.</w:t>
      </w:r>
    </w:p>
    <w:p w:rsidR="00202BE3" w:rsidRPr="004C4D64" w:rsidRDefault="00D901DA" w:rsidP="005C41B7">
      <w:pPr>
        <w:pStyle w:val="APAPar"/>
        <w:rPr>
          <w:rFonts w:eastAsia="Times New Roman"/>
        </w:rPr>
      </w:pPr>
      <w:r w:rsidRPr="00F320B0">
        <w:t>Despites its prominence in science and its ability to set ‘successful’ ageing indicators however, t</w:t>
      </w:r>
      <w:r w:rsidR="00686C68" w:rsidRPr="00F320B0">
        <w:t>he</w:t>
      </w:r>
      <w:r w:rsidR="00686C68" w:rsidRPr="007A15F6">
        <w:t xml:space="preserve"> corresponding efforts have led</w:t>
      </w:r>
      <w:r w:rsidR="008079F3" w:rsidRPr="007A15F6">
        <w:t xml:space="preserve"> mostly </w:t>
      </w:r>
      <w:r w:rsidR="008A4E14" w:rsidRPr="007A15F6">
        <w:t>to</w:t>
      </w:r>
      <w:r w:rsidR="008079F3" w:rsidRPr="007A15F6">
        <w:t xml:space="preserve"> describing risk ratios of diseases and disability, interpreting the avoidance of such conditions as success. This approach constitutes a</w:t>
      </w:r>
      <w:r w:rsidR="00064091" w:rsidRPr="007A15F6">
        <w:t>n</w:t>
      </w:r>
      <w:r w:rsidR="008079F3" w:rsidRPr="007A15F6">
        <w:t xml:space="preserve"> illustration of the pathological landscape of ageing</w:t>
      </w:r>
      <w:r w:rsidR="007463BE">
        <w:t xml:space="preserve"> and not</w:t>
      </w:r>
      <w:r w:rsidR="00752ECB">
        <w:t xml:space="preserve"> </w:t>
      </w:r>
      <w:r w:rsidR="00686C68" w:rsidRPr="007A15F6">
        <w:t>the depiction of positive</w:t>
      </w:r>
      <w:r w:rsidR="00752ECB">
        <w:t xml:space="preserve"> </w:t>
      </w:r>
      <w:r w:rsidR="007463BE">
        <w:t>outcomes in older age</w:t>
      </w:r>
      <w:r w:rsidR="008D1BDA">
        <w:t>.</w:t>
      </w:r>
      <w:r>
        <w:rPr>
          <w:rFonts w:eastAsia="Times New Roman"/>
        </w:rPr>
        <w:t xml:space="preserve"> </w:t>
      </w:r>
      <w:r w:rsidRPr="00F320B0">
        <w:rPr>
          <w:rFonts w:eastAsia="Times New Roman"/>
        </w:rPr>
        <w:t xml:space="preserve">As such, </w:t>
      </w:r>
      <w:r w:rsidRPr="00F320B0">
        <w:t xml:space="preserve">the successful ageing concept </w:t>
      </w:r>
      <w:r w:rsidR="004C4D64" w:rsidRPr="00F320B0">
        <w:t>is</w:t>
      </w:r>
      <w:r w:rsidRPr="00F320B0">
        <w:t xml:space="preserve"> not </w:t>
      </w:r>
      <w:r w:rsidR="004C4D64" w:rsidRPr="00F320B0">
        <w:t xml:space="preserve">considered in this thesis as </w:t>
      </w:r>
      <w:r w:rsidRPr="00F320B0">
        <w:t>a suitable framework to examine positive outcomes in older age</w:t>
      </w:r>
      <w:r w:rsidR="004C4D64" w:rsidRPr="00F320B0">
        <w:t>.</w:t>
      </w:r>
      <w:r>
        <w:t xml:space="preserve"> </w:t>
      </w:r>
      <w:r w:rsidR="00F021F7">
        <w:rPr>
          <w:rFonts w:eastAsia="Times New Roman"/>
        </w:rPr>
        <w:t>T</w:t>
      </w:r>
      <w:r w:rsidR="0063483C" w:rsidRPr="007A15F6">
        <w:rPr>
          <w:rFonts w:eastAsia="Times New Roman"/>
        </w:rPr>
        <w:t xml:space="preserve">his </w:t>
      </w:r>
      <w:r w:rsidR="008A4E14" w:rsidRPr="007A15F6">
        <w:rPr>
          <w:rFonts w:eastAsia="Times New Roman"/>
        </w:rPr>
        <w:t>t</w:t>
      </w:r>
      <w:r w:rsidR="00DD000E" w:rsidRPr="007A15F6">
        <w:rPr>
          <w:rFonts w:eastAsia="Times New Roman"/>
        </w:rPr>
        <w:t>hesis</w:t>
      </w:r>
      <w:r w:rsidR="0099036E">
        <w:rPr>
          <w:rFonts w:eastAsia="Times New Roman"/>
        </w:rPr>
        <w:t xml:space="preserve"> argues that</w:t>
      </w:r>
      <w:r w:rsidR="0063483C" w:rsidRPr="007A15F6">
        <w:rPr>
          <w:rFonts w:eastAsia="Times New Roman"/>
        </w:rPr>
        <w:t xml:space="preserve"> </w:t>
      </w:r>
      <w:r w:rsidR="0099036E">
        <w:t xml:space="preserve">physical </w:t>
      </w:r>
      <w:r w:rsidR="0099036E" w:rsidRPr="006D3DCE">
        <w:rPr>
          <w:lang w:val="en-US"/>
        </w:rPr>
        <w:t>h</w:t>
      </w:r>
      <w:r w:rsidR="0099036E">
        <w:rPr>
          <w:lang w:val="en-US"/>
        </w:rPr>
        <w:t xml:space="preserve">ealth, psychological health and social </w:t>
      </w:r>
      <w:r w:rsidR="007463BE">
        <w:rPr>
          <w:lang w:val="en-US"/>
        </w:rPr>
        <w:t xml:space="preserve">integration </w:t>
      </w:r>
      <w:r w:rsidR="0099036E">
        <w:t>are essential parts in conceptualizing positive outcomes in older age</w:t>
      </w:r>
      <w:r w:rsidR="003A5951">
        <w:rPr>
          <w:rFonts w:eastAsia="Times New Roman"/>
        </w:rPr>
        <w:t xml:space="preserve">, as well as </w:t>
      </w:r>
      <w:r w:rsidR="0063483C" w:rsidRPr="007A15F6">
        <w:rPr>
          <w:rFonts w:eastAsia="Times New Roman"/>
        </w:rPr>
        <w:t>three categories of interdependent factors, where a factor from one category (</w:t>
      </w:r>
      <w:r w:rsidR="00442874">
        <w:rPr>
          <w:rFonts w:eastAsia="Times New Roman"/>
        </w:rPr>
        <w:t>e.g.</w:t>
      </w:r>
      <w:r w:rsidR="0063483C" w:rsidRPr="007A15F6">
        <w:rPr>
          <w:rFonts w:eastAsia="Times New Roman"/>
        </w:rPr>
        <w:t xml:space="preserve">, </w:t>
      </w:r>
      <w:r w:rsidR="00442874">
        <w:t>social participation</w:t>
      </w:r>
      <w:r w:rsidR="0063483C" w:rsidRPr="007A15F6">
        <w:t>)</w:t>
      </w:r>
      <w:r w:rsidR="0063483C" w:rsidRPr="007A15F6">
        <w:rPr>
          <w:rFonts w:eastAsia="Times New Roman"/>
        </w:rPr>
        <w:t xml:space="preserve"> can determine o</w:t>
      </w:r>
      <w:r w:rsidR="00DB6E11">
        <w:rPr>
          <w:rFonts w:eastAsia="Times New Roman"/>
        </w:rPr>
        <w:t>utcomes in other categories</w:t>
      </w:r>
      <w:r w:rsidR="00442874">
        <w:rPr>
          <w:rFonts w:eastAsia="Times New Roman"/>
        </w:rPr>
        <w:t xml:space="preserve"> (i.e., </w:t>
      </w:r>
      <w:r w:rsidR="00E04A8D">
        <w:rPr>
          <w:rFonts w:eastAsia="Times New Roman"/>
        </w:rPr>
        <w:t>cognitive vitality)</w:t>
      </w:r>
      <w:r w:rsidR="00DB6E11">
        <w:rPr>
          <w:rFonts w:eastAsia="Times New Roman"/>
        </w:rPr>
        <w:t xml:space="preserve">. </w:t>
      </w:r>
      <w:r w:rsidR="003A5951">
        <w:rPr>
          <w:rFonts w:eastAsia="Times New Roman"/>
        </w:rPr>
        <w:t>Therefore</w:t>
      </w:r>
      <w:r w:rsidR="00E112D0">
        <w:rPr>
          <w:rFonts w:eastAsia="Times New Roman"/>
        </w:rPr>
        <w:t>, this thesis will a</w:t>
      </w:r>
      <w:r w:rsidR="00E112D0">
        <w:t xml:space="preserve">dopt </w:t>
      </w:r>
      <w:r w:rsidR="00E112D0" w:rsidRPr="007A15F6">
        <w:t xml:space="preserve">the biopsychosocial model of health </w:t>
      </w:r>
      <w:r w:rsidR="00406251">
        <w:t>to</w:t>
      </w:r>
      <w:r w:rsidR="00E112D0" w:rsidRPr="007A15F6">
        <w:t xml:space="preserve"> discuss the effects of certain li</w:t>
      </w:r>
      <w:r w:rsidR="00406251">
        <w:t>festyles</w:t>
      </w:r>
      <w:r w:rsidR="003A5951">
        <w:t xml:space="preserve"> and social conditions</w:t>
      </w:r>
      <w:r w:rsidR="00406251">
        <w:t xml:space="preserve"> on cognitive outcomes</w:t>
      </w:r>
      <w:r w:rsidR="003A5951">
        <w:t xml:space="preserve"> </w:t>
      </w:r>
      <w:r w:rsidR="00646102">
        <w:t xml:space="preserve">and everyday functioning </w:t>
      </w:r>
      <w:r w:rsidR="003A5951">
        <w:t>in older age</w:t>
      </w:r>
      <w:r w:rsidR="00406251">
        <w:t>.</w:t>
      </w:r>
      <w:r w:rsidR="004C4D64">
        <w:rPr>
          <w:rFonts w:eastAsia="Times New Roman"/>
        </w:rPr>
        <w:t xml:space="preserve"> </w:t>
      </w:r>
    </w:p>
    <w:p w:rsidR="00FF053F" w:rsidRDefault="00FF053F" w:rsidP="005C41B7">
      <w:pPr>
        <w:pStyle w:val="APAPar"/>
      </w:pPr>
      <w:r>
        <w:t>This</w:t>
      </w:r>
      <w:r w:rsidRPr="007A15F6">
        <w:t xml:space="preserve"> thesis will </w:t>
      </w:r>
      <w:r>
        <w:t xml:space="preserve">define its target group </w:t>
      </w:r>
      <w:r w:rsidR="008C0A80">
        <w:t>as</w:t>
      </w:r>
      <w:r w:rsidR="00EE531C">
        <w:t xml:space="preserve"> </w:t>
      </w:r>
      <w:r w:rsidRPr="007A15F6">
        <w:t>those older than 50 years</w:t>
      </w:r>
      <w:r>
        <w:t xml:space="preserve"> </w:t>
      </w:r>
      <w:r w:rsidR="004C4D64">
        <w:t>who</w:t>
      </w:r>
      <w:r w:rsidR="001857EB">
        <w:t xml:space="preserve"> are cognitively healthy</w:t>
      </w:r>
      <w:r w:rsidRPr="007A15F6">
        <w:t xml:space="preserve">, noting that this age threshold is </w:t>
      </w:r>
      <w:r>
        <w:t xml:space="preserve">a working definition </w:t>
      </w:r>
      <w:r w:rsidRPr="007A15F6">
        <w:t xml:space="preserve">to facilitate the discussion </w:t>
      </w:r>
      <w:r w:rsidR="0009218B">
        <w:t xml:space="preserve">around older age, without implying </w:t>
      </w:r>
      <w:r w:rsidRPr="007A15F6">
        <w:t>the onset of any kind of age-related decline at this age</w:t>
      </w:r>
      <w:r w:rsidR="001857EB">
        <w:t xml:space="preserve">. </w:t>
      </w:r>
      <w:r w:rsidR="00275E94" w:rsidRPr="00C177E2">
        <w:t>Instead</w:t>
      </w:r>
      <w:r w:rsidR="004C4D64">
        <w:t xml:space="preserve"> of </w:t>
      </w:r>
      <w:r w:rsidR="00646102">
        <w:t xml:space="preserve">adopting </w:t>
      </w:r>
      <w:r w:rsidR="004C4D64">
        <w:t>success as a criterion,</w:t>
      </w:r>
      <w:r w:rsidR="00275E94" w:rsidRPr="00C177E2">
        <w:t xml:space="preserve"> cognitively healthy older adults will be </w:t>
      </w:r>
      <w:r w:rsidR="004C4D64">
        <w:t xml:space="preserve">classified </w:t>
      </w:r>
      <w:r w:rsidR="00646102">
        <w:t xml:space="preserve">as </w:t>
      </w:r>
      <w:r w:rsidR="00275E94" w:rsidRPr="00C177E2">
        <w:t>those who do not have any age-related neurological condition that can challenge their everyday functioning</w:t>
      </w:r>
      <w:r w:rsidR="00275E94">
        <w:t xml:space="preserve">, </w:t>
      </w:r>
      <w:r w:rsidR="00275E94" w:rsidRPr="00C177E2">
        <w:t xml:space="preserve">based on the criteria set by Petersen </w:t>
      </w:r>
      <w:r w:rsidR="00275E94">
        <w:t>(</w:t>
      </w:r>
      <w:r w:rsidR="00275E94" w:rsidRPr="00C177E2">
        <w:t>2004</w:t>
      </w:r>
      <w:r w:rsidR="00275E94">
        <w:t>)</w:t>
      </w:r>
      <w:r w:rsidR="00275E94" w:rsidRPr="00C177E2">
        <w:t xml:space="preserve">, and </w:t>
      </w:r>
      <w:r w:rsidR="00275E94">
        <w:t xml:space="preserve">those set of </w:t>
      </w:r>
      <w:r w:rsidR="00275E94" w:rsidRPr="00C177E2">
        <w:t>th</w:t>
      </w:r>
      <w:r w:rsidR="00275E94">
        <w:t>e Alzheimer’s Association (2017) for the respective diagnoses</w:t>
      </w:r>
      <w:r w:rsidR="00275E94" w:rsidRPr="00C177E2">
        <w:t>.</w:t>
      </w:r>
    </w:p>
    <w:p w:rsidR="008E7B59" w:rsidRDefault="004C4D64" w:rsidP="00546D49">
      <w:pPr>
        <w:pStyle w:val="APAPar"/>
      </w:pPr>
      <w:r>
        <w:t xml:space="preserve">The next Chapter discusses </w:t>
      </w:r>
      <w:r w:rsidR="0009218B" w:rsidRPr="007A15F6">
        <w:t xml:space="preserve">the cognitive ageing process and </w:t>
      </w:r>
      <w:r w:rsidR="00C50FDF">
        <w:t>its correspondence to</w:t>
      </w:r>
      <w:r w:rsidR="0009218B" w:rsidRPr="007A15F6">
        <w:t xml:space="preserve"> functional ability. Then, the discussion focuses in the healt</w:t>
      </w:r>
      <w:r w:rsidR="00FE74D9">
        <w:t xml:space="preserve">hy spectrum of cognitive ageing, approaching </w:t>
      </w:r>
      <w:r w:rsidR="0009218B" w:rsidRPr="007A15F6">
        <w:t xml:space="preserve">critically the volume of empirical evidence that depict the relation between </w:t>
      </w:r>
      <w:r w:rsidR="0009218B" w:rsidRPr="007A15F6">
        <w:lastRenderedPageBreak/>
        <w:t xml:space="preserve">cognitive and functional decline with ageing, the methodology used in this field, as well as the measures developed for this purpose. Finally, </w:t>
      </w:r>
      <w:r w:rsidR="00646102">
        <w:t>the Chapter</w:t>
      </w:r>
      <w:r w:rsidR="0009218B" w:rsidRPr="007A15F6">
        <w:t xml:space="preserve"> evaluates </w:t>
      </w:r>
      <w:r w:rsidR="00B12278">
        <w:t xml:space="preserve">to </w:t>
      </w:r>
      <w:r w:rsidR="0009218B" w:rsidRPr="007A15F6">
        <w:t>what extend the vision of positive gerontology to approach the ageing process in a positive manner has been transfused in the field of cognitive neuropsychology successfully.</w:t>
      </w:r>
    </w:p>
    <w:p w:rsidR="008E7B59" w:rsidRDefault="008E7B59">
      <w:pPr>
        <w:rPr>
          <w:rFonts w:ascii="Times New Roman" w:eastAsia="Calibri" w:hAnsi="Times New Roman" w:cs="Times New Roman"/>
          <w:color w:val="000000"/>
          <w:szCs w:val="20"/>
        </w:rPr>
      </w:pPr>
      <w:r>
        <w:br w:type="page"/>
      </w:r>
    </w:p>
    <w:p w:rsidR="004467F1" w:rsidRPr="00CF7468" w:rsidRDefault="00546D49" w:rsidP="00546D49">
      <w:pPr>
        <w:pStyle w:val="Heading1"/>
        <w:ind w:left="0" w:firstLine="0"/>
      </w:pPr>
      <w:bookmarkStart w:id="65" w:name="_Toc373425939"/>
      <w:bookmarkStart w:id="66" w:name="_Toc521184177"/>
      <w:r w:rsidRPr="00CF7468">
        <w:lastRenderedPageBreak/>
        <w:t xml:space="preserve">CHAPTER </w:t>
      </w:r>
      <w:r w:rsidR="00A829CB">
        <w:t xml:space="preserve"> </w:t>
      </w:r>
      <w:r w:rsidRPr="00CF7468">
        <w:t xml:space="preserve">3 </w:t>
      </w:r>
      <w:r>
        <w:t xml:space="preserve"> </w:t>
      </w:r>
      <w:r w:rsidRPr="00CF7468">
        <w:t>COGNITIVE AND FUNCTIONAL PERFORMANCE IN OLDER AGE</w:t>
      </w:r>
      <w:bookmarkEnd w:id="65"/>
      <w:bookmarkEnd w:id="66"/>
      <w:r w:rsidRPr="00CF7468">
        <w:t xml:space="preserve"> </w:t>
      </w:r>
    </w:p>
    <w:p w:rsidR="00562E86" w:rsidRPr="007A15F6" w:rsidRDefault="00562E86" w:rsidP="00FE028D">
      <w:pPr>
        <w:pStyle w:val="Heading2"/>
      </w:pPr>
      <w:bookmarkStart w:id="67" w:name="_Toc373425940"/>
      <w:bookmarkStart w:id="68" w:name="_Toc521184178"/>
      <w:r w:rsidRPr="007A15F6">
        <w:t>Introduction</w:t>
      </w:r>
      <w:bookmarkEnd w:id="67"/>
      <w:bookmarkEnd w:id="68"/>
    </w:p>
    <w:p w:rsidR="00E729D2" w:rsidRPr="00AB7EE3" w:rsidRDefault="009439CA" w:rsidP="005C41B7">
      <w:pPr>
        <w:pStyle w:val="APAPar"/>
      </w:pPr>
      <w:r w:rsidRPr="00AB7EE3">
        <w:t>This c</w:t>
      </w:r>
      <w:r w:rsidR="00FC36A3" w:rsidRPr="00AB7EE3">
        <w:t xml:space="preserve">hapter </w:t>
      </w:r>
      <w:r w:rsidR="00EE6EB9" w:rsidRPr="00AB7EE3">
        <w:t xml:space="preserve">discusses </w:t>
      </w:r>
      <w:r w:rsidR="00FC36A3" w:rsidRPr="00AB7EE3">
        <w:t>key concepts in the field of cognitive neuropsychology, such as what cognition is,</w:t>
      </w:r>
      <w:r w:rsidR="00F062A9" w:rsidRPr="00AB7EE3">
        <w:t xml:space="preserve"> what everyday functioning is,</w:t>
      </w:r>
      <w:r w:rsidR="00FC36A3" w:rsidRPr="00AB7EE3">
        <w:t xml:space="preserve"> and </w:t>
      </w:r>
      <w:r w:rsidR="0059116D" w:rsidRPr="00AB7EE3">
        <w:t xml:space="preserve">how </w:t>
      </w:r>
      <w:r w:rsidR="00EE6EB9" w:rsidRPr="00AB7EE3">
        <w:t>these constructs</w:t>
      </w:r>
      <w:r w:rsidR="00F062A9" w:rsidRPr="00AB7EE3">
        <w:t xml:space="preserve"> are </w:t>
      </w:r>
      <w:r w:rsidR="0059116D" w:rsidRPr="00AB7EE3">
        <w:t xml:space="preserve">assessed </w:t>
      </w:r>
      <w:r w:rsidR="00E57BC1" w:rsidRPr="00AB7EE3">
        <w:t xml:space="preserve">through </w:t>
      </w:r>
      <w:r w:rsidR="00F062A9" w:rsidRPr="00AB7EE3">
        <w:t>various measures and tests</w:t>
      </w:r>
      <w:r w:rsidR="00FC36A3" w:rsidRPr="00AB7EE3">
        <w:t xml:space="preserve">. </w:t>
      </w:r>
      <w:r w:rsidR="007B7361" w:rsidRPr="00AB7EE3">
        <w:t xml:space="preserve">It gives a brief overview on the inevitability of cognitive decline with ageing, and the theories that </w:t>
      </w:r>
      <w:r w:rsidR="00F727EE" w:rsidRPr="00AB7EE3">
        <w:t xml:space="preserve">have </w:t>
      </w:r>
      <w:r w:rsidR="007B7361" w:rsidRPr="00AB7EE3">
        <w:t xml:space="preserve">attempted to explain the </w:t>
      </w:r>
      <w:r w:rsidR="00F727EE" w:rsidRPr="00AB7EE3">
        <w:t>process of cognitive ageing</w:t>
      </w:r>
      <w:r w:rsidR="007B7361" w:rsidRPr="00AB7EE3">
        <w:t xml:space="preserve">. </w:t>
      </w:r>
      <w:r w:rsidR="00F727EE" w:rsidRPr="00AB7EE3">
        <w:t xml:space="preserve">Then, it describes </w:t>
      </w:r>
      <w:r w:rsidR="00676828" w:rsidRPr="00AB7EE3">
        <w:t xml:space="preserve">the </w:t>
      </w:r>
      <w:r w:rsidR="0088043F" w:rsidRPr="00AB7EE3">
        <w:t>risk ratios for</w:t>
      </w:r>
      <w:r w:rsidR="00F727EE" w:rsidRPr="00AB7EE3">
        <w:t xml:space="preserve"> </w:t>
      </w:r>
      <w:r w:rsidR="00847869" w:rsidRPr="00AB7EE3">
        <w:t>the occurrence of age-related neurological disorders</w:t>
      </w:r>
      <w:r w:rsidR="00F727EE" w:rsidRPr="00AB7EE3">
        <w:t xml:space="preserve"> with ageing</w:t>
      </w:r>
      <w:r w:rsidR="0059116D" w:rsidRPr="00AB7EE3">
        <w:t xml:space="preserve"> </w:t>
      </w:r>
      <w:r w:rsidR="00676828" w:rsidRPr="00AB7EE3">
        <w:t xml:space="preserve">as described in the scientific literature, </w:t>
      </w:r>
      <w:r w:rsidR="0059116D" w:rsidRPr="00AB7EE3">
        <w:t xml:space="preserve">implicating the </w:t>
      </w:r>
      <w:r w:rsidR="0010754E" w:rsidRPr="00AB7EE3">
        <w:t>assessment of everyday functioning</w:t>
      </w:r>
      <w:r w:rsidR="00676828" w:rsidRPr="00AB7EE3">
        <w:t xml:space="preserve"> in </w:t>
      </w:r>
      <w:r w:rsidR="00ED2D3D" w:rsidRPr="00AB7EE3">
        <w:t>the relevant diagnoses</w:t>
      </w:r>
      <w:r w:rsidR="00F727EE" w:rsidRPr="00AB7EE3">
        <w:t xml:space="preserve">. </w:t>
      </w:r>
    </w:p>
    <w:p w:rsidR="00A11181" w:rsidRPr="00AB7EE3" w:rsidRDefault="005F60A0" w:rsidP="005C41B7">
      <w:pPr>
        <w:pStyle w:val="APAPar"/>
      </w:pPr>
      <w:r w:rsidRPr="00AB7EE3">
        <w:t>This c</w:t>
      </w:r>
      <w:r w:rsidR="006A796F" w:rsidRPr="00AB7EE3">
        <w:t xml:space="preserve">hapters aims </w:t>
      </w:r>
      <w:r w:rsidR="00646102">
        <w:t>at</w:t>
      </w:r>
      <w:r w:rsidR="00847869" w:rsidRPr="00AB7EE3">
        <w:t xml:space="preserve"> answer</w:t>
      </w:r>
      <w:r w:rsidR="00646102">
        <w:t>ing</w:t>
      </w:r>
      <w:r w:rsidR="00847869" w:rsidRPr="00AB7EE3">
        <w:t xml:space="preserve"> </w:t>
      </w:r>
      <w:r w:rsidR="00B5181F" w:rsidRPr="00AB7EE3">
        <w:t xml:space="preserve">two </w:t>
      </w:r>
      <w:r w:rsidR="00847869" w:rsidRPr="00AB7EE3">
        <w:t>fundamental questions</w:t>
      </w:r>
      <w:r w:rsidR="0088043F" w:rsidRPr="00AB7EE3">
        <w:t xml:space="preserve">: </w:t>
      </w:r>
      <w:r w:rsidR="00847869" w:rsidRPr="00AB7EE3">
        <w:t xml:space="preserve"> i</w:t>
      </w:r>
      <w:r w:rsidR="009E391F" w:rsidRPr="00AB7EE3">
        <w:t xml:space="preserve">) </w:t>
      </w:r>
      <w:r w:rsidR="00847869" w:rsidRPr="00AB7EE3">
        <w:t xml:space="preserve">what are </w:t>
      </w:r>
      <w:r w:rsidR="009E391F" w:rsidRPr="00AB7EE3">
        <w:t>the factors that influence cognitive</w:t>
      </w:r>
      <w:r w:rsidR="0063441D" w:rsidRPr="00AB7EE3">
        <w:t xml:space="preserve"> and functional </w:t>
      </w:r>
      <w:r w:rsidR="0007756A" w:rsidRPr="00AB7EE3">
        <w:t>performance among cognitively healthy older adults</w:t>
      </w:r>
      <w:r w:rsidR="000E0527" w:rsidRPr="00AB7EE3">
        <w:rPr>
          <w:lang w:val="en-US"/>
        </w:rPr>
        <w:t>, and</w:t>
      </w:r>
      <w:r w:rsidR="009E391F" w:rsidRPr="00AB7EE3">
        <w:t xml:space="preserve"> ii) </w:t>
      </w:r>
      <w:r w:rsidR="00847869" w:rsidRPr="00AB7EE3">
        <w:t xml:space="preserve">what </w:t>
      </w:r>
      <w:r w:rsidR="0063441D" w:rsidRPr="00AB7EE3">
        <w:t>is</w:t>
      </w:r>
      <w:r w:rsidR="00847869" w:rsidRPr="00AB7EE3">
        <w:t xml:space="preserve"> </w:t>
      </w:r>
      <w:r w:rsidR="009E391F" w:rsidRPr="00AB7EE3">
        <w:t xml:space="preserve">the relation between </w:t>
      </w:r>
      <w:r w:rsidR="00F36C73" w:rsidRPr="00AB7EE3">
        <w:t xml:space="preserve">the </w:t>
      </w:r>
      <w:r w:rsidR="009E391F" w:rsidRPr="00AB7EE3">
        <w:t>performance</w:t>
      </w:r>
      <w:r w:rsidR="00F36C73" w:rsidRPr="00AB7EE3">
        <w:t>s</w:t>
      </w:r>
      <w:r w:rsidR="009E391F" w:rsidRPr="00AB7EE3">
        <w:t xml:space="preserve"> in neuropsychological </w:t>
      </w:r>
      <w:r w:rsidR="00847869" w:rsidRPr="00AB7EE3">
        <w:t xml:space="preserve">and </w:t>
      </w:r>
      <w:r w:rsidR="009F6267" w:rsidRPr="00AB7EE3">
        <w:t xml:space="preserve">everyday functioning </w:t>
      </w:r>
      <w:r w:rsidR="0088043F" w:rsidRPr="00AB7EE3">
        <w:t>assessments</w:t>
      </w:r>
      <w:r w:rsidR="006C10DA" w:rsidRPr="00AB7EE3">
        <w:t xml:space="preserve"> </w:t>
      </w:r>
      <w:r w:rsidR="000C60C4">
        <w:rPr>
          <w:lang w:val="en-US"/>
        </w:rPr>
        <w:t>when examining</w:t>
      </w:r>
      <w:r w:rsidR="000C60C4" w:rsidRPr="00AB7EE3">
        <w:t xml:space="preserve"> </w:t>
      </w:r>
      <w:r w:rsidR="006C10DA" w:rsidRPr="00AB7EE3">
        <w:t>cognitively health</w:t>
      </w:r>
      <w:r w:rsidR="00DC155C" w:rsidRPr="00AB7EE3">
        <w:t>y</w:t>
      </w:r>
      <w:r w:rsidR="006C10DA" w:rsidRPr="00AB7EE3">
        <w:t xml:space="preserve"> older adults</w:t>
      </w:r>
      <w:r w:rsidR="00B5181F" w:rsidRPr="00AB7EE3">
        <w:t xml:space="preserve">. </w:t>
      </w:r>
      <w:r w:rsidR="00E05FE3" w:rsidRPr="00AB7EE3">
        <w:t>I</w:t>
      </w:r>
      <w:r w:rsidR="004218BA" w:rsidRPr="00AB7EE3">
        <w:t>t</w:t>
      </w:r>
      <w:r w:rsidR="00E05FE3" w:rsidRPr="00AB7EE3">
        <w:t xml:space="preserve"> </w:t>
      </w:r>
      <w:r w:rsidR="00EE6EB9" w:rsidRPr="00AB7EE3">
        <w:t>discusses</w:t>
      </w:r>
      <w:r w:rsidR="00B5181F" w:rsidRPr="00AB7EE3">
        <w:t xml:space="preserve"> how in the </w:t>
      </w:r>
      <w:r w:rsidR="00125B01" w:rsidRPr="00AB7EE3">
        <w:t>field of cognitive neuropsychology</w:t>
      </w:r>
      <w:r w:rsidR="00E05FE3" w:rsidRPr="00AB7EE3">
        <w:t>, the tendency</w:t>
      </w:r>
      <w:r w:rsidR="00125B01" w:rsidRPr="00AB7EE3">
        <w:t xml:space="preserve"> </w:t>
      </w:r>
      <w:r w:rsidR="00847869" w:rsidRPr="00AB7EE3">
        <w:t>to examine the cognitive</w:t>
      </w:r>
      <w:r w:rsidR="00A97144" w:rsidRPr="00AB7EE3">
        <w:t xml:space="preserve"> and functional</w:t>
      </w:r>
      <w:r w:rsidR="00847869" w:rsidRPr="00AB7EE3">
        <w:t xml:space="preserve"> shortcomings that occur with age</w:t>
      </w:r>
      <w:r w:rsidR="00E05FE3" w:rsidRPr="00AB7EE3">
        <w:t xml:space="preserve"> has left</w:t>
      </w:r>
      <w:r w:rsidR="00847869" w:rsidRPr="00AB7EE3">
        <w:t xml:space="preserve"> the healthy spectrum of cognitive </w:t>
      </w:r>
      <w:r w:rsidR="0063441D" w:rsidRPr="00AB7EE3">
        <w:t xml:space="preserve">and functional </w:t>
      </w:r>
      <w:r w:rsidR="007360E0" w:rsidRPr="00AB7EE3">
        <w:t xml:space="preserve">performance </w:t>
      </w:r>
      <w:r w:rsidR="00A11181" w:rsidRPr="00AB7EE3">
        <w:t>under-</w:t>
      </w:r>
      <w:r w:rsidR="0071452B" w:rsidRPr="00AB7EE3">
        <w:t>examined, projecting the properties of age-related neurological condition in the non-pathological spectrum of cognitive ageing</w:t>
      </w:r>
      <w:r w:rsidR="00A11181" w:rsidRPr="00AB7EE3">
        <w:t xml:space="preserve">. </w:t>
      </w:r>
      <w:r w:rsidR="0063441D" w:rsidRPr="00AB7EE3">
        <w:t xml:space="preserve">This </w:t>
      </w:r>
      <w:r w:rsidR="0071452B" w:rsidRPr="00AB7EE3">
        <w:t xml:space="preserve">gap in the literature </w:t>
      </w:r>
      <w:r w:rsidR="00B5181F" w:rsidRPr="00AB7EE3">
        <w:t>has created the need to examine empirically the factors that influence cog</w:t>
      </w:r>
      <w:r w:rsidR="004502DD" w:rsidRPr="00AB7EE3">
        <w:t>nitive performance</w:t>
      </w:r>
      <w:r w:rsidR="00A11181" w:rsidRPr="00AB7EE3">
        <w:t xml:space="preserve"> and everyday functioning</w:t>
      </w:r>
      <w:r w:rsidR="004502DD" w:rsidRPr="00AB7EE3">
        <w:t xml:space="preserve"> </w:t>
      </w:r>
      <w:r w:rsidR="0071452B" w:rsidRPr="00AB7EE3">
        <w:t xml:space="preserve">directly </w:t>
      </w:r>
      <w:r w:rsidR="00A11181" w:rsidRPr="00AB7EE3">
        <w:t>among cognitively healthy older adults</w:t>
      </w:r>
      <w:r w:rsidR="004502DD" w:rsidRPr="00AB7EE3">
        <w:t>.</w:t>
      </w:r>
      <w:r w:rsidR="00A11181" w:rsidRPr="00AB7EE3">
        <w:t xml:space="preserve"> </w:t>
      </w:r>
    </w:p>
    <w:p w:rsidR="00B5181F" w:rsidRDefault="00FF0763" w:rsidP="005C41B7">
      <w:pPr>
        <w:pStyle w:val="APAPar"/>
      </w:pPr>
      <w:r w:rsidRPr="00AB7EE3">
        <w:t xml:space="preserve">This discussion was </w:t>
      </w:r>
      <w:r w:rsidR="000E0527" w:rsidRPr="00AB7EE3">
        <w:t>developed by</w:t>
      </w:r>
      <w:r w:rsidRPr="00AB7EE3">
        <w:t xml:space="preserve"> </w:t>
      </w:r>
      <w:r w:rsidR="009703D6" w:rsidRPr="00AB7EE3">
        <w:t>approaching the</w:t>
      </w:r>
      <w:r w:rsidR="00A11181" w:rsidRPr="00AB7EE3">
        <w:t xml:space="preserve"> literature on cognitive and functional ageing critically, giving an account on the inherent limitations of several scientific methodologies in producing empirical findings </w:t>
      </w:r>
      <w:r w:rsidR="009703D6" w:rsidRPr="00AB7EE3">
        <w:t>that</w:t>
      </w:r>
      <w:r w:rsidR="00A11181" w:rsidRPr="00AB7EE3">
        <w:t xml:space="preserve"> explain developmental processes</w:t>
      </w:r>
      <w:r w:rsidR="001463F3" w:rsidRPr="00AB7EE3">
        <w:t xml:space="preserve"> in this respect</w:t>
      </w:r>
      <w:r w:rsidR="00A11181" w:rsidRPr="00AB7EE3">
        <w:t>. The chapter</w:t>
      </w:r>
      <w:r w:rsidR="004502DD" w:rsidRPr="00AB7EE3">
        <w:t xml:space="preserve"> </w:t>
      </w:r>
      <w:r w:rsidR="00EE6EB9" w:rsidRPr="00AB7EE3">
        <w:t xml:space="preserve">discusses </w:t>
      </w:r>
      <w:r w:rsidR="008A1F04" w:rsidRPr="00AB7EE3">
        <w:t>how</w:t>
      </w:r>
      <w:r w:rsidR="0090172A" w:rsidRPr="00AB7EE3">
        <w:t xml:space="preserve"> previous r</w:t>
      </w:r>
      <w:r w:rsidR="008A1F04" w:rsidRPr="00AB7EE3">
        <w:t xml:space="preserve">esearch and theory </w:t>
      </w:r>
      <w:r w:rsidR="00EE6EB9" w:rsidRPr="00AB7EE3">
        <w:t xml:space="preserve">on adult </w:t>
      </w:r>
      <w:r w:rsidR="008A1F04" w:rsidRPr="00AB7EE3">
        <w:t xml:space="preserve">development does not provide </w:t>
      </w:r>
      <w:r w:rsidR="00EE6EB9" w:rsidRPr="00AB7EE3">
        <w:t>an account of</w:t>
      </w:r>
      <w:r w:rsidR="008A1F04" w:rsidRPr="00AB7EE3">
        <w:t xml:space="preserve"> </w:t>
      </w:r>
      <w:r w:rsidR="0090172A" w:rsidRPr="00AB7EE3">
        <w:t xml:space="preserve">the factors that influence cognitive performance and everyday </w:t>
      </w:r>
      <w:r w:rsidR="0090172A" w:rsidRPr="00AB7EE3">
        <w:lastRenderedPageBreak/>
        <w:t xml:space="preserve">functioning </w:t>
      </w:r>
      <w:r w:rsidR="00E22F21" w:rsidRPr="00AB7EE3">
        <w:t>in the healthy spectrum of cognitive ageing</w:t>
      </w:r>
      <w:r w:rsidR="008A1F04" w:rsidRPr="00AB7EE3">
        <w:t>, proposing an alternative framework</w:t>
      </w:r>
      <w:r w:rsidR="00EE6EB9" w:rsidRPr="00AB7EE3">
        <w:t>, which justifies the aim of the present Thesis.</w:t>
      </w:r>
    </w:p>
    <w:p w:rsidR="00FC36A3" w:rsidRPr="007A15F6" w:rsidRDefault="00FC36A3" w:rsidP="00FE028D">
      <w:pPr>
        <w:pStyle w:val="Heading2"/>
      </w:pPr>
      <w:bookmarkStart w:id="69" w:name="_Toc373425941"/>
      <w:bookmarkStart w:id="70" w:name="_Toc521184179"/>
      <w:r w:rsidRPr="007A15F6">
        <w:t>Method</w:t>
      </w:r>
      <w:bookmarkEnd w:id="69"/>
      <w:bookmarkEnd w:id="70"/>
    </w:p>
    <w:p w:rsidR="00FC36A3" w:rsidRPr="007A15F6" w:rsidRDefault="00E43E89" w:rsidP="005C41B7">
      <w:pPr>
        <w:pStyle w:val="APAPar"/>
      </w:pPr>
      <w:r w:rsidRPr="007A15F6">
        <w:t>The method</w:t>
      </w:r>
      <w:r w:rsidR="00FC36A3" w:rsidRPr="007A15F6">
        <w:t xml:space="preserve"> followed to retrieve information from the </w:t>
      </w:r>
      <w:r w:rsidR="007C7EE5" w:rsidRPr="007A15F6">
        <w:t>literature was the typical one</w:t>
      </w:r>
      <w:r w:rsidR="00FC36A3" w:rsidRPr="007A15F6">
        <w:t xml:space="preserve"> used in a desktop research, namely a literature review.  The articles were retrieved from an online search conducted in the online database of the University of Sheffield. This database includes the most </w:t>
      </w:r>
      <w:r w:rsidR="00F36C73" w:rsidRPr="007A15F6">
        <w:t>well-known</w:t>
      </w:r>
      <w:r w:rsidR="00FC36A3" w:rsidRPr="007A15F6">
        <w:t xml:space="preserve"> scientific catalogues of scientific journals, such as Scopus, EBSCO, Web of Knowledge, and APA. No restriction on </w:t>
      </w:r>
      <w:r w:rsidR="002B4295">
        <w:t>date of publication was imposed.</w:t>
      </w:r>
      <w:r w:rsidR="00FC36A3" w:rsidRPr="007A15F6">
        <w:t xml:space="preserve"> </w:t>
      </w:r>
      <w:r w:rsidR="002B4295" w:rsidRPr="007A15F6">
        <w:t>The</w:t>
      </w:r>
      <w:r w:rsidR="00FC36A3" w:rsidRPr="007A15F6">
        <w:t xml:space="preserve"> articles </w:t>
      </w:r>
      <w:r w:rsidR="009D22C2">
        <w:t xml:space="preserve">reviewed here </w:t>
      </w:r>
      <w:r w:rsidR="00FC36A3" w:rsidRPr="007A15F6">
        <w:t xml:space="preserve">were chosen based on their relevance </w:t>
      </w:r>
      <w:r w:rsidR="009A27F2">
        <w:t>with</w:t>
      </w:r>
      <w:r w:rsidR="00FC36A3" w:rsidRPr="007A15F6">
        <w:t xml:space="preserve"> the ageing discourse</w:t>
      </w:r>
      <w:r w:rsidR="002B4295">
        <w:t xml:space="preserve"> on cognitive and everyday functioning </w:t>
      </w:r>
      <w:r w:rsidR="009D22C2">
        <w:t>performance</w:t>
      </w:r>
      <w:r w:rsidR="00FC36A3" w:rsidRPr="007A15F6">
        <w:t>. Several sources of information were books</w:t>
      </w:r>
      <w:r w:rsidR="002B4295">
        <w:t xml:space="preserve">, </w:t>
      </w:r>
      <w:r w:rsidR="00E05FE3" w:rsidRPr="007A15F6">
        <w:t>sought after</w:t>
      </w:r>
      <w:r w:rsidR="00FC36A3" w:rsidRPr="007A15F6">
        <w:t xml:space="preserve"> </w:t>
      </w:r>
      <w:r w:rsidR="00E05FE3" w:rsidRPr="007A15F6">
        <w:t xml:space="preserve">they were </w:t>
      </w:r>
      <w:r w:rsidR="00FC36A3" w:rsidRPr="007A15F6">
        <w:t xml:space="preserve">identified in </w:t>
      </w:r>
      <w:r w:rsidR="00AF662A" w:rsidRPr="007A15F6">
        <w:t>the retrieved articles</w:t>
      </w:r>
      <w:r w:rsidR="009D22C2">
        <w:t xml:space="preserve"> and regarded from the author as </w:t>
      </w:r>
      <w:r w:rsidR="00B9580C">
        <w:t xml:space="preserve">relevant and </w:t>
      </w:r>
      <w:r w:rsidR="009D22C2">
        <w:t>useful</w:t>
      </w:r>
      <w:r w:rsidR="00AF662A" w:rsidRPr="007A15F6">
        <w:t xml:space="preserve">. </w:t>
      </w:r>
      <w:r w:rsidR="00F727EE" w:rsidRPr="007A15F6">
        <w:t xml:space="preserve">In addition, some information </w:t>
      </w:r>
      <w:r w:rsidR="004218BA" w:rsidRPr="007A15F6">
        <w:t>has</w:t>
      </w:r>
      <w:r w:rsidR="00F727EE" w:rsidRPr="007A15F6">
        <w:t xml:space="preserve"> been retrieved from a simple search in the web using the Google search engine. </w:t>
      </w:r>
    </w:p>
    <w:p w:rsidR="009E391F" w:rsidRPr="007A15F6" w:rsidRDefault="003430EC" w:rsidP="00FE028D">
      <w:pPr>
        <w:pStyle w:val="Heading2"/>
      </w:pPr>
      <w:bookmarkStart w:id="71" w:name="_Toc373425942"/>
      <w:bookmarkStart w:id="72" w:name="_Toc521184180"/>
      <w:r>
        <w:t xml:space="preserve">Cognitive Performance </w:t>
      </w:r>
      <w:r w:rsidR="00AF662A" w:rsidRPr="007A15F6">
        <w:t>and Cognitive Decline with Ageing</w:t>
      </w:r>
      <w:bookmarkEnd w:id="71"/>
      <w:bookmarkEnd w:id="72"/>
    </w:p>
    <w:p w:rsidR="006D5F66" w:rsidRPr="00AB7EE3" w:rsidRDefault="00080C52" w:rsidP="005C41B7">
      <w:pPr>
        <w:pStyle w:val="APAPar"/>
      </w:pPr>
      <w:r w:rsidRPr="00AB7EE3">
        <w:rPr>
          <w:i/>
        </w:rPr>
        <w:t>C</w:t>
      </w:r>
      <w:r w:rsidR="00C475DF" w:rsidRPr="00AB7EE3">
        <w:rPr>
          <w:i/>
        </w:rPr>
        <w:t>ognition</w:t>
      </w:r>
      <w:r w:rsidR="00C475DF" w:rsidRPr="00AB7EE3">
        <w:t xml:space="preserve"> </w:t>
      </w:r>
      <w:r w:rsidR="000103CD" w:rsidRPr="00AB7EE3">
        <w:t>has been</w:t>
      </w:r>
      <w:r w:rsidR="00C475DF" w:rsidRPr="00AB7EE3">
        <w:t xml:space="preserve"> described as the sum of m</w:t>
      </w:r>
      <w:r w:rsidR="004537C7" w:rsidRPr="00AB7EE3">
        <w:t>any cognitive processes</w:t>
      </w:r>
      <w:r w:rsidR="00C475DF" w:rsidRPr="00AB7EE3">
        <w:t xml:space="preserve"> </w:t>
      </w:r>
      <w:r w:rsidR="004537C7" w:rsidRPr="00AB7EE3">
        <w:t xml:space="preserve">that allows </w:t>
      </w:r>
      <w:r w:rsidR="00006A75" w:rsidRPr="00AB7EE3">
        <w:t>perceiving</w:t>
      </w:r>
      <w:r w:rsidR="00C475DF" w:rsidRPr="00AB7EE3">
        <w:t xml:space="preserve"> the world, </w:t>
      </w:r>
      <w:r w:rsidR="001E2759" w:rsidRPr="00AB7EE3">
        <w:t xml:space="preserve">as well as </w:t>
      </w:r>
      <w:r w:rsidR="001030A4" w:rsidRPr="00AB7EE3">
        <w:t>to think and</w:t>
      </w:r>
      <w:r w:rsidR="00B51340" w:rsidRPr="00AB7EE3">
        <w:t xml:space="preserve"> </w:t>
      </w:r>
      <w:r w:rsidR="001030A4" w:rsidRPr="00AB7EE3">
        <w:t>act</w:t>
      </w:r>
      <w:r w:rsidR="00C475DF" w:rsidRPr="00AB7EE3">
        <w:t xml:space="preserve"> upon</w:t>
      </w:r>
      <w:r w:rsidR="00FA1F7C" w:rsidRPr="00AB7EE3">
        <w:t xml:space="preserve"> external and internal stimuli</w:t>
      </w:r>
      <w:r w:rsidR="00C475DF" w:rsidRPr="00AB7EE3">
        <w:t xml:space="preserve"> (</w:t>
      </w:r>
      <w:r w:rsidR="00790A01" w:rsidRPr="00AB7EE3">
        <w:t>Marcotte, Scott, Kamat, &amp; Heaton</w:t>
      </w:r>
      <w:r w:rsidR="00C475DF" w:rsidRPr="00AB7EE3">
        <w:t xml:space="preserve">, 2010). As such, </w:t>
      </w:r>
      <w:r w:rsidR="00B71DCF" w:rsidRPr="00AB7EE3">
        <w:t xml:space="preserve">cognition </w:t>
      </w:r>
      <w:r w:rsidR="00C475DF" w:rsidRPr="00AB7EE3">
        <w:t>is a latent entity that is inferred</w:t>
      </w:r>
      <w:r w:rsidR="001E2759" w:rsidRPr="00AB7EE3">
        <w:t>,</w:t>
      </w:r>
      <w:r w:rsidR="00C475DF" w:rsidRPr="00AB7EE3">
        <w:t xml:space="preserve"> </w:t>
      </w:r>
      <w:r w:rsidR="001E2759" w:rsidRPr="00AB7EE3">
        <w:t>assessed</w:t>
      </w:r>
      <w:r w:rsidR="001B4B9F" w:rsidRPr="00AB7EE3">
        <w:t>,</w:t>
      </w:r>
      <w:r w:rsidR="001E2759" w:rsidRPr="00AB7EE3">
        <w:t xml:space="preserve"> and measured by</w:t>
      </w:r>
      <w:r w:rsidR="00FA1F7C" w:rsidRPr="00AB7EE3">
        <w:t xml:space="preserve"> its products </w:t>
      </w:r>
      <w:r w:rsidR="006579FC" w:rsidRPr="00AB7EE3">
        <w:t>in</w:t>
      </w:r>
      <w:r w:rsidR="00FA1F7C" w:rsidRPr="00AB7EE3">
        <w:t xml:space="preserve"> </w:t>
      </w:r>
      <w:r w:rsidR="00C475DF" w:rsidRPr="00AB7EE3">
        <w:rPr>
          <w:i/>
        </w:rPr>
        <w:t>neuropsychological assessments</w:t>
      </w:r>
      <w:r w:rsidR="00267345" w:rsidRPr="00AB7EE3">
        <w:rPr>
          <w:i/>
        </w:rPr>
        <w:t xml:space="preserve">, </w:t>
      </w:r>
      <w:r w:rsidR="00794273" w:rsidRPr="00AB7EE3">
        <w:t>or else by one’s</w:t>
      </w:r>
      <w:r w:rsidR="00267345" w:rsidRPr="00AB7EE3">
        <w:t xml:space="preserve"> </w:t>
      </w:r>
      <w:r w:rsidR="00267345" w:rsidRPr="00AB7EE3">
        <w:rPr>
          <w:i/>
        </w:rPr>
        <w:t>cognitive performance</w:t>
      </w:r>
      <w:r w:rsidR="00902D5B" w:rsidRPr="00AB7EE3">
        <w:t xml:space="preserve">. </w:t>
      </w:r>
      <w:r w:rsidR="00EE6EB9" w:rsidRPr="00AB7EE3">
        <w:t xml:space="preserve">It is assumed that different neuropsychological tests and sub-tests </w:t>
      </w:r>
      <w:r w:rsidR="00902D5B" w:rsidRPr="00AB7EE3">
        <w:t>(e.g., memorizing a list of items to shop</w:t>
      </w:r>
      <w:r w:rsidR="00900E8B" w:rsidRPr="00AB7EE3">
        <w:t>, executing a task in the correct order)</w:t>
      </w:r>
      <w:r w:rsidR="00E7282F" w:rsidRPr="00AB7EE3">
        <w:t>,</w:t>
      </w:r>
      <w:r w:rsidR="009536C9" w:rsidRPr="00AB7EE3">
        <w:t xml:space="preserve"> </w:t>
      </w:r>
      <w:r w:rsidR="00EE6EB9" w:rsidRPr="00AB7EE3">
        <w:t xml:space="preserve">tap on distinct </w:t>
      </w:r>
      <w:r w:rsidR="009536C9" w:rsidRPr="00AB7EE3">
        <w:rPr>
          <w:i/>
        </w:rPr>
        <w:t>cognitive domains</w:t>
      </w:r>
      <w:r w:rsidR="00714610" w:rsidRPr="00AB7EE3">
        <w:t xml:space="preserve"> (e.g.,</w:t>
      </w:r>
      <w:r w:rsidR="00C475DF" w:rsidRPr="00AB7EE3">
        <w:t xml:space="preserve"> </w:t>
      </w:r>
      <w:r w:rsidR="00C475DF" w:rsidRPr="00AB7EE3">
        <w:rPr>
          <w:i/>
        </w:rPr>
        <w:t xml:space="preserve">memory, </w:t>
      </w:r>
      <w:r w:rsidR="004218BA" w:rsidRPr="00AB7EE3">
        <w:rPr>
          <w:i/>
        </w:rPr>
        <w:t>attention, language etc.</w:t>
      </w:r>
      <w:r w:rsidR="00714610" w:rsidRPr="00AB7EE3">
        <w:rPr>
          <w:i/>
        </w:rPr>
        <w:t>)</w:t>
      </w:r>
      <w:r w:rsidR="001026E5" w:rsidRPr="00AB7EE3">
        <w:t xml:space="preserve">. </w:t>
      </w:r>
      <w:r w:rsidR="00CF5A1F" w:rsidRPr="00AB7EE3">
        <w:t>A</w:t>
      </w:r>
      <w:r w:rsidR="00392BAA" w:rsidRPr="00AB7EE3">
        <w:t xml:space="preserve">ge-related decrements in </w:t>
      </w:r>
      <w:r w:rsidR="003430EC" w:rsidRPr="00AB7EE3">
        <w:t>cognitive performance</w:t>
      </w:r>
      <w:r w:rsidR="00392BAA" w:rsidRPr="00AB7EE3">
        <w:t xml:space="preserve"> are inevitable i</w:t>
      </w:r>
      <w:r w:rsidR="00584ACF" w:rsidRPr="00AB7EE3">
        <w:t xml:space="preserve">n most cognitive domains, </w:t>
      </w:r>
      <w:r w:rsidR="00BD13BF" w:rsidRPr="00AB7EE3">
        <w:t>but the</w:t>
      </w:r>
      <w:r w:rsidR="00646102">
        <w:t>ir</w:t>
      </w:r>
      <w:r w:rsidR="00BD13BF" w:rsidRPr="00AB7EE3">
        <w:t xml:space="preserve"> properties</w:t>
      </w:r>
      <w:r w:rsidR="00EE6EB9" w:rsidRPr="00AB7EE3">
        <w:t xml:space="preserve"> (e.g., in what age the relevant declines commence)</w:t>
      </w:r>
      <w:r w:rsidR="00BD13BF" w:rsidRPr="00AB7EE3">
        <w:t xml:space="preserve"> and </w:t>
      </w:r>
      <w:r w:rsidR="004A3EDC" w:rsidRPr="00AB7EE3">
        <w:t>magnitude of decline differs</w:t>
      </w:r>
      <w:r w:rsidR="00251E4F" w:rsidRPr="00AB7EE3">
        <w:t xml:space="preserve"> among </w:t>
      </w:r>
      <w:r w:rsidR="00646102">
        <w:t xml:space="preserve">different </w:t>
      </w:r>
      <w:r w:rsidR="00646102">
        <w:lastRenderedPageBreak/>
        <w:t xml:space="preserve">cognitive </w:t>
      </w:r>
      <w:r w:rsidR="00251E4F" w:rsidRPr="00AB7EE3">
        <w:t>domains</w:t>
      </w:r>
      <w:r w:rsidR="004A3EDC">
        <w:t>. The</w:t>
      </w:r>
      <w:r w:rsidR="00251E4F" w:rsidRPr="00AB7EE3">
        <w:t xml:space="preserve"> later remains a</w:t>
      </w:r>
      <w:r w:rsidR="00335133" w:rsidRPr="00AB7EE3">
        <w:t xml:space="preserve"> controversial issue in the l</w:t>
      </w:r>
      <w:r w:rsidR="00E9610F" w:rsidRPr="00AB7EE3">
        <w:t>iterature</w:t>
      </w:r>
      <w:r w:rsidR="004A3EDC">
        <w:t>,</w:t>
      </w:r>
      <w:r w:rsidR="00F62467" w:rsidRPr="00AB7EE3">
        <w:t xml:space="preserve"> </w:t>
      </w:r>
      <w:r w:rsidR="004A3EDC">
        <w:t>with t</w:t>
      </w:r>
      <w:r w:rsidR="00C61FA6" w:rsidRPr="00AB7EE3">
        <w:t>he</w:t>
      </w:r>
      <w:r w:rsidR="008A1F04" w:rsidRPr="00AB7EE3">
        <w:t xml:space="preserve"> factor</w:t>
      </w:r>
      <w:r w:rsidR="00E22F21" w:rsidRPr="00AB7EE3">
        <w:t>s</w:t>
      </w:r>
      <w:r w:rsidR="008A1F04" w:rsidRPr="00AB7EE3">
        <w:t xml:space="preserve"> </w:t>
      </w:r>
      <w:r w:rsidR="003F1BAD">
        <w:t>leading</w:t>
      </w:r>
      <w:r w:rsidR="00F62467" w:rsidRPr="00AB7EE3">
        <w:t xml:space="preserve"> </w:t>
      </w:r>
      <w:r w:rsidR="00EB62F7">
        <w:t>against</w:t>
      </w:r>
      <w:r w:rsidR="00EB62F7" w:rsidRPr="00AB7EE3">
        <w:t xml:space="preserve"> </w:t>
      </w:r>
      <w:r w:rsidR="008A1F04" w:rsidRPr="00AB7EE3">
        <w:t>achieving</w:t>
      </w:r>
      <w:r w:rsidR="00F62467" w:rsidRPr="00AB7EE3">
        <w:t xml:space="preserve"> clarity</w:t>
      </w:r>
      <w:r w:rsidR="00584ACF" w:rsidRPr="00AB7EE3">
        <w:t xml:space="preserve"> </w:t>
      </w:r>
      <w:r w:rsidR="003F1BAD">
        <w:t>being</w:t>
      </w:r>
      <w:r w:rsidR="00B62411" w:rsidRPr="00AB7EE3">
        <w:t xml:space="preserve"> </w:t>
      </w:r>
      <w:r w:rsidR="00584ACF" w:rsidRPr="00AB7EE3">
        <w:t>methodological</w:t>
      </w:r>
      <w:r w:rsidR="003F1BAD">
        <w:t xml:space="preserve"> and theoretical</w:t>
      </w:r>
      <w:r w:rsidR="00C61FA6" w:rsidRPr="00AB7EE3">
        <w:t xml:space="preserve"> </w:t>
      </w:r>
      <w:r w:rsidR="000D5149" w:rsidRPr="00AB7EE3">
        <w:t>(Hertzog et al., 2009).</w:t>
      </w:r>
    </w:p>
    <w:p w:rsidR="00385130" w:rsidRPr="00AB7EE3" w:rsidRDefault="00385130" w:rsidP="005C41B7">
      <w:pPr>
        <w:pStyle w:val="APAPar"/>
      </w:pPr>
      <w:r w:rsidRPr="00AB7EE3">
        <w:t xml:space="preserve">One of the earliest theories aimed </w:t>
      </w:r>
      <w:r w:rsidR="00251E4F" w:rsidRPr="00AB7EE3">
        <w:t xml:space="preserve">at </w:t>
      </w:r>
      <w:r w:rsidRPr="00AB7EE3">
        <w:t>explain</w:t>
      </w:r>
      <w:r w:rsidR="00251E4F" w:rsidRPr="00AB7EE3">
        <w:t>ing</w:t>
      </w:r>
      <w:r w:rsidRPr="00AB7EE3">
        <w:t xml:space="preserve"> cognitive decline with ag</w:t>
      </w:r>
      <w:r w:rsidR="00E22F21" w:rsidRPr="00AB7EE3">
        <w:t>e</w:t>
      </w:r>
      <w:r w:rsidRPr="00AB7EE3">
        <w:t xml:space="preserve">ing was the </w:t>
      </w:r>
      <w:r w:rsidRPr="00AB7EE3">
        <w:rPr>
          <w:i/>
        </w:rPr>
        <w:t>disuse theory</w:t>
      </w:r>
      <w:r w:rsidRPr="00AB7EE3">
        <w:t xml:space="preserve"> (Milne, 1956).  This theory posits that several cognitive processes involved in goal directed behaviours decay because the corresponding behaviours are used less over time.</w:t>
      </w:r>
      <w:r w:rsidR="004218BA" w:rsidRPr="00AB7EE3">
        <w:t xml:space="preserve"> </w:t>
      </w:r>
      <w:r w:rsidRPr="00AB7EE3">
        <w:t>This postulation was contradicted by Salthouse (1992), who demonstrated that with age</w:t>
      </w:r>
      <w:r w:rsidR="00F36C73" w:rsidRPr="00AB7EE3">
        <w:t>, architects and airplane pilot</w:t>
      </w:r>
      <w:r w:rsidRPr="00AB7EE3">
        <w:t xml:space="preserve"> manifest declines in performance at neuropsychological assessments of visuospatial ability, despite the fact that they utilize visuospatial skills daily in their work. In addition, Salthouse, Berish and Miles (2002) </w:t>
      </w:r>
      <w:r w:rsidR="00407EC2" w:rsidRPr="00AB7EE3">
        <w:t xml:space="preserve">study </w:t>
      </w:r>
      <w:r w:rsidRPr="00AB7EE3">
        <w:t xml:space="preserve">demonstrated that </w:t>
      </w:r>
      <w:r w:rsidR="00F36C73" w:rsidRPr="00AB7EE3">
        <w:t>among</w:t>
      </w:r>
      <w:r w:rsidRPr="00AB7EE3">
        <w:t xml:space="preserve"> older individuals </w:t>
      </w:r>
      <w:r w:rsidR="00F36C73" w:rsidRPr="00AB7EE3">
        <w:t xml:space="preserve">who </w:t>
      </w:r>
      <w:r w:rsidRPr="00AB7EE3">
        <w:t>were engaged in less cog</w:t>
      </w:r>
      <w:r w:rsidR="00407EC2" w:rsidRPr="00AB7EE3">
        <w:t xml:space="preserve">nitively stimulating activities, </w:t>
      </w:r>
      <w:r w:rsidRPr="00AB7EE3">
        <w:t>cognitive stimulation couldn’t serve statistically as an independent predictor of cognitive decline with age.</w:t>
      </w:r>
    </w:p>
    <w:p w:rsidR="00AC70E1" w:rsidRPr="00AB7EE3" w:rsidRDefault="007E577D" w:rsidP="005C41B7">
      <w:pPr>
        <w:pStyle w:val="APAPar"/>
      </w:pPr>
      <w:r w:rsidRPr="00AB7EE3">
        <w:t>The General Slowing Hypo</w:t>
      </w:r>
      <w:r w:rsidR="00DD000E" w:rsidRPr="00AB7EE3">
        <w:t>thesis</w:t>
      </w:r>
      <w:r w:rsidRPr="00AB7EE3">
        <w:t xml:space="preserve"> (GSH), also referred </w:t>
      </w:r>
      <w:r w:rsidR="00D217AD" w:rsidRPr="00AB7EE3">
        <w:t xml:space="preserve">to </w:t>
      </w:r>
      <w:r w:rsidRPr="00AB7EE3">
        <w:t>as the processing s</w:t>
      </w:r>
      <w:r w:rsidR="00D23B9F" w:rsidRPr="00AB7EE3">
        <w:t>peed theory (Salthouse, 1996), was o</w:t>
      </w:r>
      <w:r w:rsidRPr="00AB7EE3">
        <w:t>ffered a</w:t>
      </w:r>
      <w:r w:rsidR="00D23B9F" w:rsidRPr="00AB7EE3">
        <w:t>s</w:t>
      </w:r>
      <w:r w:rsidRPr="00AB7EE3">
        <w:t xml:space="preserve"> </w:t>
      </w:r>
      <w:r w:rsidR="00F36C73" w:rsidRPr="00AB7EE3">
        <w:t>an</w:t>
      </w:r>
      <w:r w:rsidR="00D23B9F" w:rsidRPr="00AB7EE3">
        <w:t xml:space="preserve"> alternative</w:t>
      </w:r>
      <w:r w:rsidRPr="00AB7EE3">
        <w:t xml:space="preserve"> explanation</w:t>
      </w:r>
      <w:r w:rsidR="00D23B9F" w:rsidRPr="00AB7EE3">
        <w:t xml:space="preserve"> for cognitive changes with age</w:t>
      </w:r>
      <w:r w:rsidRPr="00AB7EE3">
        <w:t xml:space="preserve">. The GSH argues for a slowing in the transmission speed </w:t>
      </w:r>
      <w:r w:rsidR="00251E4F" w:rsidRPr="00AB7EE3">
        <w:t>at</w:t>
      </w:r>
      <w:r w:rsidRPr="00AB7EE3">
        <w:t xml:space="preserve"> the neuronal le</w:t>
      </w:r>
      <w:r w:rsidR="00385130" w:rsidRPr="00AB7EE3">
        <w:t>vel, due to biological changes</w:t>
      </w:r>
      <w:r w:rsidRPr="00AB7EE3">
        <w:t xml:space="preserve">. Salthouse (1996, p. 403) </w:t>
      </w:r>
      <w:r w:rsidR="00385130" w:rsidRPr="00AB7EE3">
        <w:t xml:space="preserve">argued </w:t>
      </w:r>
      <w:r w:rsidRPr="00AB7EE3">
        <w:t>that</w:t>
      </w:r>
      <w:r w:rsidR="000178F9" w:rsidRPr="00AB7EE3">
        <w:t>:</w:t>
      </w:r>
      <w:r w:rsidR="00006A75" w:rsidRPr="00AB7EE3">
        <w:t xml:space="preserve"> </w:t>
      </w:r>
    </w:p>
    <w:p w:rsidR="00AC70E1" w:rsidRPr="00053476" w:rsidRDefault="007E577D" w:rsidP="00546D49">
      <w:pPr>
        <w:pStyle w:val="APAPar"/>
        <w:widowControl w:val="0"/>
        <w:ind w:leftChars="400" w:left="960" w:rightChars="400" w:right="960" w:firstLine="0"/>
        <w:jc w:val="both"/>
        <w:rPr>
          <w:rStyle w:val="Emphasis"/>
        </w:rPr>
      </w:pPr>
      <w:r w:rsidRPr="00053476">
        <w:rPr>
          <w:rStyle w:val="Emphasis"/>
        </w:rPr>
        <w:t>Cognitive performance is degraded when processing is slow because relevant operations cannot be successfully executed (limited time) and because the products of early processing may no longer be available when later proces</w:t>
      </w:r>
      <w:r w:rsidR="00E43E89" w:rsidRPr="00053476">
        <w:rPr>
          <w:rStyle w:val="Emphasis"/>
        </w:rPr>
        <w:t>sing is complete (simultaneity).</w:t>
      </w:r>
    </w:p>
    <w:p w:rsidR="007E577D" w:rsidRPr="00AB7EE3" w:rsidRDefault="005C2E8E" w:rsidP="005C41B7">
      <w:pPr>
        <w:pStyle w:val="APAPar"/>
      </w:pPr>
      <w:r w:rsidRPr="00AB7EE3">
        <w:t xml:space="preserve">Consistent with </w:t>
      </w:r>
      <w:r w:rsidR="00B87A67" w:rsidRPr="00AB7EE3">
        <w:t>the GSH are the findings of</w:t>
      </w:r>
      <w:r w:rsidR="007E577D" w:rsidRPr="00AB7EE3">
        <w:t xml:space="preserve"> Cerella (1985) meta-analysis of 35 relevant studies including 69 information-processing tasks, as well as </w:t>
      </w:r>
      <w:r w:rsidR="00B87A67" w:rsidRPr="00AB7EE3">
        <w:t xml:space="preserve">from </w:t>
      </w:r>
      <w:r w:rsidR="007E577D" w:rsidRPr="00AB7EE3">
        <w:t>Sheppard and Vernon (2008) meta-analyses of 172 studies</w:t>
      </w:r>
      <w:r w:rsidR="00B87A67" w:rsidRPr="00AB7EE3">
        <w:t>,</w:t>
      </w:r>
      <w:r w:rsidR="00251E4F" w:rsidRPr="00AB7EE3">
        <w:t xml:space="preserve"> which reports a robust</w:t>
      </w:r>
      <w:r w:rsidR="007E577D" w:rsidRPr="00AB7EE3">
        <w:t xml:space="preserve"> </w:t>
      </w:r>
      <w:r w:rsidR="00B87A67" w:rsidRPr="00AB7EE3">
        <w:t xml:space="preserve">relation </w:t>
      </w:r>
      <w:r w:rsidR="00A54CD3" w:rsidRPr="00AB7EE3">
        <w:t>between speed</w:t>
      </w:r>
      <w:r w:rsidR="007E577D" w:rsidRPr="00AB7EE3">
        <w:t xml:space="preserve"> of processing </w:t>
      </w:r>
      <w:r w:rsidR="00B87A67" w:rsidRPr="00AB7EE3">
        <w:t xml:space="preserve">and </w:t>
      </w:r>
      <w:r w:rsidRPr="00AB7EE3">
        <w:t xml:space="preserve">measures of intelligence. The potential mediation role of speed of processing </w:t>
      </w:r>
      <w:r w:rsidR="007E577D" w:rsidRPr="00AB7EE3">
        <w:lastRenderedPageBreak/>
        <w:t xml:space="preserve">in cognitive </w:t>
      </w:r>
      <w:r w:rsidR="008E6CD1" w:rsidRPr="00AB7EE3">
        <w:t xml:space="preserve">declines with </w:t>
      </w:r>
      <w:r w:rsidR="007E577D" w:rsidRPr="00AB7EE3">
        <w:t>ageing</w:t>
      </w:r>
      <w:r w:rsidRPr="00AB7EE3">
        <w:t xml:space="preserve"> (i.e., reduced speed of processing being responsible for the declines evident in cognitive abilities)</w:t>
      </w:r>
      <w:r w:rsidR="007E577D" w:rsidRPr="00AB7EE3">
        <w:t xml:space="preserve"> has been demonstrated explicitly in </w:t>
      </w:r>
      <w:r w:rsidR="000178F9" w:rsidRPr="00AB7EE3">
        <w:t xml:space="preserve">studies that examined </w:t>
      </w:r>
      <w:r w:rsidR="00E16AE1" w:rsidRPr="00AB7EE3">
        <w:t xml:space="preserve">differences in </w:t>
      </w:r>
      <w:r w:rsidR="007E577D" w:rsidRPr="00AB7EE3">
        <w:t>fluid intelligence (</w:t>
      </w:r>
      <w:r w:rsidR="00B87A67" w:rsidRPr="00AB7EE3">
        <w:t>Zimprich</w:t>
      </w:r>
      <w:r w:rsidR="007E577D" w:rsidRPr="00AB7EE3">
        <w:t xml:space="preserve"> &amp; Martin, 2002), reasoning, memory, knowledge, and </w:t>
      </w:r>
      <w:r w:rsidR="00251E4F" w:rsidRPr="00AB7EE3">
        <w:t xml:space="preserve">verbal </w:t>
      </w:r>
      <w:r w:rsidR="007E577D" w:rsidRPr="00AB7EE3">
        <w:t>fluency (Linde</w:t>
      </w:r>
      <w:r w:rsidR="00DD2B18" w:rsidRPr="00AB7EE3">
        <w:t>n</w:t>
      </w:r>
      <w:r w:rsidR="007E577D" w:rsidRPr="00AB7EE3">
        <w:t xml:space="preserve">berger, Mayr, &amp; Klieg, 1993), </w:t>
      </w:r>
      <w:r w:rsidR="00B87A67" w:rsidRPr="00AB7EE3">
        <w:t xml:space="preserve">and performance </w:t>
      </w:r>
      <w:r w:rsidR="007E577D" w:rsidRPr="00AB7EE3">
        <w:t>in signal detection tasks (Rat</w:t>
      </w:r>
      <w:r w:rsidR="00B97983" w:rsidRPr="00AB7EE3">
        <w:t>cliff, Thapar, &amp; McKoon, 2001)</w:t>
      </w:r>
      <w:r w:rsidR="0041170C" w:rsidRPr="00AB7EE3">
        <w:t>.</w:t>
      </w:r>
    </w:p>
    <w:p w:rsidR="0063441D" w:rsidRPr="00AB7EE3" w:rsidRDefault="00251E4F" w:rsidP="005C41B7">
      <w:pPr>
        <w:pStyle w:val="APAPar"/>
      </w:pPr>
      <w:r w:rsidRPr="00AB7EE3">
        <w:t>C</w:t>
      </w:r>
      <w:r w:rsidR="0063441D" w:rsidRPr="00AB7EE3">
        <w:t xml:space="preserve">ognitive decline with ageing </w:t>
      </w:r>
      <w:r w:rsidR="006B5F3C">
        <w:t xml:space="preserve">however </w:t>
      </w:r>
      <w:r w:rsidR="0063441D" w:rsidRPr="00AB7EE3">
        <w:t xml:space="preserve">is not a homogeneous process. The available empirical evidence depicts that the greater the age of the group under examination, the greater the heterogeneity in scores deriving from neuropsychological assessments (Ardila, 2007; Hertzog et al., 2009). This indicates a developmental process where factors </w:t>
      </w:r>
      <w:r w:rsidR="000E0527" w:rsidRPr="00AB7EE3">
        <w:t xml:space="preserve">other </w:t>
      </w:r>
      <w:r w:rsidR="0063441D" w:rsidRPr="00AB7EE3">
        <w:t>than age have an effect on cognitive performance, leading to differential paths and outcomes in cognitive vitality among the older. The most influential factors that have been discussed in the ageing discourse are exercise and health, social participation, mentally stimulating activities, and SES.</w:t>
      </w:r>
    </w:p>
    <w:p w:rsidR="00322451" w:rsidRPr="00AB7EE3" w:rsidRDefault="00301093" w:rsidP="005D6C71">
      <w:pPr>
        <w:pStyle w:val="Heading3"/>
      </w:pPr>
      <w:bookmarkStart w:id="73" w:name="_Toc521184181"/>
      <w:bookmarkStart w:id="74" w:name="_Toc373425943"/>
      <w:r w:rsidRPr="00AB7EE3">
        <w:t>The effect of</w:t>
      </w:r>
      <w:r w:rsidR="00A7764D" w:rsidRPr="00AB7EE3">
        <w:t xml:space="preserve"> Physical</w:t>
      </w:r>
      <w:r w:rsidRPr="00AB7EE3">
        <w:t xml:space="preserve"> </w:t>
      </w:r>
      <w:r w:rsidR="00110258" w:rsidRPr="00AB7EE3">
        <w:t>Exercise</w:t>
      </w:r>
      <w:r w:rsidR="00F727EE" w:rsidRPr="00AB7EE3">
        <w:t xml:space="preserve"> </w:t>
      </w:r>
      <w:r w:rsidR="000B379A" w:rsidRPr="00AB7EE3">
        <w:t>on Cognitive</w:t>
      </w:r>
      <w:r w:rsidR="00F727EE" w:rsidRPr="00AB7EE3">
        <w:t xml:space="preserve"> </w:t>
      </w:r>
      <w:r w:rsidR="000B379A" w:rsidRPr="00AB7EE3">
        <w:t>Vitality</w:t>
      </w:r>
      <w:bookmarkEnd w:id="73"/>
      <w:r w:rsidRPr="00AB7EE3">
        <w:t xml:space="preserve"> </w:t>
      </w:r>
      <w:bookmarkEnd w:id="74"/>
    </w:p>
    <w:p w:rsidR="00322451" w:rsidRPr="00AB7EE3" w:rsidRDefault="00322451" w:rsidP="005C41B7">
      <w:pPr>
        <w:pStyle w:val="APAPar"/>
      </w:pPr>
      <w:r w:rsidRPr="00AB7EE3">
        <w:t xml:space="preserve">One of the basic recommendations for fostering </w:t>
      </w:r>
      <w:r w:rsidR="00480FB1" w:rsidRPr="00AB7EE3">
        <w:t>positive outcomes</w:t>
      </w:r>
      <w:r w:rsidRPr="00AB7EE3">
        <w:t xml:space="preserve"> in older age is the adequate participation in physical activity. </w:t>
      </w:r>
      <w:r w:rsidR="000E0527" w:rsidRPr="00AB7EE3">
        <w:t>On</w:t>
      </w:r>
      <w:r w:rsidRPr="00AB7EE3">
        <w:t xml:space="preserve"> their official Internet site, the Centre of Disease Control and Prevention (CDC, 2014) argues that:</w:t>
      </w:r>
    </w:p>
    <w:p w:rsidR="00322451" w:rsidRPr="00053476" w:rsidRDefault="00322451" w:rsidP="00546D49">
      <w:pPr>
        <w:pStyle w:val="APAPar"/>
        <w:widowControl w:val="0"/>
        <w:ind w:leftChars="400" w:left="960" w:rightChars="400" w:right="960" w:firstLine="0"/>
        <w:jc w:val="both"/>
        <w:rPr>
          <w:rStyle w:val="Emphasis"/>
        </w:rPr>
      </w:pPr>
      <w:r w:rsidRPr="00053476">
        <w:rPr>
          <w:rStyle w:val="Emphasis"/>
        </w:rPr>
        <w:t xml:space="preserve">As an older adult, regular physical activity is one of the most important things you can do for your health. It can prevent many of the health problems that seem to come with age. It also helps your muscles grow stronger so you can keep doing your day-to-day activities without becoming </w:t>
      </w:r>
      <w:r w:rsidR="00E43E89" w:rsidRPr="00053476">
        <w:rPr>
          <w:rStyle w:val="Emphasis"/>
        </w:rPr>
        <w:t>dependent on others</w:t>
      </w:r>
      <w:r w:rsidRPr="00053476">
        <w:rPr>
          <w:rStyle w:val="Emphasis"/>
        </w:rPr>
        <w:t>.</w:t>
      </w:r>
    </w:p>
    <w:p w:rsidR="00990C49" w:rsidRPr="00AB7EE3" w:rsidRDefault="00F70285" w:rsidP="005C41B7">
      <w:pPr>
        <w:pStyle w:val="APAPar"/>
        <w:rPr>
          <w:lang w:val="en-US"/>
        </w:rPr>
      </w:pPr>
      <w:r w:rsidRPr="00AB7EE3">
        <w:lastRenderedPageBreak/>
        <w:t xml:space="preserve">The terms physical activity and exercise have been used </w:t>
      </w:r>
      <w:r w:rsidR="008B4BC9" w:rsidRPr="00AB7EE3">
        <w:t>interchangeably</w:t>
      </w:r>
      <w:r w:rsidRPr="00AB7EE3">
        <w:t xml:space="preserve"> in the lit</w:t>
      </w:r>
      <w:r w:rsidR="008B4BC9" w:rsidRPr="00AB7EE3">
        <w:t>erature to describe any type of bodily movement produced by skeletal muscles that re</w:t>
      </w:r>
      <w:r w:rsidR="005C04F1" w:rsidRPr="00AB7EE3">
        <w:t>sults in energy expenditure (Casper</w:t>
      </w:r>
      <w:r w:rsidR="008B4BC9" w:rsidRPr="00AB7EE3">
        <w:t>sen,</w:t>
      </w:r>
      <w:r w:rsidR="00981A3A" w:rsidRPr="00AB7EE3">
        <w:t xml:space="preserve"> Powell, &amp; Christenson, 1985; </w:t>
      </w:r>
      <w:r w:rsidR="002165CF" w:rsidRPr="00AB7EE3">
        <w:t xml:space="preserve">Prince, Adamo, Hamel, Hardt, Gorber, &amp; Tremblay, </w:t>
      </w:r>
      <w:r w:rsidR="007E4B89" w:rsidRPr="00AB7EE3">
        <w:t>2008)</w:t>
      </w:r>
      <w:r w:rsidR="008B4BC9" w:rsidRPr="00AB7EE3">
        <w:t>.</w:t>
      </w:r>
      <w:r w:rsidR="001371A3" w:rsidRPr="00AB7EE3">
        <w:t xml:space="preserve"> According to C</w:t>
      </w:r>
      <w:r w:rsidR="00EC2954" w:rsidRPr="00AB7EE3">
        <w:t xml:space="preserve">aspersen et al. (1985), the difference between the two terms is that physical activity entails any </w:t>
      </w:r>
      <w:r w:rsidR="009759C5" w:rsidRPr="00AB7EE3">
        <w:t>form of act</w:t>
      </w:r>
      <w:r w:rsidR="00D32C5B" w:rsidRPr="00AB7EE3">
        <w:t>ivity performed to sustain life. These</w:t>
      </w:r>
      <w:r w:rsidR="000A13F4" w:rsidRPr="00AB7EE3">
        <w:t xml:space="preserve"> a</w:t>
      </w:r>
      <w:r w:rsidR="00D32C5B" w:rsidRPr="00AB7EE3">
        <w:t xml:space="preserve">ctivities </w:t>
      </w:r>
      <w:r w:rsidR="000A13F4" w:rsidRPr="00AB7EE3">
        <w:t xml:space="preserve">include sleeping, </w:t>
      </w:r>
      <w:r w:rsidR="008365F1" w:rsidRPr="00AB7EE3">
        <w:t xml:space="preserve">eating, </w:t>
      </w:r>
      <w:r w:rsidR="009759C5" w:rsidRPr="00AB7EE3">
        <w:t>cooking</w:t>
      </w:r>
      <w:r w:rsidR="008365F1" w:rsidRPr="00AB7EE3">
        <w:t>, working</w:t>
      </w:r>
      <w:r w:rsidR="00887B6E" w:rsidRPr="00AB7EE3">
        <w:t>, walking</w:t>
      </w:r>
      <w:r w:rsidR="008365F1" w:rsidRPr="00AB7EE3">
        <w:t xml:space="preserve"> </w:t>
      </w:r>
      <w:r w:rsidR="00887B6E" w:rsidRPr="00AB7EE3">
        <w:t>or commuting</w:t>
      </w:r>
      <w:r w:rsidR="008365F1" w:rsidRPr="00AB7EE3">
        <w:t xml:space="preserve">. Exercise on the other hand is </w:t>
      </w:r>
      <w:r w:rsidR="00887B6E" w:rsidRPr="00AB7EE3">
        <w:t xml:space="preserve">regarded as </w:t>
      </w:r>
      <w:r w:rsidR="008365F1" w:rsidRPr="00AB7EE3">
        <w:t>a</w:t>
      </w:r>
      <w:r w:rsidR="00E13914" w:rsidRPr="00AB7EE3">
        <w:t xml:space="preserve"> subcategory of physical activity, entailing</w:t>
      </w:r>
      <w:r w:rsidR="00990C49" w:rsidRPr="00AB7EE3">
        <w:t xml:space="preserve"> a</w:t>
      </w:r>
      <w:r w:rsidR="008365F1" w:rsidRPr="00AB7EE3">
        <w:t xml:space="preserve"> </w:t>
      </w:r>
      <w:r w:rsidR="00A5437B" w:rsidRPr="00AB7EE3">
        <w:t>set of leisure activities that are</w:t>
      </w:r>
      <w:r w:rsidR="00990C49" w:rsidRPr="00AB7EE3">
        <w:rPr>
          <w:rFonts w:eastAsia="Times New Roman"/>
          <w:sz w:val="20"/>
          <w:lang w:val="en-US" w:eastAsia="en-US"/>
        </w:rPr>
        <w:t xml:space="preserve"> </w:t>
      </w:r>
      <w:r w:rsidR="00EB70AF" w:rsidRPr="00AB7EE3">
        <w:rPr>
          <w:rFonts w:eastAsia="Times New Roman"/>
          <w:sz w:val="20"/>
          <w:lang w:val="en-US" w:eastAsia="en-US"/>
        </w:rPr>
        <w:t>'</w:t>
      </w:r>
      <w:r w:rsidR="00990C49" w:rsidRPr="00AB7EE3">
        <w:rPr>
          <w:lang w:val="en-US"/>
        </w:rPr>
        <w:t>planned, structured, repetitive, and purposive in the sense that improvement or maintenance of one or more components of physical fitness is an objective' (</w:t>
      </w:r>
      <w:r w:rsidR="00A66005" w:rsidRPr="00AB7EE3">
        <w:rPr>
          <w:lang w:val="en-US"/>
        </w:rPr>
        <w:t>Caspersen et al., 1985, p</w:t>
      </w:r>
      <w:r w:rsidR="00990C49" w:rsidRPr="00AB7EE3">
        <w:rPr>
          <w:lang w:val="en-US"/>
        </w:rPr>
        <w:t>.</w:t>
      </w:r>
      <w:r w:rsidR="00A66005" w:rsidRPr="00AB7EE3">
        <w:rPr>
          <w:lang w:val="en-US"/>
        </w:rPr>
        <w:t>128).</w:t>
      </w:r>
    </w:p>
    <w:p w:rsidR="00E44C8C" w:rsidRPr="00AB7EE3" w:rsidRDefault="00A66005" w:rsidP="005C41B7">
      <w:pPr>
        <w:pStyle w:val="APAPar"/>
      </w:pPr>
      <w:r w:rsidRPr="00AB7EE3">
        <w:t xml:space="preserve">In the ageing literature, physical activity is usually described as a set of </w:t>
      </w:r>
      <w:r w:rsidR="00C328C8" w:rsidRPr="00AB7EE3">
        <w:t>activitie</w:t>
      </w:r>
      <w:r w:rsidR="003F1998" w:rsidRPr="00AB7EE3">
        <w:t xml:space="preserve">s that denote the avoidance of </w:t>
      </w:r>
      <w:r w:rsidR="00306D33" w:rsidRPr="00AB7EE3">
        <w:t>sedentary</w:t>
      </w:r>
      <w:r w:rsidR="003F1998" w:rsidRPr="00AB7EE3">
        <w:t xml:space="preserve"> lifestyles</w:t>
      </w:r>
      <w:r w:rsidR="00306D33" w:rsidRPr="00AB7EE3">
        <w:t xml:space="preserve">, </w:t>
      </w:r>
      <w:r w:rsidR="00EB70AF" w:rsidRPr="00AB7EE3">
        <w:t>including</w:t>
      </w:r>
      <w:r w:rsidR="00E944FD" w:rsidRPr="00AB7EE3">
        <w:t xml:space="preserve"> a variety of activities, </w:t>
      </w:r>
      <w:r w:rsidR="00306D33" w:rsidRPr="00AB7EE3">
        <w:t>such as</w:t>
      </w:r>
      <w:r w:rsidR="002C38E2" w:rsidRPr="00AB7EE3">
        <w:t xml:space="preserve"> </w:t>
      </w:r>
      <w:r w:rsidR="00C328C8" w:rsidRPr="00AB7EE3">
        <w:t>housework chores</w:t>
      </w:r>
      <w:r w:rsidR="00306D33" w:rsidRPr="00AB7EE3">
        <w:t>, walking, or gardening (</w:t>
      </w:r>
      <w:r w:rsidR="006A7B34" w:rsidRPr="00AB7EE3">
        <w:t>Hertzog et al., 2009)</w:t>
      </w:r>
      <w:r w:rsidR="002C38E2" w:rsidRPr="00AB7EE3">
        <w:t xml:space="preserve">. </w:t>
      </w:r>
      <w:r w:rsidR="00675128" w:rsidRPr="00AB7EE3">
        <w:t xml:space="preserve">In many studies, </w:t>
      </w:r>
      <w:r w:rsidR="00E55C4A" w:rsidRPr="00AB7EE3">
        <w:t>this type of activit</w:t>
      </w:r>
      <w:r w:rsidR="000E0527" w:rsidRPr="00AB7EE3">
        <w:t>y</w:t>
      </w:r>
      <w:r w:rsidR="00E55C4A" w:rsidRPr="00AB7EE3">
        <w:t xml:space="preserve"> </w:t>
      </w:r>
      <w:r w:rsidR="00554F0A" w:rsidRPr="00AB7EE3">
        <w:t>has</w:t>
      </w:r>
      <w:r w:rsidR="00675128" w:rsidRPr="00AB7EE3">
        <w:t xml:space="preserve"> been termed as </w:t>
      </w:r>
      <w:r w:rsidR="00E944FD" w:rsidRPr="00AB7EE3">
        <w:t xml:space="preserve">"active lifestyles" </w:t>
      </w:r>
      <w:r w:rsidR="00E55C4A" w:rsidRPr="00AB7EE3">
        <w:t xml:space="preserve">(e.g., Hill, Wahlin, Winblad, Beackman, 1995). </w:t>
      </w:r>
      <w:r w:rsidR="00831F6D" w:rsidRPr="00AB7EE3">
        <w:t>Physical e</w:t>
      </w:r>
      <w:r w:rsidR="002C38E2" w:rsidRPr="00AB7EE3">
        <w:t>xercise on the other hand, is most</w:t>
      </w:r>
      <w:r w:rsidR="00831F6D" w:rsidRPr="00AB7EE3">
        <w:t xml:space="preserve">ly described as the purposeful participation </w:t>
      </w:r>
      <w:r w:rsidR="00505F10" w:rsidRPr="00AB7EE3">
        <w:t xml:space="preserve">of older adults </w:t>
      </w:r>
      <w:r w:rsidR="00831F6D" w:rsidRPr="00AB7EE3">
        <w:t xml:space="preserve">in aerobic or </w:t>
      </w:r>
      <w:r w:rsidR="004E3A6A" w:rsidRPr="00AB7EE3">
        <w:t xml:space="preserve">non-aerobic </w:t>
      </w:r>
      <w:r w:rsidR="00BD4A73" w:rsidRPr="00AB7EE3">
        <w:t xml:space="preserve">activities. </w:t>
      </w:r>
      <w:r w:rsidR="00857A4C" w:rsidRPr="00AB7EE3">
        <w:t xml:space="preserve">In this </w:t>
      </w:r>
      <w:r w:rsidR="00E22F21" w:rsidRPr="00AB7EE3">
        <w:t>direction</w:t>
      </w:r>
      <w:r w:rsidR="00857A4C" w:rsidRPr="00AB7EE3">
        <w:t>, t</w:t>
      </w:r>
      <w:r w:rsidR="00A72B51" w:rsidRPr="00AB7EE3">
        <w:t xml:space="preserve">he customized </w:t>
      </w:r>
      <w:r w:rsidR="00E44C8C" w:rsidRPr="00AB7EE3">
        <w:t>CDC (2014)</w:t>
      </w:r>
      <w:r w:rsidR="00554F0A" w:rsidRPr="00AB7EE3">
        <w:t xml:space="preserve"> guidelines for</w:t>
      </w:r>
      <w:r w:rsidR="003452EF" w:rsidRPr="00AB7EE3">
        <w:t xml:space="preserve"> seniors recommend</w:t>
      </w:r>
      <w:r w:rsidR="00E44C8C" w:rsidRPr="00AB7EE3">
        <w:t xml:space="preserve"> at least 2.5 hours moderate intensity </w:t>
      </w:r>
      <w:r w:rsidR="00A43EF3" w:rsidRPr="00AB7EE3">
        <w:t>aerobic activity</w:t>
      </w:r>
      <w:r w:rsidR="003452EF" w:rsidRPr="00AB7EE3">
        <w:t xml:space="preserve"> per week</w:t>
      </w:r>
      <w:r w:rsidR="00CD5D6B" w:rsidRPr="00AB7EE3">
        <w:t xml:space="preserve"> (e.g. brisk walking</w:t>
      </w:r>
      <w:r w:rsidR="00E44C8C" w:rsidRPr="00AB7EE3">
        <w:t xml:space="preserve">), or alternatively, 1.25 hours of intense </w:t>
      </w:r>
      <w:r w:rsidR="0088440F" w:rsidRPr="00AB7EE3">
        <w:t>aerobic activity</w:t>
      </w:r>
      <w:r w:rsidR="00E44C8C" w:rsidRPr="00AB7EE3">
        <w:t xml:space="preserve"> (i.e., </w:t>
      </w:r>
      <w:r w:rsidR="00CD5D6B" w:rsidRPr="00AB7EE3">
        <w:t>jogging or running</w:t>
      </w:r>
      <w:r w:rsidR="00E44C8C" w:rsidRPr="00AB7EE3">
        <w:t>)</w:t>
      </w:r>
      <w:r w:rsidR="003452EF" w:rsidRPr="00AB7EE3">
        <w:t>.</w:t>
      </w:r>
    </w:p>
    <w:p w:rsidR="0011395A" w:rsidRPr="00AB7EE3" w:rsidRDefault="00A93B4F" w:rsidP="005C41B7">
      <w:pPr>
        <w:pStyle w:val="APAPar"/>
      </w:pPr>
      <w:r w:rsidRPr="00AB7EE3">
        <w:t>A direct link of the CDC</w:t>
      </w:r>
      <w:r w:rsidR="00691D1D" w:rsidRPr="00AB7EE3">
        <w:t xml:space="preserve"> </w:t>
      </w:r>
      <w:r w:rsidRPr="00AB7EE3">
        <w:t xml:space="preserve">(2014) recommendations for fostering health in older age, with </w:t>
      </w:r>
      <w:r w:rsidR="00527943" w:rsidRPr="00AB7EE3">
        <w:t xml:space="preserve">the </w:t>
      </w:r>
      <w:r w:rsidRPr="00AB7EE3">
        <w:t xml:space="preserve">scientific evidence </w:t>
      </w:r>
      <w:r w:rsidR="00527943" w:rsidRPr="00AB7EE3">
        <w:t xml:space="preserve">based upon which these recommendations were made </w:t>
      </w:r>
      <w:r w:rsidR="00EC5880" w:rsidRPr="00AB7EE3">
        <w:t xml:space="preserve">could not be </w:t>
      </w:r>
      <w:r w:rsidR="000B379A" w:rsidRPr="00AB7EE3">
        <w:t>traced</w:t>
      </w:r>
      <w:r w:rsidR="00EC5880" w:rsidRPr="00AB7EE3">
        <w:t xml:space="preserve">. </w:t>
      </w:r>
      <w:r w:rsidR="000B379A" w:rsidRPr="00AB7EE3">
        <w:t>However, t</w:t>
      </w:r>
      <w:r w:rsidR="007C597B" w:rsidRPr="00AB7EE3">
        <w:t>here is ample r</w:t>
      </w:r>
      <w:r w:rsidR="00EC5880" w:rsidRPr="00AB7EE3">
        <w:t xml:space="preserve">elevant </w:t>
      </w:r>
      <w:r w:rsidR="007C597B" w:rsidRPr="00AB7EE3">
        <w:t xml:space="preserve">empirical </w:t>
      </w:r>
      <w:r w:rsidR="00EC5880" w:rsidRPr="00AB7EE3">
        <w:t xml:space="preserve">evidence </w:t>
      </w:r>
      <w:r w:rsidR="007C597B" w:rsidRPr="00AB7EE3">
        <w:t xml:space="preserve">in the literature </w:t>
      </w:r>
      <w:r w:rsidR="00EC5880" w:rsidRPr="00AB7EE3">
        <w:t>de</w:t>
      </w:r>
      <w:r w:rsidR="00691D1D" w:rsidRPr="00AB7EE3">
        <w:t>pict</w:t>
      </w:r>
      <w:r w:rsidR="007C597B" w:rsidRPr="00AB7EE3">
        <w:t>ing</w:t>
      </w:r>
      <w:r w:rsidR="00527943" w:rsidRPr="00AB7EE3">
        <w:t xml:space="preserve"> </w:t>
      </w:r>
      <w:r w:rsidR="007C597B" w:rsidRPr="00AB7EE3">
        <w:t xml:space="preserve">significant </w:t>
      </w:r>
      <w:r w:rsidR="007729BF" w:rsidRPr="00AB7EE3">
        <w:t xml:space="preserve">physical and mental </w:t>
      </w:r>
      <w:r w:rsidR="00527943" w:rsidRPr="00AB7EE3">
        <w:t>health benefits</w:t>
      </w:r>
      <w:r w:rsidR="00691D1D" w:rsidRPr="00AB7EE3">
        <w:t xml:space="preserve"> </w:t>
      </w:r>
      <w:r w:rsidR="0011395A" w:rsidRPr="00AB7EE3">
        <w:t>deriving from physical activity</w:t>
      </w:r>
      <w:r w:rsidR="00691D1D" w:rsidRPr="00AB7EE3">
        <w:t xml:space="preserve">. </w:t>
      </w:r>
      <w:r w:rsidR="00251E4F" w:rsidRPr="00AB7EE3">
        <w:t xml:space="preserve">For instance, </w:t>
      </w:r>
      <w:r w:rsidR="00322451" w:rsidRPr="00AB7EE3">
        <w:t xml:space="preserve">Morris, Heady, Raffle, Roberts and Park (1953) have demonstrated early on that </w:t>
      </w:r>
      <w:r w:rsidR="004A5693" w:rsidRPr="00AB7EE3">
        <w:t xml:space="preserve">physical </w:t>
      </w:r>
      <w:r w:rsidR="004A5693" w:rsidRPr="00AB7EE3">
        <w:lastRenderedPageBreak/>
        <w:t xml:space="preserve">activity </w:t>
      </w:r>
      <w:r w:rsidR="00322451" w:rsidRPr="00AB7EE3">
        <w:t xml:space="preserve">and death rates from coronary heart diseases are inversely related. Relevant evidence for the beneficial effects of </w:t>
      </w:r>
      <w:r w:rsidR="00F114F6" w:rsidRPr="00AB7EE3">
        <w:t xml:space="preserve">physical activity </w:t>
      </w:r>
      <w:r w:rsidR="00A54CD3" w:rsidRPr="00AB7EE3">
        <w:t>exist</w:t>
      </w:r>
      <w:r w:rsidR="00675E5C" w:rsidRPr="00AB7EE3">
        <w:t>s</w:t>
      </w:r>
      <w:r w:rsidR="00A54CD3" w:rsidRPr="00AB7EE3">
        <w:t xml:space="preserve"> </w:t>
      </w:r>
      <w:r w:rsidR="00322451" w:rsidRPr="00AB7EE3">
        <w:t xml:space="preserve">on avoiding the </w:t>
      </w:r>
      <w:r w:rsidR="007F6CBE" w:rsidRPr="00AB7EE3">
        <w:t>occurrence</w:t>
      </w:r>
      <w:r w:rsidR="00322451" w:rsidRPr="00AB7EE3">
        <w:t xml:space="preserve"> or the severity of osteoporosis (Kelley, 1998), cardiovascular diseases (Oguma &amp; Shidona-Tawaga, 2004), type 2 diabetes (Laaksonen et al., 2005), as well as of colon</w:t>
      </w:r>
      <w:r w:rsidR="0011395A" w:rsidRPr="00AB7EE3">
        <w:t xml:space="preserve"> and breast cancer (Lee, 2003).</w:t>
      </w:r>
    </w:p>
    <w:p w:rsidR="00322451" w:rsidRPr="00AB7EE3" w:rsidRDefault="001E67EE" w:rsidP="005C41B7">
      <w:pPr>
        <w:pStyle w:val="APAPar"/>
      </w:pPr>
      <w:r w:rsidRPr="00AB7EE3">
        <w:t>In turn, s</w:t>
      </w:r>
      <w:r w:rsidR="00322451" w:rsidRPr="00AB7EE3">
        <w:t>uch pathologies have been related with poorer cognitive vitality (Cukierman, Gerstein, &amp; Williamson, 2005; Daliento, Mapelli, &amp; Volpe, 2006; Nail, 2006)</w:t>
      </w:r>
      <w:r w:rsidR="00A54CD3" w:rsidRPr="00AB7EE3">
        <w:t>, indic</w:t>
      </w:r>
      <w:r w:rsidR="00F57FD5" w:rsidRPr="00AB7EE3">
        <w:t>a</w:t>
      </w:r>
      <w:r w:rsidR="00A54CD3" w:rsidRPr="00AB7EE3">
        <w:t xml:space="preserve">ting an indirect relation between </w:t>
      </w:r>
      <w:r w:rsidR="00F114F6" w:rsidRPr="00AB7EE3">
        <w:t>physical activity</w:t>
      </w:r>
      <w:r w:rsidR="00A54CD3" w:rsidRPr="00AB7EE3">
        <w:t xml:space="preserve"> and </w:t>
      </w:r>
      <w:r w:rsidR="00F114F6" w:rsidRPr="00AB7EE3">
        <w:t xml:space="preserve">cognitive </w:t>
      </w:r>
      <w:r w:rsidR="008A6B34" w:rsidRPr="00AB7EE3">
        <w:t>performance</w:t>
      </w:r>
      <w:r w:rsidR="00A54CD3" w:rsidRPr="00AB7EE3">
        <w:t xml:space="preserve"> through health</w:t>
      </w:r>
      <w:r w:rsidR="00322451" w:rsidRPr="00AB7EE3">
        <w:t xml:space="preserve">. </w:t>
      </w:r>
      <w:r w:rsidR="00251E4F" w:rsidRPr="00AB7EE3">
        <w:t xml:space="preserve">This relation is mediated by a </w:t>
      </w:r>
      <w:r w:rsidR="00322451" w:rsidRPr="00AB7EE3">
        <w:t>compromise</w:t>
      </w:r>
      <w:r w:rsidR="00251E4F" w:rsidRPr="00AB7EE3">
        <w:t>d</w:t>
      </w:r>
      <w:r w:rsidR="00322451" w:rsidRPr="00AB7EE3">
        <w:t xml:space="preserve"> pulmonary function</w:t>
      </w:r>
      <w:r w:rsidR="007729BF" w:rsidRPr="00AB7EE3">
        <w:t xml:space="preserve"> and </w:t>
      </w:r>
      <w:r w:rsidR="00251E4F" w:rsidRPr="00AB7EE3">
        <w:t>consequent</w:t>
      </w:r>
      <w:r w:rsidR="007729BF" w:rsidRPr="00AB7EE3">
        <w:t xml:space="preserve"> </w:t>
      </w:r>
      <w:r w:rsidR="00251E4F" w:rsidRPr="00AB7EE3">
        <w:t xml:space="preserve">poorer </w:t>
      </w:r>
      <w:r w:rsidR="007729BF" w:rsidRPr="00AB7EE3">
        <w:t>oxygenation of neurons in the brain</w:t>
      </w:r>
      <w:r w:rsidR="00322451" w:rsidRPr="00AB7EE3">
        <w:t xml:space="preserve"> (Moss, Franks, Briggs, Kennedy, &amp; Scholey, 2005; Ortapamuk &amp; Naldoken, 2006</w:t>
      </w:r>
      <w:r w:rsidR="00230CCA" w:rsidRPr="00AB7EE3">
        <w:t xml:space="preserve">). </w:t>
      </w:r>
      <w:r w:rsidR="00251E4F" w:rsidRPr="00AB7EE3">
        <w:t>On the other hand,</w:t>
      </w:r>
      <w:r w:rsidR="00E22F21" w:rsidRPr="00AB7EE3">
        <w:t xml:space="preserve"> b</w:t>
      </w:r>
      <w:r w:rsidR="00322451" w:rsidRPr="00AB7EE3">
        <w:t>et</w:t>
      </w:r>
      <w:r w:rsidR="003B14F8" w:rsidRPr="00AB7EE3">
        <w:t>ter cardiovascular conditioning</w:t>
      </w:r>
      <w:r w:rsidR="00230CCA" w:rsidRPr="00AB7EE3">
        <w:t xml:space="preserve"> </w:t>
      </w:r>
      <w:r w:rsidR="00E22F21" w:rsidRPr="00AB7EE3">
        <w:t>and</w:t>
      </w:r>
      <w:r w:rsidR="00322451" w:rsidRPr="00AB7EE3">
        <w:t xml:space="preserve"> </w:t>
      </w:r>
      <w:r w:rsidR="00251E4F" w:rsidRPr="00AB7EE3">
        <w:t xml:space="preserve">therefore </w:t>
      </w:r>
      <w:r w:rsidR="00322451" w:rsidRPr="00AB7EE3">
        <w:t xml:space="preserve">oxygenation </w:t>
      </w:r>
      <w:r w:rsidR="003B14F8" w:rsidRPr="00AB7EE3">
        <w:t>of</w:t>
      </w:r>
      <w:r w:rsidR="00322451" w:rsidRPr="00AB7EE3">
        <w:t xml:space="preserve"> </w:t>
      </w:r>
      <w:r w:rsidR="00C8505C" w:rsidRPr="00AB7EE3">
        <w:t xml:space="preserve">neurons in </w:t>
      </w:r>
      <w:r w:rsidR="00322451" w:rsidRPr="00AB7EE3">
        <w:t>the brain</w:t>
      </w:r>
      <w:r w:rsidR="00E22F21" w:rsidRPr="00AB7EE3">
        <w:t xml:space="preserve"> seems to </w:t>
      </w:r>
      <w:r w:rsidR="00251E4F" w:rsidRPr="00AB7EE3">
        <w:t xml:space="preserve">attenuate </w:t>
      </w:r>
      <w:r w:rsidRPr="00AB7EE3">
        <w:t xml:space="preserve">age-related </w:t>
      </w:r>
      <w:r w:rsidR="00CA05C3" w:rsidRPr="00AB7EE3">
        <w:t>cerebral degenerations,</w:t>
      </w:r>
      <w:r w:rsidR="00251E4F" w:rsidRPr="00AB7EE3">
        <w:t xml:space="preserve"> which is</w:t>
      </w:r>
      <w:r w:rsidR="00CA05C3" w:rsidRPr="00AB7EE3">
        <w:t xml:space="preserve"> manifes</w:t>
      </w:r>
      <w:r w:rsidR="000B379A" w:rsidRPr="00AB7EE3">
        <w:t xml:space="preserve">ted as better cognitive performance in the relevant </w:t>
      </w:r>
      <w:r w:rsidR="00E22F21" w:rsidRPr="00AB7EE3">
        <w:t xml:space="preserve">neuropsychological </w:t>
      </w:r>
      <w:r w:rsidR="000B379A" w:rsidRPr="00AB7EE3">
        <w:t>assessments</w:t>
      </w:r>
      <w:r w:rsidR="00CA05C3" w:rsidRPr="00AB7EE3">
        <w:t xml:space="preserve"> </w:t>
      </w:r>
      <w:r w:rsidR="00322451" w:rsidRPr="00AB7EE3">
        <w:t xml:space="preserve">(Dishman, Berhoud, &amp; Booth, 2006). </w:t>
      </w:r>
    </w:p>
    <w:p w:rsidR="00322451" w:rsidRPr="00AB7EE3" w:rsidRDefault="00322451" w:rsidP="005C41B7">
      <w:pPr>
        <w:pStyle w:val="APAPar"/>
      </w:pPr>
      <w:r w:rsidRPr="00AB7EE3">
        <w:t xml:space="preserve">Supportive evidence </w:t>
      </w:r>
      <w:r w:rsidR="00B159E4" w:rsidRPr="00AB7EE3">
        <w:t xml:space="preserve">for the mediating role of pulmonary function </w:t>
      </w:r>
      <w:r w:rsidR="00230CCA" w:rsidRPr="00AB7EE3">
        <w:t xml:space="preserve">in </w:t>
      </w:r>
      <w:r w:rsidR="00E22F21" w:rsidRPr="00AB7EE3">
        <w:t>the relation</w:t>
      </w:r>
      <w:r w:rsidR="000E0527" w:rsidRPr="00AB7EE3">
        <w:t>ship</w:t>
      </w:r>
      <w:r w:rsidR="00E22F21" w:rsidRPr="00AB7EE3">
        <w:t xml:space="preserve"> between physical health and </w:t>
      </w:r>
      <w:r w:rsidR="00230CCA" w:rsidRPr="00AB7EE3">
        <w:t xml:space="preserve">cognitive vitality </w:t>
      </w:r>
      <w:r w:rsidRPr="00AB7EE3">
        <w:t xml:space="preserve">comes </w:t>
      </w:r>
      <w:r w:rsidR="00D45A5C" w:rsidRPr="00AB7EE3">
        <w:t xml:space="preserve">from studies that </w:t>
      </w:r>
      <w:r w:rsidR="006735D6" w:rsidRPr="00AB7EE3">
        <w:t xml:space="preserve">used neuropsychological and </w:t>
      </w:r>
      <w:r w:rsidR="00D45A5C" w:rsidRPr="00AB7EE3">
        <w:t xml:space="preserve">neuroimaging </w:t>
      </w:r>
      <w:r w:rsidR="006735D6" w:rsidRPr="00AB7EE3">
        <w:t>assessments</w:t>
      </w:r>
      <w:r w:rsidR="004E7690" w:rsidRPr="00AB7EE3">
        <w:t xml:space="preserve"> </w:t>
      </w:r>
      <w:r w:rsidR="00251E4F" w:rsidRPr="00AB7EE3">
        <w:t>with people under different conditions of oxygen deprivation/intake.</w:t>
      </w:r>
      <w:r w:rsidR="00DF34B1" w:rsidRPr="00AB7EE3">
        <w:t xml:space="preserve"> </w:t>
      </w:r>
      <w:r w:rsidR="00251E4F" w:rsidRPr="00AB7EE3">
        <w:t>Thus, t</w:t>
      </w:r>
      <w:r w:rsidR="00DF34B1" w:rsidRPr="00AB7EE3">
        <w:t>wo</w:t>
      </w:r>
      <w:r w:rsidRPr="00AB7EE3">
        <w:t xml:space="preserve"> studies on </w:t>
      </w:r>
      <w:r w:rsidR="000E0527" w:rsidRPr="00AB7EE3">
        <w:t xml:space="preserve">deep sea </w:t>
      </w:r>
      <w:r w:rsidRPr="00AB7EE3">
        <w:t>divers (Ridgway &amp; McFarland</w:t>
      </w:r>
      <w:r w:rsidR="002F5874" w:rsidRPr="00AB7EE3">
        <w:t>, 2006</w:t>
      </w:r>
      <w:r w:rsidRPr="00AB7EE3">
        <w:t>) and mountaineers (Kramer, Coyne, &amp; Strayer, 1993</w:t>
      </w:r>
      <w:r w:rsidR="00F6138A" w:rsidRPr="00AB7EE3">
        <w:t>)</w:t>
      </w:r>
      <w:r w:rsidR="006735D6" w:rsidRPr="00AB7EE3">
        <w:t xml:space="preserve"> concluded</w:t>
      </w:r>
      <w:r w:rsidRPr="00AB7EE3">
        <w:t xml:space="preserve"> that extreme oxygen deprivation results to compromised </w:t>
      </w:r>
      <w:r w:rsidR="00916AA0" w:rsidRPr="00AB7EE3">
        <w:t xml:space="preserve">cognitive </w:t>
      </w:r>
      <w:r w:rsidR="00803C58" w:rsidRPr="00AB7EE3">
        <w:t xml:space="preserve">performance, which </w:t>
      </w:r>
      <w:r w:rsidR="00251E4F" w:rsidRPr="00AB7EE3">
        <w:t>is</w:t>
      </w:r>
      <w:r w:rsidR="00803C58" w:rsidRPr="00AB7EE3">
        <w:t xml:space="preserve"> restored when th</w:t>
      </w:r>
      <w:r w:rsidR="008A02A7" w:rsidRPr="00AB7EE3">
        <w:t>e</w:t>
      </w:r>
      <w:r w:rsidR="00803C58" w:rsidRPr="00AB7EE3">
        <w:t xml:space="preserve"> </w:t>
      </w:r>
      <w:r w:rsidR="008A02A7" w:rsidRPr="00AB7EE3">
        <w:t>levels of oxygen return to normal levels</w:t>
      </w:r>
      <w:r w:rsidRPr="00AB7EE3">
        <w:t>. Eri</w:t>
      </w:r>
      <w:r w:rsidR="002F5874" w:rsidRPr="00AB7EE3">
        <w:t>c</w:t>
      </w:r>
      <w:r w:rsidRPr="00AB7EE3">
        <w:t xml:space="preserve">kson </w:t>
      </w:r>
      <w:r w:rsidR="002F5874" w:rsidRPr="00AB7EE3">
        <w:t>et al.</w:t>
      </w:r>
      <w:r w:rsidRPr="00AB7EE3">
        <w:t xml:space="preserve"> (</w:t>
      </w:r>
      <w:r w:rsidR="0032479E" w:rsidRPr="00AB7EE3">
        <w:t xml:space="preserve">2009, </w:t>
      </w:r>
      <w:r w:rsidRPr="00AB7EE3">
        <w:t>2011) examined</w:t>
      </w:r>
      <w:r w:rsidR="00F6138A" w:rsidRPr="00AB7EE3">
        <w:t xml:space="preserve"> </w:t>
      </w:r>
      <w:r w:rsidRPr="00AB7EE3">
        <w:t xml:space="preserve">the </w:t>
      </w:r>
      <w:r w:rsidR="00F6138A" w:rsidRPr="00AB7EE3">
        <w:t>relation</w:t>
      </w:r>
      <w:r w:rsidR="000E0527" w:rsidRPr="00AB7EE3">
        <w:t>ship</w:t>
      </w:r>
      <w:r w:rsidR="00F6138A" w:rsidRPr="00AB7EE3">
        <w:t xml:space="preserve"> between </w:t>
      </w:r>
      <w:r w:rsidRPr="00AB7EE3">
        <w:t xml:space="preserve">improvements in oxygen intake capacity </w:t>
      </w:r>
      <w:r w:rsidR="008A02A7" w:rsidRPr="00AB7EE3">
        <w:t xml:space="preserve">through exercise </w:t>
      </w:r>
      <w:r w:rsidRPr="00AB7EE3">
        <w:t xml:space="preserve">on </w:t>
      </w:r>
      <w:r w:rsidR="00DD70ED" w:rsidRPr="00AB7EE3">
        <w:t>older adults’ cognitive performance</w:t>
      </w:r>
      <w:r w:rsidRPr="00AB7EE3">
        <w:t xml:space="preserve">. </w:t>
      </w:r>
      <w:r w:rsidR="008A02A7" w:rsidRPr="00AB7EE3">
        <w:t xml:space="preserve">In their study, </w:t>
      </w:r>
      <w:r w:rsidRPr="00AB7EE3">
        <w:t xml:space="preserve">participation in 6 months of aerobic exercise led to a 7.78% improvement in maximal oxygen intake, compared to 1.1% in the control group that was </w:t>
      </w:r>
      <w:r w:rsidR="00251E4F" w:rsidRPr="00AB7EE3">
        <w:t>assigned to</w:t>
      </w:r>
      <w:r w:rsidRPr="00AB7EE3">
        <w:t xml:space="preserve"> a stretching program. By using </w:t>
      </w:r>
      <w:r w:rsidR="00BF412F" w:rsidRPr="00AB7EE3">
        <w:t>MRI</w:t>
      </w:r>
      <w:r w:rsidRPr="00AB7EE3">
        <w:t xml:space="preserve">, the researchers found that </w:t>
      </w:r>
      <w:r w:rsidR="000E0527" w:rsidRPr="00AB7EE3">
        <w:t>for</w:t>
      </w:r>
      <w:r w:rsidRPr="00AB7EE3">
        <w:t xml:space="preserve"> participants </w:t>
      </w:r>
      <w:r w:rsidRPr="00AB7EE3">
        <w:lastRenderedPageBreak/>
        <w:t xml:space="preserve">assigned </w:t>
      </w:r>
      <w:r w:rsidR="00646102">
        <w:t>to</w:t>
      </w:r>
      <w:r w:rsidRPr="00AB7EE3">
        <w:t xml:space="preserve"> the aerobic group, </w:t>
      </w:r>
      <w:r w:rsidR="00646102">
        <w:t>there was</w:t>
      </w:r>
      <w:r w:rsidRPr="00AB7EE3">
        <w:t xml:space="preserve"> an evident and significant increase in the volum</w:t>
      </w:r>
      <w:r w:rsidR="00F6138A" w:rsidRPr="00AB7EE3">
        <w:t xml:space="preserve">e of their anterior hippocampus (i.e., </w:t>
      </w:r>
      <w:r w:rsidRPr="00AB7EE3">
        <w:t>a region in the brain that is related with memory function</w:t>
      </w:r>
      <w:r w:rsidR="00F6138A" w:rsidRPr="00AB7EE3">
        <w:t>)</w:t>
      </w:r>
      <w:r w:rsidRPr="00AB7EE3">
        <w:t xml:space="preserve">. They also observed </w:t>
      </w:r>
      <w:r w:rsidR="007C7848" w:rsidRPr="00AB7EE3">
        <w:t>improved</w:t>
      </w:r>
      <w:r w:rsidRPr="00AB7EE3">
        <w:t xml:space="preserve"> </w:t>
      </w:r>
      <w:r w:rsidR="004814B9" w:rsidRPr="00AB7EE3">
        <w:t xml:space="preserve">cognitive </w:t>
      </w:r>
      <w:r w:rsidR="00CD380E" w:rsidRPr="00AB7EE3">
        <w:t>performance</w:t>
      </w:r>
      <w:r w:rsidRPr="00AB7EE3">
        <w:t xml:space="preserve"> in spatial memory tasks </w:t>
      </w:r>
      <w:r w:rsidR="007C7848" w:rsidRPr="00AB7EE3">
        <w:t>in this group</w:t>
      </w:r>
      <w:r w:rsidRPr="00AB7EE3">
        <w:t>.</w:t>
      </w:r>
      <w:r w:rsidR="005B5B3A" w:rsidRPr="00AB7EE3">
        <w:t xml:space="preserve"> These improvements were </w:t>
      </w:r>
      <w:r w:rsidR="00F6138A" w:rsidRPr="00AB7EE3">
        <w:t xml:space="preserve">also </w:t>
      </w:r>
      <w:r w:rsidR="005B5B3A" w:rsidRPr="00AB7EE3">
        <w:t xml:space="preserve">related with increased Brain Derived Neurotrophic Factor (BDNF) serum levels, a protein that is related to nerve growth. Together, these findings led to the conclusion that increased levels of </w:t>
      </w:r>
      <w:r w:rsidR="00F57FD5" w:rsidRPr="00AB7EE3">
        <w:t>exercise</w:t>
      </w:r>
      <w:r w:rsidR="005B5B3A" w:rsidRPr="00AB7EE3">
        <w:t xml:space="preserve"> </w:t>
      </w:r>
      <w:r w:rsidR="007C7848" w:rsidRPr="00AB7EE3">
        <w:t>augment</w:t>
      </w:r>
      <w:r w:rsidR="005B5B3A" w:rsidRPr="00AB7EE3">
        <w:t xml:space="preserve"> the segregation of the BDNF, leading to more neurogenesis in brain tissue</w:t>
      </w:r>
      <w:r w:rsidR="00F6138A" w:rsidRPr="00AB7EE3">
        <w:t xml:space="preserve"> </w:t>
      </w:r>
      <w:r w:rsidR="00675E5C" w:rsidRPr="00AB7EE3">
        <w:t>in</w:t>
      </w:r>
      <w:r w:rsidR="00F6138A" w:rsidRPr="00AB7EE3">
        <w:t xml:space="preserve"> areas that are related with memory</w:t>
      </w:r>
      <w:r w:rsidR="005B5B3A" w:rsidRPr="00AB7EE3">
        <w:t>.</w:t>
      </w:r>
    </w:p>
    <w:p w:rsidR="004814B9" w:rsidRPr="00AB7EE3" w:rsidRDefault="007C7848" w:rsidP="005C41B7">
      <w:pPr>
        <w:pStyle w:val="APAPar"/>
      </w:pPr>
      <w:r w:rsidRPr="00AB7EE3">
        <w:t>Similarly</w:t>
      </w:r>
      <w:r w:rsidR="004814B9" w:rsidRPr="00AB7EE3">
        <w:t xml:space="preserve">, Rosano et al. (2010) found that seniors engaging regularly in </w:t>
      </w:r>
      <w:r w:rsidR="00F57FD5" w:rsidRPr="00AB7EE3">
        <w:t>exercise</w:t>
      </w:r>
      <w:r w:rsidR="004814B9" w:rsidRPr="00AB7EE3">
        <w:t xml:space="preserve"> had better cognitive performance in speed of processing and greater activ</w:t>
      </w:r>
      <w:r w:rsidRPr="00AB7EE3">
        <w:t xml:space="preserve">ation in related brain areas. This was further supported by </w:t>
      </w:r>
      <w:r w:rsidR="004814B9" w:rsidRPr="00AB7EE3">
        <w:t xml:space="preserve">Colcombe et al. (2004) </w:t>
      </w:r>
      <w:r w:rsidR="00E22F21" w:rsidRPr="00AB7EE3">
        <w:t xml:space="preserve">study </w:t>
      </w:r>
      <w:r w:rsidR="004814B9" w:rsidRPr="00AB7EE3">
        <w:t xml:space="preserve">who found that older adults who participate in </w:t>
      </w:r>
      <w:r w:rsidR="00F57FD5" w:rsidRPr="00AB7EE3">
        <w:t>exercise</w:t>
      </w:r>
      <w:r w:rsidR="004814B9" w:rsidRPr="00AB7EE3">
        <w:t xml:space="preserve"> show</w:t>
      </w:r>
      <w:r w:rsidRPr="00AB7EE3">
        <w:t>ed</w:t>
      </w:r>
      <w:r w:rsidR="004814B9" w:rsidRPr="00AB7EE3">
        <w:t xml:space="preserve"> greater activation in areas that are related with spatial selection, attention and inhibitory functions. </w:t>
      </w:r>
      <w:r w:rsidRPr="00AB7EE3">
        <w:t>Finally, t</w:t>
      </w:r>
      <w:r w:rsidR="004814B9" w:rsidRPr="00AB7EE3">
        <w:t xml:space="preserve">he meta-analysis from Colcombe and Kramer (2003) of 18 intervention studies on healthy but sedentary older adults showed that increased levels of </w:t>
      </w:r>
      <w:r w:rsidR="008C6BDD" w:rsidRPr="00AB7EE3">
        <w:t>exercise</w:t>
      </w:r>
      <w:r w:rsidR="004814B9" w:rsidRPr="00AB7EE3">
        <w:t xml:space="preserve"> </w:t>
      </w:r>
      <w:r w:rsidRPr="00AB7EE3">
        <w:t>improved</w:t>
      </w:r>
      <w:r w:rsidR="004814B9" w:rsidRPr="00AB7EE3">
        <w:t xml:space="preserve"> cognitive performance</w:t>
      </w:r>
      <w:r w:rsidR="000E0527" w:rsidRPr="00AB7EE3">
        <w:t xml:space="preserve"> o</w:t>
      </w:r>
      <w:r w:rsidR="004814B9" w:rsidRPr="00AB7EE3">
        <w:t xml:space="preserve">n average 0.5 SD in 4 cognitive domains, namely </w:t>
      </w:r>
      <w:r w:rsidR="000E0527" w:rsidRPr="00AB7EE3">
        <w:t xml:space="preserve">the </w:t>
      </w:r>
      <w:r w:rsidR="004814B9" w:rsidRPr="00AB7EE3">
        <w:t>speed of processing, visuospatial skills, controlled processing, and executive control.</w:t>
      </w:r>
    </w:p>
    <w:p w:rsidR="007F287C" w:rsidRPr="00AB7EE3" w:rsidRDefault="007F287C" w:rsidP="005D6C71">
      <w:pPr>
        <w:pStyle w:val="Heading3"/>
      </w:pPr>
      <w:bookmarkStart w:id="75" w:name="_Toc373425944"/>
      <w:bookmarkStart w:id="76" w:name="_Toc521184182"/>
      <w:r w:rsidRPr="00AB7EE3">
        <w:t>The effect</w:t>
      </w:r>
      <w:r w:rsidR="003C4A3F" w:rsidRPr="00AB7EE3">
        <w:t xml:space="preserve"> of</w:t>
      </w:r>
      <w:r w:rsidRPr="00AB7EE3">
        <w:t xml:space="preserve"> </w:t>
      </w:r>
      <w:r w:rsidR="003C4A3F" w:rsidRPr="00AB7EE3">
        <w:t>Social Participation</w:t>
      </w:r>
      <w:bookmarkEnd w:id="75"/>
      <w:r w:rsidR="000B379A" w:rsidRPr="00AB7EE3">
        <w:t xml:space="preserve"> on Cognitive Vitality</w:t>
      </w:r>
      <w:bookmarkEnd w:id="76"/>
    </w:p>
    <w:p w:rsidR="000E0527" w:rsidRPr="00AB7EE3" w:rsidRDefault="00322451" w:rsidP="005C41B7">
      <w:pPr>
        <w:pStyle w:val="APAPar"/>
      </w:pPr>
      <w:r w:rsidRPr="00AB7EE3">
        <w:t xml:space="preserve">The relation between </w:t>
      </w:r>
      <w:r w:rsidR="0011497F" w:rsidRPr="00AB7EE3">
        <w:t>social participation</w:t>
      </w:r>
      <w:r w:rsidRPr="00AB7EE3">
        <w:t xml:space="preserve"> and cognitive vitality in older age</w:t>
      </w:r>
      <w:r w:rsidR="00780EA9" w:rsidRPr="00AB7EE3">
        <w:t xml:space="preserve"> has </w:t>
      </w:r>
      <w:r w:rsidRPr="00AB7EE3">
        <w:t>at</w:t>
      </w:r>
      <w:r w:rsidR="00780EA9" w:rsidRPr="00AB7EE3">
        <w:t>tracted</w:t>
      </w:r>
      <w:r w:rsidR="002B7E60" w:rsidRPr="00AB7EE3">
        <w:t xml:space="preserve"> much attention. Social participation </w:t>
      </w:r>
      <w:r w:rsidR="00094207" w:rsidRPr="00AB7EE3">
        <w:t xml:space="preserve">was highlighted </w:t>
      </w:r>
      <w:r w:rsidR="002B7E60" w:rsidRPr="00AB7EE3">
        <w:t xml:space="preserve">early on </w:t>
      </w:r>
      <w:r w:rsidR="00094207" w:rsidRPr="00AB7EE3">
        <w:t xml:space="preserve">as </w:t>
      </w:r>
      <w:r w:rsidR="002B7E60" w:rsidRPr="00AB7EE3">
        <w:t xml:space="preserve">a key strategy in the political agenda of </w:t>
      </w:r>
      <w:r w:rsidR="000E0527" w:rsidRPr="00AB7EE3">
        <w:t xml:space="preserve">the </w:t>
      </w:r>
      <w:r w:rsidR="002B7E60" w:rsidRPr="00AB7EE3">
        <w:t>WHO (2002) for the emerging health challenges of the demographic change into an ageing population. At the sa</w:t>
      </w:r>
      <w:r w:rsidR="00094207" w:rsidRPr="00AB7EE3">
        <w:t>me time, social participation seems to be</w:t>
      </w:r>
      <w:r w:rsidR="002B7E60" w:rsidRPr="00AB7EE3">
        <w:t xml:space="preserve"> </w:t>
      </w:r>
      <w:r w:rsidR="00780EA9" w:rsidRPr="00AB7EE3">
        <w:t xml:space="preserve">greatly </w:t>
      </w:r>
      <w:r w:rsidR="002B7E60" w:rsidRPr="00AB7EE3">
        <w:t xml:space="preserve">valued </w:t>
      </w:r>
      <w:r w:rsidR="00780EA9" w:rsidRPr="00AB7EE3">
        <w:t xml:space="preserve">by </w:t>
      </w:r>
      <w:r w:rsidR="002B7E60" w:rsidRPr="00AB7EE3">
        <w:t xml:space="preserve">older adults, </w:t>
      </w:r>
      <w:r w:rsidR="00780EA9" w:rsidRPr="00AB7EE3">
        <w:t xml:space="preserve">as it provides </w:t>
      </w:r>
      <w:r w:rsidR="002B7E60" w:rsidRPr="00AB7EE3">
        <w:t xml:space="preserve">them </w:t>
      </w:r>
      <w:r w:rsidR="00780EA9" w:rsidRPr="00AB7EE3">
        <w:t xml:space="preserve">with </w:t>
      </w:r>
      <w:r w:rsidR="002B7E60" w:rsidRPr="00AB7EE3">
        <w:rPr>
          <w:lang w:val="en-US"/>
        </w:rPr>
        <w:t xml:space="preserve">meaningful </w:t>
      </w:r>
      <w:r w:rsidR="00E61862" w:rsidRPr="00AB7EE3">
        <w:rPr>
          <w:lang w:val="en-US"/>
        </w:rPr>
        <w:t>activities that elicit</w:t>
      </w:r>
      <w:r w:rsidR="002B7E60" w:rsidRPr="00AB7EE3">
        <w:rPr>
          <w:lang w:val="en-US"/>
        </w:rPr>
        <w:t xml:space="preserve"> a sense of fulfillment (Levasseur, St-Cyr Tribble, &amp; Desrosiers, 2009). </w:t>
      </w:r>
      <w:r w:rsidR="00780EA9" w:rsidRPr="00AB7EE3">
        <w:rPr>
          <w:lang w:val="en-US"/>
        </w:rPr>
        <w:t>Consequently, it</w:t>
      </w:r>
      <w:r w:rsidRPr="00AB7EE3">
        <w:t xml:space="preserve"> may not come as a surprise </w:t>
      </w:r>
      <w:r w:rsidR="00BD085F" w:rsidRPr="00AB7EE3">
        <w:t xml:space="preserve">that </w:t>
      </w:r>
      <w:r w:rsidR="00F727EE" w:rsidRPr="00AB7EE3">
        <w:t xml:space="preserve">those </w:t>
      </w:r>
      <w:r w:rsidRPr="00AB7EE3">
        <w:t>who are challenged by age-related neurological disorder</w:t>
      </w:r>
      <w:r w:rsidR="00A13B09" w:rsidRPr="00AB7EE3">
        <w:t>s</w:t>
      </w:r>
      <w:r w:rsidRPr="00AB7EE3">
        <w:t xml:space="preserve"> face </w:t>
      </w:r>
      <w:r w:rsidRPr="00AB7EE3">
        <w:lastRenderedPageBreak/>
        <w:t xml:space="preserve">difficulties in their social life. Recent findings </w:t>
      </w:r>
      <w:r w:rsidR="00A13B09" w:rsidRPr="00AB7EE3">
        <w:t xml:space="preserve">however </w:t>
      </w:r>
      <w:r w:rsidRPr="00AB7EE3">
        <w:t>argue that the reverse may hold true</w:t>
      </w:r>
      <w:r w:rsidR="000B379A" w:rsidRPr="00AB7EE3">
        <w:t xml:space="preserve"> as well</w:t>
      </w:r>
      <w:r w:rsidRPr="00AB7EE3">
        <w:t xml:space="preserve">. </w:t>
      </w:r>
      <w:r w:rsidR="00426028" w:rsidRPr="00AB7EE3">
        <w:t>More precisely</w:t>
      </w:r>
      <w:r w:rsidRPr="00AB7EE3">
        <w:t>, loneliness and social isolation are described to affect drastica</w:t>
      </w:r>
      <w:r w:rsidR="005B5B3A" w:rsidRPr="00AB7EE3">
        <w:t>lly older adults’ health and</w:t>
      </w:r>
      <w:r w:rsidR="008422AD" w:rsidRPr="00AB7EE3">
        <w:t xml:space="preserve"> quality of life (Cattan</w:t>
      </w:r>
      <w:r w:rsidRPr="00AB7EE3">
        <w:t xml:space="preserve"> </w:t>
      </w:r>
      <w:r w:rsidR="008B21BD" w:rsidRPr="00AB7EE3">
        <w:t xml:space="preserve">et al., </w:t>
      </w:r>
      <w:r w:rsidRPr="00AB7EE3">
        <w:t>2005), probably because they lead to inactivity, smoking, and adv</w:t>
      </w:r>
      <w:r w:rsidR="008422AD" w:rsidRPr="00AB7EE3">
        <w:t>erse health behaviours (Shankar</w:t>
      </w:r>
      <w:r w:rsidRPr="00AB7EE3">
        <w:t xml:space="preserve"> </w:t>
      </w:r>
      <w:r w:rsidR="008B21BD" w:rsidRPr="00AB7EE3">
        <w:t>et al.</w:t>
      </w:r>
      <w:r w:rsidR="008422AD" w:rsidRPr="00AB7EE3">
        <w:t xml:space="preserve"> 2011).</w:t>
      </w:r>
    </w:p>
    <w:p w:rsidR="00B21D0B" w:rsidRPr="00AB7EE3" w:rsidRDefault="008422AD" w:rsidP="005C41B7">
      <w:pPr>
        <w:pStyle w:val="APAPar"/>
      </w:pPr>
      <w:r w:rsidRPr="00AB7EE3">
        <w:t xml:space="preserve"> </w:t>
      </w:r>
      <w:r w:rsidR="00B21D0B" w:rsidRPr="00AB7EE3">
        <w:t xml:space="preserve">In this direction, Bowling and Stafford (2007), as well as Sharf, Phillipson, and Smith (2004) argued that neighbourhoods of lower SES have poorer availability </w:t>
      </w:r>
      <w:r w:rsidR="000E0527" w:rsidRPr="00AB7EE3">
        <w:t>of</w:t>
      </w:r>
      <w:r w:rsidR="00B21D0B" w:rsidRPr="00AB7EE3">
        <w:t xml:space="preserve"> social and public resources, </w:t>
      </w:r>
      <w:r w:rsidR="000E0527" w:rsidRPr="00AB7EE3">
        <w:t xml:space="preserve">which </w:t>
      </w:r>
      <w:r w:rsidR="00B21D0B" w:rsidRPr="00AB7EE3">
        <w:t>discourag</w:t>
      </w:r>
      <w:r w:rsidR="000E0527" w:rsidRPr="00AB7EE3">
        <w:t>es</w:t>
      </w:r>
      <w:r w:rsidR="00B21D0B" w:rsidRPr="00AB7EE3">
        <w:t xml:space="preserve"> an active lifestyle in older age. Magai et al. (2001), as well as Stalker (2011) added that withdrawal in older age relates to economic hardship, especially if one is</w:t>
      </w:r>
      <w:r w:rsidR="000E0527" w:rsidRPr="00AB7EE3">
        <w:t xml:space="preserve"> a</w:t>
      </w:r>
      <w:r w:rsidR="00B21D0B" w:rsidRPr="00AB7EE3">
        <w:t xml:space="preserve"> member of an ethnic minority group. Corsi and Lodovici (2013) argued that women have larger periods of working inactivity, in their greater effort to balance work and family life with age. Therefore, they are over represented in part time employment (Simonazzi, 2009), and </w:t>
      </w:r>
      <w:r w:rsidR="00780EA9" w:rsidRPr="00AB7EE3">
        <w:t xml:space="preserve">are </w:t>
      </w:r>
      <w:r w:rsidR="00B21D0B" w:rsidRPr="00AB7EE3">
        <w:t xml:space="preserve">in average less </w:t>
      </w:r>
      <w:r w:rsidR="00780EA9" w:rsidRPr="00AB7EE3">
        <w:t xml:space="preserve">compensated </w:t>
      </w:r>
      <w:r w:rsidR="00B21D0B" w:rsidRPr="00AB7EE3">
        <w:t>than men. This leads to disadvantages in allocating resources and social benefits for retirement, which in turn determine greatly life standards and access to quality health care (Walker, 1981).</w:t>
      </w:r>
    </w:p>
    <w:p w:rsidR="00A772C0" w:rsidRPr="00AB7EE3" w:rsidRDefault="00C3782F" w:rsidP="005C41B7">
      <w:pPr>
        <w:pStyle w:val="APAPar"/>
      </w:pPr>
      <w:r w:rsidRPr="00AB7EE3">
        <w:t xml:space="preserve">Barnes, Mendes de Leon, Wilson, Bienias, and Evans (2004) </w:t>
      </w:r>
      <w:r w:rsidR="00322451" w:rsidRPr="00AB7EE3">
        <w:t>found that among African Americans, tho</w:t>
      </w:r>
      <w:r w:rsidR="005B5B3A" w:rsidRPr="00AB7EE3">
        <w:t>se who had</w:t>
      </w:r>
      <w:r w:rsidR="00322451" w:rsidRPr="00AB7EE3">
        <w:t xml:space="preserve"> large social network sizes</w:t>
      </w:r>
      <w:r w:rsidR="00BD085F" w:rsidRPr="00AB7EE3">
        <w:t xml:space="preserve"> (90th percentile) </w:t>
      </w:r>
      <w:r w:rsidR="005B5B3A" w:rsidRPr="00AB7EE3">
        <w:t>and we</w:t>
      </w:r>
      <w:r w:rsidR="00322451" w:rsidRPr="00AB7EE3">
        <w:t>re very social</w:t>
      </w:r>
      <w:r w:rsidR="005B5B3A" w:rsidRPr="00AB7EE3">
        <w:t>ly</w:t>
      </w:r>
      <w:r w:rsidR="00322451" w:rsidRPr="00AB7EE3">
        <w:t xml:space="preserve"> active, compared to </w:t>
      </w:r>
      <w:r w:rsidR="005B5B3A" w:rsidRPr="00AB7EE3">
        <w:t>those (10th percentile) who had narrow social networks and we</w:t>
      </w:r>
      <w:r w:rsidR="00322451" w:rsidRPr="00AB7EE3">
        <w:t>re socially isolated, ha</w:t>
      </w:r>
      <w:r w:rsidR="00711AA3" w:rsidRPr="00AB7EE3">
        <w:t xml:space="preserve">d respectively </w:t>
      </w:r>
      <w:r w:rsidR="00322451" w:rsidRPr="00AB7EE3">
        <w:t xml:space="preserve">39% and </w:t>
      </w:r>
      <w:r w:rsidR="00711AA3" w:rsidRPr="00AB7EE3">
        <w:t xml:space="preserve">91% </w:t>
      </w:r>
      <w:r w:rsidR="00BD085F" w:rsidRPr="00AB7EE3">
        <w:t>reduced rates</w:t>
      </w:r>
      <w:r w:rsidR="00322451" w:rsidRPr="00AB7EE3">
        <w:t xml:space="preserve"> of cogn</w:t>
      </w:r>
      <w:r w:rsidR="002F5874" w:rsidRPr="00AB7EE3">
        <w:t xml:space="preserve">itive decline. Similarly, </w:t>
      </w:r>
      <w:r w:rsidRPr="00AB7EE3">
        <w:t>James, Wilson, Barnes and Bennett (2011)</w:t>
      </w:r>
      <w:r w:rsidR="005D4B9D" w:rsidRPr="00AB7EE3">
        <w:t xml:space="preserve"> </w:t>
      </w:r>
      <w:r w:rsidR="00322451" w:rsidRPr="00AB7EE3">
        <w:t>found that the rate of global cognitive decline was reduced by an average of 70% in persons who were very socially active (90th percentile) compared to persons who were infrequently socially active (10th percentile).</w:t>
      </w:r>
    </w:p>
    <w:p w:rsidR="007C02F0" w:rsidRPr="00AB7EE3" w:rsidRDefault="004B7B40" w:rsidP="005C41B7">
      <w:pPr>
        <w:pStyle w:val="APAPar"/>
      </w:pPr>
      <w:r w:rsidRPr="00AB7EE3">
        <w:t xml:space="preserve">In this direction, </w:t>
      </w:r>
      <w:r w:rsidR="00322451" w:rsidRPr="00AB7EE3">
        <w:t xml:space="preserve">Hertzog et al. (2009) argued </w:t>
      </w:r>
      <w:r w:rsidR="00A772C0" w:rsidRPr="00AB7EE3">
        <w:t xml:space="preserve">for a general </w:t>
      </w:r>
      <w:r w:rsidR="00F6138A" w:rsidRPr="00AB7EE3">
        <w:t xml:space="preserve">beneficial </w:t>
      </w:r>
      <w:r w:rsidR="00A772C0" w:rsidRPr="00AB7EE3">
        <w:t>effect</w:t>
      </w:r>
      <w:r w:rsidR="00F6138A" w:rsidRPr="00AB7EE3">
        <w:t xml:space="preserve"> of </w:t>
      </w:r>
      <w:r w:rsidR="00C92C76" w:rsidRPr="00AB7EE3">
        <w:t>social participation o</w:t>
      </w:r>
      <w:r w:rsidR="00CF3F71" w:rsidRPr="00AB7EE3">
        <w:t>n cognitive performance</w:t>
      </w:r>
      <w:r w:rsidR="000B379A" w:rsidRPr="00AB7EE3">
        <w:t xml:space="preserve">, </w:t>
      </w:r>
      <w:r w:rsidRPr="00AB7EE3">
        <w:t>known as</w:t>
      </w:r>
      <w:r w:rsidR="00284263" w:rsidRPr="00AB7EE3">
        <w:t xml:space="preserve"> the </w:t>
      </w:r>
      <w:r w:rsidR="00284263" w:rsidRPr="00AB7EE3">
        <w:rPr>
          <w:i/>
        </w:rPr>
        <w:t>social enrichment effect</w:t>
      </w:r>
      <w:r w:rsidR="00A772C0" w:rsidRPr="00AB7EE3">
        <w:t xml:space="preserve">. </w:t>
      </w:r>
      <w:r w:rsidR="000B379A" w:rsidRPr="00AB7EE3">
        <w:t>The authors</w:t>
      </w:r>
      <w:r w:rsidR="00F6138A" w:rsidRPr="00AB7EE3">
        <w:t xml:space="preserve"> argued </w:t>
      </w:r>
      <w:r w:rsidR="002F5874" w:rsidRPr="00AB7EE3">
        <w:t>t</w:t>
      </w:r>
      <w:r w:rsidR="00F6138A" w:rsidRPr="00AB7EE3">
        <w:t>hat</w:t>
      </w:r>
      <w:r w:rsidR="00A772C0" w:rsidRPr="00AB7EE3">
        <w:t xml:space="preserve"> </w:t>
      </w:r>
      <w:r w:rsidR="00322451" w:rsidRPr="00AB7EE3">
        <w:t xml:space="preserve">increased </w:t>
      </w:r>
      <w:r w:rsidR="00734A26" w:rsidRPr="00AB7EE3">
        <w:t>social participation</w:t>
      </w:r>
      <w:r w:rsidR="00322451" w:rsidRPr="00AB7EE3">
        <w:t xml:space="preserve"> </w:t>
      </w:r>
      <w:r w:rsidR="005D4B9D" w:rsidRPr="00AB7EE3">
        <w:t>requires a greater</w:t>
      </w:r>
      <w:r w:rsidR="00F6138A" w:rsidRPr="00AB7EE3">
        <w:t xml:space="preserve"> amount of </w:t>
      </w:r>
      <w:r w:rsidR="00BD085F" w:rsidRPr="00AB7EE3">
        <w:t>interaction</w:t>
      </w:r>
      <w:r w:rsidR="00C83153" w:rsidRPr="00AB7EE3">
        <w:t>s</w:t>
      </w:r>
      <w:r w:rsidR="00094207" w:rsidRPr="00AB7EE3">
        <w:t xml:space="preserve"> with </w:t>
      </w:r>
      <w:r w:rsidR="00C92C76" w:rsidRPr="00AB7EE3">
        <w:t>other</w:t>
      </w:r>
      <w:r w:rsidR="00CE3875" w:rsidRPr="00AB7EE3">
        <w:t xml:space="preserve"> </w:t>
      </w:r>
      <w:r w:rsidR="00094207" w:rsidRPr="00AB7EE3">
        <w:lastRenderedPageBreak/>
        <w:t>people</w:t>
      </w:r>
      <w:r w:rsidR="005D4B9D" w:rsidRPr="00AB7EE3">
        <w:t>,</w:t>
      </w:r>
      <w:r w:rsidR="00094207" w:rsidRPr="00AB7EE3">
        <w:t xml:space="preserve"> as well as </w:t>
      </w:r>
      <w:r w:rsidR="005D4B9D" w:rsidRPr="00AB7EE3">
        <w:t xml:space="preserve">an </w:t>
      </w:r>
      <w:r w:rsidR="000B379A" w:rsidRPr="00AB7EE3">
        <w:t xml:space="preserve">adaptation </w:t>
      </w:r>
      <w:r w:rsidR="005D4B9D" w:rsidRPr="00AB7EE3">
        <w:t xml:space="preserve">to cognitive </w:t>
      </w:r>
      <w:r w:rsidR="000B379A" w:rsidRPr="00AB7EE3">
        <w:t xml:space="preserve">demands in </w:t>
      </w:r>
      <w:r w:rsidR="00BD085F" w:rsidRPr="00AB7EE3">
        <w:t>environment</w:t>
      </w:r>
      <w:r w:rsidR="00F6138A" w:rsidRPr="00AB7EE3">
        <w:t>al settings</w:t>
      </w:r>
      <w:r w:rsidR="00A772C0" w:rsidRPr="00AB7EE3">
        <w:t>,</w:t>
      </w:r>
      <w:r w:rsidR="00BD085F" w:rsidRPr="00AB7EE3">
        <w:t xml:space="preserve"> </w:t>
      </w:r>
      <w:r w:rsidR="00A772C0" w:rsidRPr="00AB7EE3">
        <w:t>constituting</w:t>
      </w:r>
      <w:r w:rsidR="00BD085F" w:rsidRPr="00AB7EE3">
        <w:t xml:space="preserve"> </w:t>
      </w:r>
      <w:r w:rsidR="00F6138A" w:rsidRPr="00AB7EE3">
        <w:t xml:space="preserve">this way </w:t>
      </w:r>
      <w:r w:rsidR="00BD085F" w:rsidRPr="00AB7EE3">
        <w:t xml:space="preserve">a rich context of </w:t>
      </w:r>
      <w:r w:rsidR="00A772C0" w:rsidRPr="00AB7EE3">
        <w:t xml:space="preserve">cognitive stimulation. </w:t>
      </w:r>
      <w:r w:rsidR="00322451" w:rsidRPr="00AB7EE3">
        <w:t xml:space="preserve"> </w:t>
      </w:r>
      <w:r w:rsidR="00C83153" w:rsidRPr="00AB7EE3">
        <w:t>The frequent</w:t>
      </w:r>
      <w:r w:rsidR="00A772C0" w:rsidRPr="00AB7EE3">
        <w:t xml:space="preserve"> repetition of </w:t>
      </w:r>
      <w:r w:rsidR="00C83153" w:rsidRPr="00AB7EE3">
        <w:t xml:space="preserve">such </w:t>
      </w:r>
      <w:r w:rsidR="00A772C0" w:rsidRPr="00AB7EE3">
        <w:t xml:space="preserve">social interactions comprises </w:t>
      </w:r>
      <w:r w:rsidR="00322451" w:rsidRPr="00AB7EE3">
        <w:t xml:space="preserve">a </w:t>
      </w:r>
      <w:r w:rsidR="00E76890" w:rsidRPr="00AB7EE3">
        <w:t xml:space="preserve">frequent </w:t>
      </w:r>
      <w:r w:rsidR="00322451" w:rsidRPr="00AB7EE3">
        <w:t>in vivo cognitive training that</w:t>
      </w:r>
      <w:r w:rsidR="000B379A" w:rsidRPr="00AB7EE3">
        <w:t xml:space="preserve"> buffer</w:t>
      </w:r>
      <w:r w:rsidR="00094207" w:rsidRPr="00AB7EE3">
        <w:t>s</w:t>
      </w:r>
      <w:r w:rsidR="00322451" w:rsidRPr="00AB7EE3">
        <w:t xml:space="preserve"> against cognitive decline with ageing</w:t>
      </w:r>
      <w:r w:rsidRPr="00AB7EE3">
        <w:t xml:space="preserve">. </w:t>
      </w:r>
      <w:r w:rsidR="00E110CC" w:rsidRPr="00AB7EE3">
        <w:t xml:space="preserve">Supporting evidence derive from the study </w:t>
      </w:r>
      <w:r w:rsidR="0005234D" w:rsidRPr="00AB7EE3">
        <w:t>of Zunzunegui</w:t>
      </w:r>
      <w:r w:rsidR="00E110CC" w:rsidRPr="00AB7EE3">
        <w:t>, Alvarado, Del Ser, and Otero (2003), as well as</w:t>
      </w:r>
      <w:r w:rsidR="0005234D" w:rsidRPr="00AB7EE3">
        <w:t xml:space="preserve"> that o</w:t>
      </w:r>
      <w:r w:rsidR="00E110CC" w:rsidRPr="00AB7EE3">
        <w:t xml:space="preserve">f </w:t>
      </w:r>
      <w:r w:rsidR="0005234D" w:rsidRPr="00AB7EE3">
        <w:t>Bland</w:t>
      </w:r>
      <w:r w:rsidR="00E110CC" w:rsidRPr="00AB7EE3">
        <w:t>, Zunzunegui, Alvarado, Otero, &amp; Del Ser (2005)</w:t>
      </w:r>
      <w:r w:rsidR="007865AA" w:rsidRPr="00AB7EE3">
        <w:t>, who</w:t>
      </w:r>
      <w:r w:rsidR="00E110CC" w:rsidRPr="00AB7EE3">
        <w:t xml:space="preserve"> argued that social participation has a positive effect on cognitive trajectories among Spanish seniors. </w:t>
      </w:r>
      <w:r w:rsidR="00CE3875" w:rsidRPr="00AB7EE3">
        <w:t>Similarly</w:t>
      </w:r>
      <w:r w:rsidR="00E110CC" w:rsidRPr="00AB7EE3">
        <w:t>, Fiori et al. (2008) study illustrated that among older Americans, having a smaller social network, and having less frequent contact with friends and family</w:t>
      </w:r>
      <w:r w:rsidR="005D4B9D" w:rsidRPr="00AB7EE3">
        <w:t>, were</w:t>
      </w:r>
      <w:r w:rsidR="00E110CC" w:rsidRPr="00AB7EE3">
        <w:t xml:space="preserve"> related with more depressive symptoms, worse health, and less survival rates in a 12 years period of time. </w:t>
      </w:r>
    </w:p>
    <w:p w:rsidR="007469A8" w:rsidRPr="00AB7EE3" w:rsidRDefault="0029555E" w:rsidP="005C41B7">
      <w:pPr>
        <w:pStyle w:val="APAPar"/>
      </w:pPr>
      <w:r w:rsidRPr="00AB7EE3">
        <w:t>Kawachi and Berkman (2001) reviewed the relevant literature and argued</w:t>
      </w:r>
      <w:r w:rsidR="009C5255" w:rsidRPr="00AB7EE3">
        <w:t xml:space="preserve"> in favour of</w:t>
      </w:r>
      <w:r w:rsidRPr="00AB7EE3">
        <w:t xml:space="preserve"> the protective effect of </w:t>
      </w:r>
      <w:r w:rsidR="000E480E" w:rsidRPr="00AB7EE3">
        <w:t xml:space="preserve">social </w:t>
      </w:r>
      <w:r w:rsidR="009C5255" w:rsidRPr="00AB7EE3">
        <w:t>participation</w:t>
      </w:r>
      <w:r w:rsidRPr="00AB7EE3">
        <w:t xml:space="preserve"> on mental health</w:t>
      </w:r>
      <w:r w:rsidR="009C5255" w:rsidRPr="00AB7EE3">
        <w:t xml:space="preserve">, but </w:t>
      </w:r>
      <w:r w:rsidR="007C02F0" w:rsidRPr="00AB7EE3">
        <w:t>t</w:t>
      </w:r>
      <w:r w:rsidR="009C5255" w:rsidRPr="00AB7EE3">
        <w:t>hey cautioned that this</w:t>
      </w:r>
      <w:r w:rsidRPr="00AB7EE3">
        <w:t xml:space="preserve"> </w:t>
      </w:r>
      <w:r w:rsidR="004D1F43" w:rsidRPr="00AB7EE3">
        <w:t>may</w:t>
      </w:r>
      <w:r w:rsidR="00F6138A" w:rsidRPr="00AB7EE3">
        <w:t xml:space="preserve"> not</w:t>
      </w:r>
      <w:r w:rsidRPr="00AB7EE3">
        <w:t xml:space="preserve"> </w:t>
      </w:r>
      <w:r w:rsidR="004D1F43" w:rsidRPr="00AB7EE3">
        <w:t xml:space="preserve">be </w:t>
      </w:r>
      <w:r w:rsidRPr="00AB7EE3">
        <w:t xml:space="preserve">uniform across </w:t>
      </w:r>
      <w:r w:rsidR="00BD085F" w:rsidRPr="00AB7EE3">
        <w:t>cultures</w:t>
      </w:r>
      <w:r w:rsidRPr="00AB7EE3">
        <w:t xml:space="preserve">. </w:t>
      </w:r>
      <w:r w:rsidR="009C5255" w:rsidRPr="00AB7EE3">
        <w:t>In their cross-cultural study</w:t>
      </w:r>
      <w:r w:rsidR="00F6138A" w:rsidRPr="00AB7EE3">
        <w:t xml:space="preserve">, </w:t>
      </w:r>
      <w:r w:rsidRPr="00AB7EE3">
        <w:t xml:space="preserve">mental illness </w:t>
      </w:r>
      <w:r w:rsidR="00711AA3" w:rsidRPr="00AB7EE3">
        <w:t>was</w:t>
      </w:r>
      <w:r w:rsidRPr="00AB7EE3">
        <w:t xml:space="preserve"> </w:t>
      </w:r>
      <w:r w:rsidR="00711AA3" w:rsidRPr="00AB7EE3">
        <w:t>less</w:t>
      </w:r>
      <w:r w:rsidRPr="00AB7EE3">
        <w:t xml:space="preserve"> evident </w:t>
      </w:r>
      <w:r w:rsidR="00711AA3" w:rsidRPr="00AB7EE3">
        <w:t>among socially active individuals</w:t>
      </w:r>
      <w:r w:rsidR="009C5255" w:rsidRPr="00AB7EE3">
        <w:t>, h</w:t>
      </w:r>
      <w:r w:rsidR="004D1F43" w:rsidRPr="00AB7EE3">
        <w:t>owever inversely</w:t>
      </w:r>
      <w:r w:rsidR="00C92C76" w:rsidRPr="00AB7EE3">
        <w:t xml:space="preserve"> it was</w:t>
      </w:r>
      <w:r w:rsidR="00711AA3" w:rsidRPr="00AB7EE3">
        <w:t xml:space="preserve"> </w:t>
      </w:r>
      <w:r w:rsidR="002A0C14" w:rsidRPr="00AB7EE3">
        <w:t>more</w:t>
      </w:r>
      <w:r w:rsidR="00482358" w:rsidRPr="00AB7EE3">
        <w:t xml:space="preserve"> evident</w:t>
      </w:r>
      <w:r w:rsidR="002A0C14" w:rsidRPr="00AB7EE3">
        <w:t xml:space="preserve"> in</w:t>
      </w:r>
      <w:r w:rsidR="00482358" w:rsidRPr="00AB7EE3">
        <w:t xml:space="preserve"> </w:t>
      </w:r>
      <w:r w:rsidRPr="00AB7EE3">
        <w:t xml:space="preserve">older women </w:t>
      </w:r>
      <w:r w:rsidR="004D1F43" w:rsidRPr="00AB7EE3">
        <w:t xml:space="preserve">that </w:t>
      </w:r>
      <w:r w:rsidR="00F6138A" w:rsidRPr="00AB7EE3">
        <w:t xml:space="preserve">had </w:t>
      </w:r>
      <w:r w:rsidR="00711AA3" w:rsidRPr="00AB7EE3">
        <w:t>poor</w:t>
      </w:r>
      <w:r w:rsidRPr="00AB7EE3">
        <w:t xml:space="preserve"> resources</w:t>
      </w:r>
      <w:r w:rsidR="002A0C14" w:rsidRPr="00AB7EE3">
        <w:t xml:space="preserve"> and at the same time</w:t>
      </w:r>
      <w:r w:rsidR="00711AA3" w:rsidRPr="00AB7EE3">
        <w:t xml:space="preserve"> </w:t>
      </w:r>
      <w:r w:rsidR="002A0C14" w:rsidRPr="00AB7EE3">
        <w:t xml:space="preserve">were </w:t>
      </w:r>
      <w:r w:rsidR="00BD085F" w:rsidRPr="00AB7EE3">
        <w:t xml:space="preserve">expected </w:t>
      </w:r>
      <w:r w:rsidRPr="00AB7EE3">
        <w:t>to p</w:t>
      </w:r>
      <w:r w:rsidR="00711AA3" w:rsidRPr="00AB7EE3">
        <w:t>r</w:t>
      </w:r>
      <w:r w:rsidR="007D4791" w:rsidRPr="00AB7EE3">
        <w:t>ovide social support to others.</w:t>
      </w:r>
      <w:r w:rsidR="007C02F0" w:rsidRPr="00AB7EE3">
        <w:t xml:space="preserve"> </w:t>
      </w:r>
      <w:r w:rsidR="005C348B" w:rsidRPr="00AB7EE3">
        <w:t xml:space="preserve">The </w:t>
      </w:r>
      <w:r w:rsidR="007865AA" w:rsidRPr="00AB7EE3">
        <w:t>Fiori et al. (2008) study</w:t>
      </w:r>
      <w:r w:rsidR="005C348B" w:rsidRPr="00AB7EE3">
        <w:t xml:space="preserve"> also illustrated that although</w:t>
      </w:r>
      <w:r w:rsidR="00322451" w:rsidRPr="00AB7EE3">
        <w:t xml:space="preserve"> </w:t>
      </w:r>
      <w:r w:rsidR="00D200E8" w:rsidRPr="00AB7EE3">
        <w:t xml:space="preserve">a positive effect of </w:t>
      </w:r>
      <w:r w:rsidR="005C348B" w:rsidRPr="00AB7EE3">
        <w:t>social participation</w:t>
      </w:r>
      <w:r w:rsidR="00D200E8" w:rsidRPr="00AB7EE3">
        <w:t xml:space="preserve"> on </w:t>
      </w:r>
      <w:r w:rsidR="005C348B" w:rsidRPr="00AB7EE3">
        <w:t>cognitive vitality was evident</w:t>
      </w:r>
      <w:r w:rsidR="00D200E8" w:rsidRPr="00AB7EE3">
        <w:t xml:space="preserve"> </w:t>
      </w:r>
      <w:r w:rsidR="00654367" w:rsidRPr="00AB7EE3">
        <w:t xml:space="preserve">among </w:t>
      </w:r>
      <w:r w:rsidR="005C348B" w:rsidRPr="00AB7EE3">
        <w:t>older Americans, the same effect was not evident among the Japanese.</w:t>
      </w:r>
      <w:r w:rsidR="007D4791" w:rsidRPr="00AB7EE3">
        <w:t xml:space="preserve"> </w:t>
      </w:r>
      <w:r w:rsidR="00524FC6" w:rsidRPr="00AB7EE3">
        <w:t xml:space="preserve">The authors explained the contrasting findings in relation to the collectivistic nature of Japanese culture, which can be seen as </w:t>
      </w:r>
      <w:r w:rsidR="002450B8" w:rsidRPr="00AB7EE3">
        <w:t xml:space="preserve">a social setting that </w:t>
      </w:r>
      <w:r w:rsidR="00322451" w:rsidRPr="00AB7EE3">
        <w:t xml:space="preserve">brings more homogeneity </w:t>
      </w:r>
      <w:r w:rsidR="00524FC6" w:rsidRPr="00AB7EE3">
        <w:t>to</w:t>
      </w:r>
      <w:r w:rsidR="004D1F43" w:rsidRPr="00AB7EE3">
        <w:t xml:space="preserve"> several aspects of their lives</w:t>
      </w:r>
      <w:r w:rsidR="00322451" w:rsidRPr="00AB7EE3">
        <w:t xml:space="preserve">. </w:t>
      </w:r>
      <w:r w:rsidR="002450B8" w:rsidRPr="00AB7EE3">
        <w:t>More precise</w:t>
      </w:r>
      <w:r w:rsidR="00C92C76" w:rsidRPr="00AB7EE3">
        <w:t>ly</w:t>
      </w:r>
      <w:r w:rsidR="00322451" w:rsidRPr="00AB7EE3">
        <w:t>, Japanese</w:t>
      </w:r>
      <w:r w:rsidR="00C40913" w:rsidRPr="00AB7EE3">
        <w:t xml:space="preserve"> older adults</w:t>
      </w:r>
      <w:r w:rsidR="00322451" w:rsidRPr="00AB7EE3">
        <w:t xml:space="preserve"> learn </w:t>
      </w:r>
      <w:r w:rsidR="004D1F43" w:rsidRPr="00AB7EE3">
        <w:t>to be</w:t>
      </w:r>
      <w:r w:rsidR="00322451" w:rsidRPr="00AB7EE3">
        <w:t xml:space="preserve"> happy with what th</w:t>
      </w:r>
      <w:r w:rsidR="00C92C76" w:rsidRPr="00AB7EE3">
        <w:t xml:space="preserve">eir social circumstances </w:t>
      </w:r>
      <w:r w:rsidR="0029327C" w:rsidRPr="00AB7EE3">
        <w:t>bring</w:t>
      </w:r>
      <w:r w:rsidR="0029327C">
        <w:t>;</w:t>
      </w:r>
      <w:r w:rsidR="00F524C1" w:rsidRPr="00AB7EE3">
        <w:t xml:space="preserve"> </w:t>
      </w:r>
      <w:r w:rsidR="00C92C76" w:rsidRPr="00AB7EE3">
        <w:t>a</w:t>
      </w:r>
      <w:r w:rsidR="00322451" w:rsidRPr="00AB7EE3">
        <w:t xml:space="preserve"> mind-set that </w:t>
      </w:r>
      <w:r w:rsidR="00C40913" w:rsidRPr="00AB7EE3">
        <w:t xml:space="preserve">may </w:t>
      </w:r>
      <w:r w:rsidR="003D021F" w:rsidRPr="00AB7EE3">
        <w:t>protect</w:t>
      </w:r>
      <w:r w:rsidR="002450B8" w:rsidRPr="00AB7EE3">
        <w:t xml:space="preserve"> them</w:t>
      </w:r>
      <w:r w:rsidR="00322451" w:rsidRPr="00AB7EE3">
        <w:t xml:space="preserve"> from disappointments and distress</w:t>
      </w:r>
      <w:r w:rsidR="003866C3" w:rsidRPr="00AB7EE3">
        <w:t xml:space="preserve">, </w:t>
      </w:r>
      <w:r w:rsidR="00F524C1" w:rsidRPr="00AB7EE3">
        <w:t xml:space="preserve">which are </w:t>
      </w:r>
      <w:r w:rsidR="003D021F" w:rsidRPr="00AB7EE3">
        <w:t>factors that have been linked</w:t>
      </w:r>
      <w:r w:rsidR="003866C3" w:rsidRPr="00AB7EE3">
        <w:t xml:space="preserve"> </w:t>
      </w:r>
      <w:r w:rsidR="003D021F" w:rsidRPr="00AB7EE3">
        <w:t>with</w:t>
      </w:r>
      <w:r w:rsidR="003866C3" w:rsidRPr="00AB7EE3">
        <w:t xml:space="preserve"> </w:t>
      </w:r>
      <w:r w:rsidR="00C92C76" w:rsidRPr="00AB7EE3">
        <w:t>poorer</w:t>
      </w:r>
      <w:r w:rsidR="003866C3" w:rsidRPr="00AB7EE3">
        <w:t xml:space="preserve"> cognitive outcomes</w:t>
      </w:r>
      <w:r w:rsidR="00322451" w:rsidRPr="00AB7EE3">
        <w:t>. In an individualistic culture however, there is less homogeneity among individuals, w</w:t>
      </w:r>
      <w:r w:rsidR="00C92C76" w:rsidRPr="00AB7EE3">
        <w:t>h</w:t>
      </w:r>
      <w:r w:rsidR="00322451" w:rsidRPr="00AB7EE3">
        <w:t xml:space="preserve">ere many social circumstances are perceived as ‘less than deserved’, </w:t>
      </w:r>
      <w:r w:rsidR="00C92C76" w:rsidRPr="00AB7EE3">
        <w:t>leading to</w:t>
      </w:r>
      <w:r w:rsidR="00220D29" w:rsidRPr="00AB7EE3">
        <w:t xml:space="preserve"> </w:t>
      </w:r>
      <w:r w:rsidR="00322451" w:rsidRPr="00AB7EE3">
        <w:t>feeling</w:t>
      </w:r>
      <w:r w:rsidR="00C92C76" w:rsidRPr="00AB7EE3">
        <w:t>s</w:t>
      </w:r>
      <w:r w:rsidR="00322451" w:rsidRPr="00AB7EE3">
        <w:t xml:space="preserve"> </w:t>
      </w:r>
      <w:r w:rsidR="007469A8" w:rsidRPr="00AB7EE3">
        <w:t>of disappointment and distress.</w:t>
      </w:r>
    </w:p>
    <w:p w:rsidR="003C4A3F" w:rsidRPr="00AB7EE3" w:rsidRDefault="003C4A3F" w:rsidP="005D6C71">
      <w:pPr>
        <w:pStyle w:val="Heading3"/>
      </w:pPr>
      <w:bookmarkStart w:id="77" w:name="_Toc373425945"/>
      <w:bookmarkStart w:id="78" w:name="_Toc521184183"/>
      <w:r w:rsidRPr="00AB7EE3">
        <w:lastRenderedPageBreak/>
        <w:t xml:space="preserve">The effect of Mental Activities </w:t>
      </w:r>
      <w:bookmarkEnd w:id="77"/>
      <w:r w:rsidR="002B7E60" w:rsidRPr="00AB7EE3">
        <w:t>on Cognitive Vitality</w:t>
      </w:r>
      <w:bookmarkEnd w:id="78"/>
    </w:p>
    <w:p w:rsidR="005D4B9D" w:rsidRPr="00AB7EE3" w:rsidRDefault="00A21A30" w:rsidP="005C41B7">
      <w:pPr>
        <w:pStyle w:val="APAPar"/>
      </w:pPr>
      <w:r w:rsidRPr="00AB7EE3">
        <w:t xml:space="preserve">The effect of mental exercise on cognitive decline has been already mentioned in the context of the disuse theory (Milne, </w:t>
      </w:r>
      <w:r w:rsidR="00E1791E" w:rsidRPr="00AB7EE3">
        <w:t xml:space="preserve">1956). Salthouse (2006) argued that </w:t>
      </w:r>
      <w:r w:rsidR="006A5977" w:rsidRPr="00AB7EE3">
        <w:t xml:space="preserve">the idea of mental exercise </w:t>
      </w:r>
      <w:r w:rsidR="00C819B6" w:rsidRPr="00AB7EE3">
        <w:t>affecting</w:t>
      </w:r>
      <w:r w:rsidR="006A5977" w:rsidRPr="00AB7EE3">
        <w:t xml:space="preserve"> </w:t>
      </w:r>
      <w:r w:rsidR="00220D29" w:rsidRPr="00AB7EE3">
        <w:t>levels</w:t>
      </w:r>
      <w:r w:rsidR="00C819B6" w:rsidRPr="00AB7EE3">
        <w:t xml:space="preserve"> of cognitive functioning and the rate of age-related cognitive declines is very appealing, because it </w:t>
      </w:r>
      <w:r w:rsidR="00451132" w:rsidRPr="00AB7EE3">
        <w:t xml:space="preserve">gives a sense of </w:t>
      </w:r>
      <w:r w:rsidR="00A760AC" w:rsidRPr="00AB7EE3">
        <w:t xml:space="preserve">personal </w:t>
      </w:r>
      <w:r w:rsidR="00451132" w:rsidRPr="00AB7EE3">
        <w:t>agency. More precise</w:t>
      </w:r>
      <w:r w:rsidR="00C92C76" w:rsidRPr="00AB7EE3">
        <w:t>ly</w:t>
      </w:r>
      <w:r w:rsidR="00451132" w:rsidRPr="00AB7EE3">
        <w:t xml:space="preserve">, it </w:t>
      </w:r>
      <w:r w:rsidR="00C819B6" w:rsidRPr="00AB7EE3">
        <w:t xml:space="preserve">implies that a change in </w:t>
      </w:r>
      <w:r w:rsidR="00A760AC" w:rsidRPr="00AB7EE3">
        <w:t>certain</w:t>
      </w:r>
      <w:r w:rsidR="00C819B6" w:rsidRPr="00AB7EE3">
        <w:t xml:space="preserve"> lifestyle factor</w:t>
      </w:r>
      <w:r w:rsidR="00A760AC" w:rsidRPr="00AB7EE3">
        <w:t>s</w:t>
      </w:r>
      <w:r w:rsidR="00C819B6" w:rsidRPr="00AB7EE3">
        <w:t xml:space="preserve"> (i.e., </w:t>
      </w:r>
      <w:r w:rsidR="005D4B9D" w:rsidRPr="00AB7EE3">
        <w:t>reading books</w:t>
      </w:r>
      <w:r w:rsidR="00C819B6" w:rsidRPr="00AB7EE3">
        <w:t xml:space="preserve">) </w:t>
      </w:r>
      <w:r w:rsidR="00451132" w:rsidRPr="00AB7EE3">
        <w:t>is</w:t>
      </w:r>
      <w:r w:rsidR="005478D2" w:rsidRPr="00AB7EE3">
        <w:t xml:space="preserve"> </w:t>
      </w:r>
      <w:r w:rsidR="00A760AC" w:rsidRPr="00AB7EE3">
        <w:t>a possible</w:t>
      </w:r>
      <w:r w:rsidR="00451132" w:rsidRPr="00AB7EE3">
        <w:t xml:space="preserve"> solution to </w:t>
      </w:r>
      <w:r w:rsidR="00A760AC" w:rsidRPr="00AB7EE3">
        <w:t xml:space="preserve">assert </w:t>
      </w:r>
      <w:r w:rsidR="00451132" w:rsidRPr="00AB7EE3">
        <w:t xml:space="preserve">control </w:t>
      </w:r>
      <w:r w:rsidR="00A760AC" w:rsidRPr="00AB7EE3">
        <w:t xml:space="preserve">over adverse </w:t>
      </w:r>
      <w:r w:rsidR="005478D2" w:rsidRPr="00AB7EE3">
        <w:t>cognitive outcomes</w:t>
      </w:r>
      <w:r w:rsidR="00451132" w:rsidRPr="00AB7EE3">
        <w:t xml:space="preserve"> in </w:t>
      </w:r>
      <w:r w:rsidR="00DF3CBA" w:rsidRPr="00AB7EE3">
        <w:t>older age</w:t>
      </w:r>
      <w:r w:rsidR="00B75C95" w:rsidRPr="00AB7EE3">
        <w:t xml:space="preserve"> (</w:t>
      </w:r>
      <w:r w:rsidR="004D1F43" w:rsidRPr="00AB7EE3">
        <w:t xml:space="preserve">see </w:t>
      </w:r>
      <w:r w:rsidR="005D4B9D" w:rsidRPr="00AB7EE3">
        <w:t>Figure 3.1</w:t>
      </w:r>
      <w:r w:rsidR="00B75C95" w:rsidRPr="00AB7EE3">
        <w:t>)</w:t>
      </w:r>
      <w:r w:rsidR="005478D2" w:rsidRPr="00AB7EE3">
        <w:t>.</w:t>
      </w:r>
      <w:r w:rsidR="00EC4C24" w:rsidRPr="00AB7EE3">
        <w:t xml:space="preserve"> Indeed, a study of Hertzog, McGuire, Horhota and Jopp (2008) </w:t>
      </w:r>
      <w:r w:rsidR="00391976" w:rsidRPr="00AB7EE3">
        <w:t xml:space="preserve">illustrated that 30 to 40% of older adults mentioned cognitive stimulation </w:t>
      </w:r>
      <w:r w:rsidR="00AE0E08" w:rsidRPr="00AB7EE3">
        <w:t xml:space="preserve">or cognitive exercise </w:t>
      </w:r>
      <w:r w:rsidR="00391976" w:rsidRPr="00AB7EE3">
        <w:t xml:space="preserve">as the mean to control </w:t>
      </w:r>
      <w:r w:rsidR="00AE0E08" w:rsidRPr="00AB7EE3">
        <w:t>memory and prevent cognitive decline</w:t>
      </w:r>
      <w:r w:rsidR="005478D2" w:rsidRPr="00AB7EE3">
        <w:t xml:space="preserve"> </w:t>
      </w:r>
      <w:r w:rsidR="00AE0E08" w:rsidRPr="00AB7EE3">
        <w:t>with ageing.</w:t>
      </w:r>
    </w:p>
    <w:p w:rsidR="008471FE" w:rsidRPr="00AB7EE3" w:rsidRDefault="00AE0E08" w:rsidP="005C41B7">
      <w:pPr>
        <w:pStyle w:val="APAPar"/>
        <w:rPr>
          <w:lang w:val="en-US"/>
        </w:rPr>
      </w:pPr>
      <w:r w:rsidRPr="00AB7EE3">
        <w:t xml:space="preserve"> </w:t>
      </w:r>
      <w:r w:rsidR="000D546E" w:rsidRPr="00AB7EE3">
        <w:t>In the context of scientific enquiry</w:t>
      </w:r>
      <w:r w:rsidR="00F31F23" w:rsidRPr="00AB7EE3">
        <w:t>,</w:t>
      </w:r>
      <w:r w:rsidR="000D546E" w:rsidRPr="00AB7EE3">
        <w:rPr>
          <w:lang w:val="en-US"/>
        </w:rPr>
        <w:t xml:space="preserve"> </w:t>
      </w:r>
      <w:r w:rsidR="00F31F23" w:rsidRPr="00AB7EE3">
        <w:rPr>
          <w:lang w:val="en-US"/>
        </w:rPr>
        <w:t>many studies examined the</w:t>
      </w:r>
      <w:r w:rsidR="006E20AD" w:rsidRPr="00AB7EE3">
        <w:rPr>
          <w:lang w:val="en-US"/>
        </w:rPr>
        <w:t xml:space="preserve"> </w:t>
      </w:r>
      <w:r w:rsidR="005D4B9D" w:rsidRPr="00AB7EE3">
        <w:rPr>
          <w:lang w:val="en-US"/>
        </w:rPr>
        <w:t xml:space="preserve">potential </w:t>
      </w:r>
      <w:r w:rsidR="006E20AD" w:rsidRPr="00AB7EE3">
        <w:rPr>
          <w:lang w:val="en-US"/>
        </w:rPr>
        <w:t xml:space="preserve">protective </w:t>
      </w:r>
      <w:r w:rsidR="00E61EA3" w:rsidRPr="00AB7EE3">
        <w:rPr>
          <w:lang w:val="en-US"/>
        </w:rPr>
        <w:t>effects</w:t>
      </w:r>
      <w:r w:rsidR="006E20AD" w:rsidRPr="00AB7EE3">
        <w:rPr>
          <w:lang w:val="en-US"/>
        </w:rPr>
        <w:t xml:space="preserve"> </w:t>
      </w:r>
      <w:r w:rsidR="004D1F43" w:rsidRPr="00AB7EE3">
        <w:rPr>
          <w:lang w:val="en-US"/>
        </w:rPr>
        <w:t>deriving from</w:t>
      </w:r>
      <w:r w:rsidR="006E20AD" w:rsidRPr="00AB7EE3">
        <w:rPr>
          <w:lang w:val="en-US"/>
        </w:rPr>
        <w:t xml:space="preserve"> playing bridge, </w:t>
      </w:r>
      <w:r w:rsidR="00C92C76" w:rsidRPr="00AB7EE3">
        <w:rPr>
          <w:lang w:val="en-US"/>
        </w:rPr>
        <w:t>solving</w:t>
      </w:r>
      <w:r w:rsidR="004D1F43" w:rsidRPr="00AB7EE3">
        <w:rPr>
          <w:lang w:val="en-US"/>
        </w:rPr>
        <w:t xml:space="preserve"> </w:t>
      </w:r>
      <w:r w:rsidR="006E20AD" w:rsidRPr="00AB7EE3">
        <w:rPr>
          <w:lang w:val="en-US"/>
        </w:rPr>
        <w:t xml:space="preserve">crossword puzzles, learning a foreign language, </w:t>
      </w:r>
      <w:r w:rsidR="005C75EB" w:rsidRPr="00AB7EE3">
        <w:rPr>
          <w:lang w:val="en-US"/>
        </w:rPr>
        <w:t>or</w:t>
      </w:r>
      <w:r w:rsidR="00CF2F02" w:rsidRPr="00AB7EE3">
        <w:rPr>
          <w:lang w:val="en-US"/>
        </w:rPr>
        <w:t xml:space="preserve"> </w:t>
      </w:r>
      <w:r w:rsidR="006E20AD" w:rsidRPr="00AB7EE3">
        <w:rPr>
          <w:lang w:val="en-US"/>
        </w:rPr>
        <w:t>learning to play a musical instrument</w:t>
      </w:r>
      <w:r w:rsidR="005C75EB" w:rsidRPr="00AB7EE3">
        <w:rPr>
          <w:lang w:val="en-US"/>
        </w:rPr>
        <w:t xml:space="preserve"> </w:t>
      </w:r>
      <w:r w:rsidR="00E61EA3" w:rsidRPr="00AB7EE3">
        <w:rPr>
          <w:lang w:val="en-US"/>
        </w:rPr>
        <w:t>(Salthouse, 2006).</w:t>
      </w:r>
      <w:r w:rsidR="005D4B9D" w:rsidRPr="00AB7EE3">
        <w:rPr>
          <w:lang w:val="en-US"/>
        </w:rPr>
        <w:t xml:space="preserve"> Relevant </w:t>
      </w:r>
      <w:r w:rsidR="008471FE" w:rsidRPr="00AB7EE3">
        <w:t xml:space="preserve">evidence derives from intervention studies, such as the Seattle Longitudinal study (Shaie, 2005) and the Advanced Cognitive Training for Independent and Vital Elderly (ACTIVE) study (Ball et al., 2002). These studies were of longitudinal design, randomized control trials, providing evidence for durable (evident in up to 7 years follow ups) beneficial effects in cognitive vitality, deriving from intense cognitive training sessions. Similar projects have provided a combination of cognitive and physical training, reporting beneficial effects in cognitive vitality among those who are cognitively intact, as well as among those that suffer from MCI (Bamidis et al, 2015). </w:t>
      </w:r>
    </w:p>
    <w:p w:rsidR="00B75C95" w:rsidRPr="00AB7EE3" w:rsidRDefault="00B75C95" w:rsidP="005C41B7">
      <w:pPr>
        <w:pStyle w:val="APAPar"/>
      </w:pPr>
      <w:r w:rsidRPr="00AB7EE3">
        <w:rPr>
          <w:noProof/>
          <w:lang w:eastAsia="zh-CN"/>
        </w:rPr>
        <w:lastRenderedPageBreak/>
        <w:drawing>
          <wp:inline distT="0" distB="0" distL="0" distR="0">
            <wp:extent cx="5155432" cy="388874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1-13 at 18.07.32.png"/>
                    <pic:cNvPicPr/>
                  </pic:nvPicPr>
                  <pic:blipFill>
                    <a:blip r:embed="rId19">
                      <a:extLst>
                        <a:ext uri="{28A0092B-C50C-407E-A947-70E740481C1C}">
                          <a14:useLocalDpi xmlns:a14="http://schemas.microsoft.com/office/drawing/2010/main" val="0"/>
                        </a:ext>
                      </a:extLst>
                    </a:blip>
                    <a:stretch>
                      <a:fillRect/>
                    </a:stretch>
                  </pic:blipFill>
                  <pic:spPr>
                    <a:xfrm>
                      <a:off x="0" y="0"/>
                      <a:ext cx="5166645" cy="3897198"/>
                    </a:xfrm>
                    <a:prstGeom prst="rect">
                      <a:avLst/>
                    </a:prstGeom>
                  </pic:spPr>
                </pic:pic>
              </a:graphicData>
            </a:graphic>
          </wp:inline>
        </w:drawing>
      </w:r>
    </w:p>
    <w:p w:rsidR="00B75C95" w:rsidRPr="00AB7EE3" w:rsidRDefault="00A92568" w:rsidP="005D6C71">
      <w:pPr>
        <w:pStyle w:val="APAPar"/>
        <w:ind w:left="1080" w:right="0" w:hanging="1080"/>
        <w:rPr>
          <w:rStyle w:val="IntenseEmphasis"/>
        </w:rPr>
      </w:pPr>
      <w:r w:rsidRPr="00AB7EE3">
        <w:rPr>
          <w:rStyle w:val="IntenseEmphasis"/>
        </w:rPr>
        <w:t>Figure 3.1</w:t>
      </w:r>
      <w:r w:rsidR="00C04D82" w:rsidRPr="00AB7EE3">
        <w:rPr>
          <w:rStyle w:val="IntenseEmphasis"/>
        </w:rPr>
        <w:t xml:space="preserve"> </w:t>
      </w:r>
      <w:r w:rsidR="00915DC6" w:rsidRPr="00AB7EE3">
        <w:rPr>
          <w:rStyle w:val="IntenseEmphasis"/>
        </w:rPr>
        <w:t>Schematic</w:t>
      </w:r>
      <w:r w:rsidR="00C04D82" w:rsidRPr="00AB7EE3">
        <w:rPr>
          <w:rStyle w:val="IntenseEmphasis"/>
        </w:rPr>
        <w:t xml:space="preserve"> representation of how mental activity can moderate cognitive decline trajectories with ageing. Adapted from Salthouse (2006)</w:t>
      </w:r>
    </w:p>
    <w:p w:rsidR="00845241" w:rsidRPr="00AB7EE3" w:rsidRDefault="00C62617" w:rsidP="005C41B7">
      <w:pPr>
        <w:pStyle w:val="APAPar"/>
      </w:pPr>
      <w:r w:rsidRPr="00AB7EE3">
        <w:t>In this context, t</w:t>
      </w:r>
      <w:r w:rsidR="002306C1" w:rsidRPr="00AB7EE3">
        <w:t xml:space="preserve">he benefits deriving from </w:t>
      </w:r>
      <w:r w:rsidR="002F5A0F" w:rsidRPr="00AB7EE3">
        <w:t xml:space="preserve">Internet use and learning </w:t>
      </w:r>
      <w:r w:rsidR="00845241" w:rsidRPr="00AB7EE3">
        <w:t>activities</w:t>
      </w:r>
      <w:r w:rsidR="005F2BA5" w:rsidRPr="00AB7EE3">
        <w:t xml:space="preserve"> on cognitive vitality </w:t>
      </w:r>
      <w:r w:rsidR="00261A30" w:rsidRPr="00AB7EE3">
        <w:t>growingly</w:t>
      </w:r>
      <w:r w:rsidR="00FE6CE7" w:rsidRPr="00AB7EE3">
        <w:t xml:space="preserve"> </w:t>
      </w:r>
      <w:r w:rsidR="002F5A0F" w:rsidRPr="00AB7EE3">
        <w:t>accumulate empirical support (Chan, Haber, Drew, &amp; P</w:t>
      </w:r>
      <w:r w:rsidR="00FE6CE7" w:rsidRPr="00AB7EE3">
        <w:t>ark,</w:t>
      </w:r>
      <w:r w:rsidR="002F5874" w:rsidRPr="00AB7EE3">
        <w:t xml:space="preserve"> 2014; Tun &amp; L</w:t>
      </w:r>
      <w:r w:rsidR="00FE6CE7" w:rsidRPr="00AB7EE3">
        <w:t>achman, 2010)</w:t>
      </w:r>
      <w:r w:rsidR="002F5A0F" w:rsidRPr="00AB7EE3">
        <w:t xml:space="preserve">. For example, preliminary evidence using </w:t>
      </w:r>
      <w:r w:rsidR="00BF412F" w:rsidRPr="00AB7EE3">
        <w:t>MRI</w:t>
      </w:r>
      <w:r w:rsidR="0055237C" w:rsidRPr="00AB7EE3">
        <w:t xml:space="preserve"> on older adults</w:t>
      </w:r>
      <w:r w:rsidR="002F5A0F" w:rsidRPr="00AB7EE3">
        <w:t xml:space="preserve"> demonstrate that Internet use may engage a greater extent of neural circuitry in the human brain than reading text pages (Small, Moody, Siddarth, &amp; Bookh</w:t>
      </w:r>
      <w:r w:rsidR="008422AD" w:rsidRPr="00AB7EE3">
        <w:t>eimer, 2009). Accordingly, Chan</w:t>
      </w:r>
      <w:r w:rsidR="002F5A0F" w:rsidRPr="00AB7EE3">
        <w:t xml:space="preserve"> </w:t>
      </w:r>
      <w:r w:rsidR="002F5874" w:rsidRPr="00AB7EE3">
        <w:t xml:space="preserve">et al. </w:t>
      </w:r>
      <w:r w:rsidR="002F5A0F" w:rsidRPr="00AB7EE3">
        <w:t>(2014) demonstrated that older adults who committed for 3 months to use tablet computers improved their performance in neuropsychological assessments of episodic memory and speed of processing. Similarly, Hatzifil</w:t>
      </w:r>
      <w:r w:rsidR="00F524C1" w:rsidRPr="00AB7EE3">
        <w:t>alithis, Chrysochoou, Pavlidis and</w:t>
      </w:r>
      <w:r w:rsidR="002F5A0F" w:rsidRPr="00AB7EE3">
        <w:t xml:space="preserve"> Vivas (2015) findings indicate that greater online </w:t>
      </w:r>
      <w:r w:rsidR="00BF412F" w:rsidRPr="00AB7EE3">
        <w:t xml:space="preserve">social participation </w:t>
      </w:r>
      <w:r w:rsidR="002F5A0F" w:rsidRPr="00AB7EE3">
        <w:t xml:space="preserve">may be associated with benefits in </w:t>
      </w:r>
      <w:r w:rsidR="004D1F43" w:rsidRPr="00AB7EE3">
        <w:t>cognitive performance</w:t>
      </w:r>
      <w:r w:rsidR="002F5A0F" w:rsidRPr="00AB7EE3">
        <w:t xml:space="preserve">, suggesting that the former could serve both as a </w:t>
      </w:r>
      <w:r w:rsidR="00B02ABD" w:rsidRPr="00AB7EE3">
        <w:t>form</w:t>
      </w:r>
      <w:r w:rsidR="002F5A0F" w:rsidRPr="00AB7EE3">
        <w:t xml:space="preserve"> of s</w:t>
      </w:r>
      <w:r w:rsidR="00BF412F" w:rsidRPr="00AB7EE3">
        <w:t xml:space="preserve">ocial </w:t>
      </w:r>
      <w:r w:rsidR="0055237C" w:rsidRPr="00AB7EE3">
        <w:t>participation</w:t>
      </w:r>
      <w:r w:rsidR="00BF412F" w:rsidRPr="00AB7EE3">
        <w:t>, as well as of</w:t>
      </w:r>
      <w:r w:rsidR="002F5A0F" w:rsidRPr="00AB7EE3">
        <w:t xml:space="preserve"> cognitive training.</w:t>
      </w:r>
    </w:p>
    <w:p w:rsidR="00314880" w:rsidRPr="00AB7EE3" w:rsidRDefault="00314880" w:rsidP="005D6C71">
      <w:pPr>
        <w:pStyle w:val="Heading3"/>
      </w:pPr>
      <w:bookmarkStart w:id="79" w:name="_Toc373425946"/>
      <w:bookmarkStart w:id="80" w:name="_Toc521184184"/>
      <w:r w:rsidRPr="00AB7EE3">
        <w:lastRenderedPageBreak/>
        <w:t xml:space="preserve">The effect of Socio Economic Status </w:t>
      </w:r>
      <w:bookmarkEnd w:id="79"/>
      <w:r w:rsidR="005D1B66" w:rsidRPr="00AB7EE3">
        <w:t>on Cognitive Vitality</w:t>
      </w:r>
      <w:bookmarkEnd w:id="80"/>
    </w:p>
    <w:p w:rsidR="00322451" w:rsidRPr="00AB7EE3" w:rsidRDefault="00025CF8" w:rsidP="005C41B7">
      <w:pPr>
        <w:pStyle w:val="APAPar"/>
      </w:pPr>
      <w:r w:rsidRPr="00AB7EE3">
        <w:t>I</w:t>
      </w:r>
      <w:r w:rsidR="00EE5957" w:rsidRPr="00AB7EE3">
        <w:t xml:space="preserve">n the development of the Mini </w:t>
      </w:r>
      <w:r w:rsidR="00113727" w:rsidRPr="00AB7EE3">
        <w:t>Mental State</w:t>
      </w:r>
      <w:r w:rsidR="00EE5957" w:rsidRPr="00AB7EE3">
        <w:t xml:space="preserve"> Examination (MMSE)</w:t>
      </w:r>
      <w:r w:rsidRPr="00AB7EE3">
        <w:t xml:space="preserve">, Brayne and Callowey (1990) </w:t>
      </w:r>
      <w:r w:rsidR="00322451" w:rsidRPr="00AB7EE3">
        <w:t>observed that both lower education and SES are related with increased ratios of dementia prevalence. Similarly, Evans et al. (1997) argued that fewer years of formal education, income and occupational status are independent predic</w:t>
      </w:r>
      <w:r w:rsidR="00BF412F" w:rsidRPr="00AB7EE3">
        <w:t>tors of Alzheimer’s disease</w:t>
      </w:r>
      <w:r w:rsidR="00322451" w:rsidRPr="00AB7EE3">
        <w:t>. Fotenos et al. (2008), using neuropsychological and MRI examinations, concluded that non-demented participants of higher SES exhibited less brain volume loss over age. In addition, they concluded that among participants diagnosed with A</w:t>
      </w:r>
      <w:r w:rsidR="00C63EF0" w:rsidRPr="00AB7EE3">
        <w:t>lzheimer’s disease</w:t>
      </w:r>
      <w:r w:rsidR="00322451" w:rsidRPr="00AB7EE3">
        <w:t>, those of higher SES exhibited later the neuropsychological symptoms of the disease, as well as in a milder form.</w:t>
      </w:r>
    </w:p>
    <w:p w:rsidR="00BA1A06" w:rsidRPr="00AB7EE3" w:rsidRDefault="008422AD" w:rsidP="005C41B7">
      <w:pPr>
        <w:pStyle w:val="APAPar"/>
      </w:pPr>
      <w:r w:rsidRPr="00AB7EE3">
        <w:t>Ardila</w:t>
      </w:r>
      <w:r w:rsidR="00322451" w:rsidRPr="00AB7EE3">
        <w:t xml:space="preserve"> </w:t>
      </w:r>
      <w:r w:rsidR="005D4563" w:rsidRPr="00AB7EE3">
        <w:t xml:space="preserve">et al. </w:t>
      </w:r>
      <w:r w:rsidR="00322451" w:rsidRPr="00AB7EE3">
        <w:t xml:space="preserve">(2000) argued, that the protective effect of higher SES on cognitive decline may derive from better living conditions, less exposure to environmental hazards (e.g., work accidents, air pollution), better access to health services, all leading </w:t>
      </w:r>
      <w:r w:rsidR="00025CF8" w:rsidRPr="00AB7EE3">
        <w:t>through</w:t>
      </w:r>
      <w:r w:rsidR="00322451" w:rsidRPr="00AB7EE3">
        <w:t xml:space="preserve"> better health </w:t>
      </w:r>
      <w:r w:rsidR="00025CF8" w:rsidRPr="00AB7EE3">
        <w:t>to</w:t>
      </w:r>
      <w:r w:rsidR="001D458B" w:rsidRPr="00AB7EE3">
        <w:t xml:space="preserve"> favourable cognitive decline trajectories</w:t>
      </w:r>
      <w:r w:rsidR="00322451" w:rsidRPr="00AB7EE3">
        <w:t>.</w:t>
      </w:r>
      <w:r w:rsidR="00113727" w:rsidRPr="00AB7EE3">
        <w:t xml:space="preserve"> </w:t>
      </w:r>
      <w:r w:rsidR="00D200E8" w:rsidRPr="00AB7EE3">
        <w:t>In this direction, a</w:t>
      </w:r>
      <w:r w:rsidR="00113727" w:rsidRPr="00AB7EE3">
        <w:t xml:space="preserve"> review of Anstey and Christensen (2000) on </w:t>
      </w:r>
      <w:r w:rsidR="005D4B9D" w:rsidRPr="00AB7EE3">
        <w:t xml:space="preserve">a number of </w:t>
      </w:r>
      <w:r w:rsidR="00113727" w:rsidRPr="00AB7EE3">
        <w:t xml:space="preserve">longitudinal studies with an average follow-up period of 7.7 years </w:t>
      </w:r>
      <w:r w:rsidR="00D200E8" w:rsidRPr="00AB7EE3">
        <w:t xml:space="preserve">argued </w:t>
      </w:r>
      <w:r w:rsidR="00113727" w:rsidRPr="00AB7EE3">
        <w:t>that education, hypertension, health and cardiovascular diseases are valid predictors of cognitive change</w:t>
      </w:r>
      <w:r w:rsidR="00D200E8" w:rsidRPr="00AB7EE3">
        <w:t xml:space="preserve"> with ageing</w:t>
      </w:r>
      <w:r w:rsidR="00113727" w:rsidRPr="00AB7EE3">
        <w:t>.</w:t>
      </w:r>
      <w:r w:rsidR="00247C1A" w:rsidRPr="00AB7EE3">
        <w:t xml:space="preserve"> </w:t>
      </w:r>
    </w:p>
    <w:p w:rsidR="00EE5957" w:rsidRPr="00AB7EE3" w:rsidRDefault="00322451" w:rsidP="005C41B7">
      <w:pPr>
        <w:pStyle w:val="APAPar"/>
      </w:pPr>
      <w:r w:rsidRPr="00AB7EE3">
        <w:t>An alternative theory</w:t>
      </w:r>
      <w:r w:rsidR="00F524C1" w:rsidRPr="00AB7EE3">
        <w:t>, i.e.</w:t>
      </w:r>
      <w:r w:rsidRPr="00AB7EE3">
        <w:t xml:space="preserve"> </w:t>
      </w:r>
      <w:r w:rsidRPr="00AB7EE3">
        <w:rPr>
          <w:i/>
        </w:rPr>
        <w:t>the cognitive reserve hypo</w:t>
      </w:r>
      <w:r w:rsidR="00DD000E" w:rsidRPr="00AB7EE3">
        <w:rPr>
          <w:i/>
        </w:rPr>
        <w:t>thesis</w:t>
      </w:r>
      <w:r w:rsidRPr="00AB7EE3">
        <w:t xml:space="preserve"> postulates that individuals of higher education engage in more mentally stimulating activities over life, which leads to a denser and better neuronal connectivity through brain plasticity (Perry, 2002). This </w:t>
      </w:r>
      <w:r w:rsidR="00654CE9" w:rsidRPr="00AB7EE3">
        <w:t>was argued to build</w:t>
      </w:r>
      <w:r w:rsidRPr="00AB7EE3">
        <w:t xml:space="preserve"> a cognitive reserve that can </w:t>
      </w:r>
      <w:r w:rsidR="00BC7509" w:rsidRPr="00AB7EE3">
        <w:t xml:space="preserve">more effectively </w:t>
      </w:r>
      <w:r w:rsidRPr="00AB7EE3">
        <w:t>bear, as well as compensate for, age-related neuronal degeneration (Mortiner, 1988).</w:t>
      </w:r>
      <w:r w:rsidR="00247C1A" w:rsidRPr="00AB7EE3">
        <w:t xml:space="preserve"> </w:t>
      </w:r>
      <w:r w:rsidR="0032556B" w:rsidRPr="00AB7EE3">
        <w:t>The cognitive reserve hypothesis was used to explain a string of researc</w:t>
      </w:r>
      <w:r w:rsidR="00F524C1" w:rsidRPr="00AB7EE3">
        <w:t xml:space="preserve">h findings in cognitive ageing that showed that people who had </w:t>
      </w:r>
      <w:r w:rsidR="0032556B" w:rsidRPr="00AB7EE3">
        <w:t>higher education</w:t>
      </w:r>
      <w:r w:rsidR="00833D42" w:rsidRPr="00AB7EE3">
        <w:t xml:space="preserve"> or better linguistic abilities </w:t>
      </w:r>
      <w:r w:rsidR="00F524C1" w:rsidRPr="00AB7EE3">
        <w:t>exhibited</w:t>
      </w:r>
      <w:r w:rsidR="002704F5" w:rsidRPr="00AB7EE3">
        <w:t xml:space="preserve"> better </w:t>
      </w:r>
      <w:r w:rsidR="00C8546F" w:rsidRPr="00AB7EE3">
        <w:t>cognitive performance</w:t>
      </w:r>
      <w:r w:rsidR="002704F5" w:rsidRPr="00AB7EE3">
        <w:t xml:space="preserve"> in </w:t>
      </w:r>
      <w:r w:rsidR="002704F5" w:rsidRPr="00AB7EE3">
        <w:lastRenderedPageBreak/>
        <w:t xml:space="preserve">older age </w:t>
      </w:r>
      <w:r w:rsidR="00833D42" w:rsidRPr="00AB7EE3">
        <w:t>(Snowdon et al., 1996)</w:t>
      </w:r>
      <w:r w:rsidR="002704F5" w:rsidRPr="00AB7EE3">
        <w:t>. Bosma, van Boxtel, Ponds, Houx and Joles (2003) longitudinal study found in a group of 708 o</w:t>
      </w:r>
      <w:r w:rsidR="00B605C6" w:rsidRPr="00AB7EE3">
        <w:t xml:space="preserve">lder adults that </w:t>
      </w:r>
      <w:r w:rsidR="00C13066">
        <w:t xml:space="preserve">the relevant </w:t>
      </w:r>
      <w:r w:rsidR="00B605C6" w:rsidRPr="00AB7EE3">
        <w:t xml:space="preserve">declines in </w:t>
      </w:r>
      <w:r w:rsidR="00114CCA" w:rsidRPr="00AB7EE3">
        <w:t>cognitive</w:t>
      </w:r>
      <w:r w:rsidR="00A7125A" w:rsidRPr="00AB7EE3">
        <w:t xml:space="preserve"> performance</w:t>
      </w:r>
      <w:r w:rsidR="00B605C6" w:rsidRPr="00AB7EE3">
        <w:t>, assessed by list recall and</w:t>
      </w:r>
      <w:r w:rsidR="002704F5" w:rsidRPr="00AB7EE3">
        <w:t xml:space="preserve"> performance in the Stroop task, </w:t>
      </w:r>
      <w:r w:rsidR="00B605C6" w:rsidRPr="00AB7EE3">
        <w:t>as well as</w:t>
      </w:r>
      <w:r w:rsidR="002704F5" w:rsidRPr="00AB7EE3">
        <w:t xml:space="preserve"> scores in the </w:t>
      </w:r>
      <w:r w:rsidR="00EE5957" w:rsidRPr="00AB7EE3">
        <w:t>MMSE</w:t>
      </w:r>
      <w:r w:rsidR="00B605C6" w:rsidRPr="00AB7EE3">
        <w:t>,</w:t>
      </w:r>
      <w:r w:rsidR="00EE5957" w:rsidRPr="00AB7EE3">
        <w:t xml:space="preserve"> </w:t>
      </w:r>
      <w:r w:rsidR="00F524C1" w:rsidRPr="00AB7EE3">
        <w:t xml:space="preserve">were significantly smaller for </w:t>
      </w:r>
      <w:r w:rsidR="002704F5" w:rsidRPr="00AB7EE3">
        <w:t xml:space="preserve">those with higher education.  </w:t>
      </w:r>
      <w:r w:rsidR="00EE5957" w:rsidRPr="00AB7EE3">
        <w:t>Similarly, Lyketsos, Chen and Anthony</w:t>
      </w:r>
      <w:r w:rsidR="00BA1A06" w:rsidRPr="00AB7EE3">
        <w:t>’s</w:t>
      </w:r>
      <w:r w:rsidR="00EE5957" w:rsidRPr="00AB7EE3">
        <w:t xml:space="preserve"> (1999)</w:t>
      </w:r>
      <w:r w:rsidR="002704F5" w:rsidRPr="00AB7EE3">
        <w:t xml:space="preserve"> </w:t>
      </w:r>
      <w:r w:rsidR="00EE5957" w:rsidRPr="00AB7EE3">
        <w:t>12 years</w:t>
      </w:r>
      <w:r w:rsidR="00BA1A06" w:rsidRPr="00AB7EE3">
        <w:t xml:space="preserve"> </w:t>
      </w:r>
      <w:r w:rsidR="006A7116" w:rsidRPr="00AB7EE3">
        <w:t xml:space="preserve">longitudinal study depicted </w:t>
      </w:r>
      <w:r w:rsidR="00EE5957" w:rsidRPr="00AB7EE3">
        <w:t xml:space="preserve">greater declines in MMSE scores </w:t>
      </w:r>
      <w:r w:rsidR="005D4B9D" w:rsidRPr="00AB7EE3">
        <w:t xml:space="preserve">for </w:t>
      </w:r>
      <w:r w:rsidR="00EE5957" w:rsidRPr="00AB7EE3">
        <w:t>those havi</w:t>
      </w:r>
      <w:r w:rsidR="00C63EF0" w:rsidRPr="00AB7EE3">
        <w:t xml:space="preserve">ng 8 years </w:t>
      </w:r>
      <w:r w:rsidR="00B17DFA" w:rsidRPr="00AB7EE3">
        <w:t>or</w:t>
      </w:r>
      <w:r w:rsidR="00C63EF0" w:rsidRPr="00AB7EE3">
        <w:t xml:space="preserve"> fewer </w:t>
      </w:r>
      <w:r w:rsidR="00B17DFA" w:rsidRPr="00AB7EE3">
        <w:t xml:space="preserve">of </w:t>
      </w:r>
      <w:r w:rsidR="00C63EF0" w:rsidRPr="00AB7EE3">
        <w:t>education.</w:t>
      </w:r>
    </w:p>
    <w:p w:rsidR="00AC038C" w:rsidRPr="00AB7EE3" w:rsidRDefault="00AC038C" w:rsidP="005D6C71">
      <w:pPr>
        <w:pStyle w:val="Heading3"/>
      </w:pPr>
      <w:bookmarkStart w:id="81" w:name="_Toc373425947"/>
      <w:bookmarkStart w:id="82" w:name="_Toc521184185"/>
      <w:r w:rsidRPr="00AB7EE3">
        <w:t xml:space="preserve">The Relation of Cognitive </w:t>
      </w:r>
      <w:r w:rsidR="00E642FB" w:rsidRPr="00AB7EE3">
        <w:t xml:space="preserve">Performance </w:t>
      </w:r>
      <w:r w:rsidRPr="00AB7EE3">
        <w:t>with Everyday Functioning</w:t>
      </w:r>
      <w:bookmarkEnd w:id="81"/>
      <w:bookmarkEnd w:id="82"/>
    </w:p>
    <w:p w:rsidR="00AC038C" w:rsidRPr="00AB7EE3" w:rsidRDefault="00AC038C" w:rsidP="005C41B7">
      <w:pPr>
        <w:pStyle w:val="APAPar"/>
      </w:pPr>
      <w:r w:rsidRPr="00AB7EE3">
        <w:t>Abnormal cognitive decline trajectories usually indicate the existence of age-related neurological conditions, which typically coexist with evident everyday functioning impairments. Marcotte et al. (2010, p.5) commented that:</w:t>
      </w:r>
    </w:p>
    <w:p w:rsidR="00AC038C" w:rsidRPr="00053476" w:rsidRDefault="00AC038C" w:rsidP="00A91C56">
      <w:pPr>
        <w:pStyle w:val="APAPar"/>
        <w:widowControl w:val="0"/>
        <w:ind w:leftChars="400" w:left="960" w:rightChars="400" w:right="960" w:firstLine="0"/>
        <w:jc w:val="both"/>
        <w:rPr>
          <w:rStyle w:val="Emphasis"/>
        </w:rPr>
      </w:pPr>
      <w:r w:rsidRPr="00053476">
        <w:rPr>
          <w:rStyle w:val="Emphasis"/>
        </w:rPr>
        <w:t>Neuropsychological assessments are still critical if one wants to know the nature and severity of any behavioural manifestation that may result from brain abnormalities. Indeed, increasingly, a primary reason for referrals to neuropsychological testing is to answer questions regarding the effects that brain alternations are likely to have to everyday functioning, such as the ability to successful work, live independently, handle finances, or drive automobile</w:t>
      </w:r>
    </w:p>
    <w:p w:rsidR="00AC038C" w:rsidRPr="00AB7EE3" w:rsidRDefault="00AC038C" w:rsidP="005C41B7">
      <w:pPr>
        <w:pStyle w:val="APAPar"/>
      </w:pPr>
      <w:r w:rsidRPr="00AB7EE3">
        <w:t xml:space="preserve">Everyday functioning is usually assessed by measures of basic Activities of Daily Living (ADL) and Instrumental Activities of Daily Living (IADL). Measures of ADL include basic behaviours such as bathing, grooming, dressing, and eating. IADL typically include more complex tasks, such as managing finance, medication handling, using the phone and using home appliances (Farias et al., 2009). From the two measures, IADLs are more cognitive demanding and involve adjustments in more complex information. This complexity leads IADL decrements to become more pronounced even when subtle deteriorations in </w:t>
      </w:r>
      <w:r w:rsidRPr="00AB7EE3">
        <w:lastRenderedPageBreak/>
        <w:t>cognitive vitality are evident (Cerella, 1994; Deary &amp; Der, 2005). On the other hand, ADL include behaviours that are often practised in the point that have become automatized, and therefore, the relevant decrements are evident in advanced stages of a neuropsychological condition.</w:t>
      </w:r>
    </w:p>
    <w:p w:rsidR="00AC038C" w:rsidRPr="00AB7EE3" w:rsidRDefault="00AC038C" w:rsidP="005C41B7">
      <w:pPr>
        <w:pStyle w:val="APAPar"/>
      </w:pPr>
      <w:r w:rsidRPr="00AB7EE3">
        <w:t>The differential nature of the ADL and IADL may be explained from their reliance on different cognitive processes and on different brain areas. It has been argued that ADL are frequently practised tasks and therefore rely more on cognitive process that are based in the basal ganglia, an area that becomes less affected from age-related neuronal degenerations. On the other hand, IADL seem to rely on the hippocampal and enthorhinal structures of the brain, areas that seem to be more susceptible to age-related degenerations (Loewenstein &amp; Acevedo, 2010).  In a study on Parkinson</w:t>
      </w:r>
      <w:r w:rsidR="00C92C76" w:rsidRPr="00AB7EE3">
        <w:t>’s</w:t>
      </w:r>
      <w:r w:rsidRPr="00AB7EE3">
        <w:t xml:space="preserve"> disease patients, </w:t>
      </w:r>
      <w:r w:rsidRPr="00AB7EE3">
        <w:rPr>
          <w:i/>
        </w:rPr>
        <w:t>executive function</w:t>
      </w:r>
      <w:r w:rsidRPr="00AB7EE3">
        <w:t xml:space="preserve"> (EF) impairments (and especially sequencing) were significantly and selectively related with IADL, but not with ADL (Cahn et al., 1998). In the same study, motor impairments were associated with ADL abilities but not with IADL. This indicat</w:t>
      </w:r>
      <w:r w:rsidR="00080B9D">
        <w:t>es</w:t>
      </w:r>
      <w:r w:rsidRPr="00AB7EE3">
        <w:t xml:space="preserve"> the </w:t>
      </w:r>
      <w:r w:rsidR="00BA12CE" w:rsidRPr="00AB7EE3">
        <w:t>contribution of EF to</w:t>
      </w:r>
      <w:r w:rsidRPr="00AB7EE3">
        <w:t xml:space="preserve"> the two types of everyday functioning. Marcotte et al. (2010, p.11) commented that:</w:t>
      </w:r>
    </w:p>
    <w:p w:rsidR="00AC038C" w:rsidRPr="00053476" w:rsidRDefault="00AC038C" w:rsidP="00A91C56">
      <w:pPr>
        <w:pStyle w:val="APAPar"/>
        <w:widowControl w:val="0"/>
        <w:ind w:leftChars="400" w:left="960" w:rightChars="400" w:right="960" w:firstLine="0"/>
        <w:jc w:val="both"/>
        <w:rPr>
          <w:rStyle w:val="Emphasis"/>
        </w:rPr>
      </w:pPr>
      <w:r w:rsidRPr="00053476">
        <w:rPr>
          <w:rStyle w:val="Emphasis"/>
        </w:rPr>
        <w:t xml:space="preserve"> We can have the most confidence that global cognitive impairments are associated with worse performance on everyday functioning measures... At the domain specific level, a broad review of the literature suggests that executive measures may be the strongest predictor of everyday functioning ... It has been suggested that future research should specifically focus on executive functioning as a predictor of real world performance. </w:t>
      </w:r>
    </w:p>
    <w:p w:rsidR="00AC038C" w:rsidRPr="00AB7EE3" w:rsidRDefault="00AC038C" w:rsidP="005C41B7">
      <w:pPr>
        <w:pStyle w:val="APAPar"/>
      </w:pPr>
      <w:r w:rsidRPr="00AB7EE3">
        <w:t>The assumption that cognitive and functional decline with ageing are strongly related has been, and still persist</w:t>
      </w:r>
      <w:r w:rsidR="00C92C76" w:rsidRPr="00AB7EE3">
        <w:t>s</w:t>
      </w:r>
      <w:r w:rsidRPr="00AB7EE3">
        <w:t xml:space="preserve"> to be, a strong statement in science and in policy-making. </w:t>
      </w:r>
      <w:r w:rsidRPr="00AB7EE3">
        <w:lastRenderedPageBreak/>
        <w:t>Inappropriately, this assumption has led to challenge</w:t>
      </w:r>
      <w:r w:rsidR="00C92C76" w:rsidRPr="00AB7EE3">
        <w:t xml:space="preserve"> </w:t>
      </w:r>
      <w:r w:rsidRPr="00AB7EE3">
        <w:t>older workers’ job performance as well. One of the early lines of such argumentation stems</w:t>
      </w:r>
      <w:r w:rsidRPr="00AB7EE3">
        <w:rPr>
          <w:szCs w:val="24"/>
        </w:rPr>
        <w:t xml:space="preserve"> from Cumming and Henry (1961, </w:t>
      </w:r>
      <w:r w:rsidRPr="00AB7EE3">
        <w:t>p.213</w:t>
      </w:r>
      <w:r w:rsidRPr="00AB7EE3">
        <w:rPr>
          <w:szCs w:val="24"/>
        </w:rPr>
        <w:t>) who stated:</w:t>
      </w:r>
    </w:p>
    <w:p w:rsidR="00AC038C" w:rsidRPr="00053476" w:rsidRDefault="00AC038C" w:rsidP="00A91C56">
      <w:pPr>
        <w:pStyle w:val="APAPar"/>
        <w:widowControl w:val="0"/>
        <w:ind w:leftChars="400" w:left="960" w:rightChars="400" w:right="960" w:firstLine="0"/>
        <w:jc w:val="both"/>
        <w:rPr>
          <w:rStyle w:val="Emphasis"/>
        </w:rPr>
      </w:pPr>
      <w:r w:rsidRPr="00053476">
        <w:rPr>
          <w:rStyle w:val="Emphasis"/>
        </w:rPr>
        <w:t>Ageing is usually accompanied by decrements in knowledge and skill. At the same time, success in an industrialized society is based in knowledge and skill and age-grading is a mechanism used to ensure that the young are sufficiently trained to assume authority and the old are retired before they lose skill.</w:t>
      </w:r>
    </w:p>
    <w:p w:rsidR="00AC038C" w:rsidRPr="00AB7EE3" w:rsidRDefault="00AC038C" w:rsidP="005C41B7">
      <w:pPr>
        <w:pStyle w:val="APAPar"/>
      </w:pPr>
      <w:r w:rsidRPr="00AB7EE3">
        <w:t xml:space="preserve">The arguments of Cumming and Henry (1961) came long before the scientific community had a better insight </w:t>
      </w:r>
      <w:r w:rsidR="00D93EC3" w:rsidRPr="00AB7EE3">
        <w:t>in</w:t>
      </w:r>
      <w:r w:rsidRPr="00AB7EE3">
        <w:t xml:space="preserve"> cognitive ageing</w:t>
      </w:r>
      <w:r w:rsidR="00E339F5" w:rsidRPr="00AB7EE3">
        <w:t xml:space="preserve"> and functional performance</w:t>
      </w:r>
      <w:r w:rsidRPr="00AB7EE3">
        <w:t xml:space="preserve">. Despite </w:t>
      </w:r>
      <w:r w:rsidR="00E339F5" w:rsidRPr="00AB7EE3">
        <w:t xml:space="preserve">the </w:t>
      </w:r>
      <w:r w:rsidR="00D93EC3" w:rsidRPr="00AB7EE3">
        <w:t>limited empirical examination for this</w:t>
      </w:r>
      <w:r w:rsidR="00E339F5" w:rsidRPr="00AB7EE3">
        <w:t xml:space="preserve"> relation</w:t>
      </w:r>
      <w:r w:rsidR="00D93EC3" w:rsidRPr="00AB7EE3">
        <w:t>ship</w:t>
      </w:r>
      <w:r w:rsidR="00E339F5" w:rsidRPr="00AB7EE3">
        <w:t xml:space="preserve"> </w:t>
      </w:r>
      <w:r w:rsidRPr="00AB7EE3">
        <w:t xml:space="preserve">however, the notion that cognitive ageing is strongly related with poorer job performance still persists. A recent study </w:t>
      </w:r>
      <w:r w:rsidR="00C92C76" w:rsidRPr="00AB7EE3">
        <w:t>by</w:t>
      </w:r>
      <w:r w:rsidRPr="00AB7EE3">
        <w:t xml:space="preserve"> the Organization for Economic Cooperation and Development (OECD, 2013) argued that job performance in technology rich environments decline</w:t>
      </w:r>
      <w:r w:rsidR="00C92C76" w:rsidRPr="00AB7EE3">
        <w:t>s</w:t>
      </w:r>
      <w:r w:rsidRPr="00AB7EE3">
        <w:t xml:space="preserve"> with age. This conclusion was based on </w:t>
      </w:r>
      <w:r w:rsidR="00E339F5" w:rsidRPr="00AB7EE3">
        <w:t>neuropsychological assessments of</w:t>
      </w:r>
      <w:r w:rsidRPr="00AB7EE3">
        <w:t xml:space="preserve"> literacy, numeracy and problem solving</w:t>
      </w:r>
      <w:r w:rsidR="00E339F5" w:rsidRPr="00AB7EE3">
        <w:t>, indicating that these abilities</w:t>
      </w:r>
      <w:r w:rsidRPr="00AB7EE3">
        <w:t xml:space="preserve"> peak in </w:t>
      </w:r>
      <w:r w:rsidR="00E339F5" w:rsidRPr="00AB7EE3">
        <w:t>our</w:t>
      </w:r>
      <w:r w:rsidRPr="00AB7EE3">
        <w:t xml:space="preserve"> 30s (years of age), declining steadily </w:t>
      </w:r>
      <w:r w:rsidR="00E339F5" w:rsidRPr="00AB7EE3">
        <w:t>thereafter</w:t>
      </w:r>
      <w:r w:rsidRPr="00AB7EE3">
        <w:t xml:space="preserve">. </w:t>
      </w:r>
      <w:r w:rsidR="00E339F5" w:rsidRPr="00AB7EE3">
        <w:t xml:space="preserve">Notably, </w:t>
      </w:r>
      <w:r w:rsidRPr="00AB7EE3">
        <w:t xml:space="preserve">job performance was not measured explicitly, </w:t>
      </w:r>
      <w:r w:rsidR="00E339F5" w:rsidRPr="00AB7EE3">
        <w:t>assuming</w:t>
      </w:r>
      <w:r w:rsidRPr="00AB7EE3">
        <w:t xml:space="preserve"> that declines in cognitive performance in the respective neuropsychological assessments </w:t>
      </w:r>
      <w:r w:rsidR="00C92C76" w:rsidRPr="00AB7EE3">
        <w:t xml:space="preserve">would </w:t>
      </w:r>
      <w:r w:rsidRPr="00AB7EE3">
        <w:t>correspond to declines in job performance</w:t>
      </w:r>
      <w:r w:rsidR="00E339F5" w:rsidRPr="00AB7EE3">
        <w:t xml:space="preserve"> in real life</w:t>
      </w:r>
      <w:r w:rsidRPr="00AB7EE3">
        <w:t>.</w:t>
      </w:r>
    </w:p>
    <w:p w:rsidR="00AC038C" w:rsidRPr="00AB7EE3" w:rsidRDefault="00AC038C" w:rsidP="005C41B7">
      <w:pPr>
        <w:pStyle w:val="APAPar"/>
      </w:pPr>
      <w:r w:rsidRPr="00AB7EE3">
        <w:t xml:space="preserve">Yet, the available empirical evidence cannot support a strong correspondence between cognitive and functional decline. In contrast, there </w:t>
      </w:r>
      <w:r w:rsidR="00C92C76" w:rsidRPr="00AB7EE3">
        <w:t>are</w:t>
      </w:r>
      <w:r w:rsidRPr="00AB7EE3">
        <w:t xml:space="preserve"> ample examples where individuals suffered extensive cognitive </w:t>
      </w:r>
      <w:r w:rsidR="00C92C76" w:rsidRPr="00AB7EE3">
        <w:t>impairments, with</w:t>
      </w:r>
      <w:r w:rsidRPr="00AB7EE3">
        <w:t xml:space="preserve"> their functional ability</w:t>
      </w:r>
      <w:r w:rsidR="00C92C76" w:rsidRPr="00AB7EE3">
        <w:t xml:space="preserve"> remaining</w:t>
      </w:r>
      <w:r w:rsidRPr="00AB7EE3">
        <w:t xml:space="preserve"> relatively intact (Loewenstein &amp; Acevedo, 2010). </w:t>
      </w:r>
      <w:r w:rsidR="00E339F5" w:rsidRPr="00AB7EE3">
        <w:t>To illustrate better this issue</w:t>
      </w:r>
      <w:r w:rsidRPr="00AB7EE3">
        <w:t xml:space="preserve">, Martyr and Clare (2012) reviewed studies that examined the relation between </w:t>
      </w:r>
      <w:r w:rsidR="00E339F5" w:rsidRPr="00AB7EE3">
        <w:t>cognitive performance</w:t>
      </w:r>
      <w:r w:rsidRPr="00AB7EE3">
        <w:t xml:space="preserve"> and </w:t>
      </w:r>
      <w:r w:rsidR="00E339F5" w:rsidRPr="00AB7EE3">
        <w:t xml:space="preserve">everyday </w:t>
      </w:r>
      <w:r w:rsidR="00E339F5" w:rsidRPr="00AB7EE3">
        <w:lastRenderedPageBreak/>
        <w:t>functioning</w:t>
      </w:r>
      <w:r w:rsidRPr="00AB7EE3">
        <w:t xml:space="preserve"> in Alzheimer’s disease patients, concluding </w:t>
      </w:r>
      <w:r w:rsidR="007A6C42" w:rsidRPr="00AB7EE3">
        <w:t>that performance in these measures</w:t>
      </w:r>
      <w:r w:rsidRPr="00AB7EE3">
        <w:t xml:space="preserve"> are only moderately related. Royall et al. (2007) review </w:t>
      </w:r>
      <w:r w:rsidR="007A6C42" w:rsidRPr="00AB7EE3">
        <w:t>also</w:t>
      </w:r>
      <w:r w:rsidRPr="00AB7EE3">
        <w:t xml:space="preserve"> the available literature</w:t>
      </w:r>
      <w:r w:rsidR="007A6C42" w:rsidRPr="00AB7EE3">
        <w:t xml:space="preserve"> (although not conducting a statistical meta-analysis</w:t>
      </w:r>
      <w:r w:rsidR="00A43DD3">
        <w:t>)</w:t>
      </w:r>
      <w:r w:rsidR="007A6C42" w:rsidRPr="00AB7EE3">
        <w:t>, and</w:t>
      </w:r>
      <w:r w:rsidRPr="00AB7EE3">
        <w:t xml:space="preserve"> found that performance in neuropsychological and everyday</w:t>
      </w:r>
      <w:r w:rsidR="007A6C42" w:rsidRPr="00AB7EE3">
        <w:t xml:space="preserve"> functioning assessments appear</w:t>
      </w:r>
      <w:r w:rsidRPr="00AB7EE3">
        <w:t xml:space="preserve"> moderately related. They concluded that (p.259):</w:t>
      </w:r>
    </w:p>
    <w:p w:rsidR="00AC038C" w:rsidRPr="00053476" w:rsidRDefault="00AC038C" w:rsidP="00A91C56">
      <w:pPr>
        <w:pStyle w:val="APAPar"/>
        <w:widowControl w:val="0"/>
        <w:ind w:leftChars="400" w:left="960" w:rightChars="400" w:right="960" w:firstLine="0"/>
        <w:jc w:val="both"/>
        <w:rPr>
          <w:rStyle w:val="Emphasis"/>
        </w:rPr>
      </w:pPr>
      <w:r w:rsidRPr="00053476">
        <w:rPr>
          <w:rStyle w:val="Emphasis"/>
        </w:rPr>
        <w:t>Either cognition is not as strongly associated with disability as we might imagine, or currently available measures are inadequate to demonstrate their true association.</w:t>
      </w:r>
    </w:p>
    <w:p w:rsidR="00AC038C" w:rsidRPr="00AB7EE3" w:rsidRDefault="007A6C42" w:rsidP="005C41B7">
      <w:pPr>
        <w:pStyle w:val="APAPar"/>
      </w:pPr>
      <w:r w:rsidRPr="00AB7EE3">
        <w:t>It</w:t>
      </w:r>
      <w:r w:rsidR="00AC038C" w:rsidRPr="00AB7EE3">
        <w:t xml:space="preserve"> has been argued that the relation</w:t>
      </w:r>
      <w:r w:rsidR="00C92C76" w:rsidRPr="00AB7EE3">
        <w:t>ship</w:t>
      </w:r>
      <w:r w:rsidR="00AC038C" w:rsidRPr="00AB7EE3">
        <w:t xml:space="preserve"> between cognitive performance and functioning does not appear as strong</w:t>
      </w:r>
      <w:r w:rsidRPr="00AB7EE3">
        <w:t xml:space="preserve"> in </w:t>
      </w:r>
      <w:r w:rsidR="00D93EC3" w:rsidRPr="00AB7EE3">
        <w:t>research</w:t>
      </w:r>
      <w:r w:rsidR="00AC038C" w:rsidRPr="00AB7EE3">
        <w:t xml:space="preserve"> because it is moderated by our innate ability to employ compensating strategies (Franzen &amp; Wilhelm, 1996). Baltes and </w:t>
      </w:r>
      <w:r w:rsidR="005406C0" w:rsidRPr="00AB7EE3">
        <w:t>Baltes (1990) and Freund and Ba</w:t>
      </w:r>
      <w:r w:rsidR="00AC038C" w:rsidRPr="00AB7EE3">
        <w:t>l</w:t>
      </w:r>
      <w:r w:rsidR="005406C0" w:rsidRPr="00AB7EE3">
        <w:t>t</w:t>
      </w:r>
      <w:r w:rsidR="00AC038C" w:rsidRPr="00AB7EE3">
        <w:t xml:space="preserve">es (2007), using the Selection, Optimization, and Compensation model (SOC) argued that one engages in a selection process, where certain behaviours become the allocation area of mental resources, at the cost of performance in other behaviours. This leads to the optimization of the selected behaviours’ performance, attenuating this way in great extend the effect of cognitive aging. This </w:t>
      </w:r>
      <w:r w:rsidR="00BA12CE" w:rsidRPr="00AB7EE3">
        <w:t>trade-off of behaviour, favour</w:t>
      </w:r>
      <w:r w:rsidR="00AC038C" w:rsidRPr="00AB7EE3">
        <w:t xml:space="preserve"> those that are more important </w:t>
      </w:r>
      <w:r w:rsidR="00BA12CE" w:rsidRPr="00AB7EE3">
        <w:t>at</w:t>
      </w:r>
      <w:r w:rsidR="00AC038C" w:rsidRPr="00AB7EE3">
        <w:t xml:space="preserve"> the expense of </w:t>
      </w:r>
      <w:r w:rsidR="00BA12CE" w:rsidRPr="00AB7EE3">
        <w:t>the</w:t>
      </w:r>
      <w:r w:rsidR="00AC038C" w:rsidRPr="00AB7EE3">
        <w:t xml:space="preserve"> less important</w:t>
      </w:r>
      <w:r w:rsidR="00BA12CE" w:rsidRPr="00AB7EE3">
        <w:t xml:space="preserve"> ones</w:t>
      </w:r>
      <w:r w:rsidR="00AC038C" w:rsidRPr="00AB7EE3">
        <w:t>.</w:t>
      </w:r>
    </w:p>
    <w:p w:rsidR="00AC038C" w:rsidRPr="00AB7EE3" w:rsidRDefault="00AC038C" w:rsidP="005C41B7">
      <w:pPr>
        <w:pStyle w:val="APAPar"/>
      </w:pPr>
      <w:r w:rsidRPr="00AB7EE3">
        <w:t>Salthouse (1984) used the SOC model, in order to explain the findings of a study that compared the performance of young and old typists in a controlled environment</w:t>
      </w:r>
      <w:r w:rsidR="0004598C" w:rsidRPr="00AB7EE3">
        <w:t>. He</w:t>
      </w:r>
      <w:r w:rsidRPr="00AB7EE3">
        <w:t xml:space="preserve"> found that older typists had slower movements in their fingers, and poorer performance in neuropsychological assessments. However, there was no difference in their typing speed when assigned in one of their typical working duties: that is typing documents. The author observed that older typists could read in average more words ahead, thus </w:t>
      </w:r>
      <w:r w:rsidR="0004598C" w:rsidRPr="00AB7EE3">
        <w:t>could</w:t>
      </w:r>
      <w:r w:rsidRPr="00AB7EE3">
        <w:t xml:space="preserve"> plan ahead longer sequences of finger movements. This ability allowed them to compensate for their </w:t>
      </w:r>
      <w:r w:rsidRPr="00AB7EE3">
        <w:lastRenderedPageBreak/>
        <w:t xml:space="preserve">shortcomings in physical and mental speed, </w:t>
      </w:r>
      <w:r w:rsidR="00D93EC3" w:rsidRPr="00AB7EE3">
        <w:t>and</w:t>
      </w:r>
      <w:r w:rsidRPr="00AB7EE3">
        <w:t xml:space="preserve"> to maintain their job performance. A similar experiment was performed on medical laboratory technicians (Hoyer &amp; Ingolfsdottir, 2003). When no instructions were provided, there were evident differences between older and younger technicians in the time needed to detect malicious cell structures in microscope slides.  However, </w:t>
      </w:r>
      <w:r w:rsidR="0004598C" w:rsidRPr="00AB7EE3">
        <w:t xml:space="preserve">when they were provided with information of the target </w:t>
      </w:r>
      <w:r w:rsidRPr="00AB7EE3">
        <w:t xml:space="preserve">structure, these age differences disappeared. Notably, in their everyday practise, laboratory technicians are always provided with this description of the malformation that they are expected to detect. </w:t>
      </w:r>
    </w:p>
    <w:p w:rsidR="00AC038C" w:rsidRPr="00AB7EE3" w:rsidRDefault="00AC038C" w:rsidP="005C41B7">
      <w:pPr>
        <w:pStyle w:val="APAPar"/>
      </w:pPr>
      <w:r w:rsidRPr="00AB7EE3">
        <w:t xml:space="preserve">Similar results have been found when examining performance in gaming. Charness (1979, 1981) focused on the cognitive strategies that may compensate age related cognitive declines in bridge and chess performance. The author concluded that although older individuals performed worse than younger individuals in neuropsychological assessments of problem solving and memory, their performance in bridge and chess remained unaffected by age. This was explained as the result of older players’ ability to access a reach pool of games from their </w:t>
      </w:r>
      <w:r w:rsidR="00C533B7" w:rsidRPr="00AB7EE3">
        <w:t xml:space="preserve">memory (or else </w:t>
      </w:r>
      <w:r w:rsidRPr="00AB7EE3">
        <w:t>experience</w:t>
      </w:r>
      <w:r w:rsidR="00C533B7" w:rsidRPr="00AB7EE3">
        <w:t>)</w:t>
      </w:r>
      <w:r w:rsidRPr="00AB7EE3">
        <w:t xml:space="preserve">, compensating this way for decrements in </w:t>
      </w:r>
      <w:r w:rsidR="0004598C" w:rsidRPr="00AB7EE3">
        <w:t>cognitive performance</w:t>
      </w:r>
      <w:r w:rsidRPr="00AB7EE3">
        <w:t xml:space="preserve">. </w:t>
      </w:r>
    </w:p>
    <w:p w:rsidR="00AC038C" w:rsidRPr="00AB7EE3" w:rsidRDefault="00AC038C" w:rsidP="005C41B7">
      <w:pPr>
        <w:pStyle w:val="APAPar"/>
      </w:pPr>
      <w:r w:rsidRPr="00AB7EE3">
        <w:t xml:space="preserve">The existence of an adaptive compensatory mechanism to counteract age-related deteriorations has been </w:t>
      </w:r>
      <w:r w:rsidR="00BA4B57" w:rsidRPr="00AB7EE3">
        <w:t xml:space="preserve">further </w:t>
      </w:r>
      <w:r w:rsidRPr="00AB7EE3">
        <w:t xml:space="preserve">used to explain neuronal plasticity in older age. Park and Reuter-Lorenz (2009) reviewed several relevant studies that used neuroimageing techniques, and proposed that age related declines in cognitive performance are attenuated by a greater engagement of the prefrontal cortex. </w:t>
      </w:r>
      <w:r w:rsidR="0004598C" w:rsidRPr="00AB7EE3">
        <w:t xml:space="preserve">They reported that the expected relation between </w:t>
      </w:r>
      <w:r w:rsidRPr="00AB7EE3">
        <w:t xml:space="preserve">reduced brain activation and volume in the hippocampal area </w:t>
      </w:r>
      <w:r w:rsidR="0004598C" w:rsidRPr="00AB7EE3">
        <w:t xml:space="preserve">and reduced memory capacity </w:t>
      </w:r>
      <w:r w:rsidRPr="00AB7EE3">
        <w:t xml:space="preserve">was not evident </w:t>
      </w:r>
      <w:r w:rsidR="0004598C" w:rsidRPr="00AB7EE3">
        <w:t xml:space="preserve">in older adults who showed </w:t>
      </w:r>
      <w:r w:rsidRPr="00AB7EE3">
        <w:t xml:space="preserve">a simultaneous increased activity in the prefrontal cortex (Park &amp; Gutchess, 2005 as cited in Park and Reuter-Lorenz, 2009; Persson, Lustig, Nelson, &amp; Reuter-Lorenz, 2007). </w:t>
      </w:r>
      <w:r w:rsidR="0004598C" w:rsidRPr="00AB7EE3">
        <w:t xml:space="preserve">The authors concluded that </w:t>
      </w:r>
      <w:r w:rsidRPr="00AB7EE3">
        <w:t xml:space="preserve">functional reorganization </w:t>
      </w:r>
      <w:r w:rsidR="0004598C" w:rsidRPr="00AB7EE3">
        <w:t xml:space="preserve">with ageing leads </w:t>
      </w:r>
      <w:r w:rsidR="0004598C" w:rsidRPr="00AB7EE3">
        <w:lastRenderedPageBreak/>
        <w:t xml:space="preserve">to </w:t>
      </w:r>
      <w:r w:rsidRPr="00AB7EE3">
        <w:t>the prefrontal cortex bec</w:t>
      </w:r>
      <w:r w:rsidR="0004598C" w:rsidRPr="00AB7EE3">
        <w:t>oming</w:t>
      </w:r>
      <w:r w:rsidRPr="00AB7EE3">
        <w:t xml:space="preserve"> increasingly involved in cognitive processes (e.g., memory) that </w:t>
      </w:r>
      <w:r w:rsidR="0004598C" w:rsidRPr="00AB7EE3">
        <w:t>are typically located in</w:t>
      </w:r>
      <w:r w:rsidRPr="00AB7EE3">
        <w:t xml:space="preserve"> hippocampal structures in younger ages. </w:t>
      </w:r>
    </w:p>
    <w:p w:rsidR="00BA4B57" w:rsidRPr="00AB7EE3" w:rsidRDefault="00AC038C" w:rsidP="005C41B7">
      <w:pPr>
        <w:pStyle w:val="APAPar"/>
      </w:pPr>
      <w:r w:rsidRPr="00AB7EE3">
        <w:t xml:space="preserve">Cabeza (2002) argued that task specific behaviours are related with greater activation in the prefrontal cortex, however this activation tends to be less lateralized (i.e., located in one hemisphere) in older age, as part of a compensatory mechanism to maintain performance. Greenwood (2007) suggested a different compensatory mechanism, arguing that although the prefrontal and parietal cortices manifest the most shrinkage with ageing, they increase their activation levels when performing a task. The </w:t>
      </w:r>
      <w:r w:rsidR="00D93EC3" w:rsidRPr="00AB7EE3">
        <w:t xml:space="preserve">latter </w:t>
      </w:r>
      <w:r w:rsidRPr="00AB7EE3">
        <w:t>author argued that this process drives a functional and neuronal reorganization in the specific and adjacent areas of the brain in order to maintain functional abilities with age.</w:t>
      </w:r>
    </w:p>
    <w:p w:rsidR="00BD74DF" w:rsidRDefault="00BA4B57" w:rsidP="005C41B7">
      <w:pPr>
        <w:pStyle w:val="APAPar"/>
      </w:pPr>
      <w:r w:rsidRPr="00AB7EE3">
        <w:t>As a theoretical model, the SOC model never provided the context of for</w:t>
      </w:r>
      <w:r w:rsidR="005406C0" w:rsidRPr="00AB7EE3">
        <w:t>ming concrete testable hypothese</w:t>
      </w:r>
      <w:r w:rsidRPr="00AB7EE3">
        <w:t>s. In the literature, there are several studies that examined the differences between the younger and the older in dual-task performance (i.e., performing two tasks at the same time; Li, Lindenberger, Freund, &amp; Baltes, 2001; Lindenberger, Marsiske, &amp; Baltes, 2000). The relevant findings indicated that the costs deriving from the cognitive load of performing two tasks instead of one are greater in older age, especially if the one task is as important as retaining balance when walking. Although valuable, this evidence did not depict the existence of a compensatory mechanism</w:t>
      </w:r>
      <w:r w:rsidR="00BD74DF">
        <w:t>.</w:t>
      </w:r>
    </w:p>
    <w:p w:rsidR="00D93EC3" w:rsidRPr="00AB7EE3" w:rsidRDefault="00D93EC3" w:rsidP="005C41B7">
      <w:pPr>
        <w:pStyle w:val="APAPar"/>
      </w:pPr>
      <w:r w:rsidRPr="00AB7EE3">
        <w:t xml:space="preserve">In other words, our current status of understanding for the relation between cognitive and functional decline in older age (i.e., that they are strongly related) is not sufficiently grounded in empirical findings, remaining still an influential assumption. The influence of this assumption is depicted among others in the comments of Depp and Jeste (2006), who suggested that disability </w:t>
      </w:r>
      <w:r w:rsidR="0004598C" w:rsidRPr="00AB7EE3">
        <w:t>and physical functioning appear</w:t>
      </w:r>
      <w:r w:rsidRPr="00AB7EE3">
        <w:t xml:space="preserve"> in most definitions of successful ageing in the literature, as </w:t>
      </w:r>
      <w:r w:rsidR="00DB4D7F">
        <w:t xml:space="preserve">n intact </w:t>
      </w:r>
      <w:r w:rsidRPr="00AB7EE3">
        <w:t xml:space="preserve">everyday functioning is one of the few tangible and </w:t>
      </w:r>
      <w:r w:rsidRPr="00AB7EE3">
        <w:lastRenderedPageBreak/>
        <w:t>measurable indicators of positive outcomes in older age. The conclusions of Royall et al. (2007) and Marytr and Clare (2012) on the relation between cognitive performance and everyday functioning cannot remain the endpoint of the relevant discourse, as it entails the danger to retain ungrounded ageist views about older adults’ functional abilities.</w:t>
      </w:r>
    </w:p>
    <w:p w:rsidR="00AC038C" w:rsidRPr="00AB7EE3" w:rsidRDefault="00F320B0" w:rsidP="005C41B7">
      <w:pPr>
        <w:pStyle w:val="APAPar"/>
      </w:pPr>
      <w:r w:rsidRPr="00AB7EE3">
        <w:t>A significant concern</w:t>
      </w:r>
      <w:r w:rsidR="00AC038C" w:rsidRPr="00AB7EE3">
        <w:t xml:space="preserve"> in drawing conclusions for the relation</w:t>
      </w:r>
      <w:r w:rsidR="005406C0" w:rsidRPr="00AB7EE3">
        <w:t>ship</w:t>
      </w:r>
      <w:r w:rsidR="00AC038C" w:rsidRPr="00AB7EE3">
        <w:t xml:space="preserve"> between cognitive and functional performance derive</w:t>
      </w:r>
      <w:r w:rsidR="00DB4D7F">
        <w:t>s</w:t>
      </w:r>
      <w:r w:rsidR="00AC038C" w:rsidRPr="00AB7EE3">
        <w:t xml:space="preserve"> from the </w:t>
      </w:r>
      <w:r w:rsidR="00AC038C" w:rsidRPr="00AB7EE3">
        <w:rPr>
          <w:i/>
        </w:rPr>
        <w:t xml:space="preserve">ecological validity </w:t>
      </w:r>
      <w:r w:rsidR="00AC038C" w:rsidRPr="00AB7EE3">
        <w:t xml:space="preserve">of the measures used. Ecological validity refers to the extent that findings derived from controlled experiments and environments can be generalized to the real world (Franzen, 2000). Specifically, for neuropsychology, </w:t>
      </w:r>
      <w:r w:rsidR="00AC038C" w:rsidRPr="00AB7EE3">
        <w:rPr>
          <w:i/>
        </w:rPr>
        <w:t>ecological validity</w:t>
      </w:r>
      <w:r w:rsidR="00AC038C" w:rsidRPr="00AB7EE3">
        <w:t xml:space="preserve"> has been coined as the </w:t>
      </w:r>
      <w:r w:rsidR="00AC038C" w:rsidRPr="00AB7EE3">
        <w:rPr>
          <w:i/>
        </w:rPr>
        <w:t>functional</w:t>
      </w:r>
      <w:r w:rsidR="00AC038C" w:rsidRPr="00AB7EE3">
        <w:t xml:space="preserve"> and </w:t>
      </w:r>
      <w:r w:rsidR="00AC038C" w:rsidRPr="00AB7EE3">
        <w:rPr>
          <w:i/>
        </w:rPr>
        <w:t>predictive</w:t>
      </w:r>
      <w:r w:rsidR="00AC038C" w:rsidRPr="00AB7EE3">
        <w:t xml:space="preserve"> power of one’s performance in neuropsychological assessments on one’s behaviour in a variety of real world situations (Sbordone, 1996). Goldstein (1996) criticised intensively the ecological validity of laboratory-based behaviours, stating that they cannot be assumed as real-world behaviours. More precisely, the author argued that there is a distinction between one’s </w:t>
      </w:r>
      <w:r w:rsidR="00AC038C" w:rsidRPr="00AB7EE3">
        <w:rPr>
          <w:i/>
        </w:rPr>
        <w:t>ability</w:t>
      </w:r>
      <w:r w:rsidR="00AC038C" w:rsidRPr="00AB7EE3">
        <w:t xml:space="preserve"> (one’s performance in neuropsychological tests) that can be tested in a laboratory, with the </w:t>
      </w:r>
      <w:r w:rsidR="006E0196" w:rsidRPr="00AB7EE3">
        <w:t xml:space="preserve">corresponding </w:t>
      </w:r>
      <w:r w:rsidR="00EB1324" w:rsidRPr="00E041BC">
        <w:rPr>
          <w:i/>
        </w:rPr>
        <w:t>functionality</w:t>
      </w:r>
      <w:r w:rsidR="00AC038C" w:rsidRPr="00AB7EE3">
        <w:t xml:space="preserve"> (one’s ability to perform behaviours) in the real world.</w:t>
      </w:r>
    </w:p>
    <w:p w:rsidR="00AC038C" w:rsidRPr="00AB7EE3" w:rsidRDefault="00AC038C" w:rsidP="005C41B7">
      <w:pPr>
        <w:pStyle w:val="APAPar"/>
      </w:pPr>
      <w:r w:rsidRPr="00AB7EE3">
        <w:t>In general, it is unclear how much one’s performance in basic neuropsychological assessments translates into behaviour changes within varying environments. Despite the large advances in neuroscience, there is little known about how the brain allows us to interact with the environment, even for simple activities like cooking (Burgess et al., 2006). Increasing the ecological validity of empirical measures in order to predict real world behaviours remains a constant objective in the scientific inquiry. Cherner (2010) cautioned</w:t>
      </w:r>
      <w:r w:rsidR="0004598C" w:rsidRPr="00AB7EE3">
        <w:t xml:space="preserve"> to</w:t>
      </w:r>
      <w:r w:rsidR="00E64548" w:rsidRPr="00AB7EE3">
        <w:t xml:space="preserve"> this direction</w:t>
      </w:r>
      <w:r w:rsidRPr="00AB7EE3">
        <w:t xml:space="preserve"> tha</w:t>
      </w:r>
      <w:r w:rsidR="00BA4B57" w:rsidRPr="00AB7EE3">
        <w:t>t translating and culturally ada</w:t>
      </w:r>
      <w:r w:rsidRPr="00AB7EE3">
        <w:t>pt</w:t>
      </w:r>
      <w:r w:rsidR="00BA4B57" w:rsidRPr="00AB7EE3">
        <w:t>ing</w:t>
      </w:r>
      <w:r w:rsidRPr="00AB7EE3">
        <w:t xml:space="preserve"> everyday functioning measures </w:t>
      </w:r>
      <w:r w:rsidR="00BA4B57" w:rsidRPr="00AB7EE3">
        <w:t xml:space="preserve">may contribute </w:t>
      </w:r>
      <w:r w:rsidR="00BD74DF">
        <w:t>to</w:t>
      </w:r>
      <w:r w:rsidR="00BA4B57" w:rsidRPr="00AB7EE3">
        <w:t xml:space="preserve"> </w:t>
      </w:r>
      <w:r w:rsidR="00A92568" w:rsidRPr="00AB7EE3">
        <w:t>the measures’ ecological validity</w:t>
      </w:r>
      <w:r w:rsidRPr="00AB7EE3">
        <w:t xml:space="preserve">. </w:t>
      </w:r>
      <w:r w:rsidR="00BA4B57" w:rsidRPr="00AB7EE3">
        <w:t xml:space="preserve">As </w:t>
      </w:r>
      <w:r w:rsidRPr="00AB7EE3">
        <w:t>Loewenstein and Acavedo (2010) posed</w:t>
      </w:r>
      <w:r w:rsidR="00A92568" w:rsidRPr="00AB7EE3">
        <w:t xml:space="preserve">, </w:t>
      </w:r>
      <w:r w:rsidRPr="00AB7EE3">
        <w:t xml:space="preserve">several cross-cultural studies on everyday functioning did not rely on culturally adjusted IADL measures, </w:t>
      </w:r>
      <w:r w:rsidRPr="00AB7EE3">
        <w:lastRenderedPageBreak/>
        <w:t>although everyday tasks are fundamentally different in some cultures. In other words, these studies may have produced larger measurement errors, due to cultural specific discrepancies in what was measured</w:t>
      </w:r>
      <w:r w:rsidR="00BA4B57" w:rsidRPr="00AB7EE3">
        <w:t xml:space="preserve"> and what should be measured in each culture, a discrepancy that cannot be adjusted for with statistical means</w:t>
      </w:r>
      <w:r w:rsidR="00A92568" w:rsidRPr="00AB7EE3">
        <w:t>.</w:t>
      </w:r>
    </w:p>
    <w:p w:rsidR="00D81751" w:rsidRPr="00AB7EE3" w:rsidRDefault="00020E1F" w:rsidP="005D6C71">
      <w:pPr>
        <w:pStyle w:val="Heading3"/>
      </w:pPr>
      <w:bookmarkStart w:id="83" w:name="_Toc373425955"/>
      <w:bookmarkStart w:id="84" w:name="_Toc521184186"/>
      <w:r w:rsidRPr="00AB7EE3">
        <w:t>The</w:t>
      </w:r>
      <w:r w:rsidR="00D81751" w:rsidRPr="00AB7EE3">
        <w:t xml:space="preserve"> Healthy Spectrum of Cognitive Performance</w:t>
      </w:r>
      <w:bookmarkEnd w:id="83"/>
      <w:bookmarkEnd w:id="84"/>
      <w:r w:rsidR="00BA4B57" w:rsidRPr="00AB7EE3">
        <w:t xml:space="preserve"> </w:t>
      </w:r>
    </w:p>
    <w:p w:rsidR="00884816" w:rsidRPr="00AB7EE3" w:rsidRDefault="00D81751" w:rsidP="005C41B7">
      <w:pPr>
        <w:pStyle w:val="APAPar"/>
      </w:pPr>
      <w:r w:rsidRPr="00AB7EE3">
        <w:t xml:space="preserve">The theoretical framework </w:t>
      </w:r>
      <w:r w:rsidR="00FB55F8" w:rsidRPr="00AB7EE3">
        <w:t xml:space="preserve">of Hertzog et al. (2009; </w:t>
      </w:r>
      <w:r w:rsidRPr="00AB7EE3">
        <w:t xml:space="preserve">Figure </w:t>
      </w:r>
      <w:r w:rsidR="00A92568" w:rsidRPr="00AB7EE3">
        <w:t>1.2</w:t>
      </w:r>
      <w:r w:rsidR="005406C0" w:rsidRPr="00AB7EE3">
        <w:t>)</w:t>
      </w:r>
      <w:r w:rsidR="00235032" w:rsidRPr="00AB7EE3">
        <w:t xml:space="preserve"> </w:t>
      </w:r>
      <w:r w:rsidR="00F745F7" w:rsidRPr="00AB7EE3">
        <w:t xml:space="preserve">can be used to </w:t>
      </w:r>
      <w:r w:rsidR="00FB55F8" w:rsidRPr="00AB7EE3">
        <w:t xml:space="preserve">conceptualize how </w:t>
      </w:r>
      <w:r w:rsidR="00F745F7" w:rsidRPr="00AB7EE3">
        <w:t xml:space="preserve">the </w:t>
      </w:r>
      <w:r w:rsidRPr="00AB7EE3">
        <w:t xml:space="preserve">factors </w:t>
      </w:r>
      <w:r w:rsidR="00BA4B57" w:rsidRPr="00AB7EE3">
        <w:t xml:space="preserve">presented in </w:t>
      </w:r>
      <w:r w:rsidR="00FB55F8" w:rsidRPr="00AB7EE3">
        <w:t xml:space="preserve">this chapter (i.e., physical activity, mental activity, SES and social participation) can exert </w:t>
      </w:r>
      <w:r w:rsidR="005F4AB8" w:rsidRPr="00AB7EE3">
        <w:t xml:space="preserve">an effect </w:t>
      </w:r>
      <w:r w:rsidRPr="00AB7EE3">
        <w:t>on cognitive</w:t>
      </w:r>
      <w:r w:rsidR="00235032" w:rsidRPr="00AB7EE3">
        <w:t xml:space="preserve"> decline</w:t>
      </w:r>
      <w:r w:rsidRPr="00AB7EE3">
        <w:t xml:space="preserve"> trajectories </w:t>
      </w:r>
      <w:r w:rsidR="00FB55F8" w:rsidRPr="00AB7EE3">
        <w:t xml:space="preserve">with ageing.  According to this theoretical framework, the effects of physical activity, mental activity, SES and social participation </w:t>
      </w:r>
      <w:r w:rsidR="00BA4B57" w:rsidRPr="00AB7EE3">
        <w:t xml:space="preserve">on cognitive performance </w:t>
      </w:r>
      <w:r w:rsidR="00193A8D" w:rsidRPr="00AB7EE3">
        <w:t xml:space="preserve">are constant and </w:t>
      </w:r>
      <w:r w:rsidR="005F4AB8" w:rsidRPr="00AB7EE3">
        <w:t xml:space="preserve">extend from the </w:t>
      </w:r>
      <w:r w:rsidRPr="00AB7EE3">
        <w:t>non-pathological spectrum</w:t>
      </w:r>
      <w:r w:rsidR="00235032" w:rsidRPr="00AB7EE3">
        <w:t xml:space="preserve"> (Area A) </w:t>
      </w:r>
      <w:r w:rsidR="00FB55F8" w:rsidRPr="00AB7EE3">
        <w:t xml:space="preserve">of cognitive performance </w:t>
      </w:r>
      <w:r w:rsidR="00235032" w:rsidRPr="00AB7EE3">
        <w:t>to the pathological one (Area B</w:t>
      </w:r>
      <w:r w:rsidR="00BA4B57" w:rsidRPr="00AB7EE3">
        <w:t>). An important assumption made from this framework is that less favourable cognitive decline trajectories</w:t>
      </w:r>
      <w:r w:rsidR="00FB55F8" w:rsidRPr="00AB7EE3">
        <w:t xml:space="preserve"> </w:t>
      </w:r>
      <w:r w:rsidRPr="00AB7EE3">
        <w:t>lead to the occurrence of age-related neuropsychological disorders sooner</w:t>
      </w:r>
      <w:r w:rsidR="00FB55F8" w:rsidRPr="00AB7EE3">
        <w:t xml:space="preserve"> for those </w:t>
      </w:r>
      <w:r w:rsidR="00193A8D" w:rsidRPr="00AB7EE3">
        <w:t xml:space="preserve">having less </w:t>
      </w:r>
      <w:r w:rsidR="00A92568" w:rsidRPr="00AB7EE3">
        <w:t>physical activity, mental activity, SES and social participation</w:t>
      </w:r>
      <w:r w:rsidR="00235032" w:rsidRPr="00AB7EE3">
        <w:t>.</w:t>
      </w:r>
      <w:r w:rsidR="00884816" w:rsidRPr="00AB7EE3">
        <w:t xml:space="preserve"> </w:t>
      </w:r>
    </w:p>
    <w:p w:rsidR="00796C50" w:rsidRPr="00AB7EE3" w:rsidRDefault="00235032" w:rsidP="005C41B7">
      <w:pPr>
        <w:pStyle w:val="APAPar"/>
      </w:pPr>
      <w:r w:rsidRPr="00AB7EE3">
        <w:t xml:space="preserve"> </w:t>
      </w:r>
      <w:r w:rsidR="00193A8D" w:rsidRPr="00AB7EE3">
        <w:t>The theoretical framework of Hertzog et al. (2009) has been proposed based on an extensive review of the literature</w:t>
      </w:r>
      <w:r w:rsidR="000D514B" w:rsidRPr="00AB7EE3">
        <w:t xml:space="preserve"> </w:t>
      </w:r>
      <w:r w:rsidR="006C337B" w:rsidRPr="00AB7EE3">
        <w:t>examined</w:t>
      </w:r>
      <w:r w:rsidR="00193A8D" w:rsidRPr="00AB7EE3">
        <w:t xml:space="preserve"> </w:t>
      </w:r>
      <w:r w:rsidR="005406C0" w:rsidRPr="00AB7EE3">
        <w:t>by</w:t>
      </w:r>
      <w:r w:rsidR="00193A8D" w:rsidRPr="00AB7EE3">
        <w:t xml:space="preserve"> a group of experts. </w:t>
      </w:r>
      <w:r w:rsidR="00A92568" w:rsidRPr="00AB7EE3">
        <w:t>It would be</w:t>
      </w:r>
      <w:r w:rsidR="00884816" w:rsidRPr="00AB7EE3">
        <w:t xml:space="preserve"> anticipated</w:t>
      </w:r>
      <w:r w:rsidRPr="00AB7EE3">
        <w:t xml:space="preserve"> that </w:t>
      </w:r>
      <w:r w:rsidR="00D81751" w:rsidRPr="00AB7EE3">
        <w:t>the</w:t>
      </w:r>
      <w:r w:rsidR="00884816" w:rsidRPr="00AB7EE3">
        <w:t xml:space="preserve"> </w:t>
      </w:r>
      <w:r w:rsidR="00242F62" w:rsidRPr="00AB7EE3">
        <w:t xml:space="preserve">evidence about the </w:t>
      </w:r>
      <w:r w:rsidR="00884816" w:rsidRPr="00AB7EE3">
        <w:t xml:space="preserve">factors exerting an effect on the </w:t>
      </w:r>
      <w:r w:rsidR="00D81751" w:rsidRPr="00AB7EE3">
        <w:t xml:space="preserve">non-pathological </w:t>
      </w:r>
      <w:r w:rsidR="00884816" w:rsidRPr="00AB7EE3">
        <w:t>spectrum</w:t>
      </w:r>
      <w:r w:rsidR="00D81751" w:rsidRPr="00AB7EE3">
        <w:t xml:space="preserve"> of cognitive </w:t>
      </w:r>
      <w:r w:rsidRPr="00AB7EE3">
        <w:t>performance</w:t>
      </w:r>
      <w:r w:rsidR="00D81751" w:rsidRPr="00AB7EE3">
        <w:t xml:space="preserve"> </w:t>
      </w:r>
      <w:r w:rsidR="00193A8D" w:rsidRPr="00AB7EE3">
        <w:t xml:space="preserve">would derive from studies that examined </w:t>
      </w:r>
      <w:r w:rsidR="00884816" w:rsidRPr="00AB7EE3">
        <w:t xml:space="preserve">cognitively intact older adults. In turn, </w:t>
      </w:r>
      <w:r w:rsidRPr="00AB7EE3">
        <w:t>t</w:t>
      </w:r>
      <w:r w:rsidR="00D81751" w:rsidRPr="00AB7EE3">
        <w:t xml:space="preserve">he </w:t>
      </w:r>
      <w:r w:rsidR="00242F62" w:rsidRPr="00AB7EE3">
        <w:t xml:space="preserve">knowledge for the </w:t>
      </w:r>
      <w:r w:rsidR="00D81751" w:rsidRPr="00AB7EE3">
        <w:t xml:space="preserve">factors leading to the occurrence of age-related neuropsychological disorders </w:t>
      </w:r>
      <w:r w:rsidR="00884816" w:rsidRPr="00AB7EE3">
        <w:t>would</w:t>
      </w:r>
      <w:r w:rsidR="00242F62" w:rsidRPr="00AB7EE3">
        <w:t xml:space="preserve"> derive from studies</w:t>
      </w:r>
      <w:r w:rsidR="00884816" w:rsidRPr="00AB7EE3">
        <w:t xml:space="preserve"> </w:t>
      </w:r>
      <w:r w:rsidR="00242F62" w:rsidRPr="00AB7EE3">
        <w:t xml:space="preserve">examining </w:t>
      </w:r>
      <w:r w:rsidR="00D81751" w:rsidRPr="00AB7EE3">
        <w:t xml:space="preserve">those who were </w:t>
      </w:r>
      <w:r w:rsidR="00796C50" w:rsidRPr="00AB7EE3">
        <w:t>initially</w:t>
      </w:r>
      <w:r w:rsidR="00242F62" w:rsidRPr="00AB7EE3">
        <w:t xml:space="preserve"> cognitively healthy</w:t>
      </w:r>
      <w:r w:rsidR="00796C50" w:rsidRPr="00AB7EE3">
        <w:t>,</w:t>
      </w:r>
      <w:r w:rsidR="00D81751" w:rsidRPr="00AB7EE3">
        <w:t xml:space="preserve"> but developed an age-related neuropsychological disorder later on. </w:t>
      </w:r>
      <w:r w:rsidR="00A92568" w:rsidRPr="00AB7EE3">
        <w:t>T</w:t>
      </w:r>
      <w:r w:rsidR="006C337B" w:rsidRPr="00AB7EE3">
        <w:t xml:space="preserve">here is </w:t>
      </w:r>
      <w:r w:rsidR="00D81751" w:rsidRPr="00AB7EE3">
        <w:t xml:space="preserve">ample of evidence </w:t>
      </w:r>
      <w:r w:rsidR="00796C50" w:rsidRPr="00AB7EE3">
        <w:t xml:space="preserve">for </w:t>
      </w:r>
      <w:r w:rsidR="006C337B" w:rsidRPr="00AB7EE3">
        <w:t>what con</w:t>
      </w:r>
      <w:r w:rsidR="00A92568" w:rsidRPr="00AB7EE3">
        <w:t xml:space="preserve">tributes </w:t>
      </w:r>
      <w:r w:rsidR="0004598C" w:rsidRPr="00AB7EE3">
        <w:t>to</w:t>
      </w:r>
      <w:r w:rsidR="00A92568" w:rsidRPr="00AB7EE3">
        <w:t xml:space="preserve"> the occurrence of an age-related neuropsychological </w:t>
      </w:r>
      <w:r w:rsidR="006C337B" w:rsidRPr="00AB7EE3">
        <w:t>pathology (e.g. epidemiological studies)</w:t>
      </w:r>
      <w:r w:rsidR="00A92568" w:rsidRPr="00AB7EE3">
        <w:t xml:space="preserve"> in the available literature on </w:t>
      </w:r>
      <w:r w:rsidR="00A92568" w:rsidRPr="00AB7EE3">
        <w:lastRenderedPageBreak/>
        <w:t>cognitive ageing to date, however</w:t>
      </w:r>
      <w:r w:rsidR="00796C50" w:rsidRPr="00AB7EE3">
        <w:t xml:space="preserve">, </w:t>
      </w:r>
      <w:r w:rsidR="00D81751" w:rsidRPr="00AB7EE3">
        <w:t>a disproportionally sma</w:t>
      </w:r>
      <w:r w:rsidR="0004598C" w:rsidRPr="00AB7EE3">
        <w:t>ller number of studies examine</w:t>
      </w:r>
      <w:r w:rsidR="00D81751" w:rsidRPr="00AB7EE3">
        <w:t xml:space="preserve"> </w:t>
      </w:r>
      <w:r w:rsidR="00801F77" w:rsidRPr="00AB7EE3">
        <w:t xml:space="preserve">effects on </w:t>
      </w:r>
      <w:r w:rsidR="00D81751" w:rsidRPr="00AB7EE3">
        <w:t xml:space="preserve">the non-pathological spectrum </w:t>
      </w:r>
      <w:r w:rsidR="006C337B" w:rsidRPr="00AB7EE3">
        <w:t>of cognitive performance</w:t>
      </w:r>
      <w:r w:rsidR="00801F77" w:rsidRPr="00AB7EE3">
        <w:t>.</w:t>
      </w:r>
    </w:p>
    <w:p w:rsidR="00D81751" w:rsidRPr="00AB7EE3" w:rsidRDefault="006C337B" w:rsidP="005C41B7">
      <w:pPr>
        <w:pStyle w:val="APAPar"/>
      </w:pPr>
      <w:r w:rsidRPr="00AB7EE3">
        <w:t xml:space="preserve">The </w:t>
      </w:r>
      <w:r w:rsidR="00A92568" w:rsidRPr="00AB7EE3">
        <w:t>issue</w:t>
      </w:r>
      <w:r w:rsidRPr="00AB7EE3">
        <w:t xml:space="preserve"> under examination is whether the</w:t>
      </w:r>
      <w:r w:rsidR="00242F62" w:rsidRPr="00AB7EE3">
        <w:t xml:space="preserve"> distinction between the pathological and the non-pathological spectrums of cognitive performance was well respected in the review </w:t>
      </w:r>
      <w:r w:rsidRPr="00AB7EE3">
        <w:t xml:space="preserve">and report </w:t>
      </w:r>
      <w:r w:rsidR="00242F62" w:rsidRPr="00AB7EE3">
        <w:t>of Hertzog et al. (2009)</w:t>
      </w:r>
      <w:r w:rsidR="00A92568" w:rsidRPr="00AB7EE3">
        <w:t>, rendering the resulting theoretical framework as an accurate depiction of cognitive ageing</w:t>
      </w:r>
      <w:r w:rsidR="00242F62" w:rsidRPr="00AB7EE3">
        <w:t xml:space="preserve">.  </w:t>
      </w:r>
      <w:r w:rsidRPr="00AB7EE3">
        <w:t>This consideration</w:t>
      </w:r>
      <w:r w:rsidR="00242F62" w:rsidRPr="00AB7EE3">
        <w:t xml:space="preserve"> </w:t>
      </w:r>
      <w:r w:rsidRPr="00AB7EE3">
        <w:t>emerges</w:t>
      </w:r>
      <w:r w:rsidR="00242F62" w:rsidRPr="00AB7EE3">
        <w:t xml:space="preserve"> </w:t>
      </w:r>
      <w:r w:rsidRPr="00AB7EE3">
        <w:t>by reviewing the</w:t>
      </w:r>
      <w:r w:rsidR="00D81751" w:rsidRPr="00AB7EE3">
        <w:t xml:space="preserve"> empirical findings in the </w:t>
      </w:r>
      <w:r w:rsidR="00796C50" w:rsidRPr="00AB7EE3">
        <w:t>relevant</w:t>
      </w:r>
      <w:r w:rsidR="00D81751" w:rsidRPr="00AB7EE3">
        <w:t xml:space="preserve"> discourse </w:t>
      </w:r>
      <w:r w:rsidR="00254A13" w:rsidRPr="00AB7EE3">
        <w:t>and</w:t>
      </w:r>
      <w:r w:rsidRPr="00AB7EE3">
        <w:t xml:space="preserve"> the theoretical framework proposed. For example,</w:t>
      </w:r>
      <w:r w:rsidR="00D81751" w:rsidRPr="00AB7EE3">
        <w:t xml:space="preserve"> </w:t>
      </w:r>
      <w:r w:rsidRPr="00AB7EE3">
        <w:t xml:space="preserve">according to the thesis of the Hertzog et al </w:t>
      </w:r>
      <w:r w:rsidR="006041F7" w:rsidRPr="00AB7EE3">
        <w:t xml:space="preserve">(2009) </w:t>
      </w:r>
      <w:r w:rsidRPr="00AB7EE3">
        <w:t xml:space="preserve">review, </w:t>
      </w:r>
      <w:r w:rsidR="00D81751" w:rsidRPr="00AB7EE3">
        <w:t>exposure to better education, or exposure to better socioeconomic conditions exert</w:t>
      </w:r>
      <w:r w:rsidR="00BD74DF">
        <w:t>s</w:t>
      </w:r>
      <w:r w:rsidR="00D81751" w:rsidRPr="00AB7EE3">
        <w:t xml:space="preserve"> </w:t>
      </w:r>
      <w:r w:rsidR="00796C50" w:rsidRPr="00AB7EE3">
        <w:t xml:space="preserve">constant </w:t>
      </w:r>
      <w:r w:rsidR="00D81751" w:rsidRPr="00AB7EE3">
        <w:t xml:space="preserve">beneficial </w:t>
      </w:r>
      <w:r w:rsidRPr="00AB7EE3">
        <w:t>effects</w:t>
      </w:r>
      <w:r w:rsidR="00D81751" w:rsidRPr="00AB7EE3">
        <w:t xml:space="preserve"> on </w:t>
      </w:r>
      <w:r w:rsidR="00796C50" w:rsidRPr="00AB7EE3">
        <w:t xml:space="preserve">cognitive vitality. </w:t>
      </w:r>
      <w:r w:rsidRPr="00AB7EE3">
        <w:t>This is not in accordance however with the evidence depicting that</w:t>
      </w:r>
      <w:r w:rsidR="00D81751" w:rsidRPr="00AB7EE3">
        <w:t xml:space="preserve"> among Alzheimer’s disease patients</w:t>
      </w:r>
      <w:r w:rsidR="00796C50" w:rsidRPr="00AB7EE3">
        <w:t>,</w:t>
      </w:r>
      <w:r w:rsidR="00D81751" w:rsidRPr="00AB7EE3">
        <w:t xml:space="preserve"> those of higher education </w:t>
      </w:r>
      <w:r w:rsidR="00796C50" w:rsidRPr="00AB7EE3">
        <w:t>have demonstrated</w:t>
      </w:r>
      <w:r w:rsidR="00D81751" w:rsidRPr="00AB7EE3">
        <w:t xml:space="preserve"> more rapid rates of cognitive decline (Andel, Vigen, Mack, Clark, &amp; Gatz, 2006). </w:t>
      </w:r>
      <w:r w:rsidR="00801F77" w:rsidRPr="00AB7EE3">
        <w:t>I</w:t>
      </w:r>
      <w:r w:rsidR="00D81751" w:rsidRPr="00AB7EE3">
        <w:t>n</w:t>
      </w:r>
      <w:r w:rsidR="009114BD" w:rsidRPr="00AB7EE3">
        <w:t xml:space="preserve"> addition, recent longitudinal studies depict that</w:t>
      </w:r>
      <w:r w:rsidR="00D81751" w:rsidRPr="00AB7EE3">
        <w:t xml:space="preserve"> </w:t>
      </w:r>
      <w:r w:rsidR="00796C50" w:rsidRPr="00AB7EE3">
        <w:t xml:space="preserve">higher SES </w:t>
      </w:r>
      <w:r w:rsidR="009114BD" w:rsidRPr="00AB7EE3">
        <w:t>is</w:t>
      </w:r>
      <w:r w:rsidR="00D81751" w:rsidRPr="00AB7EE3">
        <w:t xml:space="preserve"> associated with higher levels of cognitive performance, but not with more favourable cognitive decline trajectories over time (Christensen et al., 2001; Hofer et al., 2002; Mackinnon, et al., 2003). </w:t>
      </w:r>
      <w:r w:rsidR="00796C50" w:rsidRPr="00AB7EE3">
        <w:t>In</w:t>
      </w:r>
      <w:r w:rsidR="00D81751" w:rsidRPr="00AB7EE3">
        <w:t xml:space="preserve"> </w:t>
      </w:r>
      <w:r w:rsidR="00796C50" w:rsidRPr="00AB7EE3">
        <w:t xml:space="preserve">a </w:t>
      </w:r>
      <w:r w:rsidR="00776EF4" w:rsidRPr="00AB7EE3">
        <w:t xml:space="preserve">recent </w:t>
      </w:r>
      <w:r w:rsidR="00796C50" w:rsidRPr="00AB7EE3">
        <w:t xml:space="preserve">relevant </w:t>
      </w:r>
      <w:r w:rsidR="00776EF4" w:rsidRPr="00AB7EE3">
        <w:t xml:space="preserve">meta-analysis (Young et al., </w:t>
      </w:r>
      <w:r w:rsidR="005406C0" w:rsidRPr="00AB7EE3">
        <w:t>2015) of</w:t>
      </w:r>
      <w:r w:rsidR="00D81751" w:rsidRPr="00AB7EE3">
        <w:t xml:space="preserve"> studies examining the effect of exercise on older adults' cognitive vitality</w:t>
      </w:r>
      <w:r w:rsidR="00776EF4" w:rsidRPr="00AB7EE3">
        <w:t>, the authors</w:t>
      </w:r>
      <w:r w:rsidR="00D81751" w:rsidRPr="00AB7EE3">
        <w:t xml:space="preserve"> did not </w:t>
      </w:r>
      <w:r w:rsidR="00776EF4" w:rsidRPr="00AB7EE3">
        <w:t>argue</w:t>
      </w:r>
      <w:r w:rsidR="009114BD" w:rsidRPr="00AB7EE3">
        <w:t xml:space="preserve"> for</w:t>
      </w:r>
      <w:r w:rsidR="00D81751" w:rsidRPr="00AB7EE3">
        <w:t xml:space="preserve"> </w:t>
      </w:r>
      <w:r w:rsidR="006041F7" w:rsidRPr="00AB7EE3">
        <w:t>relevant</w:t>
      </w:r>
      <w:r w:rsidR="00D81751" w:rsidRPr="00AB7EE3">
        <w:t xml:space="preserve"> beneficial effect among those who are cognitively intact, </w:t>
      </w:r>
      <w:r w:rsidR="00242F62" w:rsidRPr="00AB7EE3">
        <w:t>but only for</w:t>
      </w:r>
      <w:r w:rsidR="00D81751" w:rsidRPr="00AB7EE3">
        <w:t xml:space="preserve"> those affected from a cognitive or affective disorder. More precisely </w:t>
      </w:r>
      <w:r w:rsidR="006041F7" w:rsidRPr="00AB7EE3">
        <w:t>Young et al</w:t>
      </w:r>
      <w:r w:rsidR="005406C0" w:rsidRPr="00AB7EE3">
        <w:t>.</w:t>
      </w:r>
      <w:r w:rsidR="00D81751" w:rsidRPr="00AB7EE3">
        <w:t xml:space="preserve"> </w:t>
      </w:r>
      <w:r w:rsidR="00776EF4" w:rsidRPr="00AB7EE3">
        <w:t xml:space="preserve">(2015, </w:t>
      </w:r>
      <w:r w:rsidR="00D81751" w:rsidRPr="00AB7EE3">
        <w:t>p</w:t>
      </w:r>
      <w:r w:rsidR="00776EF4" w:rsidRPr="00AB7EE3">
        <w:t>.</w:t>
      </w:r>
      <w:r w:rsidR="00D81751" w:rsidRPr="00AB7EE3">
        <w:t xml:space="preserve"> 22)</w:t>
      </w:r>
      <w:r w:rsidR="006041F7" w:rsidRPr="00AB7EE3">
        <w:t xml:space="preserve"> stated</w:t>
      </w:r>
      <w:r w:rsidR="00D81751" w:rsidRPr="00AB7EE3">
        <w:t>:</w:t>
      </w:r>
    </w:p>
    <w:p w:rsidR="00D81751" w:rsidRPr="00053476" w:rsidRDefault="00D81751" w:rsidP="00A91C56">
      <w:pPr>
        <w:pStyle w:val="APAPar"/>
        <w:widowControl w:val="0"/>
        <w:ind w:leftChars="400" w:left="960" w:rightChars="400" w:right="960" w:firstLine="0"/>
        <w:jc w:val="both"/>
        <w:rPr>
          <w:rStyle w:val="Emphasis"/>
        </w:rPr>
      </w:pPr>
      <w:r w:rsidRPr="00053476">
        <w:rPr>
          <w:rStyle w:val="Emphasis"/>
        </w:rPr>
        <w:t xml:space="preserve">This Cochrane Review examined the effect of physical activity aimed at improving cardiorespiratory fitness on cognitive function in healthy older people without known cognitive impairment. The hypothesis being tested is that physical activity brings about improvements in cognition, which are mediated by increased cardiovascular (aerobic) fitness (Colcombe et </w:t>
      </w:r>
      <w:r w:rsidRPr="00053476">
        <w:rPr>
          <w:rStyle w:val="Emphasis"/>
        </w:rPr>
        <w:lastRenderedPageBreak/>
        <w:t>al., 2004; Kramer, 1999; McAuley, 2004). If true, this would imply that a physically active lifestyle resulting in enhanced fitness could positively affect people’s cognitive abilities as they age and may even prevent, or at least delay, the onset of neurodegenerative disorders such as Alzheimer’s disease. Nine of the 12 included trials reported that aerobic exercise interventions resulted in increased cardiorespiratory fitness of the intervention group…. However, this was not accompanied by any impact on cognitive function.</w:t>
      </w:r>
    </w:p>
    <w:p w:rsidR="00D81751" w:rsidRPr="00AB7EE3" w:rsidRDefault="00D81751" w:rsidP="005C41B7">
      <w:pPr>
        <w:pStyle w:val="APAPar"/>
      </w:pPr>
      <w:r w:rsidRPr="00AB7EE3">
        <w:t>Young et al. (2015) observed that previous reviews or meta-analysis report</w:t>
      </w:r>
      <w:r w:rsidR="005F4CD1" w:rsidRPr="00AB7EE3">
        <w:t>ed</w:t>
      </w:r>
      <w:r w:rsidRPr="00AB7EE3">
        <w:t xml:space="preserve"> significant benefits of exercise on cognitive performance with ageing, </w:t>
      </w:r>
      <w:r w:rsidR="005F4CD1" w:rsidRPr="00AB7EE3">
        <w:t>because they included</w:t>
      </w:r>
      <w:r w:rsidRPr="00AB7EE3">
        <w:t xml:space="preserve"> studies that used</w:t>
      </w:r>
      <w:r w:rsidR="005F4CD1" w:rsidRPr="00AB7EE3">
        <w:t xml:space="preserve"> mixed samples of participants </w:t>
      </w:r>
      <w:r w:rsidRPr="00AB7EE3">
        <w:t xml:space="preserve">consisting both of seniors being cognitively healthy and </w:t>
      </w:r>
      <w:r w:rsidR="006041F7" w:rsidRPr="00AB7EE3">
        <w:t xml:space="preserve">those </w:t>
      </w:r>
      <w:r w:rsidRPr="00AB7EE3">
        <w:t>cognitively affected by a neurological condition (Colcombe &amp; Kramer, 2003; Etnier, Nowell, Landers, &amp; Sibley, 2006; Smith et al., 2010; van Uffelen, Chin, Hopman-Rock, &amp; van Mechelen 2008, as cited in Young et al., 2015).</w:t>
      </w:r>
      <w:r w:rsidR="005F4CD1" w:rsidRPr="00AB7EE3">
        <w:t xml:space="preserve"> When</w:t>
      </w:r>
      <w:r w:rsidR="00776EF4" w:rsidRPr="00AB7EE3">
        <w:t xml:space="preserve"> studies included</w:t>
      </w:r>
      <w:r w:rsidRPr="00AB7EE3">
        <w:t xml:space="preserve"> only healthy participants (Etnier et al., 1997, as cited in Young et al., 2015) </w:t>
      </w:r>
      <w:r w:rsidR="005F4CD1" w:rsidRPr="00AB7EE3">
        <w:t xml:space="preserve">were examined, </w:t>
      </w:r>
      <w:r w:rsidRPr="00AB7EE3">
        <w:t>none or marginal beneficial effects of exercise on cognitive decline with ageing</w:t>
      </w:r>
      <w:r w:rsidR="005F4CD1" w:rsidRPr="00AB7EE3">
        <w:t xml:space="preserve"> were found</w:t>
      </w:r>
      <w:r w:rsidRPr="00AB7EE3">
        <w:t xml:space="preserve">. </w:t>
      </w:r>
      <w:r w:rsidR="005F4CD1" w:rsidRPr="00AB7EE3">
        <w:t>Therefore, the Cochrane Review</w:t>
      </w:r>
      <w:r w:rsidRPr="00AB7EE3">
        <w:t xml:space="preserve"> concluded that exercise could be beneficial for specific subgroups of the population, such as those who suffe</w:t>
      </w:r>
      <w:r w:rsidR="00776EF4" w:rsidRPr="00AB7EE3">
        <w:t>r from dementia or depression. B</w:t>
      </w:r>
      <w:r w:rsidRPr="00AB7EE3">
        <w:t xml:space="preserve">ut </w:t>
      </w:r>
      <w:r w:rsidR="005F4CD1" w:rsidRPr="00AB7EE3">
        <w:t>there is no evidence to support</w:t>
      </w:r>
      <w:r w:rsidR="00323267" w:rsidRPr="00AB7EE3">
        <w:t xml:space="preserve"> such an effect </w:t>
      </w:r>
      <w:r w:rsidRPr="00AB7EE3">
        <w:t>for those who lie in the health</w:t>
      </w:r>
      <w:r w:rsidR="00323267" w:rsidRPr="00AB7EE3">
        <w:t xml:space="preserve">y spectrum of </w:t>
      </w:r>
      <w:r w:rsidR="006041F7" w:rsidRPr="00AB7EE3">
        <w:t>cognitive performance</w:t>
      </w:r>
      <w:r w:rsidR="00323267" w:rsidRPr="00AB7EE3">
        <w:t>.</w:t>
      </w:r>
    </w:p>
    <w:p w:rsidR="00D81751" w:rsidRPr="00AB7EE3" w:rsidRDefault="006041F7" w:rsidP="005C41B7">
      <w:pPr>
        <w:pStyle w:val="APAPar"/>
      </w:pPr>
      <w:r w:rsidRPr="00AB7EE3">
        <w:t xml:space="preserve">In a similar line, </w:t>
      </w:r>
      <w:r w:rsidR="00D81751" w:rsidRPr="00AB7EE3">
        <w:t xml:space="preserve">Salthouse (2006) challenged the value of cognitive training on cognitive vitality in the healthy spectrum of ageing, stating that there is no solid supportive evidence in his own research, as well as in the literature, for such an effect. In </w:t>
      </w:r>
      <w:r w:rsidR="00323267" w:rsidRPr="00AB7EE3">
        <w:t>his</w:t>
      </w:r>
      <w:r w:rsidR="00953661" w:rsidRPr="00AB7EE3">
        <w:t xml:space="preserve"> study</w:t>
      </w:r>
      <w:r w:rsidR="005406C0" w:rsidRPr="00AB7EE3">
        <w:t xml:space="preserve"> of</w:t>
      </w:r>
      <w:r w:rsidR="00D81751" w:rsidRPr="00AB7EE3">
        <w:t xml:space="preserve"> 1200 individuals, no statistically significant relation between </w:t>
      </w:r>
      <w:r w:rsidR="00D81751" w:rsidRPr="00AB7EE3">
        <w:rPr>
          <w:i/>
        </w:rPr>
        <w:t>Need for Cognition</w:t>
      </w:r>
      <w:r w:rsidR="00D81751" w:rsidRPr="00AB7EE3">
        <w:t xml:space="preserve"> (i.e., an </w:t>
      </w:r>
      <w:r w:rsidR="00D81751" w:rsidRPr="00AB7EE3">
        <w:lastRenderedPageBreak/>
        <w:t xml:space="preserve">individual’s tendency to </w:t>
      </w:r>
      <w:r w:rsidR="005F4CD1" w:rsidRPr="00AB7EE3">
        <w:t>participate in</w:t>
      </w:r>
      <w:r w:rsidR="00D81751" w:rsidRPr="00AB7EE3">
        <w:t xml:space="preserve"> cognitively stimulating activities) and cognitive </w:t>
      </w:r>
      <w:r w:rsidR="00953661" w:rsidRPr="00AB7EE3">
        <w:t>decline</w:t>
      </w:r>
      <w:r w:rsidR="00D81751" w:rsidRPr="00AB7EE3">
        <w:t xml:space="preserve"> with ageing occurred, although Need for Cognition by </w:t>
      </w:r>
      <w:r w:rsidR="00953661" w:rsidRPr="00AB7EE3">
        <w:t>itself</w:t>
      </w:r>
      <w:r w:rsidR="00D81751" w:rsidRPr="00AB7EE3">
        <w:t xml:space="preserve"> was </w:t>
      </w:r>
      <w:r w:rsidR="00776EF4" w:rsidRPr="00AB7EE3">
        <w:t xml:space="preserve">positively </w:t>
      </w:r>
      <w:r w:rsidR="00D81751" w:rsidRPr="00AB7EE3">
        <w:t xml:space="preserve">related with hours spend in cognitively demanding activities. Salthouse (2006) </w:t>
      </w:r>
      <w:r w:rsidR="00323267" w:rsidRPr="00AB7EE3">
        <w:t xml:space="preserve">also </w:t>
      </w:r>
      <w:r w:rsidR="00D81751" w:rsidRPr="00AB7EE3">
        <w:t xml:space="preserve">contested that the beneficial effect of mental exercise may be evident to those having very low levels </w:t>
      </w:r>
      <w:r w:rsidR="00776EF4" w:rsidRPr="00AB7EE3">
        <w:t>of</w:t>
      </w:r>
      <w:r w:rsidR="00D81751" w:rsidRPr="00AB7EE3">
        <w:t xml:space="preserve"> cognitive ability</w:t>
      </w:r>
      <w:r w:rsidR="005F4CD1" w:rsidRPr="00AB7EE3">
        <w:t>, or very low educational level. H</w:t>
      </w:r>
      <w:r w:rsidR="00D81751" w:rsidRPr="00AB7EE3">
        <w:t xml:space="preserve">e </w:t>
      </w:r>
      <w:r w:rsidR="005F4CD1" w:rsidRPr="00AB7EE3">
        <w:t xml:space="preserve">added </w:t>
      </w:r>
      <w:r w:rsidR="00D81751" w:rsidRPr="00AB7EE3">
        <w:t xml:space="preserve">however, </w:t>
      </w:r>
      <w:r w:rsidR="00323267" w:rsidRPr="00AB7EE3">
        <w:t xml:space="preserve">that </w:t>
      </w:r>
      <w:r w:rsidR="00D81751" w:rsidRPr="00AB7EE3">
        <w:t>this limit</w:t>
      </w:r>
      <w:r w:rsidR="00953661" w:rsidRPr="00AB7EE3">
        <w:t>s</w:t>
      </w:r>
      <w:r w:rsidR="00D81751" w:rsidRPr="00AB7EE3">
        <w:t xml:space="preserve"> significantly the applicability of the mental exercise hypothesis</w:t>
      </w:r>
      <w:r w:rsidR="00953661" w:rsidRPr="00AB7EE3">
        <w:t xml:space="preserve"> </w:t>
      </w:r>
      <w:r w:rsidR="00776EF4" w:rsidRPr="00AB7EE3">
        <w:t xml:space="preserve">only </w:t>
      </w:r>
      <w:r w:rsidR="005F4CD1" w:rsidRPr="00AB7EE3">
        <w:t xml:space="preserve">to those </w:t>
      </w:r>
      <w:r w:rsidRPr="00AB7EE3">
        <w:t>who have a disadvantage</w:t>
      </w:r>
      <w:r w:rsidR="005F4CD1" w:rsidRPr="00AB7EE3">
        <w:t xml:space="preserve"> </w:t>
      </w:r>
      <w:r w:rsidRPr="00AB7EE3">
        <w:t xml:space="preserve">in </w:t>
      </w:r>
      <w:r w:rsidR="001F44D5">
        <w:t>these</w:t>
      </w:r>
      <w:r w:rsidR="001F44D5" w:rsidRPr="00AB7EE3">
        <w:t xml:space="preserve"> </w:t>
      </w:r>
      <w:r w:rsidRPr="00AB7EE3">
        <w:t>respects.</w:t>
      </w:r>
    </w:p>
    <w:p w:rsidR="00D81751" w:rsidRPr="00AB7EE3" w:rsidRDefault="00D81751" w:rsidP="005C41B7">
      <w:pPr>
        <w:pStyle w:val="APAPar"/>
      </w:pPr>
      <w:r w:rsidRPr="00AB7EE3">
        <w:t xml:space="preserve">Lovden, Ghisletta and Lindenberger (2005) argued that social participation may not be the driving force behind cognitive decline, and therefore </w:t>
      </w:r>
      <w:r w:rsidR="00953661" w:rsidRPr="00AB7EE3">
        <w:t xml:space="preserve">increased </w:t>
      </w:r>
      <w:r w:rsidRPr="00AB7EE3">
        <w:t xml:space="preserve">social participation </w:t>
      </w:r>
      <w:r w:rsidR="00953661" w:rsidRPr="00AB7EE3">
        <w:t xml:space="preserve">may </w:t>
      </w:r>
      <w:r w:rsidRPr="00AB7EE3">
        <w:t xml:space="preserve">not </w:t>
      </w:r>
      <w:r w:rsidR="00953661" w:rsidRPr="00AB7EE3">
        <w:t>reduce</w:t>
      </w:r>
      <w:r w:rsidRPr="00AB7EE3">
        <w:t xml:space="preserve"> </w:t>
      </w:r>
      <w:r w:rsidR="00323267" w:rsidRPr="00AB7EE3">
        <w:t xml:space="preserve">significantly </w:t>
      </w:r>
      <w:r w:rsidR="005406C0" w:rsidRPr="00AB7EE3">
        <w:t xml:space="preserve">rates of </w:t>
      </w:r>
      <w:r w:rsidRPr="00AB7EE3">
        <w:t>cognitive decline.</w:t>
      </w:r>
      <w:r w:rsidR="00953661" w:rsidRPr="00AB7EE3">
        <w:t xml:space="preserve"> The relevant beneficial </w:t>
      </w:r>
      <w:r w:rsidR="006041F7" w:rsidRPr="00AB7EE3">
        <w:t>effects may</w:t>
      </w:r>
      <w:r w:rsidR="00953661" w:rsidRPr="00AB7EE3">
        <w:t xml:space="preserve"> emerge only when the extreme ends of social participation and cognitive performance (namely social isolation and age-related neurological conditions)</w:t>
      </w:r>
      <w:r w:rsidR="00323267" w:rsidRPr="00AB7EE3">
        <w:t xml:space="preserve"> are considered</w:t>
      </w:r>
      <w:r w:rsidR="00953661" w:rsidRPr="00AB7EE3">
        <w:t xml:space="preserve">. For example, </w:t>
      </w:r>
      <w:r w:rsidRPr="00AB7EE3">
        <w:t>Cattan et al., (2005) and Shankar et al. (2011) reported significant effects of social participation on health and cognitive vitality respectively,</w:t>
      </w:r>
      <w:r w:rsidR="006041F7" w:rsidRPr="00AB7EE3">
        <w:t xml:space="preserve"> by</w:t>
      </w:r>
      <w:r w:rsidRPr="00AB7EE3">
        <w:t xml:space="preserve"> contrasting socially isolated seniors and comparing them with the average. In the same vein, Bassuk, Glass, &amp; Berkman, (1999), Barnes et al. (2004) and James et al. (2011) argued for the beneficial effect of social participation on cognitive performance, by comparing seniors that are either socially isolated </w:t>
      </w:r>
      <w:r w:rsidR="00323267" w:rsidRPr="00AB7EE3">
        <w:t>with those that are</w:t>
      </w:r>
      <w:r w:rsidRPr="00AB7EE3">
        <w:t xml:space="preserve"> exceptionally social. </w:t>
      </w:r>
    </w:p>
    <w:p w:rsidR="00D81751" w:rsidRPr="00AB7EE3" w:rsidRDefault="00D81751" w:rsidP="005C41B7">
      <w:pPr>
        <w:pStyle w:val="APAPar"/>
      </w:pPr>
      <w:r w:rsidRPr="00AB7EE3">
        <w:t>It is a basic statistical fact that comparing the two ends of a continuum</w:t>
      </w:r>
      <w:r w:rsidR="00323267" w:rsidRPr="00AB7EE3">
        <w:t xml:space="preserve"> yields</w:t>
      </w:r>
      <w:r w:rsidR="005406C0" w:rsidRPr="00AB7EE3">
        <w:t xml:space="preserve"> greater possibilities</w:t>
      </w:r>
      <w:r w:rsidRPr="00AB7EE3">
        <w:t xml:space="preserve"> to identify statistically significant differences. However, the two ends of the continuum on social participation </w:t>
      </w:r>
      <w:r w:rsidR="00323267" w:rsidRPr="00AB7EE3">
        <w:t xml:space="preserve">and cognitive performance </w:t>
      </w:r>
      <w:r w:rsidRPr="00AB7EE3">
        <w:t xml:space="preserve">is not the typical representation of seniors’ </w:t>
      </w:r>
      <w:r w:rsidR="00323267" w:rsidRPr="00AB7EE3">
        <w:t>aptitude or behaviour</w:t>
      </w:r>
      <w:r w:rsidR="006041F7" w:rsidRPr="00AB7EE3">
        <w:t xml:space="preserve"> in cognitive performance and social participation respectively</w:t>
      </w:r>
      <w:r w:rsidRPr="00AB7EE3">
        <w:t xml:space="preserve">, and as such, the results derived from these studies are not very informative for the </w:t>
      </w:r>
      <w:r w:rsidR="00953661" w:rsidRPr="00AB7EE3">
        <w:t xml:space="preserve">healthy (typical) </w:t>
      </w:r>
      <w:r w:rsidRPr="00AB7EE3">
        <w:t>spectrum of either dimensions (</w:t>
      </w:r>
      <w:r w:rsidR="00801F77" w:rsidRPr="00AB7EE3">
        <w:t xml:space="preserve">i.e., of </w:t>
      </w:r>
      <w:r w:rsidRPr="00AB7EE3">
        <w:t xml:space="preserve">cognitive </w:t>
      </w:r>
      <w:r w:rsidR="00323267" w:rsidRPr="00AB7EE3">
        <w:t xml:space="preserve">performance </w:t>
      </w:r>
      <w:r w:rsidRPr="00AB7EE3">
        <w:t xml:space="preserve">and social </w:t>
      </w:r>
      <w:r w:rsidRPr="00AB7EE3">
        <w:lastRenderedPageBreak/>
        <w:t xml:space="preserve">participation). </w:t>
      </w:r>
      <w:r w:rsidR="00323267" w:rsidRPr="00AB7EE3">
        <w:t>In other words</w:t>
      </w:r>
      <w:r w:rsidRPr="00AB7EE3">
        <w:t>, the protective effect of social participation against the prevalence and the progression of dementia (Bennett, Schneider, Tang, Arnold, &amp; Wilson, 2006; Fratiglioni, Paillard-Borg, &amp; Winbald, 2004; Wang et al., 2002)</w:t>
      </w:r>
      <w:r w:rsidR="00801F77" w:rsidRPr="00AB7EE3">
        <w:t xml:space="preserve"> </w:t>
      </w:r>
      <w:r w:rsidR="00323267" w:rsidRPr="00AB7EE3">
        <w:t>may be evident</w:t>
      </w:r>
      <w:r w:rsidRPr="00AB7EE3">
        <w:t xml:space="preserve">, but it </w:t>
      </w:r>
      <w:r w:rsidR="00801F77" w:rsidRPr="00AB7EE3">
        <w:t>is</w:t>
      </w:r>
      <w:r w:rsidRPr="00AB7EE3">
        <w:t xml:space="preserve"> questionable </w:t>
      </w:r>
      <w:r w:rsidR="00323267" w:rsidRPr="00AB7EE3">
        <w:t>if this can be projected as a</w:t>
      </w:r>
      <w:r w:rsidR="00801F77" w:rsidRPr="00AB7EE3">
        <w:t xml:space="preserve"> constant</w:t>
      </w:r>
      <w:r w:rsidRPr="00AB7EE3">
        <w:t xml:space="preserve"> effect in the non-pathological spectrum of cognitive </w:t>
      </w:r>
      <w:r w:rsidR="00801F77" w:rsidRPr="00AB7EE3">
        <w:t>performance</w:t>
      </w:r>
      <w:r w:rsidR="003F2436" w:rsidRPr="00AB7EE3">
        <w:t xml:space="preserve"> </w:t>
      </w:r>
      <w:r w:rsidR="006041F7" w:rsidRPr="00AB7EE3">
        <w:t xml:space="preserve">or behaviour </w:t>
      </w:r>
      <w:r w:rsidR="003F2436" w:rsidRPr="00AB7EE3">
        <w:t>as well</w:t>
      </w:r>
      <w:r w:rsidRPr="00AB7EE3">
        <w:t>.</w:t>
      </w:r>
    </w:p>
    <w:p w:rsidR="00D81751" w:rsidRPr="00AB7EE3" w:rsidRDefault="00323267" w:rsidP="005C41B7">
      <w:pPr>
        <w:pStyle w:val="APAPar"/>
      </w:pPr>
      <w:r w:rsidRPr="00AB7EE3">
        <w:t>In the same vein, t</w:t>
      </w:r>
      <w:r w:rsidR="00D81751" w:rsidRPr="00AB7EE3">
        <w:t>he longitudinal studies from Barnes et al. (2004) and James et al. (2011) could not find an independent significant effect of education and income (the major components of SES) on cognitive trajectories among cognitively intact older adults. A recent longitudinal study on 6000 older adults suggested that poorer education may lead to worse cognitive performance scores,</w:t>
      </w:r>
      <w:r w:rsidR="00BD74DF">
        <w:t xml:space="preserve"> and to greater risk ratio</w:t>
      </w:r>
      <w:r w:rsidR="002701CD" w:rsidRPr="00AB7EE3">
        <w:t>s for the occurrence of age-related neurological disorders</w:t>
      </w:r>
      <w:r w:rsidR="006041F7" w:rsidRPr="00AB7EE3">
        <w:t>. Y</w:t>
      </w:r>
      <w:r w:rsidR="00D81751" w:rsidRPr="00AB7EE3">
        <w:t>et</w:t>
      </w:r>
      <w:r w:rsidR="006041F7" w:rsidRPr="00AB7EE3">
        <w:t>, it did</w:t>
      </w:r>
      <w:r w:rsidR="00D81751" w:rsidRPr="00AB7EE3">
        <w:t xml:space="preserve"> not </w:t>
      </w:r>
      <w:r w:rsidR="006041F7" w:rsidRPr="00AB7EE3">
        <w:t>predict</w:t>
      </w:r>
      <w:r w:rsidR="00D81751" w:rsidRPr="00AB7EE3">
        <w:t xml:space="preserve"> steeper cognitive decline trajectories in the healthy spectrum of cognitive ageing (Wilson et al., 2009). This gives rise to the possibility that the effect of SES on cognitive decline </w:t>
      </w:r>
      <w:r w:rsidR="002701CD" w:rsidRPr="00AB7EE3">
        <w:t>may not be constant in the healthy spectrum of cognitive ageing.</w:t>
      </w:r>
    </w:p>
    <w:p w:rsidR="00521BC6" w:rsidRPr="00AB7EE3" w:rsidRDefault="00D81751" w:rsidP="005C41B7">
      <w:pPr>
        <w:pStyle w:val="APAPar"/>
      </w:pPr>
      <w:r w:rsidRPr="00AB7EE3">
        <w:t xml:space="preserve">In sum, the literature provides solid evidence for the protective effect of exercise, mental activities, social participation and SES against the prevalence of age-related neurological conditions. </w:t>
      </w:r>
      <w:r w:rsidR="002701CD" w:rsidRPr="00AB7EE3">
        <w:t>It</w:t>
      </w:r>
      <w:r w:rsidRPr="00AB7EE3">
        <w:t xml:space="preserve"> also provide</w:t>
      </w:r>
      <w:r w:rsidR="002701CD" w:rsidRPr="00AB7EE3">
        <w:t>s</w:t>
      </w:r>
      <w:r w:rsidRPr="00AB7EE3">
        <w:t xml:space="preserve"> evidence that relevant interventions on those affected </w:t>
      </w:r>
      <w:r w:rsidR="002701CD" w:rsidRPr="00AB7EE3">
        <w:t xml:space="preserve">from a cognitive or affective disorder, or </w:t>
      </w:r>
      <w:r w:rsidR="003F2436" w:rsidRPr="00AB7EE3">
        <w:t>socially</w:t>
      </w:r>
      <w:r w:rsidR="002701CD" w:rsidRPr="00AB7EE3">
        <w:t xml:space="preserve"> isolated, </w:t>
      </w:r>
      <w:r w:rsidRPr="00AB7EE3">
        <w:t>will produce benefits in terms of cognitive vitality. In the healthy spectrum of cognitive ageing however, the beneficial effects of exercise, social participation and SES on cognitive vitality are not well supported by scientific evidence</w:t>
      </w:r>
      <w:r w:rsidR="003F2436" w:rsidRPr="00AB7EE3">
        <w:t>.</w:t>
      </w:r>
    </w:p>
    <w:p w:rsidR="009245EA" w:rsidRPr="00AB7EE3" w:rsidRDefault="009245EA" w:rsidP="005C41B7">
      <w:pPr>
        <w:pStyle w:val="APAPar"/>
      </w:pPr>
      <w:r w:rsidRPr="00AB7EE3">
        <w:t xml:space="preserve">This thesis will be a </w:t>
      </w:r>
      <w:r w:rsidR="005406C0" w:rsidRPr="00AB7EE3">
        <w:t>preliminary</w:t>
      </w:r>
      <w:r w:rsidRPr="00AB7EE3">
        <w:t xml:space="preserve"> attempt to </w:t>
      </w:r>
      <w:r w:rsidR="005406C0" w:rsidRPr="00AB7EE3">
        <w:t>clarify</w:t>
      </w:r>
      <w:r w:rsidR="003F2436" w:rsidRPr="00AB7EE3">
        <w:t xml:space="preserve"> this issue</w:t>
      </w:r>
      <w:r w:rsidRPr="00AB7EE3">
        <w:t xml:space="preserve"> by examining the effect that exercise, mental activity, social participation and SES has on cognitive performance </w:t>
      </w:r>
      <w:r w:rsidR="005406C0" w:rsidRPr="00AB7EE3">
        <w:t>in</w:t>
      </w:r>
      <w:r w:rsidR="003F2436" w:rsidRPr="00AB7EE3">
        <w:t xml:space="preserve"> the healthy spectrum of cognitive ageing</w:t>
      </w:r>
      <w:r w:rsidRPr="00AB7EE3">
        <w:t xml:space="preserve">. This examination lies </w:t>
      </w:r>
      <w:r w:rsidR="005406C0" w:rsidRPr="00AB7EE3">
        <w:t>at</w:t>
      </w:r>
      <w:r w:rsidRPr="00AB7EE3">
        <w:t xml:space="preserve"> the intersection of </w:t>
      </w:r>
      <w:r w:rsidRPr="00AB7EE3">
        <w:lastRenderedPageBreak/>
        <w:t xml:space="preserve">cognitive neuropsychology and social gerontology, requiring an interdisciplinary approach. The first step towards this direction is to </w:t>
      </w:r>
      <w:r w:rsidR="00042735" w:rsidRPr="00AB7EE3">
        <w:t>examine</w:t>
      </w:r>
      <w:r w:rsidRPr="00AB7EE3">
        <w:t xml:space="preserve"> carefully the numerous methodological considerations that are embedded in the scientific examination </w:t>
      </w:r>
      <w:r w:rsidR="006041F7" w:rsidRPr="00AB7EE3">
        <w:t>on the topic</w:t>
      </w:r>
      <w:r w:rsidR="00042735" w:rsidRPr="00AB7EE3">
        <w:t>,</w:t>
      </w:r>
      <w:r w:rsidR="004502DD" w:rsidRPr="00AB7EE3">
        <w:t xml:space="preserve"> as well as t</w:t>
      </w:r>
      <w:r w:rsidR="003F2436" w:rsidRPr="00AB7EE3">
        <w:t>o identify the</w:t>
      </w:r>
      <w:r w:rsidR="004502DD" w:rsidRPr="00AB7EE3">
        <w:t xml:space="preserve"> common research designs employed </w:t>
      </w:r>
      <w:r w:rsidR="006D514B" w:rsidRPr="00AB7EE3">
        <w:t>to examine cognitive changes</w:t>
      </w:r>
      <w:r w:rsidR="006041F7" w:rsidRPr="00AB7EE3">
        <w:t xml:space="preserve"> and social participation</w:t>
      </w:r>
      <w:r w:rsidR="006D514B" w:rsidRPr="00AB7EE3">
        <w:t xml:space="preserve"> with ageing.</w:t>
      </w:r>
    </w:p>
    <w:p w:rsidR="009245EA" w:rsidRPr="00AB7EE3" w:rsidRDefault="008B2C4F" w:rsidP="00FE028D">
      <w:pPr>
        <w:pStyle w:val="Heading2"/>
      </w:pPr>
      <w:bookmarkStart w:id="85" w:name="_Toc521184187"/>
      <w:bookmarkStart w:id="86" w:name="_Toc373425948"/>
      <w:r w:rsidRPr="00AB7EE3">
        <w:t xml:space="preserve">Methodological </w:t>
      </w:r>
      <w:r w:rsidR="00B70C03" w:rsidRPr="00AB7EE3">
        <w:t>Considerations</w:t>
      </w:r>
      <w:bookmarkEnd w:id="85"/>
      <w:r w:rsidRPr="00AB7EE3">
        <w:t xml:space="preserve"> </w:t>
      </w:r>
      <w:bookmarkStart w:id="87" w:name="_Toc373425949"/>
      <w:bookmarkEnd w:id="86"/>
    </w:p>
    <w:p w:rsidR="003258F9" w:rsidRPr="00AB7EE3" w:rsidRDefault="006D514B" w:rsidP="005C41B7">
      <w:pPr>
        <w:pStyle w:val="APAPar"/>
        <w:rPr>
          <w:lang w:val="en-US"/>
        </w:rPr>
      </w:pPr>
      <w:r w:rsidRPr="00AB7EE3">
        <w:t>Evidence of cognitive changes with age derives from observational or intervention studies using a cross-sec</w:t>
      </w:r>
      <w:r w:rsidR="003F2436" w:rsidRPr="00AB7EE3">
        <w:t>tional or a longitudinal design (</w:t>
      </w:r>
      <w:r w:rsidR="003258F9" w:rsidRPr="00AB7EE3">
        <w:t>Hertzog et al., 2009).</w:t>
      </w:r>
      <w:r w:rsidRPr="00AB7EE3">
        <w:t xml:space="preserve"> </w:t>
      </w:r>
      <w:r w:rsidRPr="00AB7EE3">
        <w:rPr>
          <w:i/>
        </w:rPr>
        <w:t>Cross-sectional</w:t>
      </w:r>
      <w:r w:rsidRPr="00AB7EE3">
        <w:t xml:space="preserve"> studies measure individuals of different ages on cognitive performance </w:t>
      </w:r>
      <w:r w:rsidRPr="00AB7EE3">
        <w:rPr>
          <w:i/>
        </w:rPr>
        <w:t>at one time point</w:t>
      </w:r>
      <w:r w:rsidRPr="00AB7EE3">
        <w:t>. The hypothesis th</w:t>
      </w:r>
      <w:r w:rsidR="006041F7" w:rsidRPr="00AB7EE3">
        <w:t xml:space="preserve">at changes in one factor (e.g., </w:t>
      </w:r>
      <w:r w:rsidRPr="00AB7EE3">
        <w:t>mental activity) can produce beneficial effects on cognitive performance over time has been tested in cross-sectional studies by using regression analysis</w:t>
      </w:r>
      <w:r w:rsidR="003258F9" w:rsidRPr="00AB7EE3">
        <w:t xml:space="preserve">. </w:t>
      </w:r>
      <w:r w:rsidR="003F2436" w:rsidRPr="00AB7EE3">
        <w:t xml:space="preserve">Using </w:t>
      </w:r>
      <w:r w:rsidR="006041F7" w:rsidRPr="00AB7EE3">
        <w:t>a regression</w:t>
      </w:r>
      <w:r w:rsidR="003F2436" w:rsidRPr="00AB7EE3">
        <w:t xml:space="preserve"> analysis</w:t>
      </w:r>
      <w:r w:rsidR="003258F9" w:rsidRPr="00AB7EE3">
        <w:t>,</w:t>
      </w:r>
      <w:r w:rsidRPr="00AB7EE3">
        <w:t xml:space="preserve"> </w:t>
      </w:r>
      <w:r w:rsidR="003258F9" w:rsidRPr="00AB7EE3">
        <w:t>the</w:t>
      </w:r>
      <w:r w:rsidRPr="00AB7EE3">
        <w:t xml:space="preserve"> </w:t>
      </w:r>
      <w:r w:rsidR="003F2436" w:rsidRPr="00AB7EE3">
        <w:t>relation</w:t>
      </w:r>
      <w:r w:rsidR="005406C0" w:rsidRPr="00AB7EE3">
        <w:t>ship</w:t>
      </w:r>
      <w:r w:rsidRPr="00AB7EE3">
        <w:t xml:space="preserve"> between age</w:t>
      </w:r>
      <w:r w:rsidR="003258F9" w:rsidRPr="00AB7EE3">
        <w:t xml:space="preserve"> (the predictor)</w:t>
      </w:r>
      <w:r w:rsidR="003F2436" w:rsidRPr="00AB7EE3">
        <w:t xml:space="preserve"> and cognitive performance</w:t>
      </w:r>
      <w:r w:rsidR="003258F9" w:rsidRPr="00AB7EE3">
        <w:t xml:space="preserve"> (the outcome) </w:t>
      </w:r>
      <w:r w:rsidR="005406C0" w:rsidRPr="00AB7EE3">
        <w:t>is</w:t>
      </w:r>
      <w:r w:rsidR="003258F9" w:rsidRPr="00AB7EE3">
        <w:t xml:space="preserve"> </w:t>
      </w:r>
      <w:r w:rsidR="003F2436" w:rsidRPr="00AB7EE3">
        <w:t>examined</w:t>
      </w:r>
      <w:r w:rsidR="003258F9" w:rsidRPr="00AB7EE3">
        <w:t xml:space="preserve">, </w:t>
      </w:r>
      <w:r w:rsidR="003F2436" w:rsidRPr="00AB7EE3">
        <w:t>tracing any potential</w:t>
      </w:r>
      <w:r w:rsidR="003258F9" w:rsidRPr="00AB7EE3">
        <w:rPr>
          <w:lang w:val="en-US"/>
        </w:rPr>
        <w:t xml:space="preserve"> </w:t>
      </w:r>
      <w:r w:rsidR="006041F7" w:rsidRPr="00AB7EE3">
        <w:rPr>
          <w:lang w:val="en-US"/>
        </w:rPr>
        <w:t>moderating effect</w:t>
      </w:r>
      <w:r w:rsidR="008471FE" w:rsidRPr="00AB7EE3">
        <w:rPr>
          <w:lang w:val="en-US"/>
        </w:rPr>
        <w:t xml:space="preserve"> </w:t>
      </w:r>
      <w:r w:rsidR="006041F7" w:rsidRPr="00AB7EE3">
        <w:rPr>
          <w:lang w:val="en-US"/>
        </w:rPr>
        <w:t>of mental activities (</w:t>
      </w:r>
      <w:r w:rsidRPr="00AB7EE3">
        <w:rPr>
          <w:lang w:val="en-US"/>
        </w:rPr>
        <w:t>Cohen, Cohen, West, &amp; Aiken, 2003; Hertzog et al., 2009; Salthouse, 2006).</w:t>
      </w:r>
    </w:p>
    <w:p w:rsidR="006D514B" w:rsidRPr="00AB7EE3" w:rsidRDefault="006D514B" w:rsidP="005C41B7">
      <w:pPr>
        <w:pStyle w:val="APAPar"/>
        <w:rPr>
          <w:lang w:val="en-US"/>
        </w:rPr>
      </w:pPr>
      <w:r w:rsidRPr="00AB7EE3">
        <w:rPr>
          <w:i/>
          <w:lang w:val="en-US"/>
        </w:rPr>
        <w:t>Longitudinal studies</w:t>
      </w:r>
      <w:r w:rsidRPr="00AB7EE3">
        <w:rPr>
          <w:lang w:val="en-US"/>
        </w:rPr>
        <w:t xml:space="preserve"> allow the examination of person-specific changes in cognitive and everyday functioning performance </w:t>
      </w:r>
      <w:r w:rsidR="003258F9" w:rsidRPr="00AB7EE3">
        <w:rPr>
          <w:lang w:val="en-US"/>
        </w:rPr>
        <w:t>in depth of</w:t>
      </w:r>
      <w:r w:rsidRPr="00AB7EE3">
        <w:rPr>
          <w:lang w:val="en-US"/>
        </w:rPr>
        <w:t xml:space="preserve"> time, by examining the same group of individuals </w:t>
      </w:r>
      <w:r w:rsidR="00F054DD" w:rsidRPr="00AB7EE3">
        <w:rPr>
          <w:lang w:val="en-US"/>
        </w:rPr>
        <w:t>repetitively</w:t>
      </w:r>
      <w:r w:rsidRPr="00AB7EE3">
        <w:rPr>
          <w:lang w:val="en-US"/>
        </w:rPr>
        <w:t xml:space="preserve"> </w:t>
      </w:r>
      <w:r w:rsidR="00BD74DF">
        <w:rPr>
          <w:lang w:val="en-US"/>
        </w:rPr>
        <w:t>at</w:t>
      </w:r>
      <w:r w:rsidRPr="00AB7EE3">
        <w:rPr>
          <w:lang w:val="en-US"/>
        </w:rPr>
        <w:t xml:space="preserve"> various intervals. This approach allows the direct examination for the of various factors on </w:t>
      </w:r>
      <w:r w:rsidR="0093711E">
        <w:rPr>
          <w:lang w:val="en-US"/>
        </w:rPr>
        <w:t>cognitive</w:t>
      </w:r>
      <w:r w:rsidRPr="00AB7EE3">
        <w:rPr>
          <w:lang w:val="en-US"/>
        </w:rPr>
        <w:t xml:space="preserve"> changes, using statistical analyses such as the latent growth models (Hertzog et al., 2009). </w:t>
      </w:r>
      <w:r w:rsidRPr="00AB7EE3">
        <w:rPr>
          <w:i/>
          <w:lang w:val="en-US"/>
        </w:rPr>
        <w:t>Intervention studies</w:t>
      </w:r>
      <w:r w:rsidRPr="00AB7EE3">
        <w:rPr>
          <w:lang w:val="en-US"/>
        </w:rPr>
        <w:t xml:space="preserve"> allow the pre-post examination of the same group of individuals, after providing physical or mental training. Any beneficial effects can be inferred by the potential significant differences that may emerge in the mean scores of cognitive </w:t>
      </w:r>
      <w:r w:rsidR="00F054DD" w:rsidRPr="00AB7EE3">
        <w:rPr>
          <w:lang w:val="en-US"/>
        </w:rPr>
        <w:t>performance</w:t>
      </w:r>
      <w:r w:rsidRPr="00AB7EE3">
        <w:rPr>
          <w:lang w:val="en-US"/>
        </w:rPr>
        <w:t xml:space="preserve"> before and after these interventions (Hertzog et al., 2009). </w:t>
      </w:r>
    </w:p>
    <w:p w:rsidR="006D514B" w:rsidRPr="00AB7EE3" w:rsidRDefault="006D514B" w:rsidP="005C41B7">
      <w:pPr>
        <w:pStyle w:val="APAPar"/>
        <w:rPr>
          <w:lang w:val="en-US"/>
        </w:rPr>
      </w:pPr>
      <w:r w:rsidRPr="00AB7EE3">
        <w:rPr>
          <w:lang w:val="en-US"/>
        </w:rPr>
        <w:t xml:space="preserve">The inherent disadvantage of intervention studies is that not all qualities are amendable to interventions (i.e., intervening in SES). Intervention studies have been also </w:t>
      </w:r>
      <w:r w:rsidRPr="00AB7EE3">
        <w:rPr>
          <w:lang w:val="en-US"/>
        </w:rPr>
        <w:lastRenderedPageBreak/>
        <w:t>criticized to depict beneficial effects that survive only for a brief period of time (Hertzog et al., 2009; Salthouse, 2006), and therefore cannot depict accurately developmental</w:t>
      </w:r>
      <w:r w:rsidR="00F732B8" w:rsidRPr="00AB7EE3">
        <w:rPr>
          <w:lang w:val="en-US"/>
        </w:rPr>
        <w:t xml:space="preserve"> processes</w:t>
      </w:r>
      <w:r w:rsidRPr="00AB7EE3">
        <w:rPr>
          <w:lang w:val="en-US"/>
        </w:rPr>
        <w:t>. For the lat</w:t>
      </w:r>
      <w:r w:rsidR="005406C0" w:rsidRPr="00AB7EE3">
        <w:rPr>
          <w:lang w:val="en-US"/>
        </w:rPr>
        <w:t>t</w:t>
      </w:r>
      <w:r w:rsidRPr="00AB7EE3">
        <w:rPr>
          <w:lang w:val="en-US"/>
        </w:rPr>
        <w:t>er purpose, longitudinal and cross-sectional</w:t>
      </w:r>
      <w:r w:rsidR="00F732B8" w:rsidRPr="00AB7EE3">
        <w:rPr>
          <w:lang w:val="en-US"/>
        </w:rPr>
        <w:t xml:space="preserve"> studies</w:t>
      </w:r>
      <w:r w:rsidRPr="00AB7EE3">
        <w:rPr>
          <w:lang w:val="en-US"/>
        </w:rPr>
        <w:t xml:space="preserve"> seem to be more useful, as they allow the examination of wider time frames. The evidence of the respective studies however </w:t>
      </w:r>
      <w:r w:rsidR="00F054DD" w:rsidRPr="00AB7EE3">
        <w:rPr>
          <w:lang w:val="en-US"/>
        </w:rPr>
        <w:t>entails</w:t>
      </w:r>
      <w:r w:rsidRPr="00AB7EE3">
        <w:rPr>
          <w:lang w:val="en-US"/>
        </w:rPr>
        <w:t xml:space="preserve"> </w:t>
      </w:r>
      <w:r w:rsidR="00F054DD" w:rsidRPr="00AB7EE3">
        <w:rPr>
          <w:lang w:val="en-US"/>
        </w:rPr>
        <w:t>some</w:t>
      </w:r>
      <w:r w:rsidRPr="00AB7EE3">
        <w:rPr>
          <w:lang w:val="en-US"/>
        </w:rPr>
        <w:t xml:space="preserve"> methodological limitations.</w:t>
      </w:r>
    </w:p>
    <w:p w:rsidR="006D514B" w:rsidRPr="00AB7EE3" w:rsidRDefault="006D514B" w:rsidP="005C41B7">
      <w:pPr>
        <w:pStyle w:val="APAPar"/>
        <w:rPr>
          <w:lang w:val="en-US"/>
        </w:rPr>
      </w:pPr>
      <w:r w:rsidRPr="00AB7EE3">
        <w:rPr>
          <w:lang w:val="en-US"/>
        </w:rPr>
        <w:t>Longitudinal studies are very demanding, necessitating a commitment to multiple and repeated sessions of testing over a long</w:t>
      </w:r>
      <w:r w:rsidR="003258F9" w:rsidRPr="00AB7EE3">
        <w:rPr>
          <w:lang w:val="en-US"/>
        </w:rPr>
        <w:t>er</w:t>
      </w:r>
      <w:r w:rsidRPr="00AB7EE3">
        <w:rPr>
          <w:lang w:val="en-US"/>
        </w:rPr>
        <w:t xml:space="preserve"> peri</w:t>
      </w:r>
      <w:r w:rsidR="00F732B8" w:rsidRPr="00AB7EE3">
        <w:rPr>
          <w:lang w:val="en-US"/>
        </w:rPr>
        <w:t>od of time. These demands shape</w:t>
      </w:r>
      <w:r w:rsidRPr="00AB7EE3">
        <w:rPr>
          <w:lang w:val="en-US"/>
        </w:rPr>
        <w:t xml:space="preserve"> samples that rarely represent the general population. As Baltes (1968) argued, the surviving participants of longitudinal studies tend to be </w:t>
      </w:r>
      <w:r w:rsidR="00BD74DF">
        <w:rPr>
          <w:lang w:val="en-US"/>
        </w:rPr>
        <w:t>more</w:t>
      </w:r>
      <w:r w:rsidRPr="00AB7EE3">
        <w:rPr>
          <w:lang w:val="en-US"/>
        </w:rPr>
        <w:t xml:space="preserve"> than the average intelligent, and of higher SES. In addition, those that are less healthy and cognitively fit, as well as less engaged in mentally stimulating activities in their lives, tend to dropout more easily from follow up stages in longitudinal studies (Hertzog et al., 2009). This has important implications</w:t>
      </w:r>
      <w:r w:rsidR="00BD74DF">
        <w:rPr>
          <w:lang w:val="en-US"/>
        </w:rPr>
        <w:t xml:space="preserve"> for </w:t>
      </w:r>
      <w:r w:rsidRPr="00AB7EE3">
        <w:rPr>
          <w:lang w:val="en-US"/>
        </w:rPr>
        <w:t>the generalization of longitudinal studies’ results, as the respective analysis reflects a selective bias</w:t>
      </w:r>
      <w:r w:rsidR="009F7BD0" w:rsidRPr="00AB7EE3">
        <w:rPr>
          <w:lang w:val="en-US"/>
        </w:rPr>
        <w:t xml:space="preserve"> </w:t>
      </w:r>
      <w:r w:rsidR="00F054DD" w:rsidRPr="00AB7EE3">
        <w:rPr>
          <w:lang w:val="en-US"/>
        </w:rPr>
        <w:t>to</w:t>
      </w:r>
      <w:r w:rsidR="009F7BD0" w:rsidRPr="00AB7EE3">
        <w:rPr>
          <w:lang w:val="en-US"/>
        </w:rPr>
        <w:t xml:space="preserve"> </w:t>
      </w:r>
      <w:r w:rsidRPr="00AB7EE3">
        <w:rPr>
          <w:lang w:val="en-US"/>
        </w:rPr>
        <w:t xml:space="preserve">those </w:t>
      </w:r>
      <w:r w:rsidR="009F7BD0" w:rsidRPr="00AB7EE3">
        <w:rPr>
          <w:lang w:val="en-US"/>
        </w:rPr>
        <w:t xml:space="preserve">who </w:t>
      </w:r>
      <w:r w:rsidRPr="00AB7EE3">
        <w:rPr>
          <w:lang w:val="en-US"/>
        </w:rPr>
        <w:t>enjoy better developmental outcomes in their lives.</w:t>
      </w:r>
    </w:p>
    <w:p w:rsidR="006D514B" w:rsidRPr="00AB7EE3" w:rsidRDefault="006D514B" w:rsidP="005C41B7">
      <w:pPr>
        <w:pStyle w:val="APAPar"/>
        <w:rPr>
          <w:lang w:val="en-US"/>
        </w:rPr>
      </w:pPr>
      <w:r w:rsidRPr="00AB7EE3">
        <w:rPr>
          <w:lang w:val="en-US"/>
        </w:rPr>
        <w:t>Another limitation of l</w:t>
      </w:r>
      <w:r w:rsidR="009F7BD0" w:rsidRPr="00AB7EE3">
        <w:rPr>
          <w:lang w:val="en-US"/>
        </w:rPr>
        <w:t>ongitudinal studies is that of</w:t>
      </w:r>
      <w:r w:rsidRPr="00AB7EE3">
        <w:rPr>
          <w:lang w:val="en-US"/>
        </w:rPr>
        <w:t xml:space="preserve"> </w:t>
      </w:r>
      <w:r w:rsidRPr="00AB7EE3">
        <w:rPr>
          <w:i/>
          <w:lang w:val="en-US"/>
        </w:rPr>
        <w:t xml:space="preserve">testing </w:t>
      </w:r>
      <w:r w:rsidRPr="00AB7EE3">
        <w:rPr>
          <w:lang w:val="en-US"/>
        </w:rPr>
        <w:t>or</w:t>
      </w:r>
      <w:r w:rsidRPr="00AB7EE3">
        <w:rPr>
          <w:i/>
          <w:lang w:val="en-US"/>
        </w:rPr>
        <w:t xml:space="preserve"> practice effect. </w:t>
      </w:r>
      <w:r w:rsidRPr="00AB7EE3">
        <w:rPr>
          <w:lang w:val="en-US"/>
        </w:rPr>
        <w:t xml:space="preserve">Testing effects refer to the observed improvements in a given task as a result of practice (Baltes, 1968). The repetitive testing in the context </w:t>
      </w:r>
      <w:r w:rsidR="00056BE2" w:rsidRPr="00AB7EE3">
        <w:rPr>
          <w:lang w:val="en-US"/>
        </w:rPr>
        <w:t>of longitudinal</w:t>
      </w:r>
      <w:r w:rsidRPr="00AB7EE3">
        <w:rPr>
          <w:lang w:val="en-US"/>
        </w:rPr>
        <w:t xml:space="preserve"> studies allows the </w:t>
      </w:r>
      <w:r w:rsidR="00056BE2" w:rsidRPr="00AB7EE3">
        <w:rPr>
          <w:lang w:val="en-US"/>
        </w:rPr>
        <w:t>rehearsal</w:t>
      </w:r>
      <w:r w:rsidRPr="00AB7EE3">
        <w:rPr>
          <w:lang w:val="en-US"/>
        </w:rPr>
        <w:t xml:space="preserve"> </w:t>
      </w:r>
      <w:r w:rsidR="00056BE2" w:rsidRPr="00AB7EE3">
        <w:rPr>
          <w:lang w:val="en-US"/>
        </w:rPr>
        <w:t>on</w:t>
      </w:r>
      <w:r w:rsidRPr="00AB7EE3">
        <w:rPr>
          <w:lang w:val="en-US"/>
        </w:rPr>
        <w:t xml:space="preserve"> specific tasks, which by </w:t>
      </w:r>
      <w:r w:rsidR="00F732B8" w:rsidRPr="00AB7EE3">
        <w:rPr>
          <w:lang w:val="en-US"/>
        </w:rPr>
        <w:t>itself leads to improvements to test performance, potentially</w:t>
      </w:r>
      <w:r w:rsidRPr="00AB7EE3">
        <w:rPr>
          <w:lang w:val="en-US"/>
        </w:rPr>
        <w:t xml:space="preserve"> </w:t>
      </w:r>
      <w:r w:rsidR="009F7BD0" w:rsidRPr="00AB7EE3">
        <w:rPr>
          <w:lang w:val="en-US"/>
        </w:rPr>
        <w:t>concealing</w:t>
      </w:r>
      <w:r w:rsidRPr="00AB7EE3">
        <w:rPr>
          <w:lang w:val="en-US"/>
        </w:rPr>
        <w:t xml:space="preserve"> age-related cognitive declines (</w:t>
      </w:r>
      <w:r w:rsidRPr="00AB7EE3">
        <w:t>Sliwinski &amp; Buschke, 1999)</w:t>
      </w:r>
      <w:r w:rsidRPr="00AB7EE3">
        <w:rPr>
          <w:lang w:val="en-US"/>
        </w:rPr>
        <w:t xml:space="preserve">. Testing effects can be controlled for within complicated statistical models if the knowledge for their </w:t>
      </w:r>
      <w:r w:rsidR="00F054DD" w:rsidRPr="00AB7EE3">
        <w:rPr>
          <w:lang w:val="en-US"/>
        </w:rPr>
        <w:t>rehearsal effect</w:t>
      </w:r>
      <w:r w:rsidRPr="00AB7EE3">
        <w:rPr>
          <w:lang w:val="en-US"/>
        </w:rPr>
        <w:t xml:space="preserve"> </w:t>
      </w:r>
      <w:r w:rsidR="00056BE2" w:rsidRPr="00AB7EE3">
        <w:rPr>
          <w:lang w:val="en-US"/>
        </w:rPr>
        <w:t>is known</w:t>
      </w:r>
      <w:r w:rsidRPr="00AB7EE3">
        <w:rPr>
          <w:lang w:val="en-US"/>
        </w:rPr>
        <w:t xml:space="preserve">. Testing effects in various neuropsychological assessments </w:t>
      </w:r>
      <w:r w:rsidR="009F7BD0" w:rsidRPr="00AB7EE3">
        <w:rPr>
          <w:lang w:val="en-US"/>
        </w:rPr>
        <w:t xml:space="preserve">however </w:t>
      </w:r>
      <w:r w:rsidRPr="00AB7EE3">
        <w:rPr>
          <w:lang w:val="en-US"/>
        </w:rPr>
        <w:t xml:space="preserve">have been rarely </w:t>
      </w:r>
      <w:r w:rsidR="00056BE2" w:rsidRPr="00AB7EE3">
        <w:rPr>
          <w:lang w:val="en-US"/>
        </w:rPr>
        <w:t>examined</w:t>
      </w:r>
      <w:r w:rsidRPr="00AB7EE3">
        <w:rPr>
          <w:lang w:val="en-US"/>
        </w:rPr>
        <w:t xml:space="preserve"> in the ageing discourse of cognition, rendering the</w:t>
      </w:r>
      <w:r w:rsidR="00056BE2" w:rsidRPr="00AB7EE3">
        <w:rPr>
          <w:lang w:val="en-US"/>
        </w:rPr>
        <w:t>ir statistical</w:t>
      </w:r>
      <w:r w:rsidRPr="00AB7EE3">
        <w:rPr>
          <w:lang w:val="en-US"/>
        </w:rPr>
        <w:t xml:space="preserve"> </w:t>
      </w:r>
      <w:r w:rsidR="00056BE2" w:rsidRPr="00AB7EE3">
        <w:rPr>
          <w:lang w:val="en-US"/>
        </w:rPr>
        <w:t>adjustment</w:t>
      </w:r>
      <w:r w:rsidRPr="00AB7EE3">
        <w:rPr>
          <w:lang w:val="en-US"/>
        </w:rPr>
        <w:t xml:space="preserve"> as a rare opportunity (Hertzog et al., 2009). </w:t>
      </w:r>
    </w:p>
    <w:p w:rsidR="006D514B" w:rsidRPr="00AB7EE3" w:rsidRDefault="006D514B" w:rsidP="005C41B7">
      <w:pPr>
        <w:pStyle w:val="APAPar"/>
      </w:pPr>
      <w:r w:rsidRPr="00AB7EE3">
        <w:rPr>
          <w:lang w:val="en-US"/>
        </w:rPr>
        <w:lastRenderedPageBreak/>
        <w:t xml:space="preserve">Cross-sectional and longitudinal designs have differential advantages-disadvantages in capturing or ignoring </w:t>
      </w:r>
      <w:r w:rsidRPr="00AB7EE3">
        <w:rPr>
          <w:i/>
          <w:lang w:val="en-US"/>
        </w:rPr>
        <w:t>cohort effects</w:t>
      </w:r>
      <w:r w:rsidRPr="00AB7EE3">
        <w:rPr>
          <w:lang w:val="en-US"/>
        </w:rPr>
        <w:t xml:space="preserve"> (Baltes, 1968). Cohort effects refer to the fact t</w:t>
      </w:r>
      <w:r w:rsidR="009F7BD0" w:rsidRPr="00AB7EE3">
        <w:rPr>
          <w:lang w:val="en-US"/>
        </w:rPr>
        <w:t>hat different cohorts most likely live</w:t>
      </w:r>
      <w:r w:rsidRPr="00AB7EE3">
        <w:rPr>
          <w:lang w:val="en-US"/>
        </w:rPr>
        <w:t xml:space="preserve"> in different socioeconomic and </w:t>
      </w:r>
      <w:r w:rsidR="00056BE2" w:rsidRPr="00AB7EE3">
        <w:rPr>
          <w:lang w:val="en-US"/>
        </w:rPr>
        <w:t xml:space="preserve">environmental conditions, </w:t>
      </w:r>
      <w:r w:rsidR="009F7BD0" w:rsidRPr="00AB7EE3">
        <w:rPr>
          <w:lang w:val="en-US"/>
        </w:rPr>
        <w:t>which among other</w:t>
      </w:r>
      <w:r w:rsidR="00F054DD" w:rsidRPr="00AB7EE3">
        <w:rPr>
          <w:lang w:val="en-US"/>
        </w:rPr>
        <w:t>s</w:t>
      </w:r>
      <w:r w:rsidR="009F7BD0" w:rsidRPr="00AB7EE3">
        <w:rPr>
          <w:lang w:val="en-US"/>
        </w:rPr>
        <w:t xml:space="preserve"> lead them experiencing </w:t>
      </w:r>
      <w:r w:rsidRPr="00AB7EE3">
        <w:rPr>
          <w:lang w:val="en-US"/>
        </w:rPr>
        <w:t>different major events (e.g., war</w:t>
      </w:r>
      <w:r w:rsidR="009F7BD0" w:rsidRPr="00AB7EE3">
        <w:rPr>
          <w:lang w:val="en-US"/>
        </w:rPr>
        <w:t>, economic crisis, technology</w:t>
      </w:r>
      <w:r w:rsidRPr="00AB7EE3">
        <w:rPr>
          <w:lang w:val="en-US"/>
        </w:rPr>
        <w:t xml:space="preserve">). Therefore, different cohorts are characterized by average differences in many aspects, the case of education being </w:t>
      </w:r>
      <w:r w:rsidR="00056BE2" w:rsidRPr="00AB7EE3">
        <w:rPr>
          <w:lang w:val="en-US"/>
        </w:rPr>
        <w:t>the most representative</w:t>
      </w:r>
      <w:r w:rsidRPr="00AB7EE3">
        <w:rPr>
          <w:lang w:val="en-US"/>
        </w:rPr>
        <w:t xml:space="preserve"> example. </w:t>
      </w:r>
      <w:r w:rsidR="00F054DD" w:rsidRPr="00AB7EE3">
        <w:rPr>
          <w:lang w:val="en-US"/>
        </w:rPr>
        <w:t>For example, d</w:t>
      </w:r>
      <w:r w:rsidRPr="00AB7EE3">
        <w:rPr>
          <w:lang w:val="en-US"/>
        </w:rPr>
        <w:t xml:space="preserve">ue to socioeconomic and political conditions, older </w:t>
      </w:r>
      <w:r w:rsidR="00056BE2" w:rsidRPr="00AB7EE3">
        <w:rPr>
          <w:lang w:val="en-US"/>
        </w:rPr>
        <w:t xml:space="preserve">generations </w:t>
      </w:r>
      <w:r w:rsidRPr="00AB7EE3">
        <w:rPr>
          <w:lang w:val="en-US"/>
        </w:rPr>
        <w:t xml:space="preserve">have received in average less years of education than younger generations (Hamilton, 2011). </w:t>
      </w:r>
      <w:r w:rsidR="00056BE2" w:rsidRPr="00AB7EE3">
        <w:rPr>
          <w:lang w:val="en-US"/>
        </w:rPr>
        <w:t>As</w:t>
      </w:r>
      <w:r w:rsidRPr="00AB7EE3">
        <w:rPr>
          <w:lang w:val="en-US"/>
        </w:rPr>
        <w:t xml:space="preserve"> education is one of the strongest correlates of performance in neuropsychological assessments, </w:t>
      </w:r>
      <w:r w:rsidR="00056BE2" w:rsidRPr="00AB7EE3">
        <w:rPr>
          <w:lang w:val="en-US"/>
        </w:rPr>
        <w:t>many studies on cognitive ageing have adjusted the levels of cognitive</w:t>
      </w:r>
      <w:r w:rsidR="009F7BD0" w:rsidRPr="00AB7EE3">
        <w:rPr>
          <w:lang w:val="en-US"/>
        </w:rPr>
        <w:t xml:space="preserve"> performance according to the educational level of the participants, in order to </w:t>
      </w:r>
      <w:r w:rsidR="0071682A" w:rsidRPr="00AB7EE3">
        <w:rPr>
          <w:lang w:val="en-US"/>
        </w:rPr>
        <w:t>control for potential</w:t>
      </w:r>
      <w:r w:rsidR="009F7BD0" w:rsidRPr="00AB7EE3">
        <w:rPr>
          <w:lang w:val="en-US"/>
        </w:rPr>
        <w:t xml:space="preserve"> confounding effect</w:t>
      </w:r>
      <w:r w:rsidR="0071682A" w:rsidRPr="00AB7EE3">
        <w:rPr>
          <w:lang w:val="en-US"/>
        </w:rPr>
        <w:t>s</w:t>
      </w:r>
      <w:r w:rsidRPr="00AB7EE3">
        <w:rPr>
          <w:lang w:val="en-US"/>
        </w:rPr>
        <w:t xml:space="preserve"> </w:t>
      </w:r>
      <w:r w:rsidR="00F054DD" w:rsidRPr="00AB7EE3">
        <w:rPr>
          <w:lang w:val="en-US"/>
        </w:rPr>
        <w:t xml:space="preserve">in this respect </w:t>
      </w:r>
      <w:r w:rsidRPr="00AB7EE3">
        <w:rPr>
          <w:lang w:val="en-US"/>
        </w:rPr>
        <w:t>(</w:t>
      </w:r>
      <w:r w:rsidRPr="00AB7EE3">
        <w:t xml:space="preserve">Sliwinski &amp; Buschke, 1999). </w:t>
      </w:r>
    </w:p>
    <w:p w:rsidR="006D514B" w:rsidRPr="00AB7EE3" w:rsidRDefault="00AB2C55" w:rsidP="005C41B7">
      <w:pPr>
        <w:pStyle w:val="APAPar"/>
        <w:rPr>
          <w:lang w:val="en-US"/>
        </w:rPr>
      </w:pPr>
      <w:r>
        <w:t>I</w:t>
      </w:r>
      <w:r w:rsidR="006D514B" w:rsidRPr="00AB7EE3">
        <w:t>n cross-sectional studies, it is not clear if statistically significant relations between cognitive performance and education indicate within-person differences (i.e., those having less years of education exhibit steeper trajectories of cognitive decline</w:t>
      </w:r>
      <w:r w:rsidR="006D514B" w:rsidRPr="00AB7EE3">
        <w:rPr>
          <w:lang w:val="en-US"/>
        </w:rPr>
        <w:t xml:space="preserve">), </w:t>
      </w:r>
      <w:r w:rsidR="00056BE2" w:rsidRPr="00AB7EE3">
        <w:rPr>
          <w:lang w:val="en-US"/>
        </w:rPr>
        <w:t>cohort</w:t>
      </w:r>
      <w:r w:rsidR="006D514B" w:rsidRPr="00AB7EE3">
        <w:rPr>
          <w:lang w:val="en-US"/>
        </w:rPr>
        <w:t xml:space="preserve"> differences (younger cohorts have more years of education, and </w:t>
      </w:r>
      <w:r w:rsidR="00056BE2" w:rsidRPr="00AB7EE3">
        <w:rPr>
          <w:lang w:val="en-US"/>
        </w:rPr>
        <w:t>at the same time</w:t>
      </w:r>
      <w:r w:rsidR="006D514B" w:rsidRPr="00AB7EE3">
        <w:rPr>
          <w:lang w:val="en-US"/>
        </w:rPr>
        <w:t xml:space="preserve"> better cognitive </w:t>
      </w:r>
      <w:r w:rsidR="00F054DD" w:rsidRPr="00AB7EE3">
        <w:rPr>
          <w:lang w:val="en-US"/>
        </w:rPr>
        <w:t>performance</w:t>
      </w:r>
      <w:r w:rsidR="006D514B" w:rsidRPr="00AB7EE3">
        <w:rPr>
          <w:lang w:val="en-US"/>
        </w:rPr>
        <w:t xml:space="preserve">), or both. Longitudinal studies can </w:t>
      </w:r>
      <w:r w:rsidR="009F7BD0" w:rsidRPr="00AB7EE3">
        <w:rPr>
          <w:lang w:val="en-US"/>
        </w:rPr>
        <w:t>compare individuals of the same cohort, capturing</w:t>
      </w:r>
      <w:r w:rsidR="006D514B" w:rsidRPr="00AB7EE3">
        <w:rPr>
          <w:lang w:val="en-US"/>
        </w:rPr>
        <w:t xml:space="preserve"> more reliably within-person differences in cognitive decline trajecto</w:t>
      </w:r>
      <w:r w:rsidR="0071682A" w:rsidRPr="00AB7EE3">
        <w:rPr>
          <w:lang w:val="en-US"/>
        </w:rPr>
        <w:t>ries as a function of education</w:t>
      </w:r>
      <w:r w:rsidR="006D514B" w:rsidRPr="00AB7EE3">
        <w:rPr>
          <w:lang w:val="en-US"/>
        </w:rPr>
        <w:t xml:space="preserve">. </w:t>
      </w:r>
      <w:r w:rsidR="0089415F" w:rsidRPr="00AB7EE3">
        <w:rPr>
          <w:lang w:val="en-US"/>
        </w:rPr>
        <w:t>Therefore</w:t>
      </w:r>
      <w:r w:rsidR="006D514B" w:rsidRPr="00AB7EE3">
        <w:t xml:space="preserve">, </w:t>
      </w:r>
      <w:r w:rsidR="006D514B" w:rsidRPr="00AB7EE3">
        <w:rPr>
          <w:lang w:val="en-US"/>
        </w:rPr>
        <w:t xml:space="preserve">longitudinal studies are preferred over cross-sectional studies in the examination of developmental </w:t>
      </w:r>
      <w:r w:rsidR="0089415F" w:rsidRPr="00AB7EE3">
        <w:rPr>
          <w:lang w:val="en-US"/>
        </w:rPr>
        <w:t>processes</w:t>
      </w:r>
      <w:r w:rsidR="006D514B" w:rsidRPr="00AB7EE3">
        <w:rPr>
          <w:lang w:val="en-US"/>
        </w:rPr>
        <w:t xml:space="preserve"> (Baltes, 1968; Hertzog et al., 2009). </w:t>
      </w:r>
      <w:r w:rsidR="00F054DD" w:rsidRPr="00AB7EE3">
        <w:rPr>
          <w:lang w:val="en-US"/>
        </w:rPr>
        <w:t>I</w:t>
      </w:r>
      <w:r w:rsidR="006D514B" w:rsidRPr="00AB7EE3">
        <w:rPr>
          <w:lang w:val="en-US"/>
        </w:rPr>
        <w:t xml:space="preserve">t has been argued that cross-sectional studies on cognitive ageing </w:t>
      </w:r>
      <w:r w:rsidR="0089415F" w:rsidRPr="00AB7EE3">
        <w:rPr>
          <w:lang w:val="en-US"/>
        </w:rPr>
        <w:t>may lead</w:t>
      </w:r>
      <w:r w:rsidR="006D514B" w:rsidRPr="00AB7EE3">
        <w:rPr>
          <w:lang w:val="en-US"/>
        </w:rPr>
        <w:t xml:space="preserve"> to an underestimation of cognitive changes (Desrosiers, Hebert, Bravo, &amp; Rochette, 1998), or for age to account for a smaller variability of those changes than it should (Wilson, Beckett, Bennett, Albert, &amp; Evans, 1999; Wilson, Beckett, et al., 2002 as cited in Hertzog et al., 2009). </w:t>
      </w:r>
      <w:r w:rsidR="006D514B" w:rsidRPr="00AB7EE3">
        <w:t>Sliwinski and Buschke (1999</w:t>
      </w:r>
      <w:r w:rsidR="00F054DD" w:rsidRPr="00AB7EE3">
        <w:t>, p.4</w:t>
      </w:r>
      <w:r w:rsidR="006D514B" w:rsidRPr="00AB7EE3">
        <w:t>) commented howe</w:t>
      </w:r>
      <w:r w:rsidR="00F054DD" w:rsidRPr="00AB7EE3">
        <w:t>ver that:</w:t>
      </w:r>
    </w:p>
    <w:p w:rsidR="006D514B" w:rsidRPr="00053476" w:rsidRDefault="006D514B" w:rsidP="00640C1B">
      <w:pPr>
        <w:pStyle w:val="APAPar"/>
        <w:widowControl w:val="0"/>
        <w:ind w:leftChars="400" w:left="960" w:rightChars="400" w:right="960" w:firstLine="0"/>
        <w:jc w:val="both"/>
        <w:rPr>
          <w:rStyle w:val="Emphasis"/>
        </w:rPr>
      </w:pPr>
      <w:r w:rsidRPr="00053476">
        <w:rPr>
          <w:rStyle w:val="Emphasis"/>
        </w:rPr>
        <w:lastRenderedPageBreak/>
        <w:t>Given the expense and difficulty of conducting longitudinal research, it is not surprising that most theories of cognitive ageing have emerged from cross-sectional research</w:t>
      </w:r>
    </w:p>
    <w:p w:rsidR="006D514B" w:rsidRPr="00AB7EE3" w:rsidRDefault="006D514B" w:rsidP="005C41B7">
      <w:pPr>
        <w:pStyle w:val="APAPar"/>
        <w:rPr>
          <w:lang w:val="en-US"/>
        </w:rPr>
      </w:pPr>
      <w:r w:rsidRPr="00AB7EE3">
        <w:rPr>
          <w:lang w:val="en-US"/>
        </w:rPr>
        <w:t xml:space="preserve"> The utility of cross-sectional designs in examining developmental issues is a vivid discussion in the ageing discourse (Hertzog et al., 2009). </w:t>
      </w:r>
      <w:r w:rsidR="0089415F" w:rsidRPr="00AB7EE3">
        <w:rPr>
          <w:lang w:val="en-US"/>
        </w:rPr>
        <w:t xml:space="preserve">Their comparative advantages to longitudinal studies lies in the decreased cost, as well as the possibility to examine much larger samples, increasing this way statistical power. </w:t>
      </w:r>
      <w:r w:rsidR="009F7BD0" w:rsidRPr="00AB7EE3">
        <w:rPr>
          <w:lang w:val="en-US"/>
        </w:rPr>
        <w:t>Given these pragmatic consideration</w:t>
      </w:r>
      <w:r w:rsidR="005406C0" w:rsidRPr="00AB7EE3">
        <w:rPr>
          <w:lang w:val="en-US"/>
        </w:rPr>
        <w:t>s</w:t>
      </w:r>
      <w:r w:rsidR="0089415F" w:rsidRPr="00AB7EE3">
        <w:rPr>
          <w:lang w:val="en-US"/>
        </w:rPr>
        <w:t>,</w:t>
      </w:r>
      <w:r w:rsidR="00F054DD" w:rsidRPr="00AB7EE3">
        <w:rPr>
          <w:lang w:val="en-US"/>
        </w:rPr>
        <w:t xml:space="preserve"> the estimation difference</w:t>
      </w:r>
      <w:r w:rsidR="005406C0" w:rsidRPr="00AB7EE3">
        <w:rPr>
          <w:lang w:val="en-US"/>
        </w:rPr>
        <w:t>s</w:t>
      </w:r>
      <w:r w:rsidR="00F054DD" w:rsidRPr="00AB7EE3">
        <w:rPr>
          <w:lang w:val="en-US"/>
        </w:rPr>
        <w:t xml:space="preserve"> between</w:t>
      </w:r>
      <w:r w:rsidR="0089415F" w:rsidRPr="00AB7EE3">
        <w:rPr>
          <w:lang w:val="en-US"/>
        </w:rPr>
        <w:t xml:space="preserve"> </w:t>
      </w:r>
      <w:r w:rsidR="009F7BD0" w:rsidRPr="00AB7EE3">
        <w:rPr>
          <w:lang w:val="en-US"/>
        </w:rPr>
        <w:t xml:space="preserve">cross-sectional </w:t>
      </w:r>
      <w:r w:rsidR="00F054DD" w:rsidRPr="00AB7EE3">
        <w:rPr>
          <w:lang w:val="en-US"/>
        </w:rPr>
        <w:t xml:space="preserve">and longitudinal </w:t>
      </w:r>
      <w:r w:rsidR="009F7BD0" w:rsidRPr="00AB7EE3">
        <w:rPr>
          <w:lang w:val="en-US"/>
        </w:rPr>
        <w:t>studies</w:t>
      </w:r>
      <w:r w:rsidRPr="00AB7EE3">
        <w:rPr>
          <w:lang w:val="en-US"/>
        </w:rPr>
        <w:t xml:space="preserve"> </w:t>
      </w:r>
      <w:r w:rsidR="00F054DD" w:rsidRPr="00AB7EE3">
        <w:rPr>
          <w:lang w:val="en-US"/>
        </w:rPr>
        <w:t>have</w:t>
      </w:r>
      <w:r w:rsidRPr="00AB7EE3">
        <w:rPr>
          <w:lang w:val="en-US"/>
        </w:rPr>
        <w:t xml:space="preserve"> been exam</w:t>
      </w:r>
      <w:r w:rsidR="00F054DD" w:rsidRPr="00AB7EE3">
        <w:rPr>
          <w:lang w:val="en-US"/>
        </w:rPr>
        <w:t xml:space="preserve">ined by Desrosiers et al (1998, </w:t>
      </w:r>
      <w:r w:rsidRPr="00AB7EE3">
        <w:rPr>
          <w:lang w:val="en-US"/>
        </w:rPr>
        <w:t>p.362)</w:t>
      </w:r>
      <w:r w:rsidR="00F054DD" w:rsidRPr="00AB7EE3">
        <w:rPr>
          <w:lang w:val="en-US"/>
        </w:rPr>
        <w:t>, who concluded:</w:t>
      </w:r>
    </w:p>
    <w:p w:rsidR="006D514B" w:rsidRPr="00AB7EE3" w:rsidRDefault="006D514B" w:rsidP="006D514B"/>
    <w:p w:rsidR="006D514B" w:rsidRPr="00053476" w:rsidRDefault="006D514B" w:rsidP="00640C1B">
      <w:pPr>
        <w:pStyle w:val="APAPar"/>
        <w:widowControl w:val="0"/>
        <w:ind w:leftChars="400" w:left="960" w:rightChars="400" w:right="960" w:firstLine="0"/>
        <w:jc w:val="both"/>
        <w:rPr>
          <w:rStyle w:val="Emphasis"/>
        </w:rPr>
      </w:pPr>
      <w:r w:rsidRPr="00053476">
        <w:rPr>
          <w:rStyle w:val="Emphasis"/>
        </w:rPr>
        <w:t>In many tests, cross-sectional and longitudinal designs were comparable for estimating the changes in upper extremity performance with age. However, in some tests, the decline with age using a cross-sectional design was underestimated. The upper extremity performance decline observed with the longitudinal design was larger than the decline predicted with the cross-sectional design. The withdrawal and survivor biases related to the longitudinal design and the cohort bias associated with the cross-sectional design may, in part, explain these results.</w:t>
      </w:r>
    </w:p>
    <w:p w:rsidR="0030363F" w:rsidRPr="00AB7EE3" w:rsidRDefault="006D514B" w:rsidP="005C41B7">
      <w:pPr>
        <w:pStyle w:val="APAPar"/>
        <w:rPr>
          <w:lang w:val="en-US"/>
        </w:rPr>
      </w:pPr>
      <w:r w:rsidRPr="00AB7EE3">
        <w:t>In a similar note, Sliwinski and Buschke (1999) argued that cross-sectional studies of cognitive change approximate the estimations of cognitive change produced in longitudinal studies, however ‘</w:t>
      </w:r>
      <w:r w:rsidRPr="00AB7EE3">
        <w:rPr>
          <w:lang w:val="en-US"/>
        </w:rPr>
        <w:t>Neither cross-sectional nor longitudinal effects provide pure estimates of cognitive aging’.</w:t>
      </w:r>
      <w:r w:rsidRPr="00AB7EE3">
        <w:t xml:space="preserve"> In their own study, they proceeded to a </w:t>
      </w:r>
      <w:r w:rsidRPr="00AB7EE3">
        <w:rPr>
          <w:lang w:val="en-US"/>
        </w:rPr>
        <w:t xml:space="preserve">comparison of cross-sectional and longitudinal effects of age on cognitive performance. Their results showed that the average </w:t>
      </w:r>
      <w:r w:rsidRPr="00AB7EE3">
        <w:rPr>
          <w:lang w:val="en-US"/>
        </w:rPr>
        <w:lastRenderedPageBreak/>
        <w:t xml:space="preserve">within-person </w:t>
      </w:r>
      <w:r w:rsidR="0089415F" w:rsidRPr="00AB7EE3">
        <w:rPr>
          <w:lang w:val="en-US"/>
        </w:rPr>
        <w:t xml:space="preserve">cognitive </w:t>
      </w:r>
      <w:r w:rsidRPr="00AB7EE3">
        <w:rPr>
          <w:lang w:val="en-US"/>
        </w:rPr>
        <w:t>decline in</w:t>
      </w:r>
      <w:r w:rsidR="0089415F" w:rsidRPr="00AB7EE3">
        <w:rPr>
          <w:lang w:val="en-US"/>
        </w:rPr>
        <w:t xml:space="preserve"> the</w:t>
      </w:r>
      <w:r w:rsidRPr="00AB7EE3">
        <w:rPr>
          <w:lang w:val="en-US"/>
        </w:rPr>
        <w:t xml:space="preserve"> longitudinal analysis was larger than the cross-sectional age differences </w:t>
      </w:r>
      <w:r w:rsidR="0089415F" w:rsidRPr="00AB7EE3">
        <w:rPr>
          <w:lang w:val="en-US"/>
        </w:rPr>
        <w:t>for 12</w:t>
      </w:r>
      <w:r w:rsidRPr="00AB7EE3">
        <w:rPr>
          <w:lang w:val="en-US"/>
        </w:rPr>
        <w:t xml:space="preserve"> out of</w:t>
      </w:r>
      <w:r w:rsidR="005406C0" w:rsidRPr="00AB7EE3">
        <w:rPr>
          <w:lang w:val="en-US"/>
        </w:rPr>
        <w:t xml:space="preserve"> the</w:t>
      </w:r>
      <w:r w:rsidRPr="00AB7EE3">
        <w:rPr>
          <w:lang w:val="en-US"/>
        </w:rPr>
        <w:t xml:space="preserve"> 13 neuropsychological assessments</w:t>
      </w:r>
      <w:r w:rsidR="0030363F" w:rsidRPr="00AB7EE3">
        <w:rPr>
          <w:lang w:val="en-US"/>
        </w:rPr>
        <w:t xml:space="preserve"> they used</w:t>
      </w:r>
      <w:r w:rsidRPr="00AB7EE3">
        <w:rPr>
          <w:lang w:val="en-US"/>
        </w:rPr>
        <w:t>.</w:t>
      </w:r>
    </w:p>
    <w:p w:rsidR="006D514B" w:rsidRPr="00AB7EE3" w:rsidRDefault="006D514B" w:rsidP="005C41B7">
      <w:pPr>
        <w:pStyle w:val="APAPar"/>
        <w:rPr>
          <w:lang w:val="en-US"/>
        </w:rPr>
      </w:pPr>
      <w:r w:rsidRPr="00AB7EE3">
        <w:rPr>
          <w:lang w:val="en-US"/>
        </w:rPr>
        <w:t xml:space="preserve"> </w:t>
      </w:r>
      <w:r w:rsidR="0089415F" w:rsidRPr="00AB7EE3">
        <w:rPr>
          <w:lang w:val="en-US"/>
        </w:rPr>
        <w:t xml:space="preserve">Similarly, </w:t>
      </w:r>
      <w:r w:rsidRPr="00AB7EE3">
        <w:t xml:space="preserve">Pfefferbaum and Sullivan (2015) evaluated and compared the available cross-sectional and longitudinal evidence on hippocampal volume loss with ageing. They found that cross-sectional designs were less sensitive in tracking age-changes in brain volume, as the advantage produced by the increased statistical power </w:t>
      </w:r>
      <w:r w:rsidR="0030363F" w:rsidRPr="00AB7EE3">
        <w:t>(</w:t>
      </w:r>
      <w:r w:rsidRPr="00AB7EE3">
        <w:t xml:space="preserve">provided from </w:t>
      </w:r>
      <w:r w:rsidR="0089415F" w:rsidRPr="00AB7EE3">
        <w:t xml:space="preserve">examining </w:t>
      </w:r>
      <w:r w:rsidRPr="00AB7EE3">
        <w:t>an increased sample of participants</w:t>
      </w:r>
      <w:r w:rsidR="0030363F" w:rsidRPr="00AB7EE3">
        <w:t>)</w:t>
      </w:r>
      <w:r w:rsidRPr="00AB7EE3">
        <w:t xml:space="preserve"> was diminished by the variability in the initial hippocampal volume between the participants. They concluded however that </w:t>
      </w:r>
      <w:r w:rsidR="005406C0" w:rsidRPr="00AB7EE3">
        <w:t xml:space="preserve">(Pfefferbaum &amp; Sullivan (2015, </w:t>
      </w:r>
      <w:r w:rsidRPr="00AB7EE3">
        <w:t>p.6):</w:t>
      </w:r>
    </w:p>
    <w:p w:rsidR="00837786" w:rsidRPr="00837786" w:rsidRDefault="006D514B" w:rsidP="00640C1B">
      <w:pPr>
        <w:pStyle w:val="APAPar"/>
        <w:widowControl w:val="0"/>
        <w:ind w:leftChars="400" w:left="960" w:rightChars="400" w:right="960" w:firstLine="0"/>
        <w:jc w:val="both"/>
        <w:rPr>
          <w:lang w:val="en-US"/>
        </w:rPr>
      </w:pPr>
      <w:r w:rsidRPr="00053476">
        <w:rPr>
          <w:rStyle w:val="Emphasis"/>
        </w:rPr>
        <w:t>Despite their advantages, longitudinal studies also suffer limitations. In addition to potential biases from sampling related to genetic, environmental, and other potentially relevant factors, almost all longitudinal studies of normal aging or disease progression across ages are based on a cross-sectional and/or longitudinal design, in effect, collections of short trajectories. That is, the baseline, or initial, data point is typically age-asynchronous, meaning collected on subjects at different ages, rendering aging trajectories vulnerable to interaction with cohort effects–people born in different eras may age differently </w:t>
      </w:r>
    </w:p>
    <w:p w:rsidR="00837786" w:rsidRPr="00837786" w:rsidRDefault="00837786" w:rsidP="005C41B7">
      <w:pPr>
        <w:pStyle w:val="APAPar"/>
        <w:rPr>
          <w:lang w:val="en-US"/>
        </w:rPr>
      </w:pPr>
      <w:r w:rsidRPr="00837786">
        <w:rPr>
          <w:lang w:val="en-US"/>
        </w:rPr>
        <w:t xml:space="preserve">As such, no comparative advantage for either the cross-sectional or longitudinal studies can be assumed in this thesis for the estimation of developmental outcomes. The respective evidence will be evaluated however under the light of the inherent advantages and disadvantages that each research design entails, cautioning that cross-sectional designs are more appropriate to investigate cognitive and functional performance at a certain point, whereas longitudinal designs are more useful for tracking person-specific changes over time. </w:t>
      </w:r>
      <w:r w:rsidRPr="00837786">
        <w:rPr>
          <w:lang w:val="en-US"/>
        </w:rPr>
        <w:lastRenderedPageBreak/>
        <w:t>It is also argued in this thesis, that the inherent advantages and disadvantages of cross-sectional and longitudinal studies are not the only methodological issues that should be taken into account. The following parts of this chapter discuss how physical exercise, social participation, SES, as well as cognitive and functional performance have been subjected either to significantly heterogeneous or erroneous measurement practices, questioning this way the comparability and validity of the relevant research findings on developmental outcomes.</w:t>
      </w:r>
    </w:p>
    <w:p w:rsidR="008B2C4F" w:rsidRPr="00AB7EE3" w:rsidRDefault="00B70C03" w:rsidP="005D6C71">
      <w:pPr>
        <w:pStyle w:val="Heading3"/>
      </w:pPr>
      <w:bookmarkStart w:id="88" w:name="_Toc521184188"/>
      <w:r w:rsidRPr="00AB7EE3">
        <w:t xml:space="preserve">Assessing </w:t>
      </w:r>
      <w:r w:rsidR="008B2C4F" w:rsidRPr="00AB7EE3">
        <w:t>Physic</w:t>
      </w:r>
      <w:r w:rsidRPr="00AB7EE3">
        <w:t xml:space="preserve">al </w:t>
      </w:r>
      <w:bookmarkEnd w:id="87"/>
      <w:r w:rsidR="004502DD" w:rsidRPr="00AB7EE3">
        <w:t>Exercise</w:t>
      </w:r>
      <w:bookmarkEnd w:id="88"/>
    </w:p>
    <w:p w:rsidR="008B2C4F" w:rsidRPr="00AB7EE3" w:rsidRDefault="00F76CF8" w:rsidP="005C41B7">
      <w:pPr>
        <w:pStyle w:val="APAPar"/>
        <w:rPr>
          <w:lang w:val="en-US"/>
        </w:rPr>
      </w:pPr>
      <w:r w:rsidRPr="00AB7EE3">
        <w:rPr>
          <w:lang w:val="en-US"/>
        </w:rPr>
        <w:t xml:space="preserve">Physical </w:t>
      </w:r>
      <w:r w:rsidR="004502DD" w:rsidRPr="00AB7EE3">
        <w:rPr>
          <w:lang w:val="en-US"/>
        </w:rPr>
        <w:t>exercise</w:t>
      </w:r>
      <w:r w:rsidRPr="00AB7EE3">
        <w:rPr>
          <w:lang w:val="en-US"/>
        </w:rPr>
        <w:t xml:space="preserve"> is typically measured </w:t>
      </w:r>
      <w:r w:rsidR="00BD74DF">
        <w:rPr>
          <w:lang w:val="en-US"/>
        </w:rPr>
        <w:t>with</w:t>
      </w:r>
      <w:r w:rsidR="00107E5D" w:rsidRPr="00AB7EE3">
        <w:rPr>
          <w:lang w:val="en-US"/>
        </w:rPr>
        <w:t xml:space="preserve"> </w:t>
      </w:r>
      <w:r w:rsidRPr="00AB7EE3">
        <w:rPr>
          <w:lang w:val="en-US"/>
        </w:rPr>
        <w:t xml:space="preserve">self-report questionnaires, surveys, </w:t>
      </w:r>
      <w:r w:rsidR="007F0A21" w:rsidRPr="00AB7EE3">
        <w:rPr>
          <w:lang w:val="en-US"/>
        </w:rPr>
        <w:t>diaries, or i</w:t>
      </w:r>
      <w:r w:rsidR="00692AA7" w:rsidRPr="00AB7EE3">
        <w:rPr>
          <w:lang w:val="en-US"/>
        </w:rPr>
        <w:t xml:space="preserve">nterviews. </w:t>
      </w:r>
      <w:r w:rsidR="00846C92" w:rsidRPr="00AB7EE3">
        <w:rPr>
          <w:lang w:val="en-US"/>
        </w:rPr>
        <w:t xml:space="preserve">Alternatively, </w:t>
      </w:r>
      <w:r w:rsidR="00C621D6" w:rsidRPr="00AB7EE3">
        <w:rPr>
          <w:lang w:val="en-US"/>
        </w:rPr>
        <w:t xml:space="preserve">physical </w:t>
      </w:r>
      <w:r w:rsidR="004502DD" w:rsidRPr="00AB7EE3">
        <w:rPr>
          <w:lang w:val="en-US"/>
        </w:rPr>
        <w:t>exercise</w:t>
      </w:r>
      <w:r w:rsidR="00C621D6" w:rsidRPr="00AB7EE3">
        <w:rPr>
          <w:lang w:val="en-US"/>
        </w:rPr>
        <w:t xml:space="preserve"> </w:t>
      </w:r>
      <w:r w:rsidR="00766AF9" w:rsidRPr="00AB7EE3">
        <w:rPr>
          <w:lang w:val="en-US"/>
        </w:rPr>
        <w:t>can be</w:t>
      </w:r>
      <w:r w:rsidR="00C621D6" w:rsidRPr="00AB7EE3">
        <w:rPr>
          <w:lang w:val="en-US"/>
        </w:rPr>
        <w:t xml:space="preserve"> measured </w:t>
      </w:r>
      <w:r w:rsidR="00766AF9" w:rsidRPr="00AB7EE3">
        <w:rPr>
          <w:lang w:val="en-US"/>
        </w:rPr>
        <w:t xml:space="preserve">by </w:t>
      </w:r>
      <w:r w:rsidR="004C38E3" w:rsidRPr="00AB7EE3">
        <w:rPr>
          <w:lang w:val="en-US"/>
        </w:rPr>
        <w:t>using calorimetry,</w:t>
      </w:r>
      <w:r w:rsidR="004B4D4A" w:rsidRPr="00AB7EE3">
        <w:rPr>
          <w:lang w:val="en-US"/>
        </w:rPr>
        <w:t xml:space="preserve"> by</w:t>
      </w:r>
      <w:r w:rsidR="004C38E3" w:rsidRPr="00AB7EE3">
        <w:rPr>
          <w:lang w:val="en-US"/>
        </w:rPr>
        <w:t xml:space="preserve"> </w:t>
      </w:r>
      <w:r w:rsidR="00766AF9" w:rsidRPr="00AB7EE3">
        <w:rPr>
          <w:lang w:val="en-US"/>
        </w:rPr>
        <w:t xml:space="preserve">assessing </w:t>
      </w:r>
      <w:r w:rsidR="00C621D6" w:rsidRPr="00AB7EE3">
        <w:rPr>
          <w:lang w:val="en-US"/>
        </w:rPr>
        <w:t xml:space="preserve">physiologic markers (i.e., cardiorespiratory fitness, biomarkers), </w:t>
      </w:r>
      <w:r w:rsidR="004B4D4A" w:rsidRPr="00AB7EE3">
        <w:rPr>
          <w:lang w:val="en-US"/>
        </w:rPr>
        <w:t xml:space="preserve">by </w:t>
      </w:r>
      <w:r w:rsidR="00766AF9" w:rsidRPr="00AB7EE3">
        <w:rPr>
          <w:lang w:val="en-US"/>
        </w:rPr>
        <w:t xml:space="preserve">employing </w:t>
      </w:r>
      <w:r w:rsidR="00C621D6" w:rsidRPr="00AB7EE3">
        <w:rPr>
          <w:lang w:val="en-US"/>
        </w:rPr>
        <w:t>motion sensors and monitors (</w:t>
      </w:r>
      <w:r w:rsidR="001D66C7" w:rsidRPr="00AB7EE3">
        <w:rPr>
          <w:lang w:val="en-US"/>
        </w:rPr>
        <w:t>e.g.</w:t>
      </w:r>
      <w:r w:rsidR="00C621D6" w:rsidRPr="00AB7EE3">
        <w:rPr>
          <w:lang w:val="en-US"/>
        </w:rPr>
        <w:t xml:space="preserve">, </w:t>
      </w:r>
      <w:r w:rsidR="0008210E" w:rsidRPr="00AB7EE3">
        <w:rPr>
          <w:lang w:val="en-US"/>
        </w:rPr>
        <w:t>global positioning system</w:t>
      </w:r>
      <w:r w:rsidR="001D66C7" w:rsidRPr="00AB7EE3">
        <w:rPr>
          <w:lang w:val="en-US"/>
        </w:rPr>
        <w:t xml:space="preserve"> [GPS]</w:t>
      </w:r>
      <w:r w:rsidR="00C621D6" w:rsidRPr="00AB7EE3">
        <w:rPr>
          <w:lang w:val="en-US"/>
        </w:rPr>
        <w:t xml:space="preserve">, pedometers, heart rate monitors), </w:t>
      </w:r>
      <w:r w:rsidR="004C38E3" w:rsidRPr="00AB7EE3">
        <w:rPr>
          <w:lang w:val="en-US"/>
        </w:rPr>
        <w:t xml:space="preserve">or </w:t>
      </w:r>
      <w:r w:rsidR="004B4D4A" w:rsidRPr="00AB7EE3">
        <w:rPr>
          <w:lang w:val="en-US"/>
        </w:rPr>
        <w:t xml:space="preserve">by having </w:t>
      </w:r>
      <w:r w:rsidR="00C621D6" w:rsidRPr="00AB7EE3">
        <w:rPr>
          <w:lang w:val="en-US"/>
        </w:rPr>
        <w:t>direct observation.</w:t>
      </w:r>
      <w:r w:rsidR="004C38E3" w:rsidRPr="00AB7EE3">
        <w:rPr>
          <w:lang w:val="en-US"/>
        </w:rPr>
        <w:t xml:space="preserve"> </w:t>
      </w:r>
      <w:r w:rsidR="0021484F" w:rsidRPr="00AB7EE3">
        <w:rPr>
          <w:lang w:val="en-US"/>
        </w:rPr>
        <w:t xml:space="preserve"> Self-report measures </w:t>
      </w:r>
      <w:r w:rsidR="004502DD" w:rsidRPr="00AB7EE3">
        <w:rPr>
          <w:lang w:val="en-US"/>
        </w:rPr>
        <w:t xml:space="preserve">of physical exercise </w:t>
      </w:r>
      <w:r w:rsidR="00C82490" w:rsidRPr="00AB7EE3">
        <w:rPr>
          <w:lang w:val="en-US"/>
        </w:rPr>
        <w:t xml:space="preserve">are usually preferred due to their increased applicability, as well as their low-cost, low-burden, and </w:t>
      </w:r>
      <w:r w:rsidR="00E12964" w:rsidRPr="00AB7EE3">
        <w:rPr>
          <w:lang w:val="en-US"/>
        </w:rPr>
        <w:t xml:space="preserve">high </w:t>
      </w:r>
      <w:r w:rsidR="00C82490" w:rsidRPr="00AB7EE3">
        <w:rPr>
          <w:lang w:val="en-US"/>
        </w:rPr>
        <w:t>acceptability. Direct</w:t>
      </w:r>
      <w:r w:rsidR="004B4D4A" w:rsidRPr="00AB7EE3">
        <w:rPr>
          <w:lang w:val="en-US"/>
        </w:rPr>
        <w:t xml:space="preserve"> measures</w:t>
      </w:r>
      <w:r w:rsidR="00B92F01" w:rsidRPr="00AB7EE3">
        <w:rPr>
          <w:lang w:val="en-US"/>
        </w:rPr>
        <w:t xml:space="preserve"> of </w:t>
      </w:r>
      <w:r w:rsidR="004502DD" w:rsidRPr="00AB7EE3">
        <w:rPr>
          <w:lang w:val="en-US"/>
        </w:rPr>
        <w:t xml:space="preserve">physical exercise </w:t>
      </w:r>
      <w:r w:rsidR="004B4D4A" w:rsidRPr="00AB7EE3">
        <w:rPr>
          <w:lang w:val="en-US"/>
        </w:rPr>
        <w:t xml:space="preserve">are </w:t>
      </w:r>
      <w:r w:rsidR="00EC7355" w:rsidRPr="00AB7EE3">
        <w:rPr>
          <w:lang w:val="en-US"/>
        </w:rPr>
        <w:t xml:space="preserve">used </w:t>
      </w:r>
      <w:r w:rsidR="00B92F01" w:rsidRPr="00AB7EE3">
        <w:rPr>
          <w:lang w:val="en-US"/>
        </w:rPr>
        <w:t xml:space="preserve">usually when </w:t>
      </w:r>
      <w:r w:rsidR="004B4D4A" w:rsidRPr="00AB7EE3">
        <w:rPr>
          <w:lang w:val="en-US"/>
        </w:rPr>
        <w:t>precision</w:t>
      </w:r>
      <w:r w:rsidR="00C82490" w:rsidRPr="00AB7EE3">
        <w:rPr>
          <w:lang w:val="en-US"/>
        </w:rPr>
        <w:t xml:space="preserve"> and accuracy</w:t>
      </w:r>
      <w:r w:rsidR="00B92F01" w:rsidRPr="00AB7EE3">
        <w:rPr>
          <w:lang w:val="en-US"/>
        </w:rPr>
        <w:t xml:space="preserve"> are </w:t>
      </w:r>
      <w:r w:rsidR="00E12964" w:rsidRPr="00AB7EE3">
        <w:rPr>
          <w:lang w:val="en-US"/>
        </w:rPr>
        <w:t>essential</w:t>
      </w:r>
      <w:r w:rsidR="00C82490" w:rsidRPr="00AB7EE3">
        <w:rPr>
          <w:lang w:val="en-US"/>
        </w:rPr>
        <w:t>.</w:t>
      </w:r>
      <w:r w:rsidR="00E759B8" w:rsidRPr="00AB7EE3">
        <w:rPr>
          <w:lang w:val="en-US"/>
        </w:rPr>
        <w:t xml:space="preserve"> </w:t>
      </w:r>
      <w:r w:rsidR="00C82490" w:rsidRPr="00AB7EE3">
        <w:rPr>
          <w:lang w:val="en-US"/>
        </w:rPr>
        <w:t>Their</w:t>
      </w:r>
      <w:r w:rsidR="00E759B8" w:rsidRPr="00AB7EE3">
        <w:rPr>
          <w:lang w:val="en-US"/>
        </w:rPr>
        <w:t xml:space="preserve"> demanding nature</w:t>
      </w:r>
      <w:r w:rsidR="00C82490" w:rsidRPr="00AB7EE3">
        <w:rPr>
          <w:lang w:val="en-US"/>
        </w:rPr>
        <w:t xml:space="preserve"> however</w:t>
      </w:r>
      <w:r w:rsidR="00E759B8" w:rsidRPr="00AB7EE3">
        <w:rPr>
          <w:lang w:val="en-US"/>
        </w:rPr>
        <w:t xml:space="preserve"> (i.e., availability of specialized devices, time needed for the respective measures)</w:t>
      </w:r>
      <w:r w:rsidR="00EC7355" w:rsidRPr="00AB7EE3">
        <w:rPr>
          <w:lang w:val="en-US"/>
        </w:rPr>
        <w:t xml:space="preserve">, </w:t>
      </w:r>
      <w:r w:rsidR="007D689A" w:rsidRPr="00AB7EE3">
        <w:rPr>
          <w:lang w:val="en-US"/>
        </w:rPr>
        <w:t xml:space="preserve">has restricted their utility mainly </w:t>
      </w:r>
      <w:r w:rsidR="00E12964" w:rsidRPr="00AB7EE3">
        <w:rPr>
          <w:lang w:val="en-US"/>
        </w:rPr>
        <w:t xml:space="preserve">to </w:t>
      </w:r>
      <w:r w:rsidR="007D689A" w:rsidRPr="00AB7EE3">
        <w:rPr>
          <w:lang w:val="en-US"/>
        </w:rPr>
        <w:t>validating</w:t>
      </w:r>
      <w:r w:rsidR="00D861D3" w:rsidRPr="00AB7EE3">
        <w:rPr>
          <w:lang w:val="en-US"/>
        </w:rPr>
        <w:t xml:space="preserve"> self-reports of </w:t>
      </w:r>
      <w:r w:rsidR="004502DD" w:rsidRPr="00AB7EE3">
        <w:rPr>
          <w:lang w:val="en-US"/>
        </w:rPr>
        <w:t xml:space="preserve">physical exercise </w:t>
      </w:r>
      <w:r w:rsidR="00127F86" w:rsidRPr="00AB7EE3">
        <w:rPr>
          <w:lang w:val="en-US"/>
        </w:rPr>
        <w:t>(Prince et al., 2008).</w:t>
      </w:r>
    </w:p>
    <w:p w:rsidR="00127F86" w:rsidRPr="00AB7EE3" w:rsidRDefault="00C85738" w:rsidP="005C41B7">
      <w:pPr>
        <w:pStyle w:val="APAPar"/>
        <w:rPr>
          <w:lang w:val="en-US"/>
        </w:rPr>
      </w:pPr>
      <w:r w:rsidRPr="00AB7EE3">
        <w:rPr>
          <w:lang w:val="en-US"/>
        </w:rPr>
        <w:t>Prince et al. (2008) conducted a</w:t>
      </w:r>
      <w:r w:rsidR="00DA4BEA" w:rsidRPr="00AB7EE3">
        <w:rPr>
          <w:lang w:val="en-US"/>
        </w:rPr>
        <w:t xml:space="preserve"> systematic literature </w:t>
      </w:r>
      <w:r w:rsidR="007D689A" w:rsidRPr="00AB7EE3">
        <w:rPr>
          <w:lang w:val="en-US"/>
        </w:rPr>
        <w:t>review in</w:t>
      </w:r>
      <w:r w:rsidRPr="00AB7EE3">
        <w:rPr>
          <w:lang w:val="en-US"/>
        </w:rPr>
        <w:t xml:space="preserve"> studies that use</w:t>
      </w:r>
      <w:r w:rsidR="007D689A" w:rsidRPr="00AB7EE3">
        <w:rPr>
          <w:lang w:val="en-US"/>
        </w:rPr>
        <w:t>d</w:t>
      </w:r>
      <w:r w:rsidRPr="00AB7EE3">
        <w:rPr>
          <w:lang w:val="en-US"/>
        </w:rPr>
        <w:t xml:space="preserve"> both </w:t>
      </w:r>
      <w:r w:rsidR="005E515C" w:rsidRPr="00AB7EE3">
        <w:rPr>
          <w:lang w:val="en-US"/>
        </w:rPr>
        <w:t>self-report</w:t>
      </w:r>
      <w:r w:rsidRPr="00AB7EE3">
        <w:rPr>
          <w:lang w:val="en-US"/>
        </w:rPr>
        <w:t xml:space="preserve"> and direct measures of </w:t>
      </w:r>
      <w:r w:rsidR="004502DD" w:rsidRPr="00AB7EE3">
        <w:rPr>
          <w:lang w:val="en-US"/>
        </w:rPr>
        <w:t>physical exercise</w:t>
      </w:r>
      <w:r w:rsidRPr="00AB7EE3">
        <w:rPr>
          <w:lang w:val="en-US"/>
        </w:rPr>
        <w:t>. The</w:t>
      </w:r>
      <w:r w:rsidR="007D689A" w:rsidRPr="00AB7EE3">
        <w:rPr>
          <w:lang w:val="en-US"/>
        </w:rPr>
        <w:t>y</w:t>
      </w:r>
      <w:r w:rsidRPr="00AB7EE3">
        <w:rPr>
          <w:lang w:val="en-US"/>
        </w:rPr>
        <w:t xml:space="preserve"> found a moderate mean correlation between the two types of measure (r</w:t>
      </w:r>
      <w:r w:rsidR="004811A2" w:rsidRPr="00AB7EE3">
        <w:rPr>
          <w:lang w:val="en-US"/>
        </w:rPr>
        <w:t xml:space="preserve"> </w:t>
      </w:r>
      <w:r w:rsidRPr="00AB7EE3">
        <w:rPr>
          <w:lang w:val="en-US"/>
        </w:rPr>
        <w:t>=</w:t>
      </w:r>
      <w:r w:rsidR="005E515C" w:rsidRPr="00AB7EE3">
        <w:rPr>
          <w:lang w:val="en-US"/>
        </w:rPr>
        <w:t xml:space="preserve"> .37), with a great h</w:t>
      </w:r>
      <w:r w:rsidR="00CA427D" w:rsidRPr="00AB7EE3">
        <w:rPr>
          <w:lang w:val="en-US"/>
        </w:rPr>
        <w:t>eterogenei</w:t>
      </w:r>
      <w:r w:rsidR="002C65FA" w:rsidRPr="00AB7EE3">
        <w:rPr>
          <w:lang w:val="en-US"/>
        </w:rPr>
        <w:t>ty in this respect (.95</w:t>
      </w:r>
      <w:r w:rsidR="002B7E60" w:rsidRPr="00AB7EE3">
        <w:rPr>
          <w:lang w:val="en-US"/>
        </w:rPr>
        <w:t xml:space="preserve"> </w:t>
      </w:r>
      <w:r w:rsidR="002C65FA" w:rsidRPr="00AB7EE3">
        <w:rPr>
          <w:lang w:val="en-US"/>
        </w:rPr>
        <w:t>&lt;</w:t>
      </w:r>
      <w:r w:rsidR="002B7E60" w:rsidRPr="00AB7EE3">
        <w:rPr>
          <w:lang w:val="en-US"/>
        </w:rPr>
        <w:t xml:space="preserve"> </w:t>
      </w:r>
      <w:r w:rsidR="002C65FA" w:rsidRPr="00AB7EE3">
        <w:rPr>
          <w:lang w:val="en-US"/>
        </w:rPr>
        <w:t>r</w:t>
      </w:r>
      <w:r w:rsidR="002B7E60" w:rsidRPr="00AB7EE3">
        <w:rPr>
          <w:lang w:val="en-US"/>
        </w:rPr>
        <w:t xml:space="preserve"> </w:t>
      </w:r>
      <w:r w:rsidR="002C65FA" w:rsidRPr="00AB7EE3">
        <w:rPr>
          <w:lang w:val="en-US"/>
        </w:rPr>
        <w:t>&gt;</w:t>
      </w:r>
      <w:r w:rsidR="002B7E60" w:rsidRPr="00AB7EE3">
        <w:rPr>
          <w:lang w:val="en-US"/>
        </w:rPr>
        <w:t xml:space="preserve"> </w:t>
      </w:r>
      <w:r w:rsidR="002C65FA" w:rsidRPr="00AB7EE3">
        <w:rPr>
          <w:lang w:val="en-US"/>
        </w:rPr>
        <w:t>.17). They also observed that this</w:t>
      </w:r>
      <w:r w:rsidR="00DA4BEA" w:rsidRPr="00AB7EE3">
        <w:rPr>
          <w:lang w:val="en-US"/>
        </w:rPr>
        <w:t xml:space="preserve"> pattern</w:t>
      </w:r>
      <w:r w:rsidR="006D3376" w:rsidRPr="00AB7EE3">
        <w:rPr>
          <w:lang w:val="en-US"/>
        </w:rPr>
        <w:t xml:space="preserve"> </w:t>
      </w:r>
      <w:r w:rsidR="002C65FA" w:rsidRPr="00AB7EE3">
        <w:rPr>
          <w:lang w:val="en-US"/>
        </w:rPr>
        <w:t xml:space="preserve">of relativity </w:t>
      </w:r>
      <w:r w:rsidR="00346C7F" w:rsidRPr="00AB7EE3">
        <w:rPr>
          <w:lang w:val="en-US"/>
        </w:rPr>
        <w:t xml:space="preserve">between self-report and direct measures of </w:t>
      </w:r>
      <w:r w:rsidR="004502DD" w:rsidRPr="00AB7EE3">
        <w:rPr>
          <w:lang w:val="en-US"/>
        </w:rPr>
        <w:t xml:space="preserve">physical exercise </w:t>
      </w:r>
      <w:r w:rsidR="002C65FA" w:rsidRPr="00AB7EE3">
        <w:rPr>
          <w:lang w:val="en-US"/>
        </w:rPr>
        <w:t>persisted</w:t>
      </w:r>
      <w:r w:rsidR="006D3376" w:rsidRPr="00AB7EE3">
        <w:rPr>
          <w:lang w:val="en-US"/>
        </w:rPr>
        <w:t xml:space="preserve"> in </w:t>
      </w:r>
      <w:r w:rsidR="002C65FA" w:rsidRPr="00AB7EE3">
        <w:rPr>
          <w:lang w:val="en-US"/>
        </w:rPr>
        <w:t xml:space="preserve">studies </w:t>
      </w:r>
      <w:r w:rsidR="006D3376" w:rsidRPr="00AB7EE3">
        <w:rPr>
          <w:lang w:val="en-US"/>
        </w:rPr>
        <w:t xml:space="preserve">that examined </w:t>
      </w:r>
      <w:r w:rsidR="002C65FA" w:rsidRPr="00AB7EE3">
        <w:rPr>
          <w:lang w:val="en-US"/>
        </w:rPr>
        <w:t>older adults</w:t>
      </w:r>
      <w:r w:rsidR="002B7E60" w:rsidRPr="00AB7EE3">
        <w:rPr>
          <w:lang w:val="en-US"/>
        </w:rPr>
        <w:t xml:space="preserve"> as well</w:t>
      </w:r>
      <w:r w:rsidR="006D3376" w:rsidRPr="00AB7EE3">
        <w:rPr>
          <w:lang w:val="en-US"/>
        </w:rPr>
        <w:t xml:space="preserve">. </w:t>
      </w:r>
      <w:r w:rsidR="002C65FA" w:rsidRPr="00AB7EE3">
        <w:rPr>
          <w:lang w:val="en-US"/>
        </w:rPr>
        <w:t xml:space="preserve">Unfortunately, </w:t>
      </w:r>
      <w:r w:rsidR="002B7E60" w:rsidRPr="00AB7EE3">
        <w:rPr>
          <w:lang w:val="en-US"/>
        </w:rPr>
        <w:t>the</w:t>
      </w:r>
      <w:r w:rsidR="00DA4BEA" w:rsidRPr="00AB7EE3">
        <w:rPr>
          <w:lang w:val="en-US"/>
        </w:rPr>
        <w:t xml:space="preserve"> </w:t>
      </w:r>
      <w:r w:rsidR="00E12964" w:rsidRPr="00AB7EE3">
        <w:rPr>
          <w:lang w:val="en-US"/>
        </w:rPr>
        <w:t>la</w:t>
      </w:r>
      <w:r w:rsidR="002B7E60" w:rsidRPr="00AB7EE3">
        <w:rPr>
          <w:lang w:val="en-US"/>
        </w:rPr>
        <w:t>ck of homogeneity</w:t>
      </w:r>
      <w:r w:rsidR="00F15045" w:rsidRPr="00AB7EE3">
        <w:rPr>
          <w:lang w:val="en-US"/>
        </w:rPr>
        <w:t xml:space="preserve"> in measures and unit</w:t>
      </w:r>
      <w:r w:rsidR="00DA4BEA" w:rsidRPr="00AB7EE3">
        <w:rPr>
          <w:lang w:val="en-US"/>
        </w:rPr>
        <w:t>s employed</w:t>
      </w:r>
      <w:r w:rsidR="00F15045" w:rsidRPr="00AB7EE3">
        <w:rPr>
          <w:lang w:val="en-US"/>
        </w:rPr>
        <w:t xml:space="preserve"> to assess physical activity</w:t>
      </w:r>
      <w:r w:rsidR="00A065F8" w:rsidRPr="00AB7EE3">
        <w:rPr>
          <w:lang w:val="en-US"/>
        </w:rPr>
        <w:t xml:space="preserve"> in the respective literature</w:t>
      </w:r>
      <w:r w:rsidR="00DA4BEA" w:rsidRPr="00AB7EE3">
        <w:rPr>
          <w:lang w:val="en-US"/>
        </w:rPr>
        <w:t xml:space="preserve"> </w:t>
      </w:r>
      <w:r w:rsidR="00987A3B" w:rsidRPr="00AB7EE3">
        <w:rPr>
          <w:lang w:val="en-US"/>
        </w:rPr>
        <w:t xml:space="preserve">did not allow the authors to proceed </w:t>
      </w:r>
      <w:r w:rsidR="003B15A8" w:rsidRPr="00AB7EE3">
        <w:rPr>
          <w:lang w:val="en-US"/>
        </w:rPr>
        <w:t xml:space="preserve">to </w:t>
      </w:r>
      <w:r w:rsidR="002B7E60" w:rsidRPr="00AB7EE3">
        <w:rPr>
          <w:lang w:val="en-US"/>
        </w:rPr>
        <w:t>a statistical meta-</w:t>
      </w:r>
      <w:r w:rsidR="002B7E60" w:rsidRPr="00AB7EE3">
        <w:rPr>
          <w:lang w:val="en-US"/>
        </w:rPr>
        <w:lastRenderedPageBreak/>
        <w:t>analysis</w:t>
      </w:r>
      <w:r w:rsidR="00987A3B" w:rsidRPr="00AB7EE3">
        <w:rPr>
          <w:lang w:val="en-US"/>
        </w:rPr>
        <w:t>,</w:t>
      </w:r>
      <w:r w:rsidR="00A065F8" w:rsidRPr="00AB7EE3">
        <w:rPr>
          <w:lang w:val="en-US"/>
        </w:rPr>
        <w:t xml:space="preserve"> in order to c</w:t>
      </w:r>
      <w:r w:rsidR="003B15A8" w:rsidRPr="00AB7EE3">
        <w:rPr>
          <w:lang w:val="en-US"/>
        </w:rPr>
        <w:t xml:space="preserve">alculate an overall mean effect. </w:t>
      </w:r>
      <w:r w:rsidR="00A065F8" w:rsidRPr="00AB7EE3">
        <w:rPr>
          <w:lang w:val="en-US"/>
        </w:rPr>
        <w:t xml:space="preserve">Therefore, </w:t>
      </w:r>
      <w:r w:rsidR="0082619D" w:rsidRPr="00AB7EE3">
        <w:rPr>
          <w:lang w:val="en-US"/>
        </w:rPr>
        <w:t xml:space="preserve">no estimation for any </w:t>
      </w:r>
      <w:r w:rsidR="007E64F1" w:rsidRPr="00AB7EE3">
        <w:rPr>
          <w:lang w:val="en-US"/>
        </w:rPr>
        <w:t xml:space="preserve">comparative </w:t>
      </w:r>
      <w:r w:rsidR="00D1085E" w:rsidRPr="00AB7EE3">
        <w:rPr>
          <w:lang w:val="en-US"/>
        </w:rPr>
        <w:t xml:space="preserve">advantage </w:t>
      </w:r>
      <w:r w:rsidR="003B15A8" w:rsidRPr="00AB7EE3">
        <w:rPr>
          <w:lang w:val="en-US"/>
        </w:rPr>
        <w:t>of</w:t>
      </w:r>
      <w:r w:rsidR="00D1085E" w:rsidRPr="00AB7EE3">
        <w:rPr>
          <w:lang w:val="en-US"/>
        </w:rPr>
        <w:t xml:space="preserve"> self-reports or direct measures of </w:t>
      </w:r>
      <w:r w:rsidR="00CF192B" w:rsidRPr="00AB7EE3">
        <w:rPr>
          <w:lang w:val="en-US"/>
        </w:rPr>
        <w:t>physical activity could be made.</w:t>
      </w:r>
    </w:p>
    <w:p w:rsidR="00DE22DA" w:rsidRPr="00AB7EE3" w:rsidRDefault="006147CD" w:rsidP="005C41B7">
      <w:pPr>
        <w:pStyle w:val="APAPar"/>
        <w:rPr>
          <w:lang w:val="en-US"/>
        </w:rPr>
      </w:pPr>
      <w:r w:rsidRPr="00AB7EE3">
        <w:rPr>
          <w:lang w:val="en-US"/>
        </w:rPr>
        <w:t xml:space="preserve">Dishman, Washburn, </w:t>
      </w:r>
      <w:r w:rsidR="00D21B99" w:rsidRPr="00AB7EE3">
        <w:rPr>
          <w:lang w:val="en-US"/>
        </w:rPr>
        <w:t>and Shoeller (2001) argued that self-report</w:t>
      </w:r>
      <w:r w:rsidR="00624C70" w:rsidRPr="00AB7EE3">
        <w:rPr>
          <w:lang w:val="en-US"/>
        </w:rPr>
        <w:t xml:space="preserve"> measure</w:t>
      </w:r>
      <w:r w:rsidR="00D21B99" w:rsidRPr="00AB7EE3">
        <w:rPr>
          <w:lang w:val="en-US"/>
        </w:rPr>
        <w:t>s</w:t>
      </w:r>
      <w:r w:rsidR="00624C70" w:rsidRPr="00AB7EE3">
        <w:rPr>
          <w:lang w:val="en-US"/>
        </w:rPr>
        <w:t xml:space="preserve"> of </w:t>
      </w:r>
      <w:r w:rsidR="004502DD" w:rsidRPr="00AB7EE3">
        <w:rPr>
          <w:lang w:val="en-US"/>
        </w:rPr>
        <w:t>physical exercise</w:t>
      </w:r>
      <w:r w:rsidR="00624C70" w:rsidRPr="00AB7EE3">
        <w:rPr>
          <w:lang w:val="en-US"/>
        </w:rPr>
        <w:t xml:space="preserve"> </w:t>
      </w:r>
      <w:r w:rsidR="00D21B99" w:rsidRPr="00AB7EE3">
        <w:rPr>
          <w:lang w:val="en-US"/>
        </w:rPr>
        <w:t xml:space="preserve">are </w:t>
      </w:r>
      <w:r w:rsidR="00D6301E" w:rsidRPr="00AB7EE3">
        <w:rPr>
          <w:lang w:val="en-US"/>
        </w:rPr>
        <w:t>the most</w:t>
      </w:r>
      <w:r w:rsidR="00882F7B" w:rsidRPr="00AB7EE3">
        <w:rPr>
          <w:lang w:val="en-US"/>
        </w:rPr>
        <w:t xml:space="preserve"> practical and cost-effective</w:t>
      </w:r>
      <w:r w:rsidR="00CF192B" w:rsidRPr="00AB7EE3">
        <w:rPr>
          <w:lang w:val="en-US"/>
        </w:rPr>
        <w:t xml:space="preserve"> </w:t>
      </w:r>
      <w:r w:rsidR="00D21B99" w:rsidRPr="00AB7EE3">
        <w:rPr>
          <w:lang w:val="en-US"/>
        </w:rPr>
        <w:t>ones</w:t>
      </w:r>
      <w:r w:rsidR="005D495E" w:rsidRPr="00AB7EE3">
        <w:rPr>
          <w:lang w:val="en-US"/>
        </w:rPr>
        <w:t xml:space="preserve"> in measuring </w:t>
      </w:r>
      <w:r w:rsidR="004502DD" w:rsidRPr="00AB7EE3">
        <w:rPr>
          <w:lang w:val="en-US"/>
        </w:rPr>
        <w:t xml:space="preserve">physical exercise </w:t>
      </w:r>
      <w:r w:rsidR="005D495E" w:rsidRPr="00AB7EE3">
        <w:rPr>
          <w:lang w:val="en-US"/>
        </w:rPr>
        <w:t>in free-living populations. They argued that</w:t>
      </w:r>
      <w:r w:rsidR="00882F7B" w:rsidRPr="00AB7EE3">
        <w:rPr>
          <w:lang w:val="en-US"/>
        </w:rPr>
        <w:t xml:space="preserve"> </w:t>
      </w:r>
      <w:r w:rsidR="00160C43" w:rsidRPr="00AB7EE3">
        <w:rPr>
          <w:lang w:val="en-US"/>
        </w:rPr>
        <w:t xml:space="preserve">their validity </w:t>
      </w:r>
      <w:r w:rsidR="0030363F" w:rsidRPr="00AB7EE3">
        <w:rPr>
          <w:lang w:val="en-US"/>
        </w:rPr>
        <w:t>cannot be</w:t>
      </w:r>
      <w:r w:rsidR="00160C43" w:rsidRPr="00AB7EE3">
        <w:rPr>
          <w:lang w:val="en-US"/>
        </w:rPr>
        <w:t xml:space="preserve"> </w:t>
      </w:r>
      <w:r w:rsidR="00882F7B" w:rsidRPr="00AB7EE3">
        <w:rPr>
          <w:lang w:val="en-US"/>
        </w:rPr>
        <w:t>undermined</w:t>
      </w:r>
      <w:r w:rsidR="006D7C70" w:rsidRPr="00AB7EE3">
        <w:rPr>
          <w:lang w:val="en-US"/>
        </w:rPr>
        <w:t xml:space="preserve"> based only o</w:t>
      </w:r>
      <w:r w:rsidR="00FC3CF1" w:rsidRPr="00AB7EE3">
        <w:rPr>
          <w:lang w:val="en-US"/>
        </w:rPr>
        <w:t>n t</w:t>
      </w:r>
      <w:r w:rsidR="006D7C70" w:rsidRPr="00AB7EE3">
        <w:rPr>
          <w:lang w:val="en-US"/>
        </w:rPr>
        <w:t>he fact that they are</w:t>
      </w:r>
      <w:r w:rsidR="00FC3CF1" w:rsidRPr="00AB7EE3">
        <w:rPr>
          <w:lang w:val="en-US"/>
        </w:rPr>
        <w:t xml:space="preserve"> vulnerable to self-serving biases</w:t>
      </w:r>
      <w:r w:rsidR="005F19A4" w:rsidRPr="00AB7EE3">
        <w:rPr>
          <w:lang w:val="en-US"/>
        </w:rPr>
        <w:t>,</w:t>
      </w:r>
      <w:r w:rsidR="00FC3CF1" w:rsidRPr="00AB7EE3">
        <w:rPr>
          <w:lang w:val="en-US"/>
        </w:rPr>
        <w:t xml:space="preserve"> </w:t>
      </w:r>
      <w:r w:rsidR="00494D81" w:rsidRPr="00AB7EE3">
        <w:rPr>
          <w:lang w:val="en-US"/>
        </w:rPr>
        <w:t>because</w:t>
      </w:r>
      <w:r w:rsidR="00160C43" w:rsidRPr="00AB7EE3">
        <w:rPr>
          <w:lang w:val="en-US"/>
        </w:rPr>
        <w:t xml:space="preserve"> no golden standard </w:t>
      </w:r>
      <w:r w:rsidR="002B7E60" w:rsidRPr="00AB7EE3">
        <w:rPr>
          <w:lang w:val="en-US"/>
        </w:rPr>
        <w:t>exists</w:t>
      </w:r>
      <w:r w:rsidR="00160C43" w:rsidRPr="00AB7EE3">
        <w:rPr>
          <w:lang w:val="en-US"/>
        </w:rPr>
        <w:t xml:space="preserve"> </w:t>
      </w:r>
      <w:r w:rsidR="00882F7B" w:rsidRPr="00AB7EE3">
        <w:rPr>
          <w:lang w:val="en-US"/>
        </w:rPr>
        <w:t xml:space="preserve">in </w:t>
      </w:r>
      <w:r w:rsidR="005F19A4" w:rsidRPr="00AB7EE3">
        <w:rPr>
          <w:lang w:val="en-US"/>
        </w:rPr>
        <w:t xml:space="preserve">validating such </w:t>
      </w:r>
      <w:r w:rsidR="00DF0C49" w:rsidRPr="00AB7EE3">
        <w:rPr>
          <w:lang w:val="en-US"/>
        </w:rPr>
        <w:t>measures</w:t>
      </w:r>
      <w:r w:rsidR="00494D81" w:rsidRPr="00AB7EE3">
        <w:rPr>
          <w:lang w:val="en-US"/>
        </w:rPr>
        <w:t xml:space="preserve">. They cautioned however that </w:t>
      </w:r>
      <w:r w:rsidR="003A033E" w:rsidRPr="00AB7EE3">
        <w:rPr>
          <w:lang w:val="en-US"/>
        </w:rPr>
        <w:t xml:space="preserve">self-reported measures </w:t>
      </w:r>
      <w:r w:rsidR="00624C70" w:rsidRPr="00AB7EE3">
        <w:rPr>
          <w:lang w:val="en-US"/>
        </w:rPr>
        <w:t xml:space="preserve">of </w:t>
      </w:r>
      <w:r w:rsidR="004502DD" w:rsidRPr="00AB7EE3">
        <w:rPr>
          <w:lang w:val="en-US"/>
        </w:rPr>
        <w:t>physical exercise</w:t>
      </w:r>
      <w:r w:rsidR="00624C70" w:rsidRPr="00AB7EE3">
        <w:rPr>
          <w:lang w:val="en-US"/>
        </w:rPr>
        <w:t xml:space="preserve"> </w:t>
      </w:r>
      <w:r w:rsidR="003A033E" w:rsidRPr="00AB7EE3">
        <w:rPr>
          <w:lang w:val="en-US"/>
        </w:rPr>
        <w:t xml:space="preserve">should include the type, frequency, duration and intensity of activity in order to be </w:t>
      </w:r>
      <w:r w:rsidR="00DF0C49" w:rsidRPr="00AB7EE3">
        <w:rPr>
          <w:lang w:val="en-US"/>
        </w:rPr>
        <w:t xml:space="preserve">more informative, </w:t>
      </w:r>
      <w:r w:rsidR="005E7991" w:rsidRPr="00AB7EE3">
        <w:rPr>
          <w:lang w:val="en-US"/>
        </w:rPr>
        <w:t xml:space="preserve">as well as </w:t>
      </w:r>
      <w:r w:rsidR="00267905" w:rsidRPr="00AB7EE3">
        <w:rPr>
          <w:lang w:val="en-US"/>
        </w:rPr>
        <w:t xml:space="preserve">they should be </w:t>
      </w:r>
      <w:r w:rsidR="005E7991" w:rsidRPr="00AB7EE3">
        <w:rPr>
          <w:lang w:val="en-US"/>
        </w:rPr>
        <w:t xml:space="preserve">aligned </w:t>
      </w:r>
      <w:r w:rsidR="00267905" w:rsidRPr="00AB7EE3">
        <w:rPr>
          <w:lang w:val="en-US"/>
        </w:rPr>
        <w:t xml:space="preserve">with </w:t>
      </w:r>
      <w:r w:rsidR="00DF0C49" w:rsidRPr="00AB7EE3">
        <w:rPr>
          <w:lang w:val="en-US"/>
        </w:rPr>
        <w:t>the research question posed in each study</w:t>
      </w:r>
      <w:r w:rsidR="00DE22DA" w:rsidRPr="00AB7EE3">
        <w:rPr>
          <w:lang w:val="en-US"/>
        </w:rPr>
        <w:t xml:space="preserve">. </w:t>
      </w:r>
      <w:r w:rsidR="00FC52B4" w:rsidRPr="00AB7EE3">
        <w:rPr>
          <w:lang w:val="en-US"/>
        </w:rPr>
        <w:t>These</w:t>
      </w:r>
      <w:r w:rsidR="0030363F" w:rsidRPr="00AB7EE3">
        <w:rPr>
          <w:lang w:val="en-US"/>
        </w:rPr>
        <w:t xml:space="preserve"> suggestions will be adopted in this thesis for the empirical </w:t>
      </w:r>
      <w:r w:rsidR="00FC52B4" w:rsidRPr="00AB7EE3">
        <w:rPr>
          <w:lang w:val="en-US"/>
        </w:rPr>
        <w:t>examination</w:t>
      </w:r>
      <w:r w:rsidR="0030363F" w:rsidRPr="00AB7EE3">
        <w:rPr>
          <w:lang w:val="en-US"/>
        </w:rPr>
        <w:t xml:space="preserve"> of exercise among older adults.</w:t>
      </w:r>
    </w:p>
    <w:p w:rsidR="008B2C4F" w:rsidRPr="00AB7EE3" w:rsidRDefault="00B70C03" w:rsidP="005D6C71">
      <w:pPr>
        <w:pStyle w:val="Heading3"/>
      </w:pPr>
      <w:bookmarkStart w:id="89" w:name="_Toc373425950"/>
      <w:bookmarkStart w:id="90" w:name="_Toc521184189"/>
      <w:r w:rsidRPr="00AB7EE3">
        <w:t xml:space="preserve">Assessing </w:t>
      </w:r>
      <w:r w:rsidR="008B2C4F" w:rsidRPr="00AB7EE3">
        <w:t>Social Participation</w:t>
      </w:r>
      <w:bookmarkEnd w:id="89"/>
      <w:bookmarkEnd w:id="90"/>
    </w:p>
    <w:p w:rsidR="008B2C4F" w:rsidRPr="00AB7EE3" w:rsidRDefault="008B2C4F" w:rsidP="005C41B7">
      <w:pPr>
        <w:pStyle w:val="APAPar"/>
      </w:pPr>
      <w:r w:rsidRPr="00AB7EE3">
        <w:t xml:space="preserve">In the previous </w:t>
      </w:r>
      <w:r w:rsidR="002B7E60" w:rsidRPr="00AB7EE3">
        <w:t>chapter,</w:t>
      </w:r>
      <w:r w:rsidRPr="00AB7EE3">
        <w:t xml:space="preserve"> it was explored how social participation is a key d</w:t>
      </w:r>
      <w:r w:rsidR="002B7E60" w:rsidRPr="00AB7EE3">
        <w:t>eterminant</w:t>
      </w:r>
      <w:r w:rsidRPr="00AB7EE3">
        <w:t xml:space="preserve"> </w:t>
      </w:r>
      <w:r w:rsidR="002B7E60" w:rsidRPr="00AB7EE3">
        <w:t>of</w:t>
      </w:r>
      <w:r w:rsidRPr="00AB7EE3">
        <w:t xml:space="preserve"> positive outcomes in older age. In th</w:t>
      </w:r>
      <w:r w:rsidR="00E12964" w:rsidRPr="00AB7EE3">
        <w:t>at</w:t>
      </w:r>
      <w:r w:rsidRPr="00AB7EE3">
        <w:t xml:space="preserve"> chapter, it was described how social participation constitutes an emerging intervention goal for health professionals in order to promote </w:t>
      </w:r>
      <w:r w:rsidR="002B7E60" w:rsidRPr="00AB7EE3">
        <w:t>cognitive health in older age</w:t>
      </w:r>
      <w:r w:rsidRPr="00AB7EE3">
        <w:rPr>
          <w:lang w:val="en-US"/>
        </w:rPr>
        <w:t>.</w:t>
      </w:r>
      <w:r w:rsidRPr="00AB7EE3">
        <w:t xml:space="preserve"> Despite its growing importance, there is not a common agreement </w:t>
      </w:r>
      <w:r w:rsidR="00F73277" w:rsidRPr="00AB7EE3">
        <w:t xml:space="preserve">in the literature </w:t>
      </w:r>
      <w:r w:rsidR="00E12964" w:rsidRPr="00AB7EE3">
        <w:t>on</w:t>
      </w:r>
      <w:r w:rsidRPr="00AB7EE3">
        <w:t xml:space="preserve"> the definition of social participation (as a concept), nor for its underlying dimensions, activities, nor its operationalization.</w:t>
      </w:r>
      <w:r w:rsidR="0030363F" w:rsidRPr="00AB7EE3">
        <w:t xml:space="preserve"> As Richard et al (2012) commented, the operationalization of social participation indicators has been equivocal and rather arbitrary (or fluent) in the ageing discourse.</w:t>
      </w:r>
      <w:r w:rsidRPr="00AB7EE3">
        <w:t xml:space="preserve"> In a comprehensive review, Levassaur et al. (2010</w:t>
      </w:r>
      <w:r w:rsidR="0030363F" w:rsidRPr="00AB7EE3">
        <w:t>, p. 2142</w:t>
      </w:r>
      <w:r w:rsidRPr="00AB7EE3">
        <w:t xml:space="preserve">) commented </w:t>
      </w:r>
      <w:r w:rsidR="0030363F" w:rsidRPr="00AB7EE3">
        <w:t>that</w:t>
      </w:r>
      <w:r w:rsidR="00BF3138">
        <w:t>:</w:t>
      </w:r>
    </w:p>
    <w:p w:rsidR="008B2C4F" w:rsidRPr="00053476" w:rsidRDefault="008B2C4F" w:rsidP="00640C1B">
      <w:pPr>
        <w:pStyle w:val="APAPar"/>
        <w:widowControl w:val="0"/>
        <w:ind w:leftChars="400" w:left="960" w:rightChars="400" w:right="960" w:firstLine="0"/>
        <w:jc w:val="both"/>
        <w:rPr>
          <w:rStyle w:val="Emphasis"/>
        </w:rPr>
      </w:pPr>
      <w:r w:rsidRPr="00053476">
        <w:rPr>
          <w:rStyle w:val="Emphasis"/>
        </w:rPr>
        <w:t xml:space="preserve">Despite the </w:t>
      </w:r>
      <w:r w:rsidR="00E12964" w:rsidRPr="00053476">
        <w:rPr>
          <w:rStyle w:val="Emphasis"/>
        </w:rPr>
        <w:t xml:space="preserve">wide </w:t>
      </w:r>
      <w:r w:rsidRPr="00053476">
        <w:rPr>
          <w:rStyle w:val="Emphasis"/>
        </w:rPr>
        <w:t>i</w:t>
      </w:r>
      <w:r w:rsidR="00E12964" w:rsidRPr="00053476">
        <w:rPr>
          <w:rStyle w:val="Emphasis"/>
        </w:rPr>
        <w:t>nterest in social participation</w:t>
      </w:r>
      <w:r w:rsidRPr="00053476">
        <w:rPr>
          <w:rStyle w:val="Emphasis"/>
        </w:rPr>
        <w:t xml:space="preserve"> there is no agreement around a common definition. In fact, the fields of public health and rehabilitation seem to have different ways of defining social participation. </w:t>
      </w:r>
      <w:r w:rsidRPr="00053476">
        <w:rPr>
          <w:rStyle w:val="Emphasis"/>
        </w:rPr>
        <w:lastRenderedPageBreak/>
        <w:t>Moreover, many similar concepts such as participation, social engagement, social connectedness, social capital, social support, social network, social integration, and community involvement have sometimes been used interchangeably with social participation.</w:t>
      </w:r>
    </w:p>
    <w:p w:rsidR="0030363F" w:rsidRPr="00AB7EE3" w:rsidRDefault="00E12964" w:rsidP="005C41B7">
      <w:pPr>
        <w:pStyle w:val="APAPar"/>
      </w:pPr>
      <w:r w:rsidRPr="00AB7EE3">
        <w:rPr>
          <w:lang w:val="en-US"/>
        </w:rPr>
        <w:t>M</w:t>
      </w:r>
      <w:r w:rsidR="008B2C4F" w:rsidRPr="00AB7EE3">
        <w:t xml:space="preserve">ost studies in the field </w:t>
      </w:r>
      <w:r w:rsidR="00FA7E32" w:rsidRPr="00AB7EE3">
        <w:t xml:space="preserve">of gerontology </w:t>
      </w:r>
      <w:r w:rsidR="008B2C4F" w:rsidRPr="00AB7EE3">
        <w:t xml:space="preserve">have not provided a systematic justification for choosing the initial pull of items for the development of their </w:t>
      </w:r>
      <w:r w:rsidR="00A4335D" w:rsidRPr="00AB7EE3">
        <w:t xml:space="preserve">own </w:t>
      </w:r>
      <w:r w:rsidR="008B2C4F" w:rsidRPr="00AB7EE3">
        <w:t>social participation</w:t>
      </w:r>
      <w:r w:rsidR="0009753D" w:rsidRPr="00AB7EE3">
        <w:t xml:space="preserve"> (or the relevant concept)</w:t>
      </w:r>
      <w:r w:rsidR="008B2C4F" w:rsidRPr="00AB7EE3">
        <w:t xml:space="preserve"> questionnaire, </w:t>
      </w:r>
      <w:r w:rsidR="008B6721" w:rsidRPr="00AB7EE3">
        <w:t>making</w:t>
      </w:r>
      <w:r w:rsidR="008B2C4F" w:rsidRPr="00AB7EE3">
        <w:t xml:space="preserve"> questionable whether the</w:t>
      </w:r>
      <w:r w:rsidR="0009753D" w:rsidRPr="00AB7EE3">
        <w:t>ir</w:t>
      </w:r>
      <w:r w:rsidR="008B2C4F" w:rsidRPr="00AB7EE3">
        <w:t xml:space="preserve"> </w:t>
      </w:r>
      <w:r w:rsidR="0009753D" w:rsidRPr="00AB7EE3">
        <w:t>differential origin results in</w:t>
      </w:r>
      <w:r w:rsidR="008B2C4F" w:rsidRPr="00AB7EE3">
        <w:t xml:space="preserve"> instrument </w:t>
      </w:r>
      <w:r w:rsidR="0009753D" w:rsidRPr="00AB7EE3">
        <w:t>that represent</w:t>
      </w:r>
      <w:r w:rsidR="008B2C4F" w:rsidRPr="00AB7EE3">
        <w:t xml:space="preserve"> the typical set of activities that older adults' take part in</w:t>
      </w:r>
      <w:r w:rsidR="0009753D" w:rsidRPr="00AB7EE3">
        <w:t xml:space="preserve"> the specific culture</w:t>
      </w:r>
      <w:r w:rsidR="008B2C4F" w:rsidRPr="00AB7EE3">
        <w:t xml:space="preserve"> (e.g., Aartsen et al., 2002; Dahlberg &amp; McKee, 2016; Glass, Mendes de Leon, Maroliotti, &amp; Berkman, 1999; Hill et al., 1995; 1995; Richards, Hardy, &amp; Wadsworth, 2003; Hultsch, Hertzog, Small, &amp; Dixon, 1999; Hultsch, Hammer, &amp; Small, 1993). </w:t>
      </w:r>
      <w:r w:rsidR="00107E5D" w:rsidRPr="00AB7EE3">
        <w:t xml:space="preserve">Although this methodological approach has clear limitations, </w:t>
      </w:r>
      <w:r w:rsidRPr="00AB7EE3">
        <w:t>it has</w:t>
      </w:r>
      <w:r w:rsidR="00107E5D" w:rsidRPr="00AB7EE3">
        <w:t xml:space="preserve"> been adopted in large-scale, cited, and replicated studies, such as the MacArthur study (</w:t>
      </w:r>
      <w:r w:rsidR="00107E5D" w:rsidRPr="00AB7EE3">
        <w:rPr>
          <w:lang w:val="en-US"/>
        </w:rPr>
        <w:t xml:space="preserve">Seeman et al., 2001) </w:t>
      </w:r>
      <w:r w:rsidR="00107E5D" w:rsidRPr="00AB7EE3">
        <w:t xml:space="preserve">or the SHARE study (Christelis &amp; Dobresku, 2012). </w:t>
      </w:r>
    </w:p>
    <w:p w:rsidR="00DA79DB" w:rsidRPr="00AB7EE3" w:rsidRDefault="008B2C4F" w:rsidP="005C41B7">
      <w:pPr>
        <w:pStyle w:val="APAPar"/>
      </w:pPr>
      <w:r w:rsidRPr="00AB7EE3">
        <w:t xml:space="preserve">Further discrepancies </w:t>
      </w:r>
      <w:r w:rsidR="006C1103" w:rsidRPr="00AB7EE3">
        <w:t xml:space="preserve">in the examination of social participation </w:t>
      </w:r>
      <w:r w:rsidRPr="00AB7EE3">
        <w:t xml:space="preserve">exist in providing (or not) psychometric properties for the </w:t>
      </w:r>
      <w:r w:rsidR="006C1103" w:rsidRPr="00AB7EE3">
        <w:t>proposed questionnaire.</w:t>
      </w:r>
      <w:r w:rsidRPr="00AB7EE3">
        <w:t xml:space="preserve"> A small minority </w:t>
      </w:r>
      <w:r w:rsidR="00DA79DB" w:rsidRPr="00AB7EE3">
        <w:t>of studies</w:t>
      </w:r>
      <w:r w:rsidR="00440E1E" w:rsidRPr="00AB7EE3">
        <w:t xml:space="preserve"> have</w:t>
      </w:r>
      <w:r w:rsidR="00DA79DB" w:rsidRPr="00AB7EE3">
        <w:t xml:space="preserve"> </w:t>
      </w:r>
      <w:r w:rsidRPr="00AB7EE3">
        <w:t xml:space="preserve">reported a confirmatory analysis or internal consistency indexes for validating the dimensionality of their social participation </w:t>
      </w:r>
      <w:r w:rsidR="00440E1E" w:rsidRPr="00AB7EE3">
        <w:t>questionnaire</w:t>
      </w:r>
      <w:r w:rsidRPr="00AB7EE3">
        <w:t xml:space="preserve"> (e.g., Dahlberg &amp; McKee, 2016), creating </w:t>
      </w:r>
      <w:r w:rsidR="00DA79DB" w:rsidRPr="00AB7EE3">
        <w:t xml:space="preserve">however </w:t>
      </w:r>
      <w:r w:rsidRPr="00AB7EE3">
        <w:t xml:space="preserve">sometimes concepts that overlap with that of physical activity (e.g., the concept of </w:t>
      </w:r>
      <w:r w:rsidR="00DA79DB" w:rsidRPr="00AB7EE3">
        <w:t>"</w:t>
      </w:r>
      <w:r w:rsidRPr="00AB7EE3">
        <w:t>active lifestyles</w:t>
      </w:r>
      <w:r w:rsidR="00DA79DB" w:rsidRPr="00AB7EE3">
        <w:t>" in Hill et al., 1995).</w:t>
      </w:r>
      <w:r w:rsidR="0030363F" w:rsidRPr="00AB7EE3">
        <w:t xml:space="preserve"> </w:t>
      </w:r>
      <w:r w:rsidR="00791896">
        <w:t>M</w:t>
      </w:r>
      <w:r w:rsidR="0030363F" w:rsidRPr="00AB7EE3">
        <w:t>ost studies have not reported any psychometric properties for the social participation questionnaire they used</w:t>
      </w:r>
      <w:r w:rsidR="00BD74DF">
        <w:t xml:space="preserve"> (e.g., the SHARE study</w:t>
      </w:r>
      <w:r w:rsidR="008B5901">
        <w:t xml:space="preserve">; </w:t>
      </w:r>
      <w:r w:rsidR="008B5901">
        <w:rPr>
          <w:lang w:val="en-US"/>
        </w:rPr>
        <w:t>Christelis &amp; Dobresku, 2012</w:t>
      </w:r>
      <w:r w:rsidR="00BD74DF">
        <w:t>)</w:t>
      </w:r>
      <w:r w:rsidR="0030363F" w:rsidRPr="00AB7EE3">
        <w:t>.</w:t>
      </w:r>
    </w:p>
    <w:p w:rsidR="008B2C4F" w:rsidRPr="00AB7EE3" w:rsidRDefault="008B2C4F" w:rsidP="005C41B7">
      <w:pPr>
        <w:pStyle w:val="APAPar"/>
      </w:pPr>
      <w:r w:rsidRPr="00AB7EE3">
        <w:lastRenderedPageBreak/>
        <w:t xml:space="preserve">In other words, the landscape of research in the examination of social participation to date consists of a great variety of </w:t>
      </w:r>
      <w:r w:rsidR="00DA79DB" w:rsidRPr="00AB7EE3">
        <w:t xml:space="preserve">dissimilar </w:t>
      </w:r>
      <w:r w:rsidRPr="00AB7EE3">
        <w:t>questionnaires containing different items and distinc</w:t>
      </w:r>
      <w:r w:rsidR="0030363F" w:rsidRPr="00AB7EE3">
        <w:t>t (if any) validation processes</w:t>
      </w:r>
      <w:r w:rsidRPr="00AB7EE3">
        <w:t>. Lev</w:t>
      </w:r>
      <w:r w:rsidR="0030363F" w:rsidRPr="00AB7EE3">
        <w:t>asseur et al. (2010, p.2142) commented that</w:t>
      </w:r>
      <w:r w:rsidR="00846622" w:rsidRPr="00AB7EE3">
        <w:t>:</w:t>
      </w:r>
    </w:p>
    <w:p w:rsidR="008B2C4F" w:rsidRPr="00837786" w:rsidRDefault="008B2C4F" w:rsidP="00640C1B">
      <w:pPr>
        <w:pStyle w:val="APAPar"/>
        <w:widowControl w:val="0"/>
        <w:ind w:leftChars="400" w:left="960" w:rightChars="400" w:right="960" w:firstLine="0"/>
        <w:jc w:val="both"/>
        <w:rPr>
          <w:rStyle w:val="Emphasis"/>
        </w:rPr>
      </w:pPr>
      <w:r w:rsidRPr="00837786">
        <w:rPr>
          <w:rStyle w:val="Emphasis"/>
        </w:rPr>
        <w:t xml:space="preserve">The lack of consensus around a definition of social participation has important consequences: communication difficulties between those using the concept, problems in the development and selection of instruments to measure social participation and blurred or incomplete social policy efforts </w:t>
      </w:r>
      <w:r w:rsidR="00837786" w:rsidRPr="00837786">
        <w:rPr>
          <w:rStyle w:val="Emphasis"/>
        </w:rPr>
        <w:t>… For researchers, another important consequence of the lack of consensus around a definition is the difficulty in comparing results stemming from a variety of conceptualizations (theoretical organization of a concept) and measurement scales.</w:t>
      </w:r>
    </w:p>
    <w:p w:rsidR="008B2C4F" w:rsidRPr="00AB7EE3" w:rsidRDefault="008B2C4F" w:rsidP="005C41B7">
      <w:pPr>
        <w:pStyle w:val="APAPar"/>
        <w:rPr>
          <w:lang w:val="en-US"/>
        </w:rPr>
      </w:pPr>
      <w:r w:rsidRPr="00AB7EE3">
        <w:t xml:space="preserve">In </w:t>
      </w:r>
      <w:r w:rsidR="00107E5D" w:rsidRPr="00AB7EE3">
        <w:t>an</w:t>
      </w:r>
      <w:r w:rsidRPr="00AB7EE3">
        <w:t xml:space="preserve"> effort to give a more comprehensive theoretical context</w:t>
      </w:r>
      <w:r w:rsidR="0030363F" w:rsidRPr="00AB7EE3">
        <w:t xml:space="preserve"> for social participation indexes</w:t>
      </w:r>
      <w:r w:rsidRPr="00AB7EE3">
        <w:t xml:space="preserve">, Levasseur et al. (2010) conducted an inventory and content analysis of the measures used in </w:t>
      </w:r>
      <w:r w:rsidR="0030363F" w:rsidRPr="00AB7EE3">
        <w:t>the literature</w:t>
      </w:r>
      <w:r w:rsidRPr="00AB7EE3">
        <w:t>. In their final analysis, they proposed that social participation (</w:t>
      </w:r>
      <w:r w:rsidR="00F67CD9" w:rsidRPr="00AB7EE3">
        <w:t xml:space="preserve">Levasseur et al., 2010, </w:t>
      </w:r>
      <w:r w:rsidRPr="00AB7EE3">
        <w:t>p.2141) '</w:t>
      </w:r>
      <w:r w:rsidRPr="00AB7EE3">
        <w:rPr>
          <w:lang w:val="en-US"/>
        </w:rPr>
        <w:t>mostly focused on the person’s involvement in activities providing interactions with others in society or the community'.  They did not define however any specific set of activities</w:t>
      </w:r>
      <w:r w:rsidR="0030363F" w:rsidRPr="00AB7EE3">
        <w:rPr>
          <w:lang w:val="en-US"/>
        </w:rPr>
        <w:t xml:space="preserve"> that </w:t>
      </w:r>
      <w:r w:rsidR="00EF00E3" w:rsidRPr="00AB7EE3">
        <w:rPr>
          <w:lang w:val="en-US"/>
        </w:rPr>
        <w:t>represent</w:t>
      </w:r>
      <w:r w:rsidRPr="00AB7EE3">
        <w:rPr>
          <w:lang w:val="en-US"/>
        </w:rPr>
        <w:t xml:space="preserve"> social parti</w:t>
      </w:r>
      <w:r w:rsidR="007E19D1" w:rsidRPr="00AB7EE3">
        <w:rPr>
          <w:lang w:val="en-US"/>
        </w:rPr>
        <w:t>cipation, rather than that, they</w:t>
      </w:r>
      <w:r w:rsidRPr="00AB7EE3">
        <w:rPr>
          <w:lang w:val="en-US"/>
        </w:rPr>
        <w:t xml:space="preserve"> proposed </w:t>
      </w:r>
      <w:r w:rsidR="00440E1E" w:rsidRPr="00AB7EE3">
        <w:rPr>
          <w:lang w:val="en-US"/>
        </w:rPr>
        <w:t xml:space="preserve">a specific </w:t>
      </w:r>
      <w:r w:rsidR="00DE22DA" w:rsidRPr="00AB7EE3">
        <w:rPr>
          <w:lang w:val="en-US"/>
        </w:rPr>
        <w:t>taxonomy</w:t>
      </w:r>
      <w:r w:rsidRPr="00AB7EE3">
        <w:rPr>
          <w:lang w:val="en-US"/>
        </w:rPr>
        <w:t xml:space="preserve"> of criteria</w:t>
      </w:r>
      <w:r w:rsidR="007E19D1" w:rsidRPr="00AB7EE3">
        <w:rPr>
          <w:lang w:val="en-US"/>
        </w:rPr>
        <w:t xml:space="preserve">, or else </w:t>
      </w:r>
      <w:r w:rsidR="00007DAD" w:rsidRPr="00AB7EE3">
        <w:rPr>
          <w:lang w:val="en-US"/>
        </w:rPr>
        <w:t>a description</w:t>
      </w:r>
      <w:r w:rsidRPr="00AB7EE3">
        <w:rPr>
          <w:lang w:val="en-US"/>
        </w:rPr>
        <w:t xml:space="preserve"> of activities that can be regarded as </w:t>
      </w:r>
      <w:r w:rsidR="00440E1E" w:rsidRPr="00AB7EE3">
        <w:rPr>
          <w:lang w:val="en-US"/>
        </w:rPr>
        <w:t xml:space="preserve">participation, </w:t>
      </w:r>
      <w:r w:rsidRPr="00AB7EE3">
        <w:rPr>
          <w:lang w:val="en-US"/>
        </w:rPr>
        <w:t>social participation</w:t>
      </w:r>
      <w:r w:rsidR="00440E1E" w:rsidRPr="00AB7EE3">
        <w:rPr>
          <w:lang w:val="en-US"/>
        </w:rPr>
        <w:t>, or social engagement</w:t>
      </w:r>
      <w:r w:rsidRPr="00AB7EE3">
        <w:rPr>
          <w:lang w:val="en-US"/>
        </w:rPr>
        <w:t xml:space="preserve">. </w:t>
      </w:r>
      <w:r w:rsidR="00EF00E3" w:rsidRPr="00AB7EE3">
        <w:rPr>
          <w:lang w:val="en-US"/>
        </w:rPr>
        <w:t>These activities</w:t>
      </w:r>
      <w:r w:rsidR="00440E1E" w:rsidRPr="00AB7EE3">
        <w:rPr>
          <w:lang w:val="en-US"/>
        </w:rPr>
        <w:t xml:space="preserve"> </w:t>
      </w:r>
      <w:r w:rsidR="00A14565" w:rsidRPr="00AB7EE3">
        <w:rPr>
          <w:lang w:val="en-US"/>
        </w:rPr>
        <w:t xml:space="preserve">are </w:t>
      </w:r>
      <w:r w:rsidR="00F30B37" w:rsidRPr="00AB7EE3">
        <w:rPr>
          <w:lang w:val="en-US"/>
        </w:rPr>
        <w:t xml:space="preserve">those depicting older adults </w:t>
      </w:r>
      <w:r w:rsidRPr="00AB7EE3">
        <w:rPr>
          <w:lang w:val="en-US"/>
        </w:rPr>
        <w:t>i) interacting with others without doing a specific activity with them</w:t>
      </w:r>
      <w:r w:rsidR="00E12964" w:rsidRPr="00AB7EE3">
        <w:rPr>
          <w:lang w:val="en-US"/>
        </w:rPr>
        <w:t>,</w:t>
      </w:r>
      <w:r w:rsidRPr="00AB7EE3">
        <w:rPr>
          <w:lang w:val="en-US"/>
        </w:rPr>
        <w:t xml:space="preserve"> ii) doing an activity with others, iii) helping others, and iv) contributing to the society.</w:t>
      </w:r>
    </w:p>
    <w:p w:rsidR="00440E1E" w:rsidRPr="00AB7EE3" w:rsidRDefault="008B2C4F" w:rsidP="005C41B7">
      <w:pPr>
        <w:pStyle w:val="APAPar"/>
        <w:rPr>
          <w:lang w:val="en-US"/>
        </w:rPr>
      </w:pPr>
      <w:r w:rsidRPr="00AB7EE3">
        <w:rPr>
          <w:lang w:val="en-US"/>
        </w:rPr>
        <w:t>This thesis proceed</w:t>
      </w:r>
      <w:r w:rsidR="00E12964" w:rsidRPr="00AB7EE3">
        <w:rPr>
          <w:lang w:val="en-US"/>
        </w:rPr>
        <w:t>s</w:t>
      </w:r>
      <w:r w:rsidRPr="00AB7EE3">
        <w:rPr>
          <w:lang w:val="en-US"/>
        </w:rPr>
        <w:t xml:space="preserve"> with the working definition of Levasseur et al. (2010) for </w:t>
      </w:r>
      <w:r w:rsidR="00087E5B" w:rsidRPr="00AB7EE3">
        <w:rPr>
          <w:lang w:val="en-US"/>
        </w:rPr>
        <w:t xml:space="preserve">the concept of </w:t>
      </w:r>
      <w:r w:rsidRPr="00AB7EE3">
        <w:rPr>
          <w:lang w:val="en-US"/>
        </w:rPr>
        <w:t xml:space="preserve">social participation in the following chapters, giving a separate emphasis to </w:t>
      </w:r>
      <w:r w:rsidRPr="00AB7EE3">
        <w:rPr>
          <w:i/>
          <w:lang w:val="en-US"/>
        </w:rPr>
        <w:t>social network size</w:t>
      </w:r>
      <w:r w:rsidRPr="00AB7EE3">
        <w:rPr>
          <w:lang w:val="en-US"/>
        </w:rPr>
        <w:t xml:space="preserve">. Zunzunequi et al (2003) proposed that social networks are defined by their </w:t>
      </w:r>
      <w:r w:rsidRPr="00AB7EE3">
        <w:rPr>
          <w:lang w:val="en-US"/>
        </w:rPr>
        <w:lastRenderedPageBreak/>
        <w:t xml:space="preserve">structural characteristics (e.g., number of ties, proximity of ties), as well as from their functional characteristics (e.g., frequency of contacts, reciprocity). The functional characteristics of social networks can be conceptualized as social participation </w:t>
      </w:r>
      <w:r w:rsidR="00EF00E3" w:rsidRPr="00AB7EE3">
        <w:rPr>
          <w:lang w:val="en-US"/>
        </w:rPr>
        <w:t>following</w:t>
      </w:r>
      <w:r w:rsidRPr="00AB7EE3">
        <w:rPr>
          <w:lang w:val="en-US"/>
        </w:rPr>
        <w:t xml:space="preserve"> the Levasseur et al. (2010) </w:t>
      </w:r>
      <w:r w:rsidR="00440E1E" w:rsidRPr="00AB7EE3">
        <w:rPr>
          <w:lang w:val="en-US"/>
        </w:rPr>
        <w:t>criteria</w:t>
      </w:r>
      <w:r w:rsidRPr="00AB7EE3">
        <w:rPr>
          <w:lang w:val="en-US"/>
        </w:rPr>
        <w:t>. The same however does not account for social networks' structural characteristics: someone may have an available social network, however due to personality dispositions, they may not utilize it.</w:t>
      </w:r>
    </w:p>
    <w:p w:rsidR="00F14DA3" w:rsidRPr="00AB7EE3" w:rsidRDefault="00440E1E" w:rsidP="005C41B7">
      <w:pPr>
        <w:pStyle w:val="APAPar"/>
      </w:pPr>
      <w:r w:rsidRPr="00AB7EE3">
        <w:t xml:space="preserve">As </w:t>
      </w:r>
      <w:r w:rsidR="008B2C4F" w:rsidRPr="00AB7EE3">
        <w:t>Maddox (1970) argued and Barnes, Mendes de Leon, and B</w:t>
      </w:r>
      <w:r w:rsidRPr="00AB7EE3">
        <w:t xml:space="preserve">ienios (2004) later supported, </w:t>
      </w:r>
      <w:r w:rsidR="008B2C4F" w:rsidRPr="00AB7EE3">
        <w:t xml:space="preserve">social withdrawal is observed frequently among those that manifest isolation tendencies throughout their lives. Under the definition of </w:t>
      </w:r>
      <w:r w:rsidR="008B2C4F" w:rsidRPr="00AB7EE3">
        <w:rPr>
          <w:lang w:val="en-US"/>
        </w:rPr>
        <w:t>Levasseur et al. (2010) for social participation,</w:t>
      </w:r>
      <w:r w:rsidR="008B2C4F" w:rsidRPr="00AB7EE3">
        <w:t xml:space="preserve"> such individuals would score low in social participation, insinuating erroneously that </w:t>
      </w:r>
      <w:r w:rsidRPr="00AB7EE3">
        <w:t>t</w:t>
      </w:r>
      <w:r w:rsidR="008B2C4F" w:rsidRPr="00AB7EE3">
        <w:t xml:space="preserve">hey have a </w:t>
      </w:r>
      <w:r w:rsidRPr="00AB7EE3">
        <w:t xml:space="preserve">small </w:t>
      </w:r>
      <w:r w:rsidR="00BE6003" w:rsidRPr="00AB7EE3">
        <w:t xml:space="preserve">social </w:t>
      </w:r>
      <w:r w:rsidR="008B2C4F" w:rsidRPr="00AB7EE3">
        <w:t>network size</w:t>
      </w:r>
      <w:r w:rsidRPr="00AB7EE3">
        <w:t xml:space="preserve"> as well</w:t>
      </w:r>
      <w:r w:rsidR="008B2C4F" w:rsidRPr="00AB7EE3">
        <w:t xml:space="preserve">. </w:t>
      </w:r>
      <w:r w:rsidR="00FE622C" w:rsidRPr="00AB7EE3">
        <w:t>The fundamental difference here is that the</w:t>
      </w:r>
      <w:r w:rsidR="00EF00E3" w:rsidRPr="00AB7EE3">
        <w:t>ir</w:t>
      </w:r>
      <w:r w:rsidR="00FE622C" w:rsidRPr="00AB7EE3">
        <w:t xml:space="preserve"> social network size may </w:t>
      </w:r>
      <w:r w:rsidR="00EF00E3" w:rsidRPr="00AB7EE3">
        <w:t>be rich</w:t>
      </w:r>
      <w:r w:rsidR="00FE622C" w:rsidRPr="00AB7EE3">
        <w:t>, bu</w:t>
      </w:r>
      <w:r w:rsidR="00EF00E3" w:rsidRPr="00AB7EE3">
        <w:t xml:space="preserve">t due to personal dispositions and </w:t>
      </w:r>
      <w:r w:rsidR="00B82E2A" w:rsidRPr="00AB7EE3">
        <w:t>manifest</w:t>
      </w:r>
      <w:r w:rsidR="00EF00E3" w:rsidRPr="00AB7EE3">
        <w:t>ed</w:t>
      </w:r>
      <w:r w:rsidR="00B82E2A" w:rsidRPr="00AB7EE3">
        <w:t xml:space="preserve"> isolation tendencies </w:t>
      </w:r>
      <w:r w:rsidR="00EF00E3" w:rsidRPr="00AB7EE3">
        <w:t>they do not utilize it</w:t>
      </w:r>
      <w:r w:rsidR="00FE622C" w:rsidRPr="00AB7EE3">
        <w:t xml:space="preserve">. </w:t>
      </w:r>
    </w:p>
    <w:p w:rsidR="008B2C4F" w:rsidRPr="00AB7EE3" w:rsidRDefault="00F14DA3" w:rsidP="005C41B7">
      <w:pPr>
        <w:pStyle w:val="APAPar"/>
      </w:pPr>
      <w:r w:rsidRPr="00AB7EE3">
        <w:t>This calls for caution in the conceptualization of social isolation</w:t>
      </w:r>
      <w:r w:rsidR="000C23D5" w:rsidRPr="00AB7EE3">
        <w:t>, social network</w:t>
      </w:r>
      <w:r w:rsidRPr="00AB7EE3">
        <w:t xml:space="preserve"> and </w:t>
      </w:r>
      <w:r w:rsidR="00DA4350" w:rsidRPr="00AB7EE3">
        <w:t>loneliness</w:t>
      </w:r>
      <w:r w:rsidRPr="00AB7EE3">
        <w:t>. Social isolation and loneliness are two notions that are closely related (Anderson 1998; Wegner, Davies, Shahtahmasebi, &amp; Scott, 1996), though not identical. Loneliness is regarded as a subjective affective state that can be evoked by emotional isolation, which stems out of unwelcomed feelings of companionship loss and social interaction interruptions (Dahlberg &amp; MacKee, 2014; Holwerda et al., 2014; Townsend, 1957). Social isolation on the other hand, is considered an objective absen</w:t>
      </w:r>
      <w:r w:rsidR="00E12964" w:rsidRPr="00AB7EE3">
        <w:t>ce</w:t>
      </w:r>
      <w:r w:rsidRPr="00AB7EE3">
        <w:t xml:space="preserve"> of social contacts and the damaged interaction between the old and society (Weiss, 1982).</w:t>
      </w:r>
      <w:r w:rsidR="000C23D5" w:rsidRPr="00AB7EE3">
        <w:t xml:space="preserve"> </w:t>
      </w:r>
      <w:r w:rsidR="008B2C4F" w:rsidRPr="00AB7EE3">
        <w:t xml:space="preserve">As such, the term social network size </w:t>
      </w:r>
      <w:r w:rsidR="000C23D5" w:rsidRPr="00AB7EE3">
        <w:t xml:space="preserve">and loneliness </w:t>
      </w:r>
      <w:r w:rsidR="008B2C4F" w:rsidRPr="00AB7EE3">
        <w:t xml:space="preserve">will be used </w:t>
      </w:r>
      <w:r w:rsidR="007E3212" w:rsidRPr="00AB7EE3">
        <w:t>separate</w:t>
      </w:r>
      <w:r w:rsidR="00440E1E" w:rsidRPr="00AB7EE3">
        <w:t>ly</w:t>
      </w:r>
      <w:r w:rsidR="007E3212" w:rsidRPr="00AB7EE3">
        <w:t xml:space="preserve"> from that of social participation</w:t>
      </w:r>
      <w:r w:rsidR="0009753D" w:rsidRPr="00AB7EE3">
        <w:t xml:space="preserve"> in this thesis</w:t>
      </w:r>
      <w:r w:rsidR="008B2C4F" w:rsidRPr="00AB7EE3">
        <w:t>, limiting</w:t>
      </w:r>
      <w:r w:rsidR="007E3212" w:rsidRPr="00AB7EE3">
        <w:t xml:space="preserve"> the</w:t>
      </w:r>
      <w:r w:rsidR="008B2C4F" w:rsidRPr="00AB7EE3">
        <w:t xml:space="preserve"> conceptualization and operationalization</w:t>
      </w:r>
      <w:r w:rsidR="007E3212" w:rsidRPr="00AB7EE3">
        <w:t xml:space="preserve"> of </w:t>
      </w:r>
      <w:r w:rsidR="000C23D5" w:rsidRPr="00AB7EE3">
        <w:t>social network</w:t>
      </w:r>
      <w:r w:rsidR="008B2C4F" w:rsidRPr="00AB7EE3">
        <w:t xml:space="preserve"> to the number of individuals that a person </w:t>
      </w:r>
      <w:r w:rsidR="000C23D5" w:rsidRPr="00AB7EE3">
        <w:t>has</w:t>
      </w:r>
      <w:r w:rsidR="0052298D" w:rsidRPr="00AB7EE3">
        <w:t xml:space="preserve"> regular contact with</w:t>
      </w:r>
      <w:r w:rsidR="00252696" w:rsidRPr="00AB7EE3">
        <w:t xml:space="preserve"> (</w:t>
      </w:r>
      <w:r w:rsidR="00252696" w:rsidRPr="00AB7EE3">
        <w:rPr>
          <w:lang w:val="en-US"/>
        </w:rPr>
        <w:t xml:space="preserve">Seeman et al., </w:t>
      </w:r>
      <w:r w:rsidR="003D4047" w:rsidRPr="00AB7EE3">
        <w:rPr>
          <w:lang w:val="en-US"/>
        </w:rPr>
        <w:t>2001</w:t>
      </w:r>
      <w:r w:rsidR="00252696" w:rsidRPr="00AB7EE3">
        <w:rPr>
          <w:lang w:val="en-US"/>
        </w:rPr>
        <w:t>)</w:t>
      </w:r>
      <w:r w:rsidR="000C23D5" w:rsidRPr="00AB7EE3">
        <w:t xml:space="preserve">, and loneliness to the subjective </w:t>
      </w:r>
      <w:r w:rsidR="000C23D5" w:rsidRPr="00AB7EE3">
        <w:lastRenderedPageBreak/>
        <w:t xml:space="preserve">affective state that is evoked by limited and undesired social network size or reduced social participation (Yeh &amp; Liu, 2003). </w:t>
      </w:r>
    </w:p>
    <w:p w:rsidR="008B2C4F" w:rsidRPr="00AB7EE3" w:rsidRDefault="00007DAD" w:rsidP="00A91C56">
      <w:pPr>
        <w:pStyle w:val="Heading3"/>
      </w:pPr>
      <w:bookmarkStart w:id="91" w:name="_Toc373425951"/>
      <w:bookmarkStart w:id="92" w:name="_Toc521184190"/>
      <w:r w:rsidRPr="00AB7EE3">
        <w:t xml:space="preserve">Assessing </w:t>
      </w:r>
      <w:r w:rsidR="008B2C4F" w:rsidRPr="00AB7EE3">
        <w:t>Socio Economic Status</w:t>
      </w:r>
      <w:bookmarkEnd w:id="91"/>
      <w:bookmarkEnd w:id="92"/>
    </w:p>
    <w:p w:rsidR="00822274" w:rsidRPr="00AB7EE3" w:rsidRDefault="008B2C4F" w:rsidP="005C41B7">
      <w:pPr>
        <w:pStyle w:val="APAPar"/>
      </w:pPr>
      <w:r w:rsidRPr="00AB7EE3">
        <w:t>Earlier in this chapter, it was illustrated how SES has a significant influence on older adults' cognitive vitality (Brayne &amp; Callowey, 1990; Evans et al., 1997; Fotenos et al., 2008), through shaping life conditions and in extend health outcomes (Ard</w:t>
      </w:r>
      <w:r w:rsidR="00440E1E" w:rsidRPr="00AB7EE3">
        <w:t>ila et al., 2000; Walker, 1981)</w:t>
      </w:r>
      <w:r w:rsidRPr="00AB7EE3">
        <w:t xml:space="preserve"> leading </w:t>
      </w:r>
      <w:r w:rsidR="00440E1E" w:rsidRPr="00AB7EE3">
        <w:t xml:space="preserve">this way </w:t>
      </w:r>
      <w:r w:rsidRPr="00AB7EE3">
        <w:t>to diversified developmental pathways (Aichenbaum &amp; Brengston, 1994)</w:t>
      </w:r>
      <w:r w:rsidR="00822274" w:rsidRPr="00AB7EE3">
        <w:t xml:space="preserve">. </w:t>
      </w:r>
    </w:p>
    <w:p w:rsidR="008B2C4F" w:rsidRPr="00AB7EE3" w:rsidRDefault="008B2C4F" w:rsidP="005C41B7">
      <w:pPr>
        <w:pStyle w:val="APAPar"/>
      </w:pPr>
      <w:r w:rsidRPr="00AB7EE3">
        <w:t>In his comprehen</w:t>
      </w:r>
      <w:r w:rsidR="00B23666" w:rsidRPr="00AB7EE3">
        <w:t>sive review, Oakes (2017) argued</w:t>
      </w:r>
      <w:r w:rsidRPr="00AB7EE3">
        <w:t xml:space="preserve"> that the concept of SES </w:t>
      </w:r>
      <w:r w:rsidRPr="00AB7EE3">
        <w:rPr>
          <w:lang w:val="en-US"/>
        </w:rPr>
        <w:t xml:space="preserve">is widely examined by contemporary scholars interested in the </w:t>
      </w:r>
      <w:r w:rsidR="00440E1E" w:rsidRPr="00AB7EE3">
        <w:rPr>
          <w:lang w:val="en-US"/>
        </w:rPr>
        <w:t>long-established</w:t>
      </w:r>
      <w:r w:rsidRPr="00AB7EE3">
        <w:rPr>
          <w:lang w:val="en-US"/>
        </w:rPr>
        <w:t xml:space="preserve"> effects of SES on various measures of well-being.</w:t>
      </w:r>
      <w:r w:rsidRPr="00AB7EE3">
        <w:t xml:space="preserve"> Despite </w:t>
      </w:r>
      <w:r w:rsidR="00B23666" w:rsidRPr="00AB7EE3">
        <w:t>its prominence</w:t>
      </w:r>
      <w:r w:rsidRPr="00AB7EE3">
        <w:t xml:space="preserve">, SES remains </w:t>
      </w:r>
      <w:r w:rsidR="00440E1E" w:rsidRPr="00AB7EE3">
        <w:t>a</w:t>
      </w:r>
      <w:r w:rsidRPr="00AB7EE3">
        <w:t xml:space="preserve"> concept with no well-accepted agreement on its definition, measurement and operationalization. </w:t>
      </w:r>
      <w:r w:rsidR="00B23666" w:rsidRPr="00AB7EE3">
        <w:t>More precise</w:t>
      </w:r>
      <w:r w:rsidR="00E12964" w:rsidRPr="00AB7EE3">
        <w:t>ly</w:t>
      </w:r>
      <w:r w:rsidR="00B23666" w:rsidRPr="00AB7EE3">
        <w:t>, s</w:t>
      </w:r>
      <w:r w:rsidRPr="00AB7EE3">
        <w:t xml:space="preserve">ome scholars have used simple univariate measures of income or education </w:t>
      </w:r>
      <w:r w:rsidR="00B23666" w:rsidRPr="00AB7EE3">
        <w:t xml:space="preserve">as </w:t>
      </w:r>
      <w:r w:rsidR="00EF00E3" w:rsidRPr="00AB7EE3">
        <w:t>indexes</w:t>
      </w:r>
      <w:r w:rsidR="00B23666" w:rsidRPr="00AB7EE3">
        <w:t xml:space="preserve"> of SES, with other scholars</w:t>
      </w:r>
      <w:r w:rsidRPr="00AB7EE3">
        <w:t xml:space="preserve"> forming composite (multivariate) measures</w:t>
      </w:r>
      <w:r w:rsidR="00B23666" w:rsidRPr="00AB7EE3">
        <w:t xml:space="preserve"> of SES,</w:t>
      </w:r>
      <w:r w:rsidRPr="00AB7EE3">
        <w:t xml:space="preserve"> including occupation, </w:t>
      </w:r>
      <w:r w:rsidR="00EF00E3" w:rsidRPr="00AB7EE3">
        <w:t xml:space="preserve">education, income, and </w:t>
      </w:r>
      <w:r w:rsidRPr="00AB7EE3">
        <w:t xml:space="preserve">household prestige. </w:t>
      </w:r>
    </w:p>
    <w:p w:rsidR="00EF00E3" w:rsidRPr="00AB7EE3" w:rsidRDefault="008B2C4F" w:rsidP="005C41B7">
      <w:pPr>
        <w:pStyle w:val="APAPar"/>
        <w:rPr>
          <w:lang w:val="en-US"/>
        </w:rPr>
      </w:pPr>
      <w:r w:rsidRPr="00AB7EE3">
        <w:t>For example,</w:t>
      </w:r>
      <w:r w:rsidR="00EF00E3" w:rsidRPr="00AB7EE3">
        <w:t xml:space="preserve"> the Duncan Socioeconomic Index</w:t>
      </w:r>
      <w:r w:rsidRPr="00AB7EE3">
        <w:t xml:space="preserve"> </w:t>
      </w:r>
      <w:r w:rsidR="00EF00E3" w:rsidRPr="00AB7EE3">
        <w:t xml:space="preserve">uses </w:t>
      </w:r>
      <w:r w:rsidRPr="00AB7EE3">
        <w:t>occupational type</w:t>
      </w:r>
      <w:r w:rsidR="00B23666" w:rsidRPr="00AB7EE3">
        <w:t xml:space="preserve"> as an index of SES</w:t>
      </w:r>
      <w:r w:rsidRPr="00AB7EE3">
        <w:t xml:space="preserve">, using census data as </w:t>
      </w:r>
      <w:r w:rsidR="00EF00E3" w:rsidRPr="00AB7EE3">
        <w:t>the</w:t>
      </w:r>
      <w:r w:rsidRPr="00AB7EE3">
        <w:t xml:space="preserve"> basis for a stratified categorization</w:t>
      </w:r>
      <w:r w:rsidR="00D14082" w:rsidRPr="00AB7EE3">
        <w:t xml:space="preserve"> and comparison</w:t>
      </w:r>
      <w:r w:rsidRPr="00AB7EE3">
        <w:t xml:space="preserve"> (Duncan, 1961). Based on this data, </w:t>
      </w:r>
      <w:r w:rsidR="00EF00E3" w:rsidRPr="00AB7EE3">
        <w:t xml:space="preserve">better </w:t>
      </w:r>
      <w:r w:rsidRPr="00AB7EE3">
        <w:t xml:space="preserve">education </w:t>
      </w:r>
      <w:r w:rsidR="00EF00E3" w:rsidRPr="00AB7EE3">
        <w:t>is</w:t>
      </w:r>
      <w:r w:rsidRPr="00AB7EE3">
        <w:t xml:space="preserve"> inferred</w:t>
      </w:r>
      <w:r w:rsidR="00EF00E3" w:rsidRPr="00AB7EE3">
        <w:t xml:space="preserve"> (and not measured) </w:t>
      </w:r>
      <w:r w:rsidR="002A25F2" w:rsidRPr="00AB7EE3">
        <w:t>as</w:t>
      </w:r>
      <w:r w:rsidRPr="00AB7EE3">
        <w:t xml:space="preserve"> a prerequisite for having a better occupation</w:t>
      </w:r>
      <w:r w:rsidR="00EF00E3" w:rsidRPr="00AB7EE3">
        <w:t>, and income</w:t>
      </w:r>
      <w:r w:rsidRPr="00AB7EE3">
        <w:t xml:space="preserve"> </w:t>
      </w:r>
      <w:r w:rsidR="002647C2" w:rsidRPr="00AB7EE3">
        <w:t>as</w:t>
      </w:r>
      <w:r w:rsidRPr="00AB7EE3">
        <w:t xml:space="preserve"> an </w:t>
      </w:r>
      <w:r w:rsidR="00EF00E3" w:rsidRPr="00AB7EE3">
        <w:t xml:space="preserve">expected </w:t>
      </w:r>
      <w:r w:rsidRPr="00AB7EE3">
        <w:t xml:space="preserve">outcome of having a better </w:t>
      </w:r>
      <w:r w:rsidR="00B23666" w:rsidRPr="00AB7EE3">
        <w:t>occupation</w:t>
      </w:r>
      <w:r w:rsidRPr="00AB7EE3">
        <w:t xml:space="preserve">.  </w:t>
      </w:r>
      <w:r w:rsidR="00EF00E3" w:rsidRPr="00AB7EE3">
        <w:t>The</w:t>
      </w:r>
      <w:r w:rsidRPr="00AB7EE3">
        <w:t xml:space="preserve"> </w:t>
      </w:r>
      <w:r w:rsidRPr="00AB7EE3">
        <w:rPr>
          <w:lang w:val="en-US"/>
        </w:rPr>
        <w:t>Nam-Powers Occupational Status Score</w:t>
      </w:r>
      <w:r w:rsidR="00EF00E3" w:rsidRPr="00AB7EE3">
        <w:rPr>
          <w:lang w:val="en-US"/>
        </w:rPr>
        <w:t xml:space="preserve"> on the other hand</w:t>
      </w:r>
      <w:r w:rsidRPr="00AB7EE3">
        <w:rPr>
          <w:lang w:val="en-US"/>
        </w:rPr>
        <w:t xml:space="preserve"> is a composite </w:t>
      </w:r>
      <w:r w:rsidR="00EF00E3" w:rsidRPr="00AB7EE3">
        <w:rPr>
          <w:lang w:val="en-US"/>
        </w:rPr>
        <w:t>index of SES, measuring income and education. The final composite score is created by</w:t>
      </w:r>
      <w:r w:rsidRPr="00AB7EE3">
        <w:rPr>
          <w:lang w:val="en-US"/>
        </w:rPr>
        <w:t xml:space="preserve"> assigning a weight on each </w:t>
      </w:r>
      <w:r w:rsidR="00EF00E3" w:rsidRPr="00AB7EE3">
        <w:rPr>
          <w:lang w:val="en-US"/>
        </w:rPr>
        <w:t>measure</w:t>
      </w:r>
      <w:r w:rsidRPr="00AB7EE3">
        <w:rPr>
          <w:lang w:val="en-US"/>
        </w:rPr>
        <w:t xml:space="preserve"> based on evidence deriving from census data</w:t>
      </w:r>
      <w:r w:rsidR="00B23666" w:rsidRPr="00AB7EE3">
        <w:rPr>
          <w:lang w:val="en-US"/>
        </w:rPr>
        <w:t xml:space="preserve"> </w:t>
      </w:r>
      <w:r w:rsidRPr="00AB7EE3">
        <w:rPr>
          <w:lang w:val="en-US"/>
        </w:rPr>
        <w:t xml:space="preserve">(Nam &amp; Powers, 1968). </w:t>
      </w:r>
    </w:p>
    <w:p w:rsidR="00B23666" w:rsidRPr="00AB7EE3" w:rsidRDefault="00B23666" w:rsidP="005C41B7">
      <w:pPr>
        <w:pStyle w:val="APAPar"/>
        <w:rPr>
          <w:lang w:val="en-US"/>
        </w:rPr>
      </w:pPr>
      <w:r w:rsidRPr="00AB7EE3">
        <w:lastRenderedPageBreak/>
        <w:t xml:space="preserve">The use of census data in order to produce a valid and reliable index of SES deems the corresponding </w:t>
      </w:r>
      <w:r w:rsidR="00DE68B2" w:rsidRPr="00AB7EE3">
        <w:t xml:space="preserve">index </w:t>
      </w:r>
      <w:r w:rsidRPr="00AB7EE3">
        <w:t>as culture specific</w:t>
      </w:r>
      <w:r w:rsidR="00EF00E3" w:rsidRPr="00AB7EE3">
        <w:t>,</w:t>
      </w:r>
      <w:r w:rsidR="00C3355E" w:rsidRPr="00AB7EE3">
        <w:t xml:space="preserve"> with a limited ability of cross-cultural comparisons</w:t>
      </w:r>
      <w:r w:rsidRPr="00AB7EE3">
        <w:t xml:space="preserve">. </w:t>
      </w:r>
      <w:r w:rsidR="008B2C4F" w:rsidRPr="00AB7EE3">
        <w:t xml:space="preserve">A recent attempt to measure SES with an index that does not depend on </w:t>
      </w:r>
      <w:r w:rsidR="00DE68B2" w:rsidRPr="00AB7EE3">
        <w:t xml:space="preserve">culture specific </w:t>
      </w:r>
      <w:r w:rsidR="008B2C4F" w:rsidRPr="00AB7EE3">
        <w:t>cens</w:t>
      </w:r>
      <w:r w:rsidR="00577956" w:rsidRPr="00AB7EE3">
        <w:t xml:space="preserve">us data </w:t>
      </w:r>
      <w:r w:rsidR="008B2C4F" w:rsidRPr="00AB7EE3">
        <w:t xml:space="preserve">was that of CAPSES </w:t>
      </w:r>
      <w:r w:rsidR="008B2C4F" w:rsidRPr="00AB7EE3">
        <w:rPr>
          <w:lang w:val="en-US"/>
        </w:rPr>
        <w:t>(Oakes &amp; Rossi 2003)</w:t>
      </w:r>
      <w:r w:rsidR="008B2C4F" w:rsidRPr="00AB7EE3">
        <w:t xml:space="preserve">.  This index includes a great variety of measures, such as </w:t>
      </w:r>
      <w:r w:rsidR="008B2C4F" w:rsidRPr="00AB7EE3">
        <w:rPr>
          <w:lang w:val="en-US"/>
        </w:rPr>
        <w:t xml:space="preserve">material capital (income, wealth, trust funds), human capital (skills, abilities, credentials), and social capital (instrumental relationships such as being friends with lawyers and doctors). </w:t>
      </w:r>
      <w:r w:rsidR="00C3355E" w:rsidRPr="00AB7EE3">
        <w:rPr>
          <w:lang w:val="en-US"/>
        </w:rPr>
        <w:t>As Oakes (2017) argued however, the me</w:t>
      </w:r>
      <w:r w:rsidR="00DE68B2" w:rsidRPr="00AB7EE3">
        <w:rPr>
          <w:lang w:val="en-US"/>
        </w:rPr>
        <w:t>asurement of more variables did</w:t>
      </w:r>
      <w:r w:rsidR="00C3355E" w:rsidRPr="00AB7EE3">
        <w:rPr>
          <w:lang w:val="en-US"/>
        </w:rPr>
        <w:t xml:space="preserve"> not add any value to SES indexes, as those measuring only income or education are equally predictive.</w:t>
      </w:r>
    </w:p>
    <w:p w:rsidR="008B2C4F" w:rsidRPr="00AB7EE3" w:rsidRDefault="00341C67" w:rsidP="005C41B7">
      <w:pPr>
        <w:pStyle w:val="APAPar"/>
      </w:pPr>
      <w:r w:rsidRPr="00AB7EE3">
        <w:t>To the author</w:t>
      </w:r>
      <w:r w:rsidR="00D1010F" w:rsidRPr="00AB7EE3">
        <w:t>'</w:t>
      </w:r>
      <w:r w:rsidRPr="00AB7EE3">
        <w:t>s knowledge</w:t>
      </w:r>
      <w:r w:rsidR="00E12964" w:rsidRPr="00AB7EE3">
        <w:t xml:space="preserve"> based on extensive searches</w:t>
      </w:r>
      <w:r w:rsidR="008B2C4F" w:rsidRPr="00AB7EE3">
        <w:t xml:space="preserve">, there is no </w:t>
      </w:r>
      <w:r w:rsidR="00D1010F" w:rsidRPr="00AB7EE3">
        <w:t xml:space="preserve">country-specific </w:t>
      </w:r>
      <w:r w:rsidR="008B2C4F" w:rsidRPr="00AB7EE3">
        <w:t xml:space="preserve">scale </w:t>
      </w:r>
      <w:r w:rsidR="00D1010F" w:rsidRPr="00AB7EE3">
        <w:t>of SES developed in Greece</w:t>
      </w:r>
      <w:r w:rsidR="008B2C4F" w:rsidRPr="00AB7EE3">
        <w:t xml:space="preserve">. </w:t>
      </w:r>
      <w:r w:rsidR="008644BF" w:rsidRPr="00AB7EE3">
        <w:t xml:space="preserve">Taking the different conceptual frameworks that exist around SES, and the limited ability to identify a comparative advantage between them, this thesis </w:t>
      </w:r>
      <w:r w:rsidR="00B0345E" w:rsidRPr="00AB7EE3">
        <w:t>adopt</w:t>
      </w:r>
      <w:r w:rsidR="00E12964" w:rsidRPr="00AB7EE3">
        <w:t>s</w:t>
      </w:r>
      <w:r w:rsidR="00B0345E" w:rsidRPr="00AB7EE3">
        <w:t xml:space="preserve"> </w:t>
      </w:r>
      <w:r w:rsidR="005F2D33" w:rsidRPr="00AB7EE3">
        <w:t>Oakes</w:t>
      </w:r>
      <w:r w:rsidR="00B0345E" w:rsidRPr="00AB7EE3">
        <w:t xml:space="preserve"> (2017) suggestion</w:t>
      </w:r>
      <w:r w:rsidR="00400B93" w:rsidRPr="00AB7EE3">
        <w:rPr>
          <w:lang w:val="en-US"/>
        </w:rPr>
        <w:t xml:space="preserve"> and</w:t>
      </w:r>
      <w:r w:rsidR="008B2C4F" w:rsidRPr="00AB7EE3">
        <w:rPr>
          <w:lang w:val="en-US"/>
        </w:rPr>
        <w:t xml:space="preserve"> select simple measures of SES t</w:t>
      </w:r>
      <w:r w:rsidR="00400B93" w:rsidRPr="00AB7EE3">
        <w:rPr>
          <w:lang w:val="en-US"/>
        </w:rPr>
        <w:t>o inform the thesis'</w:t>
      </w:r>
      <w:r w:rsidR="008B2C4F" w:rsidRPr="00AB7EE3">
        <w:rPr>
          <w:lang w:val="en-US"/>
        </w:rPr>
        <w:t xml:space="preserve"> research question.</w:t>
      </w:r>
      <w:r w:rsidR="00400B93" w:rsidRPr="00AB7EE3">
        <w:rPr>
          <w:lang w:val="en-US"/>
        </w:rPr>
        <w:t xml:space="preserve"> </w:t>
      </w:r>
      <w:r w:rsidR="00090396" w:rsidRPr="00AB7EE3">
        <w:rPr>
          <w:lang w:val="en-US"/>
        </w:rPr>
        <w:t>Therefore, t</w:t>
      </w:r>
      <w:r w:rsidR="00400B93" w:rsidRPr="00AB7EE3">
        <w:rPr>
          <w:lang w:val="en-US"/>
        </w:rPr>
        <w:t>he</w:t>
      </w:r>
      <w:r w:rsidR="008B2C4F" w:rsidRPr="00AB7EE3">
        <w:rPr>
          <w:lang w:val="en-US"/>
        </w:rPr>
        <w:t xml:space="preserve"> concept of SES </w:t>
      </w:r>
      <w:r w:rsidR="00E12964" w:rsidRPr="00AB7EE3">
        <w:rPr>
          <w:lang w:val="en-US"/>
        </w:rPr>
        <w:t>is</w:t>
      </w:r>
      <w:r w:rsidR="001E209C" w:rsidRPr="00AB7EE3">
        <w:rPr>
          <w:lang w:val="en-US"/>
        </w:rPr>
        <w:t xml:space="preserve"> measured by three </w:t>
      </w:r>
      <w:r w:rsidR="00090396" w:rsidRPr="00AB7EE3">
        <w:rPr>
          <w:lang w:val="en-US"/>
        </w:rPr>
        <w:t xml:space="preserve">separate </w:t>
      </w:r>
      <w:r w:rsidR="001E209C" w:rsidRPr="00AB7EE3">
        <w:rPr>
          <w:lang w:val="en-US"/>
        </w:rPr>
        <w:t xml:space="preserve">variables: </w:t>
      </w:r>
      <w:r w:rsidR="008B2C4F" w:rsidRPr="00AB7EE3">
        <w:rPr>
          <w:lang w:val="en-US"/>
        </w:rPr>
        <w:t>income, education, and SES of the residing neighborhood. No composite score will be used for this purpose, following the approach and sugge</w:t>
      </w:r>
      <w:r w:rsidR="00090396" w:rsidRPr="00AB7EE3">
        <w:rPr>
          <w:lang w:val="en-US"/>
        </w:rPr>
        <w:t xml:space="preserve">stion of Oakes (2017) for using </w:t>
      </w:r>
      <w:r w:rsidR="004502DD" w:rsidRPr="00AB7EE3">
        <w:rPr>
          <w:lang w:val="en-US"/>
        </w:rPr>
        <w:t>separate</w:t>
      </w:r>
      <w:r w:rsidR="001E209C" w:rsidRPr="00AB7EE3">
        <w:rPr>
          <w:lang w:val="en-US"/>
        </w:rPr>
        <w:t xml:space="preserve"> indexes in </w:t>
      </w:r>
      <w:r w:rsidR="008B2C4F" w:rsidRPr="00AB7EE3">
        <w:rPr>
          <w:lang w:val="en-US"/>
        </w:rPr>
        <w:t>a regression analysis, as:</w:t>
      </w:r>
    </w:p>
    <w:p w:rsidR="008B2C4F" w:rsidRPr="00053476" w:rsidRDefault="008B2C4F" w:rsidP="00640C1B">
      <w:pPr>
        <w:pStyle w:val="APAPar"/>
        <w:widowControl w:val="0"/>
        <w:ind w:leftChars="400" w:left="960" w:rightChars="400" w:right="960" w:firstLine="0"/>
        <w:jc w:val="both"/>
        <w:rPr>
          <w:rStyle w:val="Emphasis"/>
        </w:rPr>
      </w:pPr>
      <w:r w:rsidRPr="00053476">
        <w:rPr>
          <w:rStyle w:val="Emphasis"/>
        </w:rPr>
        <w:t>... optimal control for SES in a regression framework entails having many measures that tap the multiple elements of the latent SES in the model. One might include measures of annual income, educational attainment, parental job prestige, residential neighborhood income or home values, and so forth</w:t>
      </w:r>
    </w:p>
    <w:p w:rsidR="005D6C71" w:rsidRDefault="005D6C71" w:rsidP="00A91C56">
      <w:pPr>
        <w:pStyle w:val="Heading3"/>
      </w:pPr>
      <w:bookmarkStart w:id="93" w:name="_Toc373425952"/>
    </w:p>
    <w:p w:rsidR="005D6C71" w:rsidRDefault="005D6C71" w:rsidP="00A91C56">
      <w:pPr>
        <w:pStyle w:val="Heading3"/>
      </w:pPr>
    </w:p>
    <w:p w:rsidR="007F7D7D" w:rsidRPr="00AB7EE3" w:rsidRDefault="00244463" w:rsidP="00A91C56">
      <w:pPr>
        <w:pStyle w:val="Heading3"/>
      </w:pPr>
      <w:bookmarkStart w:id="94" w:name="_Toc521184191"/>
      <w:r w:rsidRPr="00AB7EE3">
        <w:lastRenderedPageBreak/>
        <w:t xml:space="preserve">Assessing </w:t>
      </w:r>
      <w:r w:rsidR="007F7D7D" w:rsidRPr="00AB7EE3">
        <w:t xml:space="preserve">Cognitive </w:t>
      </w:r>
      <w:r w:rsidR="008144F2" w:rsidRPr="00AB7EE3">
        <w:t xml:space="preserve">and Functional </w:t>
      </w:r>
      <w:r w:rsidR="007F7D7D" w:rsidRPr="00AB7EE3">
        <w:t>Performance</w:t>
      </w:r>
      <w:bookmarkEnd w:id="93"/>
      <w:bookmarkEnd w:id="94"/>
    </w:p>
    <w:p w:rsidR="005C7FD2" w:rsidRPr="007A15F6" w:rsidRDefault="00004F44" w:rsidP="005C41B7">
      <w:pPr>
        <w:pStyle w:val="APAPar"/>
      </w:pPr>
      <w:r w:rsidRPr="00AB7EE3">
        <w:t>Cullum et al. (2002) and Farias et al. (2011) commented that most neuropsychological assessments were designed to detect certai</w:t>
      </w:r>
      <w:r w:rsidR="006A3447" w:rsidRPr="00AB7EE3">
        <w:t>n neuropathology</w:t>
      </w:r>
      <w:r w:rsidR="00521BFE" w:rsidRPr="00AB7EE3">
        <w:t xml:space="preserve"> or disabilities. Therefore, they </w:t>
      </w:r>
      <w:r w:rsidRPr="00AB7EE3">
        <w:t xml:space="preserve">usually produce a small range of scores, and </w:t>
      </w:r>
      <w:r w:rsidR="00117321" w:rsidRPr="00AB7EE3">
        <w:t>as a result</w:t>
      </w:r>
      <w:r w:rsidRPr="00AB7EE3">
        <w:t xml:space="preserve">, may not be sensitive enough to capture fluctuation in </w:t>
      </w:r>
      <w:r w:rsidR="008156DB" w:rsidRPr="00AB7EE3">
        <w:t xml:space="preserve">cognitive performance </w:t>
      </w:r>
      <w:r w:rsidRPr="00AB7EE3">
        <w:t>at the non-p</w:t>
      </w:r>
      <w:r w:rsidR="006A3447" w:rsidRPr="00AB7EE3">
        <w:t>athological levels of cognition. For example, the MMSE was developed explicitly to facilitate the diagnosis of various forms of dementia. Any scores below a certain threshold (e.g., 26 points for the Canadian population, in a scoring range from 0 to 30) may indicate significant cognitive impairments due to dementia (Fountoulakis, Tsolaki, Chantzi, &amp; Kazis, 2000).  The use of this measure offers only a range of 5 units to assess cognitive performance in the non-pathological levels. This constitutes the MMSE a hardly sensitive tool for the examination of cognitive aptitude among cognitively healthy older adults</w:t>
      </w:r>
      <w:r w:rsidR="004502DD" w:rsidRPr="00AB7EE3">
        <w:t>.</w:t>
      </w:r>
    </w:p>
    <w:p w:rsidR="006A3447" w:rsidRPr="00AB7EE3" w:rsidRDefault="006F49AB" w:rsidP="005C41B7">
      <w:pPr>
        <w:pStyle w:val="APAPar"/>
      </w:pPr>
      <w:r w:rsidRPr="00AB7EE3">
        <w:t xml:space="preserve">Similar concerns are expressed for </w:t>
      </w:r>
      <w:r w:rsidR="00244A04" w:rsidRPr="00AB7EE3">
        <w:t>everyday functioning</w:t>
      </w:r>
      <w:r w:rsidRPr="00AB7EE3">
        <w:t xml:space="preserve"> measures. Moore, Palmer, Patterson and Jeste (2007) commented that many </w:t>
      </w:r>
      <w:r w:rsidR="00244A04" w:rsidRPr="00AB7EE3">
        <w:t>everyday</w:t>
      </w:r>
      <w:r w:rsidR="00027BF5" w:rsidRPr="00AB7EE3">
        <w:t xml:space="preserve"> </w:t>
      </w:r>
      <w:r w:rsidR="00244A04" w:rsidRPr="00AB7EE3">
        <w:t xml:space="preserve">functioning </w:t>
      </w:r>
      <w:r w:rsidRPr="00AB7EE3">
        <w:t xml:space="preserve">tools provide categorical scores, indicating the existence (or not) of functional impairments. </w:t>
      </w:r>
      <w:r w:rsidR="00DE68B2" w:rsidRPr="00AB7EE3">
        <w:t>T</w:t>
      </w:r>
      <w:r w:rsidRPr="00AB7EE3">
        <w:t xml:space="preserve">he use of </w:t>
      </w:r>
      <w:r w:rsidR="003B0653">
        <w:t>ADL</w:t>
      </w:r>
      <w:r w:rsidRPr="00AB7EE3">
        <w:t xml:space="preserve"> measures for research purposes in the healthy spectrum of cognitive ageing may not be suitable, as they may not be sensitive enough to capture performance fluctuation in non-pathological levels. In this respect, IADL measures may be more suitable to assess </w:t>
      </w:r>
      <w:r w:rsidR="00AE75B6" w:rsidRPr="00AB7EE3">
        <w:t>everyday functioning</w:t>
      </w:r>
      <w:r w:rsidRPr="00AB7EE3">
        <w:t xml:space="preserve"> in the healthy spectrum of cognitive ageing, where ADL may be more suitable to </w:t>
      </w:r>
      <w:r w:rsidR="006A3447" w:rsidRPr="00AB7EE3">
        <w:t>assess the pathological levels.</w:t>
      </w:r>
    </w:p>
    <w:p w:rsidR="006F49AB" w:rsidRPr="00AB7EE3" w:rsidRDefault="006F49AB" w:rsidP="005C41B7">
      <w:pPr>
        <w:pStyle w:val="APAPar"/>
      </w:pPr>
      <w:r w:rsidRPr="00AB7EE3">
        <w:t xml:space="preserve">It is </w:t>
      </w:r>
      <w:r w:rsidR="00107E5D" w:rsidRPr="00AB7EE3">
        <w:t>noteworthy</w:t>
      </w:r>
      <w:r w:rsidRPr="00AB7EE3">
        <w:t xml:space="preserve"> however how many studies in the literature </w:t>
      </w:r>
      <w:r w:rsidR="00515A4C" w:rsidRPr="00AB7EE3">
        <w:t>select or describe</w:t>
      </w:r>
      <w:r w:rsidR="006A3447" w:rsidRPr="00AB7EE3">
        <w:t xml:space="preserve"> the measurement</w:t>
      </w:r>
      <w:r w:rsidR="00515A4C" w:rsidRPr="00AB7EE3">
        <w:t>s</w:t>
      </w:r>
      <w:r w:rsidR="006A3447" w:rsidRPr="00AB7EE3">
        <w:t xml:space="preserve"> of cognitive and functional abilities, </w:t>
      </w:r>
      <w:r w:rsidR="00515A4C" w:rsidRPr="00AB7EE3">
        <w:t xml:space="preserve">without any reference to the sensitivity/adequacy of these measures with regard to the </w:t>
      </w:r>
      <w:r w:rsidR="006A3447" w:rsidRPr="00AB7EE3">
        <w:t xml:space="preserve">cognitive status of the sample examined (cognitively intact or affected by dementia). </w:t>
      </w:r>
      <w:r w:rsidRPr="00AB7EE3">
        <w:t xml:space="preserve"> </w:t>
      </w:r>
      <w:r w:rsidR="006A3447" w:rsidRPr="00AB7EE3">
        <w:t xml:space="preserve">This practise entails great </w:t>
      </w:r>
      <w:r w:rsidR="006A3447" w:rsidRPr="00AB7EE3">
        <w:lastRenderedPageBreak/>
        <w:t xml:space="preserve">methodological consideration, as </w:t>
      </w:r>
      <w:r w:rsidR="00515A4C" w:rsidRPr="00AB7EE3">
        <w:t>it</w:t>
      </w:r>
      <w:r w:rsidR="006A3447" w:rsidRPr="00AB7EE3">
        <w:t xml:space="preserve"> </w:t>
      </w:r>
      <w:r w:rsidR="00AE75B6" w:rsidRPr="00AB7EE3">
        <w:t xml:space="preserve">potentially </w:t>
      </w:r>
      <w:r w:rsidRPr="00AB7EE3">
        <w:t>maximiz</w:t>
      </w:r>
      <w:r w:rsidR="006A3447" w:rsidRPr="00AB7EE3">
        <w:t>e</w:t>
      </w:r>
      <w:r w:rsidR="00515A4C" w:rsidRPr="00AB7EE3">
        <w:t>s</w:t>
      </w:r>
      <w:r w:rsidRPr="00AB7EE3">
        <w:t xml:space="preserve"> </w:t>
      </w:r>
      <w:r w:rsidR="00AE75B6" w:rsidRPr="00AB7EE3">
        <w:t>the measurement error in their estimates</w:t>
      </w:r>
      <w:r w:rsidRPr="00AB7EE3">
        <w:t xml:space="preserve"> (</w:t>
      </w:r>
      <w:r w:rsidR="00E456F0" w:rsidRPr="00AB7EE3">
        <w:t xml:space="preserve">e.g., </w:t>
      </w:r>
      <w:r w:rsidRPr="00AB7EE3">
        <w:t>Diehl et al., 2005; Royall et al., 2007)</w:t>
      </w:r>
      <w:r w:rsidR="006A3447" w:rsidRPr="00AB7EE3">
        <w:t xml:space="preserve">, as well as the external validity of their results. </w:t>
      </w:r>
      <w:r w:rsidR="001F4802" w:rsidRPr="00AB7EE3">
        <w:t xml:space="preserve">For example, it is </w:t>
      </w:r>
      <w:r w:rsidR="00515A4C" w:rsidRPr="00AB7EE3">
        <w:t xml:space="preserve">highly </w:t>
      </w:r>
      <w:r w:rsidR="001F4802" w:rsidRPr="00AB7EE3">
        <w:t>questionable if a score above 26 in the MMSE indicat</w:t>
      </w:r>
      <w:r w:rsidR="00E12964" w:rsidRPr="00AB7EE3">
        <w:t>es</w:t>
      </w:r>
      <w:r w:rsidR="00515A4C" w:rsidRPr="00AB7EE3">
        <w:t xml:space="preserve"> better cognitive performance. Surprisingly, scores on the MMSE are many times interpreted as reflecting a continuous cognitive capacity/ability (Royall et al., 2007). </w:t>
      </w:r>
    </w:p>
    <w:p w:rsidR="00977839" w:rsidRPr="00AB7EE3" w:rsidRDefault="00DE68B2" w:rsidP="005C41B7">
      <w:pPr>
        <w:pStyle w:val="APAPar"/>
      </w:pPr>
      <w:bookmarkStart w:id="95" w:name="_Toc373425956"/>
      <w:r w:rsidRPr="00AB7EE3">
        <w:t>In sum, the methodology (i.e., cro</w:t>
      </w:r>
      <w:r w:rsidR="00555309" w:rsidRPr="00AB7EE3">
        <w:t xml:space="preserve">ss-sectional or observational) and the different </w:t>
      </w:r>
      <w:r w:rsidR="00515A4C" w:rsidRPr="00AB7EE3">
        <w:t xml:space="preserve">methodological </w:t>
      </w:r>
      <w:r w:rsidR="00555309" w:rsidRPr="00AB7EE3">
        <w:t xml:space="preserve">approaches used in measuring exercise, social participation and SES add </w:t>
      </w:r>
      <w:r w:rsidR="00515A4C" w:rsidRPr="00AB7EE3">
        <w:t>limitations</w:t>
      </w:r>
      <w:r w:rsidR="00555309" w:rsidRPr="00AB7EE3">
        <w:t xml:space="preserve"> in comparing directly evidence, effects, and predictive values of positive outcomes in older age</w:t>
      </w:r>
      <w:r w:rsidR="003B0653">
        <w:t>.</w:t>
      </w:r>
      <w:r w:rsidR="00555309" w:rsidRPr="00AB7EE3">
        <w:t xml:space="preserve"> </w:t>
      </w:r>
      <w:r w:rsidR="00977839" w:rsidRPr="00AB7EE3">
        <w:t>The suitability of neuropsychological and everyday functioning assessments in assessing the respective domains among cognitively intact older adults will be addressed in the next chapter by conducting a systematic review</w:t>
      </w:r>
      <w:r w:rsidR="00515A4C" w:rsidRPr="00AB7EE3">
        <w:t xml:space="preserve"> and </w:t>
      </w:r>
      <w:r w:rsidR="00977839" w:rsidRPr="00AB7EE3">
        <w:t>meta-analysis</w:t>
      </w:r>
      <w:r w:rsidR="00A11181" w:rsidRPr="00AB7EE3">
        <w:t xml:space="preserve"> on the relevant effect sizes reported</w:t>
      </w:r>
      <w:r w:rsidR="00977839" w:rsidRPr="00AB7EE3">
        <w:t xml:space="preserve">. </w:t>
      </w:r>
      <w:r w:rsidR="007B342E" w:rsidRPr="00AB7EE3">
        <w:t>The rest of this chapter will aim to draw the theoretical framework within which the examination of cognitively intact older adults can produce findings will refer only to the healthy spectrum of cognitive ageing.</w:t>
      </w:r>
    </w:p>
    <w:p w:rsidR="008C0CE8" w:rsidRPr="00AB7EE3" w:rsidRDefault="00E22BEA" w:rsidP="00FE028D">
      <w:pPr>
        <w:pStyle w:val="Heading2"/>
      </w:pPr>
      <w:bookmarkStart w:id="96" w:name="_Toc373425957"/>
      <w:bookmarkStart w:id="97" w:name="_Toc521184192"/>
      <w:bookmarkEnd w:id="95"/>
      <w:r w:rsidRPr="00AB7EE3">
        <w:t>Conclusion</w:t>
      </w:r>
      <w:r w:rsidR="00FB3FE7" w:rsidRPr="00AB7EE3">
        <w:t>s</w:t>
      </w:r>
      <w:bookmarkEnd w:id="96"/>
      <w:bookmarkEnd w:id="97"/>
    </w:p>
    <w:p w:rsidR="00DA364F" w:rsidRPr="00AB7EE3" w:rsidRDefault="0072256F" w:rsidP="005C41B7">
      <w:pPr>
        <w:pStyle w:val="APAPar"/>
      </w:pPr>
      <w:r w:rsidRPr="00AB7EE3">
        <w:t xml:space="preserve">Cognitive ageing is an inescapable process in life (Farias et al., 2009; Kramer, et al., 2004), where abnormal trajectories of cognitive decline go along with severe </w:t>
      </w:r>
      <w:r w:rsidR="00555F7E" w:rsidRPr="00AB7EE3">
        <w:t xml:space="preserve">everyday </w:t>
      </w:r>
      <w:r w:rsidR="003D4B6B" w:rsidRPr="00AB7EE3">
        <w:t>functioning</w:t>
      </w:r>
      <w:r w:rsidRPr="00AB7EE3">
        <w:t xml:space="preserve"> impairments, indicating the occurrence of age-related neurological disorders (Petersen, 2004). Lower SES</w:t>
      </w:r>
      <w:r w:rsidR="00F209D1" w:rsidRPr="00AB7EE3">
        <w:t>,</w:t>
      </w:r>
      <w:r w:rsidRPr="00AB7EE3">
        <w:t xml:space="preserve"> poor health, </w:t>
      </w:r>
      <w:r w:rsidR="00A15388" w:rsidRPr="00AB7EE3">
        <w:t>social isolation</w:t>
      </w:r>
      <w:r w:rsidRPr="00AB7EE3">
        <w:t xml:space="preserve"> and </w:t>
      </w:r>
      <w:r w:rsidR="00A15388" w:rsidRPr="00AB7EE3">
        <w:t xml:space="preserve">sedentary lifestyles </w:t>
      </w:r>
      <w:r w:rsidR="00F209D1" w:rsidRPr="00AB7EE3">
        <w:t xml:space="preserve">seem to constitute risk factors for the occurrence of age-related neurological conditions </w:t>
      </w:r>
      <w:r w:rsidR="009B2C71" w:rsidRPr="00AB7EE3">
        <w:t xml:space="preserve">(Bryane &amp; </w:t>
      </w:r>
      <w:r w:rsidR="00A15388" w:rsidRPr="00AB7EE3">
        <w:t>Callowey, 1990</w:t>
      </w:r>
      <w:r w:rsidRPr="00AB7EE3">
        <w:t xml:space="preserve">; Colcombe &amp; Kramer, 2003; Hertzog et al., 2009). This </w:t>
      </w:r>
      <w:r w:rsidR="0013173C" w:rsidRPr="00AB7EE3">
        <w:t>landscape of evidence</w:t>
      </w:r>
      <w:r w:rsidR="00427F78" w:rsidRPr="00AB7EE3">
        <w:t xml:space="preserve"> </w:t>
      </w:r>
      <w:r w:rsidR="0013173C" w:rsidRPr="00AB7EE3">
        <w:t>formed</w:t>
      </w:r>
      <w:r w:rsidRPr="00AB7EE3">
        <w:t xml:space="preserve"> </w:t>
      </w:r>
      <w:r w:rsidR="0013173C" w:rsidRPr="00AB7EE3">
        <w:t xml:space="preserve">a </w:t>
      </w:r>
      <w:r w:rsidR="00C2435B" w:rsidRPr="00AB7EE3">
        <w:t>theoretical framework</w:t>
      </w:r>
      <w:r w:rsidRPr="00AB7EE3">
        <w:t xml:space="preserve"> of cognitive </w:t>
      </w:r>
      <w:r w:rsidR="00F209D1" w:rsidRPr="00AB7EE3">
        <w:t>ageing</w:t>
      </w:r>
      <w:r w:rsidR="0013173C" w:rsidRPr="00AB7EE3">
        <w:t xml:space="preserve"> that</w:t>
      </w:r>
      <w:r w:rsidR="00F209D1" w:rsidRPr="00AB7EE3">
        <w:t xml:space="preserve"> </w:t>
      </w:r>
      <w:r w:rsidR="0013173C" w:rsidRPr="00AB7EE3">
        <w:t>has led</w:t>
      </w:r>
      <w:r w:rsidRPr="00AB7EE3">
        <w:t xml:space="preserve"> often </w:t>
      </w:r>
      <w:r w:rsidR="008B5901">
        <w:t>to</w:t>
      </w:r>
      <w:r w:rsidR="0013173C" w:rsidRPr="00AB7EE3">
        <w:t xml:space="preserve"> </w:t>
      </w:r>
      <w:r w:rsidRPr="00AB7EE3">
        <w:t xml:space="preserve">erroneous assumptions </w:t>
      </w:r>
      <w:r w:rsidR="00F209D1" w:rsidRPr="00AB7EE3">
        <w:t xml:space="preserve">about seniors’ </w:t>
      </w:r>
      <w:r w:rsidR="0013173C" w:rsidRPr="00AB7EE3">
        <w:t>cognitive</w:t>
      </w:r>
      <w:r w:rsidR="00A15388" w:rsidRPr="00AB7EE3">
        <w:t xml:space="preserve"> </w:t>
      </w:r>
      <w:r w:rsidR="0013173C" w:rsidRPr="00AB7EE3">
        <w:t>performance</w:t>
      </w:r>
      <w:r w:rsidR="00F209D1" w:rsidRPr="00AB7EE3">
        <w:t xml:space="preserve"> in the health</w:t>
      </w:r>
      <w:r w:rsidR="0013173C" w:rsidRPr="00AB7EE3">
        <w:t>y spectrum of cognitive ageing.</w:t>
      </w:r>
    </w:p>
    <w:p w:rsidR="007B28A5" w:rsidRPr="00AB7EE3" w:rsidRDefault="00893FEB" w:rsidP="005C41B7">
      <w:pPr>
        <w:pStyle w:val="APAPar"/>
      </w:pPr>
      <w:r w:rsidRPr="00AB7EE3">
        <w:lastRenderedPageBreak/>
        <w:t>For example, t</w:t>
      </w:r>
      <w:r w:rsidR="0072256F" w:rsidRPr="00AB7EE3">
        <w:t xml:space="preserve">he adverse </w:t>
      </w:r>
      <w:r w:rsidRPr="00AB7EE3">
        <w:t>effects of lower SES, social participation and physical activity on seniors’ cognitive health have</w:t>
      </w:r>
      <w:r w:rsidR="0072256F" w:rsidRPr="00AB7EE3">
        <w:t xml:space="preserve"> been </w:t>
      </w:r>
      <w:r w:rsidR="00F209D1" w:rsidRPr="00AB7EE3">
        <w:t>erroneously generalized in the healthy spectrum of cognitive ageing</w:t>
      </w:r>
      <w:r w:rsidR="003D4B6B" w:rsidRPr="00AB7EE3">
        <w:t xml:space="preserve"> as well</w:t>
      </w:r>
      <w:r w:rsidRPr="00AB7EE3">
        <w:t>.</w:t>
      </w:r>
      <w:r w:rsidR="00F209D1" w:rsidRPr="00AB7EE3">
        <w:t xml:space="preserve"> </w:t>
      </w:r>
      <w:r w:rsidRPr="00AB7EE3">
        <w:t>This assumption</w:t>
      </w:r>
      <w:r w:rsidR="00206C07" w:rsidRPr="00AB7EE3">
        <w:t xml:space="preserve"> </w:t>
      </w:r>
      <w:r w:rsidRPr="00AB7EE3">
        <w:t>has</w:t>
      </w:r>
      <w:r w:rsidR="00206C07" w:rsidRPr="00AB7EE3">
        <w:t xml:space="preserve"> not been</w:t>
      </w:r>
      <w:r w:rsidR="00F209D1" w:rsidRPr="00AB7EE3">
        <w:t xml:space="preserve"> examined</w:t>
      </w:r>
      <w:r w:rsidR="00DE59A3" w:rsidRPr="00AB7EE3">
        <w:t xml:space="preserve"> as r</w:t>
      </w:r>
      <w:r w:rsidR="003D4B6B" w:rsidRPr="00AB7EE3">
        <w:t>igorously</w:t>
      </w:r>
      <w:r w:rsidR="00206C07" w:rsidRPr="00AB7EE3">
        <w:t xml:space="preserve"> </w:t>
      </w:r>
      <w:r w:rsidR="00F209D1" w:rsidRPr="00AB7EE3">
        <w:t>among co</w:t>
      </w:r>
      <w:r w:rsidR="000D68D3" w:rsidRPr="00AB7EE3">
        <w:t xml:space="preserve">gnitively intact older seniors, yet </w:t>
      </w:r>
      <w:r w:rsidR="00DE59A3" w:rsidRPr="00AB7EE3">
        <w:t>it has</w:t>
      </w:r>
      <w:r w:rsidR="00F209D1" w:rsidRPr="00AB7EE3">
        <w:t xml:space="preserve"> been </w:t>
      </w:r>
      <w:r w:rsidR="00EF4FFF" w:rsidRPr="00AB7EE3">
        <w:t>conceptualized</w:t>
      </w:r>
      <w:r w:rsidR="00C2435B" w:rsidRPr="00AB7EE3">
        <w:t xml:space="preserve"> as constant</w:t>
      </w:r>
      <w:r w:rsidR="00EF4FFF" w:rsidRPr="00AB7EE3">
        <w:t xml:space="preserve"> </w:t>
      </w:r>
      <w:r w:rsidR="0090172A" w:rsidRPr="00AB7EE3">
        <w:t xml:space="preserve">effects </w:t>
      </w:r>
      <w:r w:rsidR="00EF4FFF" w:rsidRPr="00AB7EE3">
        <w:t xml:space="preserve">leading </w:t>
      </w:r>
      <w:r w:rsidR="0072256F" w:rsidRPr="00AB7EE3">
        <w:t>to steeper cognitive decline</w:t>
      </w:r>
      <w:r w:rsidR="00101432" w:rsidRPr="00AB7EE3">
        <w:t xml:space="preserve"> trajectories. Recent findings have not been supportive </w:t>
      </w:r>
      <w:r w:rsidR="000D68D3" w:rsidRPr="00AB7EE3">
        <w:t>of this view</w:t>
      </w:r>
      <w:r w:rsidR="00101432" w:rsidRPr="00AB7EE3">
        <w:t xml:space="preserve">, rendering the closer examination of the </w:t>
      </w:r>
      <w:r w:rsidR="00C2435B" w:rsidRPr="00AB7EE3">
        <w:t xml:space="preserve">healthy spectrum of cognitive </w:t>
      </w:r>
      <w:r w:rsidR="00094DE2" w:rsidRPr="00AB7EE3">
        <w:t>performance</w:t>
      </w:r>
      <w:r w:rsidR="00AA7525" w:rsidRPr="00AB7EE3">
        <w:t xml:space="preserve"> as</w:t>
      </w:r>
      <w:r w:rsidR="00705CB6" w:rsidRPr="00AB7EE3">
        <w:t xml:space="preserve"> </w:t>
      </w:r>
      <w:r w:rsidR="00DC36EF" w:rsidRPr="00AB7EE3">
        <w:t>important</w:t>
      </w:r>
      <w:r w:rsidR="00AA7525" w:rsidRPr="00AB7EE3">
        <w:t xml:space="preserve">, in order to avoid </w:t>
      </w:r>
      <w:r w:rsidR="00732F70" w:rsidRPr="00AB7EE3">
        <w:t xml:space="preserve">strong </w:t>
      </w:r>
      <w:r w:rsidR="00AA7525" w:rsidRPr="00AB7EE3">
        <w:t xml:space="preserve">but erroneous </w:t>
      </w:r>
      <w:r w:rsidR="00732F70" w:rsidRPr="00AB7EE3">
        <w:t>statements in science and in policy-making</w:t>
      </w:r>
      <w:r w:rsidR="00F209D1" w:rsidRPr="00AB7EE3">
        <w:t>.</w:t>
      </w:r>
      <w:r w:rsidR="00DE59A3" w:rsidRPr="00AB7EE3">
        <w:t xml:space="preserve"> In this context</w:t>
      </w:r>
      <w:r w:rsidR="00980CFE" w:rsidRPr="00AB7EE3">
        <w:t xml:space="preserve">, this thesis </w:t>
      </w:r>
      <w:r w:rsidR="00DE59A3" w:rsidRPr="00AB7EE3">
        <w:t>is</w:t>
      </w:r>
      <w:r w:rsidR="00980CFE" w:rsidRPr="00AB7EE3">
        <w:t xml:space="preserve"> a </w:t>
      </w:r>
      <w:r w:rsidR="00DE59A3" w:rsidRPr="00AB7EE3">
        <w:t xml:space="preserve">preliminary </w:t>
      </w:r>
      <w:r w:rsidR="00980CFE" w:rsidRPr="00AB7EE3">
        <w:t xml:space="preserve">attempt to </w:t>
      </w:r>
      <w:r w:rsidR="00DE59A3" w:rsidRPr="00AB7EE3">
        <w:t>examine</w:t>
      </w:r>
      <w:r w:rsidR="007C395B" w:rsidRPr="00AB7EE3">
        <w:t xml:space="preserve"> the factors that influence cognitive </w:t>
      </w:r>
      <w:r w:rsidR="00980CFE" w:rsidRPr="00AB7EE3">
        <w:t>performance</w:t>
      </w:r>
      <w:r w:rsidR="007C395B" w:rsidRPr="00AB7EE3">
        <w:t xml:space="preserve"> in the health</w:t>
      </w:r>
      <w:r w:rsidR="007B28A5" w:rsidRPr="00AB7EE3">
        <w:t xml:space="preserve">y spectrum of cognitive ageing. </w:t>
      </w:r>
      <w:r w:rsidR="0037542C" w:rsidRPr="00AB7EE3">
        <w:t>This</w:t>
      </w:r>
      <w:r w:rsidR="007C395B" w:rsidRPr="00AB7EE3">
        <w:t xml:space="preserve"> information </w:t>
      </w:r>
      <w:r w:rsidR="00094DE2" w:rsidRPr="00AB7EE3">
        <w:t xml:space="preserve">may </w:t>
      </w:r>
      <w:r w:rsidR="00DE59A3" w:rsidRPr="00AB7EE3">
        <w:t>produce</w:t>
      </w:r>
      <w:r w:rsidR="007B28A5" w:rsidRPr="00AB7EE3">
        <w:t xml:space="preserve"> a greater insight </w:t>
      </w:r>
      <w:r w:rsidR="00DE59A3" w:rsidRPr="00AB7EE3">
        <w:t>into</w:t>
      </w:r>
      <w:r w:rsidR="007B28A5" w:rsidRPr="00AB7EE3">
        <w:t xml:space="preserve"> seniors’ </w:t>
      </w:r>
      <w:r w:rsidR="00980CFE" w:rsidRPr="00AB7EE3">
        <w:t xml:space="preserve">cognitive vitality and </w:t>
      </w:r>
      <w:r w:rsidR="007B28A5" w:rsidRPr="00AB7EE3">
        <w:t>functioning</w:t>
      </w:r>
      <w:r w:rsidR="007C395B" w:rsidRPr="00AB7EE3">
        <w:t xml:space="preserve">, leading </w:t>
      </w:r>
      <w:r w:rsidR="00427F78" w:rsidRPr="00AB7EE3">
        <w:t>to</w:t>
      </w:r>
      <w:r w:rsidR="007C395B" w:rsidRPr="00AB7EE3">
        <w:t xml:space="preserve"> </w:t>
      </w:r>
      <w:r w:rsidR="00EC6478" w:rsidRPr="00AB7EE3">
        <w:t xml:space="preserve">more knowledge of how </w:t>
      </w:r>
      <w:r w:rsidR="007C395B" w:rsidRPr="00AB7EE3">
        <w:t xml:space="preserve">positive </w:t>
      </w:r>
      <w:r w:rsidR="00094DE2" w:rsidRPr="00AB7EE3">
        <w:t xml:space="preserve">cognitive and functional </w:t>
      </w:r>
      <w:r w:rsidR="007C395B" w:rsidRPr="00AB7EE3">
        <w:t xml:space="preserve">outcomes </w:t>
      </w:r>
      <w:r w:rsidR="00EC6478" w:rsidRPr="00AB7EE3">
        <w:t>in older age can be</w:t>
      </w:r>
      <w:r w:rsidR="00094DE2" w:rsidRPr="00AB7EE3">
        <w:t xml:space="preserve"> fostered</w:t>
      </w:r>
      <w:r w:rsidR="0037542C" w:rsidRPr="00AB7EE3">
        <w:t xml:space="preserve">. </w:t>
      </w:r>
    </w:p>
    <w:p w:rsidR="00094DE2" w:rsidRDefault="00FD1961" w:rsidP="005C41B7">
      <w:pPr>
        <w:pStyle w:val="APAPar"/>
      </w:pPr>
      <w:r w:rsidRPr="00AB7EE3">
        <w:t>The next c</w:t>
      </w:r>
      <w:r w:rsidR="0037542C" w:rsidRPr="00AB7EE3">
        <w:t>hapter consist</w:t>
      </w:r>
      <w:r w:rsidR="00427F78" w:rsidRPr="00AB7EE3">
        <w:t>s</w:t>
      </w:r>
      <w:r w:rsidR="0037542C" w:rsidRPr="00AB7EE3">
        <w:t xml:space="preserve"> </w:t>
      </w:r>
      <w:r w:rsidRPr="00AB7EE3">
        <w:t xml:space="preserve">of </w:t>
      </w:r>
      <w:r w:rsidR="0037542C" w:rsidRPr="00AB7EE3">
        <w:t xml:space="preserve">the first part of this </w:t>
      </w:r>
      <w:r w:rsidR="00CD4A7B" w:rsidRPr="00AB7EE3">
        <w:t>t</w:t>
      </w:r>
      <w:r w:rsidR="00DD000E" w:rsidRPr="00AB7EE3">
        <w:t>hesis</w:t>
      </w:r>
      <w:r w:rsidR="0037542C" w:rsidRPr="00AB7EE3">
        <w:t>’s empirical wo</w:t>
      </w:r>
      <w:r w:rsidR="007B28A5" w:rsidRPr="00AB7EE3">
        <w:t>rk, and describes a meta-analysi</w:t>
      </w:r>
      <w:r w:rsidR="0037542C" w:rsidRPr="00AB7EE3">
        <w:t xml:space="preserve">s conducted on studies that have examined the relation between </w:t>
      </w:r>
      <w:r w:rsidR="00EC6478" w:rsidRPr="00AB7EE3">
        <w:t xml:space="preserve">cognitive performance </w:t>
      </w:r>
      <w:r w:rsidR="0037542C" w:rsidRPr="00AB7EE3">
        <w:t xml:space="preserve">and </w:t>
      </w:r>
      <w:r w:rsidR="00EC6478" w:rsidRPr="00AB7EE3">
        <w:t>everyday functioning</w:t>
      </w:r>
      <w:r w:rsidR="0037542C" w:rsidRPr="00AB7EE3">
        <w:t xml:space="preserve"> mostly among cognitively intact older adults. This study is the first of its nature and gives valuable information about the psychometric properties of </w:t>
      </w:r>
      <w:r w:rsidR="003E738E" w:rsidRPr="00AB7EE3">
        <w:t xml:space="preserve">everyday functioning </w:t>
      </w:r>
      <w:r w:rsidR="0037542C" w:rsidRPr="00AB7EE3">
        <w:t xml:space="preserve">assessments in the healthy spectrum of cognitive ageing. It also provides </w:t>
      </w:r>
      <w:r w:rsidRPr="00AB7EE3">
        <w:t>important</w:t>
      </w:r>
      <w:r w:rsidR="0037542C" w:rsidRPr="00AB7EE3">
        <w:t xml:space="preserve"> information about what type of </w:t>
      </w:r>
      <w:r w:rsidR="003E738E" w:rsidRPr="00AB7EE3">
        <w:t>everyday functioning measures</w:t>
      </w:r>
      <w:r w:rsidR="00427F78" w:rsidRPr="00AB7EE3">
        <w:t xml:space="preserve"> is more suitable to be used i</w:t>
      </w:r>
      <w:r w:rsidR="0037542C" w:rsidRPr="00AB7EE3">
        <w:t xml:space="preserve">n cognitively intact older adults, as well as which cognitive domains relate more to </w:t>
      </w:r>
      <w:r w:rsidR="003E738E" w:rsidRPr="00AB7EE3">
        <w:t>everyday functioning</w:t>
      </w:r>
      <w:r w:rsidR="0037542C" w:rsidRPr="00AB7EE3">
        <w:t xml:space="preserve"> decrements.</w:t>
      </w:r>
      <w:r w:rsidR="0037542C" w:rsidRPr="007A15F6">
        <w:t xml:space="preserve"> </w:t>
      </w:r>
    </w:p>
    <w:p w:rsidR="00094DE2" w:rsidRDefault="00094DE2">
      <w:pPr>
        <w:rPr>
          <w:rFonts w:ascii="Times New Roman" w:eastAsia="Calibri" w:hAnsi="Times New Roman" w:cs="Times New Roman"/>
          <w:color w:val="000000"/>
          <w:szCs w:val="20"/>
        </w:rPr>
      </w:pPr>
      <w:r>
        <w:br w:type="page"/>
      </w:r>
    </w:p>
    <w:p w:rsidR="00656481" w:rsidRPr="005F390E" w:rsidRDefault="00640C1B" w:rsidP="00640C1B">
      <w:pPr>
        <w:pStyle w:val="Heading0"/>
      </w:pPr>
      <w:bookmarkStart w:id="98" w:name="_Toc373425958"/>
      <w:bookmarkStart w:id="99" w:name="_Toc521184193"/>
      <w:r w:rsidRPr="005F390E">
        <w:lastRenderedPageBreak/>
        <w:t xml:space="preserve">CHAPTER </w:t>
      </w:r>
      <w:r w:rsidR="00A829CB">
        <w:t xml:space="preserve"> </w:t>
      </w:r>
      <w:r w:rsidRPr="005F390E">
        <w:t xml:space="preserve">4 </w:t>
      </w:r>
      <w:r>
        <w:t xml:space="preserve"> </w:t>
      </w:r>
      <w:r w:rsidRPr="005F390E">
        <w:t>NEUROPSYCHOLOGICAL AND EVERYDAY FUNCTIONALITY TESTS: A META-ANALYSIS</w:t>
      </w:r>
      <w:bookmarkEnd w:id="98"/>
      <w:bookmarkEnd w:id="99"/>
    </w:p>
    <w:p w:rsidR="0037542C" w:rsidRPr="005F390E" w:rsidRDefault="0037542C" w:rsidP="00FE028D">
      <w:pPr>
        <w:pStyle w:val="Heading2"/>
      </w:pPr>
      <w:bookmarkStart w:id="100" w:name="_Toc373425959"/>
      <w:bookmarkStart w:id="101" w:name="_Toc521184194"/>
      <w:r w:rsidRPr="005F390E">
        <w:t>Introduction</w:t>
      </w:r>
      <w:bookmarkEnd w:id="100"/>
      <w:bookmarkEnd w:id="101"/>
    </w:p>
    <w:p w:rsidR="001C6AAA" w:rsidRPr="005F390E" w:rsidRDefault="00ED166C" w:rsidP="005C41B7">
      <w:pPr>
        <w:pStyle w:val="APAPar"/>
      </w:pPr>
      <w:r w:rsidRPr="005F390E">
        <w:t xml:space="preserve">In </w:t>
      </w:r>
      <w:r w:rsidR="002141BC" w:rsidRPr="005F390E">
        <w:t>the</w:t>
      </w:r>
      <w:r w:rsidR="0037542C" w:rsidRPr="005F390E">
        <w:t xml:space="preserve"> previous</w:t>
      </w:r>
      <w:r w:rsidR="002141BC" w:rsidRPr="005F390E">
        <w:t xml:space="preserve"> </w:t>
      </w:r>
      <w:r w:rsidR="00F14869" w:rsidRPr="005F390E">
        <w:t>c</w:t>
      </w:r>
      <w:r w:rsidR="009546EE" w:rsidRPr="005F390E">
        <w:t xml:space="preserve">hapter, </w:t>
      </w:r>
      <w:r w:rsidRPr="005F390E">
        <w:t xml:space="preserve">the importance of examining the influence of SES, </w:t>
      </w:r>
      <w:r w:rsidR="00F14869" w:rsidRPr="005F390E">
        <w:t>social participation, mental</w:t>
      </w:r>
      <w:r w:rsidRPr="005F390E">
        <w:t xml:space="preserve"> and </w:t>
      </w:r>
      <w:r w:rsidR="00F14869" w:rsidRPr="005F390E">
        <w:t xml:space="preserve">physical exercise </w:t>
      </w:r>
      <w:r w:rsidRPr="005F390E">
        <w:t xml:space="preserve">on cognitive and functional </w:t>
      </w:r>
      <w:r w:rsidR="00F14869" w:rsidRPr="005F390E">
        <w:t>performance</w:t>
      </w:r>
      <w:r w:rsidRPr="005F390E">
        <w:t xml:space="preserve"> in the healthy spectrum of cognitive ageing</w:t>
      </w:r>
      <w:r w:rsidR="00F14869" w:rsidRPr="005F390E">
        <w:t xml:space="preserve"> was </w:t>
      </w:r>
      <w:r w:rsidR="00C425DB" w:rsidRPr="005F390E">
        <w:t>explored</w:t>
      </w:r>
      <w:r w:rsidRPr="005F390E">
        <w:t xml:space="preserve">. </w:t>
      </w:r>
      <w:r w:rsidR="00F14869" w:rsidRPr="005F390E">
        <w:t>It was also</w:t>
      </w:r>
      <w:r w:rsidR="0065525B" w:rsidRPr="005F390E">
        <w:t xml:space="preserve"> argued that </w:t>
      </w:r>
      <w:r w:rsidRPr="005F390E">
        <w:t xml:space="preserve">the premise </w:t>
      </w:r>
      <w:r w:rsidR="002B10B3" w:rsidRPr="005F390E">
        <w:t xml:space="preserve">of </w:t>
      </w:r>
      <w:r w:rsidRPr="005F390E">
        <w:t xml:space="preserve">cognitive </w:t>
      </w:r>
      <w:r w:rsidR="00F14869" w:rsidRPr="005F390E">
        <w:t xml:space="preserve">vitality </w:t>
      </w:r>
      <w:r w:rsidR="00066CB5" w:rsidRPr="005F390E">
        <w:t>being strongly related to</w:t>
      </w:r>
      <w:r w:rsidRPr="005F390E">
        <w:t xml:space="preserve"> functional</w:t>
      </w:r>
      <w:r w:rsidR="00F14869" w:rsidRPr="005F390E">
        <w:t xml:space="preserve"> performance</w:t>
      </w:r>
      <w:r w:rsidR="002B10B3" w:rsidRPr="005F390E">
        <w:t xml:space="preserve"> is </w:t>
      </w:r>
      <w:r w:rsidR="00F21B71" w:rsidRPr="005F390E">
        <w:t>a</w:t>
      </w:r>
      <w:r w:rsidR="00A47A61" w:rsidRPr="005F390E">
        <w:t>n</w:t>
      </w:r>
      <w:r w:rsidR="00F21B71" w:rsidRPr="005F390E">
        <w:t xml:space="preserve"> </w:t>
      </w:r>
      <w:r w:rsidR="002B10B3" w:rsidRPr="005F390E">
        <w:t>influential</w:t>
      </w:r>
      <w:r w:rsidR="00F21B71" w:rsidRPr="005F390E">
        <w:t xml:space="preserve"> </w:t>
      </w:r>
      <w:r w:rsidR="009628E2" w:rsidRPr="005F390E">
        <w:t>one</w:t>
      </w:r>
      <w:r w:rsidR="003922EA" w:rsidRPr="005F390E">
        <w:t xml:space="preserve"> </w:t>
      </w:r>
      <w:r w:rsidR="00A47A61" w:rsidRPr="005F390E">
        <w:t>both in the realm</w:t>
      </w:r>
      <w:r w:rsidR="00C425DB" w:rsidRPr="005F390E">
        <w:t xml:space="preserve"> </w:t>
      </w:r>
      <w:r w:rsidR="009628E2" w:rsidRPr="005F390E">
        <w:t xml:space="preserve">of science and in policy making, yet </w:t>
      </w:r>
      <w:r w:rsidR="00C425DB" w:rsidRPr="005F390E">
        <w:t>not a</w:t>
      </w:r>
      <w:r w:rsidR="009628E2" w:rsidRPr="005F390E">
        <w:t>s</w:t>
      </w:r>
      <w:r w:rsidR="00C425DB" w:rsidRPr="005F390E">
        <w:t xml:space="preserve"> strongly supported by empirical evidence.</w:t>
      </w:r>
      <w:r w:rsidR="00F14869" w:rsidRPr="005F390E">
        <w:t xml:space="preserve"> </w:t>
      </w:r>
      <w:r w:rsidR="001C6AAA" w:rsidRPr="005F390E">
        <w:t xml:space="preserve">The statistical meta-analyses of Martyr and Clare (2012) </w:t>
      </w:r>
      <w:r w:rsidR="00F14869" w:rsidRPr="005F390E">
        <w:t xml:space="preserve">found a consistent but </w:t>
      </w:r>
      <w:r w:rsidR="001C6AAA" w:rsidRPr="005F390E">
        <w:t xml:space="preserve">moderate relation between </w:t>
      </w:r>
      <w:r w:rsidR="00F14869" w:rsidRPr="005F390E">
        <w:t>cognitive performance</w:t>
      </w:r>
      <w:r w:rsidR="001C6AAA" w:rsidRPr="005F390E">
        <w:t xml:space="preserve"> and </w:t>
      </w:r>
      <w:r w:rsidR="00F14869" w:rsidRPr="005F390E">
        <w:t>everyday functioning</w:t>
      </w:r>
      <w:r w:rsidR="001C6AAA" w:rsidRPr="005F390E">
        <w:t xml:space="preserve"> </w:t>
      </w:r>
      <w:r w:rsidR="00C425DB" w:rsidRPr="005F390E">
        <w:t>in studies that examined</w:t>
      </w:r>
      <w:r w:rsidR="001C6AAA" w:rsidRPr="005F390E">
        <w:t xml:space="preserve"> patients </w:t>
      </w:r>
      <w:r w:rsidR="005F390E" w:rsidRPr="005F390E">
        <w:t>with</w:t>
      </w:r>
      <w:r w:rsidR="00F14869" w:rsidRPr="005F390E">
        <w:t xml:space="preserve"> various forms of dementia</w:t>
      </w:r>
      <w:r w:rsidR="001C6AAA" w:rsidRPr="005F390E">
        <w:t xml:space="preserve">. </w:t>
      </w:r>
      <w:r w:rsidR="002E5619" w:rsidRPr="005F390E">
        <w:t>Royall</w:t>
      </w:r>
      <w:r w:rsidR="001C6AAA" w:rsidRPr="005F390E">
        <w:t xml:space="preserve"> et al. (2007) reviewed studies</w:t>
      </w:r>
      <w:r w:rsidR="008E4E00" w:rsidRPr="005F390E">
        <w:t xml:space="preserve"> </w:t>
      </w:r>
      <w:r w:rsidR="00C425DB" w:rsidRPr="005F390E">
        <w:t>examining</w:t>
      </w:r>
      <w:r w:rsidR="008E4E00" w:rsidRPr="005F390E">
        <w:t xml:space="preserve"> the cognitive and functional performance of older adults</w:t>
      </w:r>
      <w:r w:rsidR="00C425DB" w:rsidRPr="005F390E">
        <w:t xml:space="preserve"> irrespective of their cognitive status (i.e.</w:t>
      </w:r>
      <w:r w:rsidR="001C6AAA" w:rsidRPr="005F390E">
        <w:t>,</w:t>
      </w:r>
      <w:r w:rsidR="00C425DB" w:rsidRPr="005F390E">
        <w:t xml:space="preserve"> </w:t>
      </w:r>
      <w:r w:rsidR="00975914" w:rsidRPr="005F390E">
        <w:t xml:space="preserve">a mixed sample of studies examining </w:t>
      </w:r>
      <w:r w:rsidR="00C425DB" w:rsidRPr="005F390E">
        <w:t>cognitively intact or challenged by a disorder</w:t>
      </w:r>
      <w:r w:rsidR="00CE0F05" w:rsidRPr="005F390E">
        <w:t xml:space="preserve"> older adults</w:t>
      </w:r>
      <w:r w:rsidR="00C425DB" w:rsidRPr="005F390E">
        <w:t>),</w:t>
      </w:r>
      <w:r w:rsidR="001C6AAA" w:rsidRPr="005F390E">
        <w:t xml:space="preserve"> concluding that a small to moderate relation between </w:t>
      </w:r>
      <w:r w:rsidR="005E7C2E" w:rsidRPr="005F390E">
        <w:t>them</w:t>
      </w:r>
      <w:r w:rsidR="00C425DB" w:rsidRPr="005F390E">
        <w:t xml:space="preserve"> is reported</w:t>
      </w:r>
      <w:r w:rsidR="001C6AAA" w:rsidRPr="005F390E">
        <w:t>.</w:t>
      </w:r>
    </w:p>
    <w:p w:rsidR="003B2934" w:rsidRPr="007A15F6" w:rsidRDefault="005F390E" w:rsidP="005C41B7">
      <w:pPr>
        <w:pStyle w:val="APAPar"/>
      </w:pPr>
      <w:r w:rsidRPr="005F390E">
        <w:t xml:space="preserve">However, these two studies </w:t>
      </w:r>
      <w:r w:rsidR="007E3975">
        <w:t>are</w:t>
      </w:r>
      <w:r w:rsidR="002B10B3" w:rsidRPr="005F390E">
        <w:t xml:space="preserve"> less informative study </w:t>
      </w:r>
      <w:r w:rsidRPr="005F390E">
        <w:t xml:space="preserve">with regard to </w:t>
      </w:r>
      <w:r w:rsidR="002B10B3" w:rsidRPr="005F390E">
        <w:t>the healt</w:t>
      </w:r>
      <w:r w:rsidR="00FC53D9" w:rsidRPr="005F390E">
        <w:t>hy s</w:t>
      </w:r>
      <w:r w:rsidRPr="005F390E">
        <w:t>pectrum of cognitive ageing. That is,</w:t>
      </w:r>
      <w:r w:rsidR="00FC53D9" w:rsidRPr="005F390E">
        <w:t xml:space="preserve"> Martyr and Clare</w:t>
      </w:r>
      <w:r w:rsidRPr="005F390E">
        <w:t>’s</w:t>
      </w:r>
      <w:r w:rsidR="00FC53D9" w:rsidRPr="005F390E">
        <w:t xml:space="preserve"> study (2012)</w:t>
      </w:r>
      <w:r w:rsidR="002B10B3" w:rsidRPr="005F390E">
        <w:t xml:space="preserve"> was restricted to participants that suffer</w:t>
      </w:r>
      <w:r w:rsidR="00936720" w:rsidRPr="005F390E">
        <w:t>ed</w:t>
      </w:r>
      <w:r w:rsidR="002B10B3" w:rsidRPr="005F390E">
        <w:t xml:space="preserve"> from an age-related neuropsychological disorder</w:t>
      </w:r>
      <w:r w:rsidRPr="005F390E">
        <w:t>, and t</w:t>
      </w:r>
      <w:r w:rsidR="00066CB5" w:rsidRPr="005F390E">
        <w:t xml:space="preserve">he </w:t>
      </w:r>
      <w:r w:rsidR="00FC53D9" w:rsidRPr="005F390E">
        <w:t xml:space="preserve">Royall et al. (2007) review included </w:t>
      </w:r>
      <w:r w:rsidRPr="005F390E">
        <w:t xml:space="preserve">both </w:t>
      </w:r>
      <w:r w:rsidR="00FC53D9" w:rsidRPr="005F390E">
        <w:t>studies examining cognitively healthy older adults</w:t>
      </w:r>
      <w:r w:rsidR="00AD3FFF" w:rsidRPr="005F390E">
        <w:t xml:space="preserve"> </w:t>
      </w:r>
      <w:r w:rsidRPr="005F390E">
        <w:t xml:space="preserve">and </w:t>
      </w:r>
      <w:r w:rsidR="00AD3FFF" w:rsidRPr="005F390E">
        <w:t>studies that examined cognitively affected older adults (e.g., from deme</w:t>
      </w:r>
      <w:r w:rsidRPr="005F390E">
        <w:t>ntia)</w:t>
      </w:r>
      <w:r w:rsidR="00FC53D9" w:rsidRPr="005F390E">
        <w:t>.</w:t>
      </w:r>
      <w:r w:rsidR="002B10B3" w:rsidRPr="005F390E">
        <w:t xml:space="preserve"> </w:t>
      </w:r>
      <w:r w:rsidR="00AD3FFF" w:rsidRPr="005F390E">
        <w:t>Consequently, the findings and conclusion</w:t>
      </w:r>
      <w:r w:rsidRPr="005F390E">
        <w:t>s</w:t>
      </w:r>
      <w:r w:rsidR="00AD3FFF" w:rsidRPr="005F390E">
        <w:t xml:space="preserve"> derived from these studies cannot be applied and generalized with confidence to </w:t>
      </w:r>
      <w:r w:rsidR="009628E2" w:rsidRPr="005F390E">
        <w:t xml:space="preserve">cognitively healthy </w:t>
      </w:r>
      <w:r w:rsidR="008D74A6" w:rsidRPr="005F390E">
        <w:t>older adults</w:t>
      </w:r>
      <w:r w:rsidR="00AD3FFF" w:rsidRPr="005F390E">
        <w:t>, as the sample of examination was blended in terms of the participants’ cognitive status</w:t>
      </w:r>
      <w:r w:rsidR="005B7DE8" w:rsidRPr="005F390E">
        <w:t>. In addition,</w:t>
      </w:r>
      <w:r w:rsidR="00644B19" w:rsidRPr="005F390E">
        <w:t xml:space="preserve"> t</w:t>
      </w:r>
      <w:r w:rsidR="00F21B71" w:rsidRPr="005F390E">
        <w:t xml:space="preserve">he Royall et al. (2007) study </w:t>
      </w:r>
      <w:r w:rsidR="005B7DE8" w:rsidRPr="005F390E">
        <w:t>plotted a graph with the correlation based effect sizes (i.e., Pearson correlations, standardized beta values, and R</w:t>
      </w:r>
      <w:r w:rsidR="005B7DE8" w:rsidRPr="005F390E">
        <w:rPr>
          <w:vertAlign w:val="superscript"/>
        </w:rPr>
        <w:t>2</w:t>
      </w:r>
      <w:r w:rsidR="005B7DE8" w:rsidRPr="005F390E">
        <w:t>)</w:t>
      </w:r>
      <w:r w:rsidR="005B7DE8" w:rsidRPr="005F390E">
        <w:rPr>
          <w:vertAlign w:val="superscript"/>
        </w:rPr>
        <w:t xml:space="preserve"> </w:t>
      </w:r>
      <w:r w:rsidR="005B7DE8" w:rsidRPr="005F390E">
        <w:t xml:space="preserve">extracted from the studies reviewed. </w:t>
      </w:r>
      <w:r w:rsidR="00AD3FFF" w:rsidRPr="005F390E">
        <w:t xml:space="preserve">As Borenstein and colleagues (Borenstein, </w:t>
      </w:r>
      <w:r w:rsidR="00AD3FFF" w:rsidRPr="005F390E">
        <w:lastRenderedPageBreak/>
        <w:t>Hedges,</w:t>
      </w:r>
      <w:r w:rsidR="00AD3FFF" w:rsidRPr="007A15F6">
        <w:t xml:space="preserve"> Higgins, &amp; Rothstein, 2009)</w:t>
      </w:r>
      <w:r w:rsidR="00AD3FFF">
        <w:t xml:space="preserve"> </w:t>
      </w:r>
      <w:r>
        <w:t xml:space="preserve">have </w:t>
      </w:r>
      <w:r w:rsidR="00AD3FFF">
        <w:t xml:space="preserve">pointed out when </w:t>
      </w:r>
      <w:r w:rsidR="00F329FB" w:rsidRPr="007A15F6">
        <w:t>each study’s strength</w:t>
      </w:r>
      <w:r w:rsidR="003D499C" w:rsidRPr="007A15F6">
        <w:t xml:space="preserve"> (power)</w:t>
      </w:r>
      <w:r w:rsidR="00F329FB" w:rsidRPr="007A15F6">
        <w:t xml:space="preserve"> and measurement error </w:t>
      </w:r>
      <w:r w:rsidR="001D2859">
        <w:t xml:space="preserve">margins </w:t>
      </w:r>
      <w:r>
        <w:t>is</w:t>
      </w:r>
      <w:r w:rsidR="00D220CC">
        <w:t xml:space="preserve"> </w:t>
      </w:r>
      <w:r w:rsidR="00F329FB" w:rsidRPr="007A15F6">
        <w:t xml:space="preserve">not </w:t>
      </w:r>
      <w:r w:rsidR="003D499C" w:rsidRPr="007A15F6">
        <w:t>taken into account</w:t>
      </w:r>
      <w:r w:rsidR="00145B4C">
        <w:t>,</w:t>
      </w:r>
      <w:r w:rsidR="00AD3FFF">
        <w:t xml:space="preserve"> </w:t>
      </w:r>
      <w:r w:rsidR="00AD3FFF" w:rsidRPr="005F390E">
        <w:t>as it was the case of Royall et al’s study, the</w:t>
      </w:r>
      <w:r w:rsidR="00145B4C" w:rsidRPr="005F390E">
        <w:t xml:space="preserve"> </w:t>
      </w:r>
      <w:r w:rsidR="00F21B71" w:rsidRPr="005F390E">
        <w:t>final estimation of the effect</w:t>
      </w:r>
      <w:r w:rsidR="0036209B" w:rsidRPr="005F390E">
        <w:t xml:space="preserve"> size and the respective margin</w:t>
      </w:r>
      <w:r w:rsidR="00F21B71" w:rsidRPr="005F390E">
        <w:t xml:space="preserve"> of error</w:t>
      </w:r>
      <w:r w:rsidR="003D499C" w:rsidRPr="005F390E">
        <w:t xml:space="preserve"> </w:t>
      </w:r>
      <w:r w:rsidR="00CF7197" w:rsidRPr="005F390E">
        <w:t xml:space="preserve">cannot be considered statistically sound </w:t>
      </w:r>
      <w:r w:rsidR="003D499C" w:rsidRPr="005F390E">
        <w:t>(</w:t>
      </w:r>
      <w:r w:rsidR="00F329FB" w:rsidRPr="005F390E">
        <w:t xml:space="preserve">Borenstein, Hedges, Higgins, &amp; Rothstein, 2009). </w:t>
      </w:r>
      <w:r w:rsidR="00AD3FFF" w:rsidRPr="005F390E">
        <w:t>Consequently, the final estimation, made in the study, of the overall strength for the relation between cognitive performance and everyday functioning might have not been accurate.</w:t>
      </w:r>
      <w:r w:rsidR="00AD3FFF" w:rsidRPr="007A15F6">
        <w:t xml:space="preserve"> </w:t>
      </w:r>
    </w:p>
    <w:p w:rsidR="005B7DE8" w:rsidRDefault="00AD3FFF" w:rsidP="005C41B7">
      <w:pPr>
        <w:pStyle w:val="APAPar"/>
      </w:pPr>
      <w:r w:rsidRPr="005F390E">
        <w:t>Unquestionably, both studies (Martyr and Caler, 2012; Royall et al., 2007)</w:t>
      </w:r>
      <w:r w:rsidR="005B7DE8" w:rsidRPr="005F390E">
        <w:t xml:space="preserve"> provided valuable insights, </w:t>
      </w:r>
      <w:r w:rsidR="00066CB5" w:rsidRPr="005F390E">
        <w:t xml:space="preserve">as they were </w:t>
      </w:r>
      <w:r w:rsidR="005B7DE8" w:rsidRPr="005F390E">
        <w:t>the first reviews of this nature. However, t</w:t>
      </w:r>
      <w:r w:rsidR="008E2F3C" w:rsidRPr="005F390E">
        <w:t xml:space="preserve">he </w:t>
      </w:r>
      <w:r w:rsidR="00B230D9" w:rsidRPr="005F390E">
        <w:t>universal</w:t>
      </w:r>
      <w:r w:rsidR="00B230D9" w:rsidRPr="007A15F6">
        <w:t xml:space="preserve"> </w:t>
      </w:r>
      <w:r w:rsidR="008E2F3C" w:rsidRPr="007A15F6">
        <w:t xml:space="preserve">suitability of </w:t>
      </w:r>
      <w:r w:rsidR="001D2859">
        <w:t>everyday functioning</w:t>
      </w:r>
      <w:r w:rsidR="008E2F3C" w:rsidRPr="007A15F6">
        <w:t xml:space="preserve"> </w:t>
      </w:r>
      <w:r w:rsidR="001D2859">
        <w:t xml:space="preserve">measures irrespective of the </w:t>
      </w:r>
      <w:r w:rsidR="005B7DE8">
        <w:t xml:space="preserve">participants’ </w:t>
      </w:r>
      <w:r w:rsidR="001D2859">
        <w:t xml:space="preserve">cognitive status is </w:t>
      </w:r>
      <w:r w:rsidR="00B230D9" w:rsidRPr="007A15F6">
        <w:t>not a valid assumption</w:t>
      </w:r>
      <w:r w:rsidR="001D2859">
        <w:t>.</w:t>
      </w:r>
      <w:r w:rsidR="008E2F3C" w:rsidRPr="007A15F6">
        <w:t xml:space="preserve"> </w:t>
      </w:r>
      <w:r w:rsidR="001D2859" w:rsidRPr="007A15F6">
        <w:t>As</w:t>
      </w:r>
      <w:r w:rsidR="008E2F3C" w:rsidRPr="007A15F6">
        <w:t xml:space="preserve"> most assessments were designed to </w:t>
      </w:r>
      <w:r w:rsidR="008E2F3C" w:rsidRPr="005F390E">
        <w:t xml:space="preserve">detect and assess the severity of </w:t>
      </w:r>
      <w:r w:rsidR="001D2859" w:rsidRPr="005F390E">
        <w:t>functional</w:t>
      </w:r>
      <w:r w:rsidR="008E2F3C" w:rsidRPr="005F390E">
        <w:t xml:space="preserve"> impairments in age-related neurological conditions</w:t>
      </w:r>
      <w:r w:rsidR="001D2859" w:rsidRPr="005F390E">
        <w:t xml:space="preserve">, it is </w:t>
      </w:r>
      <w:r w:rsidR="00066CB5" w:rsidRPr="005F390E">
        <w:t xml:space="preserve">not </w:t>
      </w:r>
      <w:r w:rsidR="001D2859" w:rsidRPr="005F390E">
        <w:t>known</w:t>
      </w:r>
      <w:r w:rsidR="001D2859">
        <w:t xml:space="preserve"> which ones are sensitive enough to capture subtle fluctuation of performance in the absence of any cognitive pathology. </w:t>
      </w:r>
      <w:r w:rsidR="00AB2294">
        <w:t>The current status of understanding is that i</w:t>
      </w:r>
      <w:r w:rsidR="008E2F3C" w:rsidRPr="007A15F6">
        <w:t xml:space="preserve">n the non-pathological spectrum of cognitive </w:t>
      </w:r>
      <w:r w:rsidR="0036209B">
        <w:t>performance,</w:t>
      </w:r>
      <w:r w:rsidR="008E2F3C" w:rsidRPr="007A15F6">
        <w:t xml:space="preserve"> seniors’ ability in </w:t>
      </w:r>
      <w:r w:rsidR="0036209B">
        <w:t xml:space="preserve">conducting </w:t>
      </w:r>
      <w:r w:rsidR="008E2F3C" w:rsidRPr="007A15F6">
        <w:t>ADL</w:t>
      </w:r>
      <w:r w:rsidR="0036209B">
        <w:t>s</w:t>
      </w:r>
      <w:r w:rsidR="008E2F3C" w:rsidRPr="007A15F6">
        <w:t xml:space="preserve"> is most probably not</w:t>
      </w:r>
      <w:r w:rsidR="00CA61FE" w:rsidRPr="007A15F6">
        <w:t xml:space="preserve"> affected (Moore et al., 2007).</w:t>
      </w:r>
      <w:r w:rsidR="00EC4BA3" w:rsidRPr="007A15F6">
        <w:t xml:space="preserve"> </w:t>
      </w:r>
      <w:r w:rsidR="00AB2294">
        <w:t>On the other hand</w:t>
      </w:r>
      <w:r w:rsidR="001B7985" w:rsidRPr="007A15F6">
        <w:t xml:space="preserve">, IADL measures </w:t>
      </w:r>
      <w:r w:rsidR="00B90D7C" w:rsidRPr="007A15F6">
        <w:t>may</w:t>
      </w:r>
      <w:r w:rsidR="001B7985" w:rsidRPr="007A15F6">
        <w:t xml:space="preserve"> be more </w:t>
      </w:r>
      <w:r w:rsidR="00AB2294">
        <w:t>sensitive</w:t>
      </w:r>
      <w:r w:rsidR="001B7985" w:rsidRPr="007A15F6">
        <w:t xml:space="preserve"> </w:t>
      </w:r>
      <w:r w:rsidR="00AB2294">
        <w:t>in</w:t>
      </w:r>
      <w:r w:rsidR="001B7985" w:rsidRPr="007A15F6">
        <w:t xml:space="preserve"> assess</w:t>
      </w:r>
      <w:r w:rsidR="00AB2294">
        <w:t>ing</w:t>
      </w:r>
      <w:r w:rsidR="001B7985" w:rsidRPr="007A15F6">
        <w:t xml:space="preserve"> </w:t>
      </w:r>
      <w:r w:rsidR="00AB2294">
        <w:t>everyday functioning</w:t>
      </w:r>
      <w:r w:rsidR="001B7985" w:rsidRPr="007A15F6">
        <w:t xml:space="preserve"> in the </w:t>
      </w:r>
      <w:r w:rsidR="00AB2294">
        <w:t>face of subtle cognitive impairments,</w:t>
      </w:r>
      <w:r w:rsidR="001457BA">
        <w:t xml:space="preserve"> as the respective tasks are more complex, hence cognitively d</w:t>
      </w:r>
      <w:r w:rsidR="005B7DE8">
        <w:t>emanding and less automatized. However, t</w:t>
      </w:r>
      <w:r w:rsidR="005B7DE8" w:rsidRPr="007A15F6">
        <w:t>h</w:t>
      </w:r>
      <w:r w:rsidR="005B7DE8">
        <w:t>e</w:t>
      </w:r>
      <w:r w:rsidR="005B7DE8" w:rsidRPr="007A15F6">
        <w:t xml:space="preserve"> </w:t>
      </w:r>
      <w:r w:rsidR="005F390E">
        <w:t xml:space="preserve">assumed </w:t>
      </w:r>
      <w:r w:rsidR="005B7DE8">
        <w:t xml:space="preserve">comparative advantage of the IADL to assess cognitively intact older adults' everyday functioning, </w:t>
      </w:r>
      <w:r w:rsidR="005B7DE8" w:rsidRPr="007A15F6">
        <w:t>has not been</w:t>
      </w:r>
      <w:r w:rsidR="005F390E">
        <w:t>, to the authors knowledge,</w:t>
      </w:r>
      <w:r w:rsidR="005B7DE8" w:rsidRPr="007A15F6">
        <w:t xml:space="preserve"> examined empirically.</w:t>
      </w:r>
      <w:r w:rsidR="005B7DE8">
        <w:t xml:space="preserve"> </w:t>
      </w:r>
    </w:p>
    <w:p w:rsidR="000845EE" w:rsidRPr="007A15F6" w:rsidRDefault="00CD7FFD" w:rsidP="005C41B7">
      <w:pPr>
        <w:pStyle w:val="APAPar"/>
      </w:pPr>
      <w:r w:rsidRPr="005F390E">
        <w:t xml:space="preserve">A better understanding of which cognitive domains relate more </w:t>
      </w:r>
      <w:r w:rsidR="001E0B96" w:rsidRPr="005F390E">
        <w:t>to</w:t>
      </w:r>
      <w:r w:rsidRPr="005F390E">
        <w:t xml:space="preserve"> everyday functioning in the healthy spectrum of cognitive performance is essential, as it will </w:t>
      </w:r>
      <w:r w:rsidR="001E0B96" w:rsidRPr="005F390E">
        <w:t>inform as to which measures</w:t>
      </w:r>
      <w:r w:rsidRPr="005F390E">
        <w:t xml:space="preserve"> </w:t>
      </w:r>
      <w:r w:rsidR="001E0B96" w:rsidRPr="005F390E">
        <w:t>have better psychometric properties.</w:t>
      </w:r>
      <w:r w:rsidRPr="005F390E">
        <w:t xml:space="preserve"> Of equal importance is to gain further insight into IADL measures, and their sensitivity to capture age-related cognitive decrements</w:t>
      </w:r>
      <w:r>
        <w:t>.</w:t>
      </w:r>
      <w:r w:rsidR="00152693" w:rsidRPr="007A15F6">
        <w:t xml:space="preserve"> </w:t>
      </w:r>
      <w:r w:rsidR="005B7DE8">
        <w:t xml:space="preserve">At the same time, it is of essence to achieve a greater </w:t>
      </w:r>
      <w:r w:rsidR="008B5901">
        <w:t>understanding about the sensitivity of</w:t>
      </w:r>
      <w:r w:rsidR="001B7985" w:rsidRPr="007A15F6">
        <w:t xml:space="preserve"> </w:t>
      </w:r>
      <w:r w:rsidR="00B90D7C" w:rsidRPr="007A15F6">
        <w:lastRenderedPageBreak/>
        <w:t xml:space="preserve">IADL </w:t>
      </w:r>
      <w:r w:rsidR="001B7985" w:rsidRPr="007A15F6">
        <w:t xml:space="preserve">measures </w:t>
      </w:r>
      <w:r w:rsidR="008B5901">
        <w:t>to capture</w:t>
      </w:r>
      <w:r w:rsidR="000845EE">
        <w:t xml:space="preserve"> age-related cognitive decrements. The IADL </w:t>
      </w:r>
      <w:r w:rsidR="000845EE" w:rsidRPr="00870E98">
        <w:t xml:space="preserve">decrements </w:t>
      </w:r>
      <w:r w:rsidR="001B7985" w:rsidRPr="00870E98">
        <w:t xml:space="preserve">most commonly used in research are </w:t>
      </w:r>
      <w:r w:rsidR="00B90D7C" w:rsidRPr="00870E98">
        <w:t xml:space="preserve">either </w:t>
      </w:r>
      <w:r w:rsidR="001B7985" w:rsidRPr="00870E98">
        <w:t xml:space="preserve">questionnaire-based </w:t>
      </w:r>
      <w:r w:rsidR="00B90D7C" w:rsidRPr="00870E98">
        <w:t>or</w:t>
      </w:r>
      <w:r w:rsidR="00F04427" w:rsidRPr="00870E98">
        <w:t xml:space="preserve"> observation-based, the former</w:t>
      </w:r>
      <w:r w:rsidR="00AB2294" w:rsidRPr="00870E98">
        <w:t xml:space="preserve"> </w:t>
      </w:r>
      <w:r w:rsidR="00B90D7C" w:rsidRPr="00870E98">
        <w:t>usually</w:t>
      </w:r>
      <w:r w:rsidR="009320F0" w:rsidRPr="00870E98">
        <w:t xml:space="preserve"> </w:t>
      </w:r>
      <w:r w:rsidR="000845EE" w:rsidRPr="00870E98">
        <w:t>being</w:t>
      </w:r>
      <w:r w:rsidR="001B7985" w:rsidRPr="00870E98">
        <w:t xml:space="preserve"> self-report or informant report measures </w:t>
      </w:r>
      <w:r w:rsidR="00AB2294" w:rsidRPr="00870E98">
        <w:t xml:space="preserve">(Mystakidou et al., 2013). </w:t>
      </w:r>
      <w:r w:rsidR="00E566B6" w:rsidRPr="00870E98">
        <w:t>Observation-based</w:t>
      </w:r>
      <w:r w:rsidR="001336D8" w:rsidRPr="00870E98">
        <w:t xml:space="preserve"> </w:t>
      </w:r>
      <w:r w:rsidR="00F372E2" w:rsidRPr="00870E98">
        <w:t>everyday functioning</w:t>
      </w:r>
      <w:r w:rsidR="001336D8" w:rsidRPr="00870E98">
        <w:t xml:space="preserve"> assessments</w:t>
      </w:r>
      <w:r w:rsidR="00E566B6" w:rsidRPr="00870E98">
        <w:t xml:space="preserve"> </w:t>
      </w:r>
      <w:r w:rsidR="000845EE" w:rsidRPr="00870E98">
        <w:t>are</w:t>
      </w:r>
      <w:r w:rsidR="00E566B6" w:rsidRPr="00870E98">
        <w:t xml:space="preserve"> useful </w:t>
      </w:r>
      <w:r w:rsidR="00384D06" w:rsidRPr="00870E98">
        <w:t xml:space="preserve">when precision and objectivity are </w:t>
      </w:r>
      <w:r w:rsidRPr="00870E98">
        <w:t>most important</w:t>
      </w:r>
      <w:r w:rsidR="00384D06" w:rsidRPr="00870E98">
        <w:t>.</w:t>
      </w:r>
      <w:r w:rsidR="00E566B6" w:rsidRPr="00870E98">
        <w:t xml:space="preserve"> </w:t>
      </w:r>
      <w:r w:rsidR="000845EE" w:rsidRPr="00870E98">
        <w:t>U</w:t>
      </w:r>
      <w:r w:rsidR="00E566B6" w:rsidRPr="00870E98">
        <w:t>sually</w:t>
      </w:r>
      <w:r w:rsidR="000845EE" w:rsidRPr="00870E98">
        <w:t xml:space="preserve"> though</w:t>
      </w:r>
      <w:r w:rsidR="00986B9E" w:rsidRPr="00870E98">
        <w:t>,</w:t>
      </w:r>
      <w:r w:rsidR="00E566B6" w:rsidRPr="00870E98">
        <w:t xml:space="preserve"> they are much time-consuming and require more resources than</w:t>
      </w:r>
      <w:r w:rsidR="00E566B6" w:rsidRPr="007A15F6">
        <w:t xml:space="preserve"> the administration of questionnaire-based</w:t>
      </w:r>
      <w:r w:rsidR="009320F0">
        <w:t xml:space="preserve"> measures</w:t>
      </w:r>
      <w:r w:rsidR="008D74A6">
        <w:t>, and therefore are</w:t>
      </w:r>
      <w:r w:rsidR="00986B9E">
        <w:t xml:space="preserve"> </w:t>
      </w:r>
      <w:r w:rsidR="000845EE">
        <w:t xml:space="preserve">not </w:t>
      </w:r>
      <w:r w:rsidR="00986B9E">
        <w:t>preferred over the latter</w:t>
      </w:r>
      <w:r w:rsidR="00E566B6" w:rsidRPr="007A15F6">
        <w:t xml:space="preserve">. </w:t>
      </w:r>
      <w:r w:rsidR="000845EE">
        <w:t>On the other hand, s</w:t>
      </w:r>
      <w:r w:rsidR="000845EE" w:rsidRPr="007A15F6">
        <w:t xml:space="preserve">ignificant concerns have been raised for the accuracy and the reliability </w:t>
      </w:r>
      <w:r w:rsidR="000845EE">
        <w:t xml:space="preserve">either </w:t>
      </w:r>
      <w:r w:rsidR="000845EE" w:rsidRPr="007A15F6">
        <w:t xml:space="preserve">of one’s evaluation of others and </w:t>
      </w:r>
      <w:r w:rsidR="000845EE">
        <w:t xml:space="preserve">of one’s </w:t>
      </w:r>
      <w:r w:rsidR="000845EE" w:rsidRPr="007A15F6">
        <w:t xml:space="preserve">own everyday functionality (Ball et al., 2010). As Diehl et al. (2005, p2.) stated: </w:t>
      </w:r>
    </w:p>
    <w:p w:rsidR="000845EE" w:rsidRPr="00053476" w:rsidRDefault="000845EE" w:rsidP="00640C1B">
      <w:pPr>
        <w:pStyle w:val="APAPar"/>
        <w:widowControl w:val="0"/>
        <w:ind w:leftChars="400" w:left="960" w:rightChars="400" w:right="960" w:firstLine="0"/>
        <w:jc w:val="both"/>
        <w:rPr>
          <w:rStyle w:val="Emphasis"/>
        </w:rPr>
      </w:pPr>
      <w:r w:rsidRPr="00053476">
        <w:rPr>
          <w:rStyle w:val="Emphasis"/>
        </w:rPr>
        <w:t xml:space="preserve">Self-report measures are subject to self-evaluation biases, including both overestimation and underestimation of functioning and lack of congruence with proxy or clinician ratings.  </w:t>
      </w:r>
    </w:p>
    <w:p w:rsidR="008D74A6" w:rsidRDefault="001336D8" w:rsidP="005C41B7">
      <w:pPr>
        <w:pStyle w:val="APAPar"/>
      </w:pPr>
      <w:r w:rsidRPr="007A15F6">
        <w:t>A</w:t>
      </w:r>
      <w:r w:rsidR="007A195D" w:rsidRPr="007A15F6">
        <w:t xml:space="preserve"> comparative analysis </w:t>
      </w:r>
      <w:r w:rsidR="00E566B6" w:rsidRPr="007A15F6">
        <w:t xml:space="preserve">that examines potential psychometric advantages </w:t>
      </w:r>
      <w:r w:rsidR="009826D1" w:rsidRPr="007A15F6">
        <w:t>between</w:t>
      </w:r>
      <w:r w:rsidR="007A195D" w:rsidRPr="007A15F6">
        <w:t xml:space="preserve"> </w:t>
      </w:r>
      <w:r w:rsidR="00C92DC5" w:rsidRPr="007A15F6">
        <w:t>the</w:t>
      </w:r>
      <w:r w:rsidR="00E566B6" w:rsidRPr="007A15F6">
        <w:t xml:space="preserve"> two</w:t>
      </w:r>
      <w:r w:rsidR="00C92DC5" w:rsidRPr="007A15F6">
        <w:t xml:space="preserve"> types of </w:t>
      </w:r>
      <w:r w:rsidR="00F372E2">
        <w:t>everyday functioning</w:t>
      </w:r>
      <w:r w:rsidR="0053506C" w:rsidRPr="007A15F6">
        <w:t xml:space="preserve"> </w:t>
      </w:r>
      <w:r w:rsidR="00C92DC5" w:rsidRPr="007A15F6">
        <w:t>assessments (i.e., questionnaire-based and observation b</w:t>
      </w:r>
      <w:r w:rsidR="00A30504">
        <w:t>a</w:t>
      </w:r>
      <w:r w:rsidR="004A2AD8">
        <w:t>sed) has not been made to date.</w:t>
      </w:r>
      <w:r w:rsidR="008D74A6" w:rsidRPr="008D74A6">
        <w:t xml:space="preserve"> </w:t>
      </w:r>
      <w:r w:rsidR="008D74A6">
        <w:t xml:space="preserve">A clear separation in this respect could lead to the examination of the </w:t>
      </w:r>
      <w:r w:rsidR="008D74A6" w:rsidRPr="007A15F6">
        <w:t>assessment tools</w:t>
      </w:r>
      <w:r w:rsidR="008D74A6">
        <w:t>’ suitability, made possible by reporting those neuropsychological assessments that correlate stronger with e</w:t>
      </w:r>
      <w:r w:rsidR="00367D37">
        <w:t>veryday functioning assessments. The finding of a stronger correlation could be taken as</w:t>
      </w:r>
      <w:r w:rsidR="008D74A6">
        <w:t xml:space="preserve"> an indication that they capture </w:t>
      </w:r>
      <w:r w:rsidR="001E0B96" w:rsidRPr="005F390E">
        <w:t>more effectively</w:t>
      </w:r>
      <w:r w:rsidR="008D74A6">
        <w:t xml:space="preserve"> the correspondence of cognitive decrements to functional impairments.</w:t>
      </w:r>
    </w:p>
    <w:p w:rsidR="00C26B31" w:rsidRPr="000845EE" w:rsidRDefault="000845EE" w:rsidP="005C41B7">
      <w:pPr>
        <w:pStyle w:val="APAPar"/>
        <w:rPr>
          <w:lang w:val="en-US"/>
        </w:rPr>
      </w:pPr>
      <w:r>
        <w:t xml:space="preserve"> A not</w:t>
      </w:r>
      <w:r w:rsidR="008D74A6">
        <w:t>e</w:t>
      </w:r>
      <w:r>
        <w:t xml:space="preserve"> of caution for this examination, as well as for the </w:t>
      </w:r>
      <w:r w:rsidR="00C26B31">
        <w:t xml:space="preserve">examination of the relation between </w:t>
      </w:r>
      <w:r w:rsidR="00F12587">
        <w:t xml:space="preserve">cognitive performance and everyday functioning </w:t>
      </w:r>
      <w:r>
        <w:t xml:space="preserve">is </w:t>
      </w:r>
      <w:r w:rsidR="00F12587">
        <w:t xml:space="preserve">the potential </w:t>
      </w:r>
      <w:r w:rsidR="00F12587" w:rsidRPr="00367D37">
        <w:t>moderation effect</w:t>
      </w:r>
      <w:r w:rsidR="001E0B96" w:rsidRPr="00367D37">
        <w:t>s</w:t>
      </w:r>
      <w:r w:rsidR="00F12587">
        <w:t xml:space="preserve"> that ag</w:t>
      </w:r>
      <w:r w:rsidR="00F929E7">
        <w:t>e and education</w:t>
      </w:r>
      <w:r w:rsidR="008D74A6">
        <w:t xml:space="preserve"> can have</w:t>
      </w:r>
      <w:r w:rsidR="00F929E7" w:rsidRPr="007A15F6">
        <w:t xml:space="preserve">. </w:t>
      </w:r>
      <w:r w:rsidR="0016603D">
        <w:t>The relation between education and cognitive vitality was discussed in detail in the previous chapter, in the context of th</w:t>
      </w:r>
      <w:r w:rsidR="00A86766">
        <w:t xml:space="preserve">e cognitive reserve hypothesis, </w:t>
      </w:r>
      <w:r w:rsidR="00A86766">
        <w:lastRenderedPageBreak/>
        <w:t xml:space="preserve">which </w:t>
      </w:r>
      <w:r w:rsidR="00A86766" w:rsidRPr="007A15F6">
        <w:t xml:space="preserve">postulates that individuals of higher education build a cognitive reserve </w:t>
      </w:r>
      <w:r w:rsidR="00A86766">
        <w:t xml:space="preserve">through neuronal plasticity </w:t>
      </w:r>
      <w:r w:rsidR="00A86766" w:rsidRPr="007A15F6">
        <w:t xml:space="preserve">that can </w:t>
      </w:r>
      <w:r w:rsidR="00A86766">
        <w:t xml:space="preserve">more effectively bear </w:t>
      </w:r>
      <w:r w:rsidR="00A86766" w:rsidRPr="007A15F6">
        <w:t>age-related neuronal degeneration (Mortiner, 1988).</w:t>
      </w:r>
      <w:r w:rsidR="00A86766">
        <w:t xml:space="preserve"> </w:t>
      </w:r>
      <w:r w:rsidR="00F929E7" w:rsidRPr="007A15F6">
        <w:t>Marcotte et al. (2010) commented</w:t>
      </w:r>
      <w:r w:rsidR="009F3132">
        <w:t xml:space="preserve"> </w:t>
      </w:r>
      <w:r w:rsidR="00F929E7" w:rsidRPr="007A15F6">
        <w:t xml:space="preserve">that most </w:t>
      </w:r>
      <w:r w:rsidR="00F929E7">
        <w:t>neuro</w:t>
      </w:r>
      <w:r w:rsidR="0016603D">
        <w:t xml:space="preserve">psychological </w:t>
      </w:r>
      <w:r w:rsidR="009F3132">
        <w:t xml:space="preserve">and functional </w:t>
      </w:r>
      <w:r w:rsidR="00F929E7">
        <w:t xml:space="preserve">assessments </w:t>
      </w:r>
      <w:r w:rsidR="00F929E7" w:rsidRPr="007A15F6">
        <w:t>follow a structure and procedure that assimilate those of class-based</w:t>
      </w:r>
      <w:r w:rsidR="009F3132">
        <w:t xml:space="preserve"> test</w:t>
      </w:r>
      <w:r w:rsidR="004A2AD8">
        <w:t>s</w:t>
      </w:r>
      <w:r w:rsidR="00F929E7" w:rsidRPr="007A15F6">
        <w:t xml:space="preserve">. </w:t>
      </w:r>
      <w:r w:rsidR="009F3132">
        <w:t>As a consequence</w:t>
      </w:r>
      <w:r w:rsidR="00F929E7" w:rsidRPr="007A15F6">
        <w:t xml:space="preserve">, </w:t>
      </w:r>
      <w:r w:rsidR="00F650A9">
        <w:t>less</w:t>
      </w:r>
      <w:r w:rsidR="00F929E7" w:rsidRPr="007A15F6">
        <w:t xml:space="preserve"> educated individuals </w:t>
      </w:r>
      <w:r w:rsidR="009F3132">
        <w:t>may be</w:t>
      </w:r>
      <w:r w:rsidR="00F929E7" w:rsidRPr="007A15F6">
        <w:t xml:space="preserve"> </w:t>
      </w:r>
      <w:r w:rsidR="00F650A9">
        <w:t>less</w:t>
      </w:r>
      <w:r w:rsidR="00F929E7" w:rsidRPr="007A15F6">
        <w:t xml:space="preserve"> familiar with such </w:t>
      </w:r>
      <w:r w:rsidR="004A2AD8">
        <w:t xml:space="preserve">types of </w:t>
      </w:r>
      <w:r w:rsidR="00F650A9">
        <w:t>tests,</w:t>
      </w:r>
      <w:r w:rsidR="00A30504">
        <w:t xml:space="preserve"> </w:t>
      </w:r>
      <w:r w:rsidR="009C0476">
        <w:t xml:space="preserve">thus </w:t>
      </w:r>
      <w:r w:rsidR="00A30504">
        <w:t>facing</w:t>
      </w:r>
      <w:r w:rsidR="000625E9">
        <w:t xml:space="preserve"> additional challenges </w:t>
      </w:r>
      <w:r w:rsidR="00F650A9">
        <w:t xml:space="preserve">in </w:t>
      </w:r>
      <w:r w:rsidR="008D74A6">
        <w:t>completing them</w:t>
      </w:r>
      <w:r w:rsidR="000625E9">
        <w:t xml:space="preserve">. </w:t>
      </w:r>
      <w:r w:rsidR="009F3132">
        <w:t xml:space="preserve">As older generations have received less years of education </w:t>
      </w:r>
      <w:r w:rsidR="000625E9">
        <w:t>in average</w:t>
      </w:r>
      <w:r w:rsidR="000625E9" w:rsidRPr="007A15F6">
        <w:t xml:space="preserve">, </w:t>
      </w:r>
      <w:r w:rsidR="000625E9">
        <w:t>greater age an</w:t>
      </w:r>
      <w:r w:rsidR="00AC7538">
        <w:t xml:space="preserve">d less education </w:t>
      </w:r>
      <w:r w:rsidR="00AC7538" w:rsidRPr="00367D37">
        <w:t xml:space="preserve">may </w:t>
      </w:r>
      <w:r w:rsidR="00CD7FFD" w:rsidRPr="00367D37">
        <w:t>lead to an underestimation o</w:t>
      </w:r>
      <w:r w:rsidR="00CD7FFD">
        <w:t xml:space="preserve">f </w:t>
      </w:r>
      <w:r w:rsidR="000625E9">
        <w:t xml:space="preserve">the </w:t>
      </w:r>
      <w:r>
        <w:t xml:space="preserve">strength of the </w:t>
      </w:r>
      <w:r w:rsidR="000625E9">
        <w:t>relation between cognitive perfo</w:t>
      </w:r>
      <w:r w:rsidR="00A97CCD">
        <w:t>rmance and everyday functioning</w:t>
      </w:r>
      <w:r w:rsidR="008D74A6">
        <w:t>, reflecting education-related difficulties in completing those tests</w:t>
      </w:r>
      <w:r w:rsidR="00367D37">
        <w:t xml:space="preserve"> rather than less cognitive capacity</w:t>
      </w:r>
      <w:r w:rsidR="00A97CCD">
        <w:t>.</w:t>
      </w:r>
    </w:p>
    <w:p w:rsidR="007E538B" w:rsidRDefault="00E566B6" w:rsidP="005C41B7">
      <w:pPr>
        <w:pStyle w:val="APAPar"/>
      </w:pPr>
      <w:r w:rsidRPr="007A15F6">
        <w:t xml:space="preserve">In the context of this </w:t>
      </w:r>
      <w:r w:rsidR="009826D1" w:rsidRPr="007A15F6">
        <w:t>t</w:t>
      </w:r>
      <w:r w:rsidR="00DD000E" w:rsidRPr="007A15F6">
        <w:t>hesis</w:t>
      </w:r>
      <w:r w:rsidR="00562360" w:rsidRPr="007A15F6">
        <w:t>,</w:t>
      </w:r>
      <w:r w:rsidR="001336D8" w:rsidRPr="007A15F6">
        <w:t xml:space="preserve"> </w:t>
      </w:r>
      <w:r w:rsidRPr="007A15F6">
        <w:t xml:space="preserve">a better understanding of the relation between </w:t>
      </w:r>
      <w:r w:rsidR="00F372E2">
        <w:t>cognitive performance</w:t>
      </w:r>
      <w:r w:rsidRPr="007A15F6">
        <w:t xml:space="preserve"> and </w:t>
      </w:r>
      <w:r w:rsidR="00F372E2">
        <w:t>everyday functioning</w:t>
      </w:r>
      <w:r w:rsidRPr="007A15F6">
        <w:t xml:space="preserve"> in the healthy spectrum of cognitive ageing </w:t>
      </w:r>
      <w:r w:rsidR="00AC74FC">
        <w:t xml:space="preserve">was </w:t>
      </w:r>
      <w:r w:rsidR="001E0B96">
        <w:t xml:space="preserve">considered </w:t>
      </w:r>
      <w:r w:rsidR="001E0B96" w:rsidRPr="00367D37">
        <w:t>an</w:t>
      </w:r>
      <w:r w:rsidR="001336D8" w:rsidRPr="007A15F6">
        <w:t xml:space="preserve"> imperative</w:t>
      </w:r>
      <w:r w:rsidRPr="007A15F6">
        <w:t xml:space="preserve">. </w:t>
      </w:r>
      <w:r w:rsidR="001336D8" w:rsidRPr="007A15F6">
        <w:t xml:space="preserve">Therefore, a statistical meta-analysis </w:t>
      </w:r>
      <w:r w:rsidR="00F372E2">
        <w:t xml:space="preserve">was </w:t>
      </w:r>
      <w:r w:rsidR="008D74A6">
        <w:t>conducted</w:t>
      </w:r>
      <w:r w:rsidR="00AB2D24">
        <w:t>, in order to examine</w:t>
      </w:r>
      <w:r w:rsidR="001336D8" w:rsidRPr="007A15F6">
        <w:t xml:space="preserve"> in the healthy spectrum of cognitive ageing i) the strength of the relation between </w:t>
      </w:r>
      <w:r w:rsidR="00F372E2">
        <w:t>cognitive performance</w:t>
      </w:r>
      <w:r w:rsidR="001336D8" w:rsidRPr="007A15F6">
        <w:t xml:space="preserve"> and </w:t>
      </w:r>
      <w:r w:rsidR="00F372E2">
        <w:t>everyday functioning</w:t>
      </w:r>
      <w:r w:rsidR="001336D8" w:rsidRPr="007A15F6">
        <w:t xml:space="preserve">, ii) which cognitive domains seem to relate more strongly with </w:t>
      </w:r>
      <w:r w:rsidR="00F372E2">
        <w:t>everyday functioning</w:t>
      </w:r>
      <w:r w:rsidR="001336D8" w:rsidRPr="007A15F6">
        <w:t>,</w:t>
      </w:r>
      <w:r w:rsidR="00562360" w:rsidRPr="007A15F6">
        <w:t xml:space="preserve"> and</w:t>
      </w:r>
      <w:r w:rsidR="001336D8" w:rsidRPr="007A15F6">
        <w:t xml:space="preserve"> iii</w:t>
      </w:r>
      <w:r w:rsidR="001336D8" w:rsidRPr="00367D37">
        <w:t xml:space="preserve">) </w:t>
      </w:r>
      <w:r w:rsidR="00CD7FFD" w:rsidRPr="00367D37">
        <w:t>which everyday functioning measurements,  questionnaire-based v</w:t>
      </w:r>
      <w:r w:rsidR="00826666" w:rsidRPr="00367D37">
        <w:t>s observation-based, relate most</w:t>
      </w:r>
      <w:r w:rsidR="00CD7FFD" w:rsidRPr="00367D37">
        <w:t xml:space="preserve"> strongly with cognitive performance</w:t>
      </w:r>
      <w:r w:rsidR="003D5338" w:rsidRPr="00367D37">
        <w:t>, iv) any potential moderation effect of education and age in the relation between cognitive performance and everyday functioning</w:t>
      </w:r>
      <w:r w:rsidR="007E538B" w:rsidRPr="00367D37">
        <w:t>.</w:t>
      </w:r>
    </w:p>
    <w:p w:rsidR="007E538B" w:rsidRDefault="00CD7FFD" w:rsidP="005C41B7">
      <w:pPr>
        <w:pStyle w:val="APAPar"/>
      </w:pPr>
      <w:r w:rsidRPr="00367D37">
        <w:t>An initial</w:t>
      </w:r>
      <w:r w:rsidR="00555859" w:rsidRPr="00367D37">
        <w:t xml:space="preserve"> review of</w:t>
      </w:r>
      <w:r w:rsidR="007E538B" w:rsidRPr="00367D37">
        <w:t xml:space="preserve"> the </w:t>
      </w:r>
      <w:r w:rsidR="00E74FDA" w:rsidRPr="00367D37">
        <w:t>literature on cognitive ageing</w:t>
      </w:r>
      <w:r w:rsidR="00300C68" w:rsidRPr="00367D37">
        <w:t>,</w:t>
      </w:r>
      <w:r w:rsidR="00E74FDA" w:rsidRPr="00367D37">
        <w:t xml:space="preserve"> including </w:t>
      </w:r>
      <w:r w:rsidR="007E538B" w:rsidRPr="00367D37">
        <w:t>cross-sec</w:t>
      </w:r>
      <w:r w:rsidR="00300C68" w:rsidRPr="00367D37">
        <w:t xml:space="preserve">tional and longitudinal studies </w:t>
      </w:r>
      <w:r w:rsidR="008D74A6" w:rsidRPr="00367D37">
        <w:t>that used</w:t>
      </w:r>
      <w:r w:rsidR="00300C68" w:rsidRPr="00367D37">
        <w:t xml:space="preserve"> </w:t>
      </w:r>
      <w:r w:rsidR="007E538B" w:rsidRPr="00367D37">
        <w:t xml:space="preserve">observational </w:t>
      </w:r>
      <w:r w:rsidR="00300C68" w:rsidRPr="00367D37">
        <w:t xml:space="preserve">or </w:t>
      </w:r>
      <w:r w:rsidR="007E538B" w:rsidRPr="00367D37">
        <w:t>experimental (i.e., intervention studies)</w:t>
      </w:r>
      <w:r w:rsidR="00300C68" w:rsidRPr="00367D37">
        <w:t xml:space="preserve"> design</w:t>
      </w:r>
      <w:r w:rsidR="008D74A6" w:rsidRPr="00367D37">
        <w:t>s</w:t>
      </w:r>
      <w:r w:rsidRPr="00367D37">
        <w:t xml:space="preserve"> was first conducted</w:t>
      </w:r>
      <w:r w:rsidR="007E538B" w:rsidRPr="00367D37">
        <w:t xml:space="preserve">. The strengths and weaknesses of these types of studies were analysed and discussed in the previous chapter. </w:t>
      </w:r>
      <w:r w:rsidR="00AC74FC" w:rsidRPr="00367D37">
        <w:t xml:space="preserve">In </w:t>
      </w:r>
      <w:r w:rsidR="001E0B96" w:rsidRPr="00367D37">
        <w:t xml:space="preserve">the </w:t>
      </w:r>
      <w:r w:rsidR="00AC74FC" w:rsidRPr="00367D37">
        <w:t>case of longitudinal data, only the baseline effects sizes where extracted for the relation between cognitive performance and everyday</w:t>
      </w:r>
      <w:r w:rsidR="00AC74FC">
        <w:t xml:space="preserve"> </w:t>
      </w:r>
      <w:r w:rsidR="00AC74FC">
        <w:lastRenderedPageBreak/>
        <w:t xml:space="preserve">functioning. </w:t>
      </w:r>
      <w:r w:rsidR="007E538B">
        <w:t xml:space="preserve">To make the comparability of the results possible, only correlation based effects sizes (Pearson </w:t>
      </w:r>
      <w:r w:rsidR="007E538B" w:rsidRPr="007A15F6">
        <w:t>correlation</w:t>
      </w:r>
      <w:r w:rsidR="007E538B">
        <w:t>s, standardized regressions</w:t>
      </w:r>
      <w:r w:rsidR="007E538B" w:rsidRPr="007A15F6">
        <w:t xml:space="preserve">, or </w:t>
      </w:r>
      <w:r w:rsidR="007E538B" w:rsidRPr="007A15F6">
        <w:rPr>
          <w:i/>
        </w:rPr>
        <w:t>R</w:t>
      </w:r>
      <w:r w:rsidR="007E538B" w:rsidRPr="007A15F6">
        <w:rPr>
          <w:vertAlign w:val="superscript"/>
        </w:rPr>
        <w:t>2</w:t>
      </w:r>
      <w:r w:rsidR="007E538B">
        <w:t>) were extracted.</w:t>
      </w:r>
      <w:r w:rsidR="00083F64" w:rsidRPr="00083F64">
        <w:t xml:space="preserve"> </w:t>
      </w:r>
      <w:r w:rsidR="00083F64">
        <w:t xml:space="preserve">This allowed </w:t>
      </w:r>
      <w:r w:rsidR="00E90E7D">
        <w:t>synthesizing all effect sizes</w:t>
      </w:r>
      <w:r w:rsidR="008D74A6">
        <w:t xml:space="preserve"> reported for the relation</w:t>
      </w:r>
      <w:r w:rsidR="00083F64">
        <w:t xml:space="preserve"> </w:t>
      </w:r>
      <w:r w:rsidR="008D74A6">
        <w:t xml:space="preserve">of </w:t>
      </w:r>
      <w:r w:rsidR="00083F64">
        <w:t xml:space="preserve">cognitive performance </w:t>
      </w:r>
      <w:r w:rsidR="008D74A6">
        <w:t>with</w:t>
      </w:r>
      <w:r w:rsidR="00083F64">
        <w:t xml:space="preserve"> everyday functioning at one time point</w:t>
      </w:r>
      <w:r w:rsidR="00083F64" w:rsidRPr="007A15F6">
        <w:t>.</w:t>
      </w:r>
      <w:r w:rsidR="00083F64">
        <w:t xml:space="preserve"> </w:t>
      </w:r>
      <w:r w:rsidR="007E538B">
        <w:t xml:space="preserve"> </w:t>
      </w:r>
    </w:p>
    <w:p w:rsidR="00150530" w:rsidRPr="007A15F6" w:rsidRDefault="007E538B" w:rsidP="005C41B7">
      <w:pPr>
        <w:pStyle w:val="APAPar"/>
      </w:pPr>
      <w:r>
        <w:t xml:space="preserve"> </w:t>
      </w:r>
      <w:r w:rsidR="00116C36" w:rsidRPr="007A15F6">
        <w:t xml:space="preserve">It was hypothesized that </w:t>
      </w:r>
      <w:r w:rsidR="00F372E2">
        <w:t>cognitive performance</w:t>
      </w:r>
      <w:r w:rsidR="00116C36" w:rsidRPr="007A15F6">
        <w:t xml:space="preserve"> </w:t>
      </w:r>
      <w:r w:rsidR="00CD7FFD" w:rsidRPr="00367D37">
        <w:t>would</w:t>
      </w:r>
      <w:r w:rsidR="00570AD8" w:rsidRPr="00367D37">
        <w:t xml:space="preserve"> be </w:t>
      </w:r>
      <w:r w:rsidR="00E90E7D" w:rsidRPr="00367D37">
        <w:t>related with</w:t>
      </w:r>
      <w:r w:rsidR="00116C36" w:rsidRPr="00367D37">
        <w:t xml:space="preserve"> </w:t>
      </w:r>
      <w:r w:rsidR="00F372E2" w:rsidRPr="00367D37">
        <w:t>everyday functioning</w:t>
      </w:r>
      <w:r w:rsidR="00116C36" w:rsidRPr="00367D37">
        <w:t xml:space="preserve"> </w:t>
      </w:r>
      <w:r w:rsidR="001849F6" w:rsidRPr="00367D37">
        <w:t>among cognitively healthy older adults</w:t>
      </w:r>
      <w:r w:rsidR="00116C36" w:rsidRPr="00367D37">
        <w:t>.</w:t>
      </w:r>
      <w:r w:rsidR="00027145" w:rsidRPr="00367D37">
        <w:t xml:space="preserve"> It was also hypothesized that </w:t>
      </w:r>
      <w:r w:rsidR="001849F6" w:rsidRPr="00367D37">
        <w:t>the effect sizes</w:t>
      </w:r>
      <w:r w:rsidR="00CD7FFD" w:rsidRPr="00367D37">
        <w:t xml:space="preserve"> of this relation would</w:t>
      </w:r>
      <w:r w:rsidR="00E23B5C" w:rsidRPr="00367D37">
        <w:t xml:space="preserve"> be stronger among observation</w:t>
      </w:r>
      <w:r w:rsidR="00E23B5C">
        <w:t>-based measures</w:t>
      </w:r>
      <w:r w:rsidR="006F470E">
        <w:t xml:space="preserve"> of everyday functioning</w:t>
      </w:r>
      <w:r w:rsidR="00E23B5C">
        <w:t xml:space="preserve">. Lastly, it was hypothesized that </w:t>
      </w:r>
      <w:r w:rsidR="00491841">
        <w:t>age and education</w:t>
      </w:r>
      <w:r w:rsidR="00E23B5C">
        <w:t xml:space="preserve"> </w:t>
      </w:r>
      <w:r w:rsidR="00367D37">
        <w:t>would</w:t>
      </w:r>
      <w:r w:rsidR="00116C36" w:rsidRPr="007A15F6">
        <w:t xml:space="preserve"> </w:t>
      </w:r>
      <w:r w:rsidR="00491841">
        <w:t xml:space="preserve">moderate the relation that cognitive </w:t>
      </w:r>
      <w:r w:rsidR="007224AF">
        <w:t>and functional performance of older adults has</w:t>
      </w:r>
      <w:r w:rsidR="006F470E">
        <w:t xml:space="preserve"> in the reviewed studies</w:t>
      </w:r>
      <w:r w:rsidR="00491841">
        <w:t xml:space="preserve">. </w:t>
      </w:r>
      <w:r w:rsidR="00033E2C" w:rsidRPr="007A15F6">
        <w:t xml:space="preserve">To </w:t>
      </w:r>
      <w:r w:rsidR="00DC2EF2">
        <w:t xml:space="preserve">the author’s </w:t>
      </w:r>
      <w:r w:rsidR="00033E2C" w:rsidRPr="007A15F6">
        <w:t xml:space="preserve">knowledge, this is the first meta-analytic review </w:t>
      </w:r>
      <w:r w:rsidR="00562360" w:rsidRPr="007A15F6">
        <w:t xml:space="preserve">that </w:t>
      </w:r>
      <w:r w:rsidR="00EC4BA3" w:rsidRPr="007A15F6">
        <w:t>examined these research questions</w:t>
      </w:r>
      <w:r w:rsidR="00033E2C" w:rsidRPr="007A15F6">
        <w:t>.</w:t>
      </w:r>
      <w:r w:rsidR="00562360" w:rsidRPr="007A15F6">
        <w:t xml:space="preserve"> </w:t>
      </w:r>
    </w:p>
    <w:p w:rsidR="00656481" w:rsidRPr="007A15F6" w:rsidRDefault="00656481" w:rsidP="00FE028D">
      <w:pPr>
        <w:pStyle w:val="Heading2"/>
      </w:pPr>
      <w:bookmarkStart w:id="102" w:name="_Toc373425960"/>
      <w:bookmarkStart w:id="103" w:name="_Toc521184195"/>
      <w:r w:rsidRPr="007A15F6">
        <w:t>Method</w:t>
      </w:r>
      <w:bookmarkEnd w:id="102"/>
      <w:bookmarkEnd w:id="103"/>
    </w:p>
    <w:p w:rsidR="00593884" w:rsidRDefault="006D1A13" w:rsidP="005C41B7">
      <w:pPr>
        <w:pStyle w:val="APAPar"/>
      </w:pPr>
      <w:bookmarkStart w:id="104" w:name="_Toc373425961"/>
      <w:r w:rsidRPr="00367D37">
        <w:t xml:space="preserve">The meta-analytic process </w:t>
      </w:r>
      <w:r w:rsidRPr="00367D37">
        <w:rPr>
          <w:lang w:val="en-US"/>
        </w:rPr>
        <w:t xml:space="preserve">followed </w:t>
      </w:r>
      <w:r w:rsidR="00AC74FC" w:rsidRPr="00367D37">
        <w:t>the Meta-Analyses Reporting St</w:t>
      </w:r>
      <w:r w:rsidR="00593884" w:rsidRPr="00367D37">
        <w:t>andards (MARS) from APA (2008)</w:t>
      </w:r>
      <w:r w:rsidR="006F470E" w:rsidRPr="00367D37">
        <w:t>, both in content and structure</w:t>
      </w:r>
      <w:r w:rsidR="00593884" w:rsidRPr="00367D37">
        <w:t>.</w:t>
      </w:r>
      <w:r w:rsidR="00EA7877" w:rsidRPr="00367D37">
        <w:t xml:space="preserve"> These are recommendations for inclusion in manuscripts that report new data collections regardless of research design. For the case of meta-analytic studies, the recommendations are set as described in table </w:t>
      </w:r>
      <w:r w:rsidR="000D4CDC" w:rsidRPr="00367D37">
        <w:t>4</w:t>
      </w:r>
      <w:r w:rsidR="00EA7877" w:rsidRPr="00367D37">
        <w:t>.1.</w:t>
      </w:r>
    </w:p>
    <w:p w:rsidR="00593884" w:rsidRPr="00870E98" w:rsidRDefault="00593884" w:rsidP="00A91C56">
      <w:pPr>
        <w:pStyle w:val="Heading3"/>
      </w:pPr>
      <w:bookmarkStart w:id="105" w:name="_Toc521184196"/>
      <w:r>
        <w:t xml:space="preserve">Inclusion and </w:t>
      </w:r>
      <w:r w:rsidRPr="00870E98">
        <w:t>exclusion criteria</w:t>
      </w:r>
      <w:bookmarkEnd w:id="105"/>
    </w:p>
    <w:p w:rsidR="005A27E9" w:rsidRDefault="00E51DE8" w:rsidP="005C41B7">
      <w:pPr>
        <w:pStyle w:val="APAPar"/>
      </w:pPr>
      <w:r w:rsidRPr="00870E98">
        <w:t>Studies that used</w:t>
      </w:r>
      <w:r w:rsidR="00A41EDF" w:rsidRPr="00870E98">
        <w:t xml:space="preserve"> in </w:t>
      </w:r>
      <w:r w:rsidR="00367D37" w:rsidRPr="00870E98">
        <w:t xml:space="preserve">their </w:t>
      </w:r>
      <w:r w:rsidR="00A41EDF" w:rsidRPr="00870E98">
        <w:t xml:space="preserve">research protocol </w:t>
      </w:r>
      <w:r w:rsidRPr="00870E98">
        <w:t xml:space="preserve">neuropsychological and </w:t>
      </w:r>
      <w:r w:rsidR="00A41EDF" w:rsidRPr="00870E98">
        <w:t>everyday functioning assessments were</w:t>
      </w:r>
      <w:r w:rsidR="005C717C" w:rsidRPr="00870E98">
        <w:t xml:space="preserve"> considered fo</w:t>
      </w:r>
      <w:r w:rsidR="008D74A6" w:rsidRPr="00870E98">
        <w:t>r inclusion in this meta-analysi</w:t>
      </w:r>
      <w:r w:rsidR="00A41EDF" w:rsidRPr="00870E98">
        <w:t xml:space="preserve">s. </w:t>
      </w:r>
      <w:r w:rsidR="00182402" w:rsidRPr="007A15F6">
        <w:t>The exclusion criteria</w:t>
      </w:r>
      <w:r w:rsidR="006E6E21">
        <w:t xml:space="preserve"> for the</w:t>
      </w:r>
      <w:r w:rsidR="00182402">
        <w:t xml:space="preserve"> </w:t>
      </w:r>
      <w:r w:rsidR="00FD26C7">
        <w:t>studies</w:t>
      </w:r>
      <w:r w:rsidR="00FD26C7" w:rsidRPr="007A15F6">
        <w:t xml:space="preserve"> were, i) the</w:t>
      </w:r>
      <w:r w:rsidR="00FD26C7">
        <w:t xml:space="preserve"> examination of a clinical population, ii) </w:t>
      </w:r>
      <w:r w:rsidR="00FD26C7" w:rsidRPr="007A15F6">
        <w:t>no correlations, standardized regression betas (</w:t>
      </w:r>
      <w:r w:rsidR="00FD26C7" w:rsidRPr="007A15F6">
        <w:rPr>
          <w:i/>
        </w:rPr>
        <w:t>β</w:t>
      </w:r>
      <w:r w:rsidR="00FD26C7" w:rsidRPr="007A15F6">
        <w:t xml:space="preserve">), or </w:t>
      </w:r>
      <w:r w:rsidR="00FD26C7" w:rsidRPr="007A15F6">
        <w:rPr>
          <w:i/>
        </w:rPr>
        <w:t>R</w:t>
      </w:r>
      <w:r w:rsidR="00FD26C7" w:rsidRPr="007A15F6">
        <w:rPr>
          <w:vertAlign w:val="superscript"/>
        </w:rPr>
        <w:t>2</w:t>
      </w:r>
      <w:r w:rsidR="00FD26C7">
        <w:t xml:space="preserve"> could be extracted, iii</w:t>
      </w:r>
      <w:r w:rsidR="00FD26C7" w:rsidRPr="007A15F6">
        <w:t xml:space="preserve">) </w:t>
      </w:r>
      <w:r w:rsidR="00FD26C7">
        <w:t>studies on animals</w:t>
      </w:r>
      <w:r w:rsidR="00FD26C7" w:rsidRPr="007A15F6">
        <w:t xml:space="preserve"> </w:t>
      </w:r>
      <w:r w:rsidR="00FD26C7">
        <w:t>iv) meta-analyse</w:t>
      </w:r>
      <w:r w:rsidR="00FD26C7" w:rsidRPr="007A15F6">
        <w:t>s not specifically addressing cognitively healthy older adults</w:t>
      </w:r>
      <w:r w:rsidR="00FD26C7">
        <w:t xml:space="preserve">, v) did not examine older adults, and vi) </w:t>
      </w:r>
      <w:r w:rsidR="00FD26C7" w:rsidRPr="00367D37">
        <w:t xml:space="preserve">had samples </w:t>
      </w:r>
      <w:r w:rsidR="00367D37" w:rsidRPr="00367D37">
        <w:t xml:space="preserve">with </w:t>
      </w:r>
      <w:r w:rsidR="00FD26C7" w:rsidRPr="00367D37">
        <w:t>more that 50% of the total sample suffer</w:t>
      </w:r>
      <w:r w:rsidR="00367D37" w:rsidRPr="00367D37">
        <w:t>ing</w:t>
      </w:r>
      <w:r w:rsidR="00FD26C7" w:rsidRPr="00367D37">
        <w:t xml:space="preserve"> from dementia or </w:t>
      </w:r>
      <w:r w:rsidR="00FD26C7" w:rsidRPr="00367D37">
        <w:lastRenderedPageBreak/>
        <w:t>other age-related neuropsychological conditions. Studies that examined participants suffering from MCI were included, in order to increase the power of the meta-analysis (increased sample of studies), and because diagnostically, MCI remains a grey area in terms of severity and diagnostic inclusion (Hamilton, 2011).</w:t>
      </w:r>
      <w:r w:rsidR="00FD26C7" w:rsidRPr="007A15F6">
        <w:t xml:space="preserve">  </w:t>
      </w:r>
    </w:p>
    <w:p w:rsidR="005A27E9" w:rsidRPr="009A7DB2" w:rsidRDefault="005A27E9" w:rsidP="009A7DB2">
      <w:pPr>
        <w:tabs>
          <w:tab w:val="left" w:pos="720"/>
        </w:tabs>
        <w:spacing w:before="240" w:line="480" w:lineRule="auto"/>
        <w:rPr>
          <w:rFonts w:ascii="Times New Roman" w:eastAsia="Calibri" w:hAnsi="Times New Roman" w:cs="Times New Roman"/>
          <w:color w:val="000000"/>
          <w:szCs w:val="20"/>
        </w:rPr>
      </w:pPr>
      <w:r w:rsidRPr="00870E98">
        <w:rPr>
          <w:rStyle w:val="IntenseEmphasis"/>
        </w:rPr>
        <w:t>T</w:t>
      </w:r>
      <w:r w:rsidR="000D4CDC" w:rsidRPr="00870E98">
        <w:rPr>
          <w:rStyle w:val="IntenseEmphasis"/>
        </w:rPr>
        <w:t>able 4</w:t>
      </w:r>
      <w:r w:rsidRPr="00870E98">
        <w:rPr>
          <w:rStyle w:val="IntenseEmphasis"/>
        </w:rPr>
        <w:t xml:space="preserve">.1 </w:t>
      </w:r>
      <w:r w:rsidR="009A7DB2" w:rsidRPr="00870E98">
        <w:rPr>
          <w:rStyle w:val="IntenseEmphasis"/>
        </w:rPr>
        <w:t xml:space="preserve">The </w:t>
      </w:r>
      <w:r w:rsidR="009A7DB2" w:rsidRPr="00870E98">
        <w:rPr>
          <w:rFonts w:ascii="Times New Roman" w:eastAsia="Calibri" w:hAnsi="Times New Roman" w:cs="Times New Roman"/>
          <w:color w:val="000000"/>
          <w:szCs w:val="20"/>
        </w:rPr>
        <w:t>Meta-Analyses Reporting Standards (MARS) from APA (2008)</w:t>
      </w:r>
    </w:p>
    <w:p w:rsidR="005A27E9" w:rsidRDefault="00FD26C7" w:rsidP="005C41B7">
      <w:pPr>
        <w:pStyle w:val="APAPar"/>
      </w:pPr>
      <w:r>
        <w:rPr>
          <w:noProof/>
          <w:lang w:eastAsia="zh-CN"/>
        </w:rPr>
        <w:drawing>
          <wp:inline distT="0" distB="0" distL="0" distR="0">
            <wp:extent cx="5588000" cy="4660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01-10 at 08.39.46.png"/>
                    <pic:cNvPicPr/>
                  </pic:nvPicPr>
                  <pic:blipFill>
                    <a:blip r:embed="rId20">
                      <a:extLst>
                        <a:ext uri="{28A0092B-C50C-407E-A947-70E740481C1C}">
                          <a14:useLocalDpi xmlns:a14="http://schemas.microsoft.com/office/drawing/2010/main" val="0"/>
                        </a:ext>
                      </a:extLst>
                    </a:blip>
                    <a:stretch>
                      <a:fillRect/>
                    </a:stretch>
                  </pic:blipFill>
                  <pic:spPr>
                    <a:xfrm>
                      <a:off x="0" y="0"/>
                      <a:ext cx="5588000" cy="4660900"/>
                    </a:xfrm>
                    <a:prstGeom prst="rect">
                      <a:avLst/>
                    </a:prstGeom>
                  </pic:spPr>
                </pic:pic>
              </a:graphicData>
            </a:graphic>
          </wp:inline>
        </w:drawing>
      </w:r>
    </w:p>
    <w:p w:rsidR="00FD26C7" w:rsidRDefault="00FD26C7" w:rsidP="00FD26C7">
      <w:pPr>
        <w:tabs>
          <w:tab w:val="left" w:pos="720"/>
        </w:tabs>
        <w:spacing w:before="240" w:line="480" w:lineRule="auto"/>
        <w:rPr>
          <w:rStyle w:val="IntenseEmphasis"/>
        </w:rPr>
      </w:pPr>
    </w:p>
    <w:p w:rsidR="00367D37" w:rsidRDefault="00367D37" w:rsidP="00FD26C7">
      <w:pPr>
        <w:tabs>
          <w:tab w:val="left" w:pos="720"/>
        </w:tabs>
        <w:spacing w:before="240" w:line="480" w:lineRule="auto"/>
        <w:rPr>
          <w:rStyle w:val="IntenseEmphasis"/>
        </w:rPr>
      </w:pPr>
    </w:p>
    <w:p w:rsidR="00330A30" w:rsidRDefault="00330A30" w:rsidP="00FD26C7">
      <w:pPr>
        <w:tabs>
          <w:tab w:val="left" w:pos="720"/>
        </w:tabs>
        <w:spacing w:before="240" w:line="480" w:lineRule="auto"/>
        <w:rPr>
          <w:rStyle w:val="IntenseEmphasis"/>
        </w:rPr>
      </w:pPr>
    </w:p>
    <w:p w:rsidR="00330A30" w:rsidRDefault="00330A30" w:rsidP="00FD26C7">
      <w:pPr>
        <w:tabs>
          <w:tab w:val="left" w:pos="720"/>
        </w:tabs>
        <w:spacing w:before="240" w:line="480" w:lineRule="auto"/>
        <w:rPr>
          <w:rStyle w:val="IntenseEmphasis"/>
        </w:rPr>
      </w:pPr>
    </w:p>
    <w:p w:rsidR="00FD26C7" w:rsidRDefault="00FD26C7" w:rsidP="00FD26C7">
      <w:pPr>
        <w:tabs>
          <w:tab w:val="left" w:pos="720"/>
        </w:tabs>
        <w:spacing w:before="240" w:line="480" w:lineRule="auto"/>
        <w:rPr>
          <w:rStyle w:val="IntenseEmphasis"/>
        </w:rPr>
      </w:pPr>
      <w:r w:rsidRPr="00870E98">
        <w:rPr>
          <w:rStyle w:val="IntenseEmphasis"/>
        </w:rPr>
        <w:t>T</w:t>
      </w:r>
      <w:r w:rsidR="000D4CDC" w:rsidRPr="00870E98">
        <w:rPr>
          <w:rStyle w:val="IntenseEmphasis"/>
        </w:rPr>
        <w:t>able 4</w:t>
      </w:r>
      <w:r w:rsidR="00FE028D">
        <w:rPr>
          <w:rStyle w:val="IntenseEmphasis"/>
        </w:rPr>
        <w:t>.1 C</w:t>
      </w:r>
      <w:r w:rsidRPr="00870E98">
        <w:rPr>
          <w:rStyle w:val="IntenseEmphasis"/>
        </w:rPr>
        <w:t>ontinued</w:t>
      </w:r>
    </w:p>
    <w:p w:rsidR="00FD26C7" w:rsidRPr="009A7DB2" w:rsidRDefault="00FD26C7" w:rsidP="00FD26C7">
      <w:pPr>
        <w:tabs>
          <w:tab w:val="left" w:pos="720"/>
        </w:tabs>
        <w:spacing w:before="240" w:line="480" w:lineRule="auto"/>
        <w:rPr>
          <w:rFonts w:ascii="Times New Roman" w:eastAsia="Calibri" w:hAnsi="Times New Roman" w:cs="Times New Roman"/>
          <w:color w:val="000000"/>
          <w:szCs w:val="20"/>
        </w:rPr>
      </w:pPr>
      <w:r>
        <w:rPr>
          <w:rFonts w:ascii="Times New Roman" w:eastAsia="Calibri" w:hAnsi="Times New Roman" w:cs="Times New Roman"/>
          <w:noProof/>
          <w:color w:val="000000"/>
          <w:szCs w:val="20"/>
          <w:lang w:eastAsia="zh-CN"/>
        </w:rPr>
        <w:drawing>
          <wp:inline distT="0" distB="0" distL="0" distR="0">
            <wp:extent cx="5562600" cy="6756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01-10 at 08.40.18.png"/>
                    <pic:cNvPicPr/>
                  </pic:nvPicPr>
                  <pic:blipFill>
                    <a:blip r:embed="rId21">
                      <a:extLst>
                        <a:ext uri="{28A0092B-C50C-407E-A947-70E740481C1C}">
                          <a14:useLocalDpi xmlns:a14="http://schemas.microsoft.com/office/drawing/2010/main" val="0"/>
                        </a:ext>
                      </a:extLst>
                    </a:blip>
                    <a:stretch>
                      <a:fillRect/>
                    </a:stretch>
                  </pic:blipFill>
                  <pic:spPr>
                    <a:xfrm>
                      <a:off x="0" y="0"/>
                      <a:ext cx="5562600" cy="6756400"/>
                    </a:xfrm>
                    <a:prstGeom prst="rect">
                      <a:avLst/>
                    </a:prstGeom>
                  </pic:spPr>
                </pic:pic>
              </a:graphicData>
            </a:graphic>
          </wp:inline>
        </w:drawing>
      </w:r>
    </w:p>
    <w:p w:rsidR="009A7DB2" w:rsidRDefault="009A7DB2" w:rsidP="005C41B7">
      <w:pPr>
        <w:pStyle w:val="APAPar"/>
      </w:pPr>
    </w:p>
    <w:p w:rsidR="009A7DB2" w:rsidRDefault="009A7DB2" w:rsidP="005C41B7">
      <w:pPr>
        <w:pStyle w:val="APAPar"/>
      </w:pPr>
    </w:p>
    <w:p w:rsidR="009A7DB2" w:rsidRDefault="009A7DB2" w:rsidP="005C41B7">
      <w:pPr>
        <w:pStyle w:val="APAPar"/>
      </w:pPr>
    </w:p>
    <w:p w:rsidR="00E1479E" w:rsidRPr="007A15F6" w:rsidRDefault="00E1479E" w:rsidP="0091167E">
      <w:pPr>
        <w:pStyle w:val="Heading3"/>
      </w:pPr>
      <w:bookmarkStart w:id="106" w:name="_Toc521184197"/>
      <w:bookmarkEnd w:id="104"/>
      <w:r>
        <w:t>Moderator and mediator analysis</w:t>
      </w:r>
      <w:bookmarkEnd w:id="106"/>
    </w:p>
    <w:p w:rsidR="005A79D0" w:rsidRDefault="005056F6" w:rsidP="005C41B7">
      <w:pPr>
        <w:pStyle w:val="APAPar"/>
      </w:pPr>
      <w:r>
        <w:t xml:space="preserve">Age was measured by the mean reported age for the specific sample under examination in each study. Education was </w:t>
      </w:r>
      <w:r w:rsidRPr="00870E98">
        <w:t>m</w:t>
      </w:r>
      <w:r w:rsidR="005A79D0" w:rsidRPr="00870E98">
        <w:t xml:space="preserve">easured </w:t>
      </w:r>
      <w:r w:rsidR="00FD26C7" w:rsidRPr="00870E98">
        <w:t xml:space="preserve">by </w:t>
      </w:r>
      <w:r w:rsidR="005A79D0" w:rsidRPr="00870E98">
        <w:t>the mean years of education</w:t>
      </w:r>
      <w:r w:rsidR="005A79D0">
        <w:t xml:space="preserve"> for the specific sample under examination in each study.</w:t>
      </w:r>
    </w:p>
    <w:p w:rsidR="00474199" w:rsidRPr="00C26B31" w:rsidRDefault="005A79D0" w:rsidP="0091167E">
      <w:pPr>
        <w:pStyle w:val="Heading3"/>
      </w:pPr>
      <w:r w:rsidRPr="007A15F6">
        <w:t xml:space="preserve"> </w:t>
      </w:r>
      <w:bookmarkStart w:id="107" w:name="_Toc521184198"/>
      <w:r w:rsidR="00474199">
        <w:t>Search strategies</w:t>
      </w:r>
      <w:bookmarkEnd w:id="107"/>
    </w:p>
    <w:p w:rsidR="00152F7C" w:rsidRDefault="00474199" w:rsidP="005C41B7">
      <w:pPr>
        <w:pStyle w:val="APAPar"/>
      </w:pPr>
      <w:r w:rsidRPr="007A15F6">
        <w:t xml:space="preserve">A systematic literature </w:t>
      </w:r>
      <w:r w:rsidRPr="00367D37">
        <w:t xml:space="preserve">review </w:t>
      </w:r>
      <w:r w:rsidR="00FD26C7" w:rsidRPr="00367D37">
        <w:t>of</w:t>
      </w:r>
      <w:r w:rsidRPr="00367D37">
        <w:t xml:space="preserve"> articles published in English that examined the relation between cognitive performance and everyday functioning in cognitively healthy older adults was conducted in June 2014</w:t>
      </w:r>
      <w:r w:rsidR="00130190" w:rsidRPr="00367D37">
        <w:t xml:space="preserve"> by the author</w:t>
      </w:r>
      <w:r w:rsidRPr="00367D37">
        <w:t>, using the University of Sheffield’s online database (i.e., Star Plus)</w:t>
      </w:r>
      <w:r w:rsidR="000F6F85" w:rsidRPr="00367D37">
        <w:t xml:space="preserve"> and the respective search engine</w:t>
      </w:r>
      <w:r w:rsidRPr="00367D37">
        <w:t xml:space="preserve">. This database includes the most </w:t>
      </w:r>
      <w:r w:rsidR="001C543C" w:rsidRPr="00367D37">
        <w:t>well-known</w:t>
      </w:r>
      <w:r w:rsidRPr="00367D37">
        <w:t xml:space="preserve"> </w:t>
      </w:r>
      <w:r w:rsidR="00FD26C7" w:rsidRPr="00367D37">
        <w:t xml:space="preserve">peer-review </w:t>
      </w:r>
      <w:r w:rsidRPr="00367D37">
        <w:t>scientific databases such as</w:t>
      </w:r>
      <w:r w:rsidRPr="007A15F6">
        <w:t xml:space="preserve">, Web of </w:t>
      </w:r>
      <w:r>
        <w:t>Science</w:t>
      </w:r>
      <w:r w:rsidRPr="007A15F6">
        <w:t>, Scopus</w:t>
      </w:r>
      <w:r w:rsidR="00BE3753">
        <w:t xml:space="preserve">, </w:t>
      </w:r>
      <w:r w:rsidRPr="007A15F6">
        <w:t xml:space="preserve">and APA. No restriction on date of publication was imposed. In total, 60 online searches were performed, which corresponds to one search for each combination of the keywords “elderly”, “elder”, “old”, “older”, or “senior”, and the keywords “activities of daily living”, “everyday functionality”, “daily functioning”, “functional”; and one of the keywords “cognitive”, “memory” and “executive function”. The search engine was instructed to search for the keywords in the titles of the articles. The references of the included articles were examined further for any relevant studies not identified by the original search attempts. </w:t>
      </w:r>
      <w:bookmarkStart w:id="108" w:name="_Toc373425962"/>
    </w:p>
    <w:p w:rsidR="000E62D5" w:rsidRPr="007A15F6" w:rsidRDefault="000E62D5" w:rsidP="0091167E">
      <w:pPr>
        <w:pStyle w:val="Heading3"/>
      </w:pPr>
      <w:bookmarkStart w:id="109" w:name="_Toc521184199"/>
      <w:r>
        <w:t>Coding procedures</w:t>
      </w:r>
      <w:bookmarkEnd w:id="109"/>
    </w:p>
    <w:p w:rsidR="000E62D5" w:rsidRPr="007A15F6" w:rsidRDefault="000E62D5" w:rsidP="005C41B7">
      <w:pPr>
        <w:pStyle w:val="APAPar"/>
      </w:pPr>
      <w:r w:rsidRPr="007A15F6">
        <w:t>All neuropsychological tests and composites used in the studies were reviewed and categorized by two independent researchers in the</w:t>
      </w:r>
      <w:r>
        <w:t xml:space="preserve"> field of neuropsychology</w:t>
      </w:r>
      <w:r w:rsidRPr="007A15F6">
        <w:t xml:space="preserve">. </w:t>
      </w:r>
      <w:r w:rsidR="00386D44">
        <w:t>T</w:t>
      </w:r>
      <w:r w:rsidRPr="007A15F6">
        <w:t>he neuropsychological tests and composit</w:t>
      </w:r>
      <w:r>
        <w:t xml:space="preserve">es were categorized </w:t>
      </w:r>
      <w:r w:rsidRPr="007A15F6">
        <w:t xml:space="preserve">depending on the </w:t>
      </w:r>
      <w:r>
        <w:t>cognitive process they examined</w:t>
      </w:r>
      <w:r w:rsidRPr="007A15F6">
        <w:t xml:space="preserve"> in one of the following categories, i) memory, ii) </w:t>
      </w:r>
      <w:r>
        <w:t>EF</w:t>
      </w:r>
      <w:r w:rsidRPr="007A15F6">
        <w:t>, iii) global cognitive status, iv) attention, v) language, vi) visuospatial ability, vii) speed of processing</w:t>
      </w:r>
      <w:r>
        <w:t xml:space="preserve">. </w:t>
      </w:r>
      <w:r w:rsidRPr="007A15F6">
        <w:t xml:space="preserve">The </w:t>
      </w:r>
      <w:r>
        <w:t>everyday functioning</w:t>
      </w:r>
      <w:r w:rsidRPr="007A15F6">
        <w:t xml:space="preserve"> assessment w</w:t>
      </w:r>
      <w:r w:rsidR="00831E1A">
        <w:t>ere categorized based on the type of administration</w:t>
      </w:r>
      <w:r>
        <w:t xml:space="preserve">, as </w:t>
      </w:r>
      <w:r w:rsidR="001C543C">
        <w:t>it was reported</w:t>
      </w:r>
      <w:r>
        <w:t xml:space="preserve"> by the</w:t>
      </w:r>
      <w:r w:rsidR="001C543C">
        <w:t xml:space="preserve"> reviewed</w:t>
      </w:r>
      <w:r>
        <w:t xml:space="preserve"> studies' </w:t>
      </w:r>
      <w:r w:rsidRPr="00367D37">
        <w:t>authors</w:t>
      </w:r>
      <w:r w:rsidR="00831E1A" w:rsidRPr="00367D37">
        <w:t xml:space="preserve">; </w:t>
      </w:r>
      <w:r w:rsidR="00255D46" w:rsidRPr="00367D37">
        <w:t xml:space="preserve">namely </w:t>
      </w:r>
      <w:r w:rsidR="00831E1A" w:rsidRPr="00367D37">
        <w:t>self-</w:t>
      </w:r>
      <w:r w:rsidRPr="00367D37">
        <w:t>reports</w:t>
      </w:r>
      <w:r w:rsidRPr="007A15F6">
        <w:t>, informan</w:t>
      </w:r>
      <w:r w:rsidR="00831E1A">
        <w:t>t-</w:t>
      </w:r>
      <w:r w:rsidRPr="007A15F6">
        <w:t>reports, observation-based, and test-based.</w:t>
      </w:r>
      <w:r>
        <w:t xml:space="preserve"> The procedure was repeated and controlled by an in</w:t>
      </w:r>
      <w:r w:rsidR="001C543C">
        <w:t xml:space="preserve">dependent </w:t>
      </w:r>
      <w:r w:rsidR="00255D46">
        <w:t>experienced researcher in the field</w:t>
      </w:r>
      <w:r>
        <w:t xml:space="preserve">, in order to </w:t>
      </w:r>
      <w:r w:rsidR="00255D46">
        <w:t xml:space="preserve">ensure </w:t>
      </w:r>
      <w:r>
        <w:t>the repeatability of the process</w:t>
      </w:r>
      <w:r w:rsidR="001C543C">
        <w:t>, the accuracy of the categorization,</w:t>
      </w:r>
      <w:r>
        <w:t xml:space="preserve"> and the accuracy of the data extracted. No discrepancies or conflict</w:t>
      </w:r>
      <w:r w:rsidR="001C543C">
        <w:t>s</w:t>
      </w:r>
      <w:r>
        <w:t xml:space="preserve"> emerged</w:t>
      </w:r>
      <w:r w:rsidR="00831E1A">
        <w:t>.</w:t>
      </w:r>
    </w:p>
    <w:p w:rsidR="000001F3" w:rsidRDefault="0044534A" w:rsidP="00FE028D">
      <w:pPr>
        <w:pStyle w:val="Heading2"/>
      </w:pPr>
      <w:bookmarkStart w:id="110" w:name="_Toc521184200"/>
      <w:r>
        <w:t>Statistical M</w:t>
      </w:r>
      <w:r w:rsidR="000001F3">
        <w:t>ethods</w:t>
      </w:r>
      <w:bookmarkEnd w:id="110"/>
    </w:p>
    <w:p w:rsidR="000001F3" w:rsidRPr="001B0705" w:rsidRDefault="00DD7044" w:rsidP="005C41B7">
      <w:pPr>
        <w:pStyle w:val="APAPar"/>
        <w:rPr>
          <w:lang w:val="en-US"/>
        </w:rPr>
      </w:pPr>
      <w:r w:rsidRPr="00A23451">
        <w:t>The effect size used for the meta-analysis was</w:t>
      </w:r>
      <w:r>
        <w:t xml:space="preserve"> the</w:t>
      </w:r>
      <w:r w:rsidRPr="00A23451">
        <w:t xml:space="preserve"> Pearson’s correlation coefficient (</w:t>
      </w:r>
      <w:r w:rsidRPr="00A23451">
        <w:rPr>
          <w:i/>
        </w:rPr>
        <w:t>r</w:t>
      </w:r>
      <w:r w:rsidRPr="00A23451">
        <w:t>), following the pro</w:t>
      </w:r>
      <w:r>
        <w:t xml:space="preserve">cedure described by Borenstein et al. </w:t>
      </w:r>
      <w:r w:rsidRPr="00A23451">
        <w:t>(2009).</w:t>
      </w:r>
      <w:r w:rsidR="00DD6C93">
        <w:t xml:space="preserve"> </w:t>
      </w:r>
      <w:r w:rsidR="00ED327C">
        <w:t>Th</w:t>
      </w:r>
      <w:r w:rsidR="00B57A50">
        <w:t>e dispersion of the effect sizes</w:t>
      </w:r>
      <w:r w:rsidR="00ED327C">
        <w:t xml:space="preserve"> was calculated using the </w:t>
      </w:r>
      <w:r w:rsidR="00ED327C" w:rsidRPr="00ED327C">
        <w:rPr>
          <w:i/>
        </w:rPr>
        <w:t>I</w:t>
      </w:r>
      <w:r w:rsidR="00ED327C" w:rsidRPr="00ED327C">
        <w:rPr>
          <w:i/>
          <w:vertAlign w:val="superscript"/>
        </w:rPr>
        <w:t>2</w:t>
      </w:r>
      <w:r w:rsidR="00ED327C">
        <w:rPr>
          <w:vertAlign w:val="superscript"/>
        </w:rPr>
        <w:t xml:space="preserve"> </w:t>
      </w:r>
      <w:r w:rsidR="00ED327C">
        <w:t xml:space="preserve">index. </w:t>
      </w:r>
      <w:r w:rsidRPr="00A23451">
        <w:t xml:space="preserve"> For the facilitation of cross-study comparisons, any reports of standardized regression beta values (β) were converted into Pearson correlation coefficient using the formula </w:t>
      </w:r>
      <w:r w:rsidRPr="00A23451">
        <w:rPr>
          <w:i/>
        </w:rPr>
        <w:t>r</w:t>
      </w:r>
      <w:r w:rsidRPr="00A23451">
        <w:t xml:space="preserve"> = </w:t>
      </w:r>
      <w:r w:rsidRPr="00A23451">
        <w:rPr>
          <w:i/>
        </w:rPr>
        <w:t>β</w:t>
      </w:r>
      <w:r>
        <w:t xml:space="preserve"> + 0.05, as suggested by Peterso</w:t>
      </w:r>
      <w:r w:rsidRPr="00A23451">
        <w:t>n and Brown (2005), and as a</w:t>
      </w:r>
      <w:r>
        <w:t>pplied in Martyr and Clare (2012</w:t>
      </w:r>
      <w:r w:rsidRPr="00A23451">
        <w:t>) meta-analyses. Reports on variance explained (</w:t>
      </w:r>
      <w:r w:rsidRPr="00A23451">
        <w:rPr>
          <w:i/>
        </w:rPr>
        <w:t>R</w:t>
      </w:r>
      <w:r w:rsidRPr="00A23451">
        <w:rPr>
          <w:vertAlign w:val="superscript"/>
        </w:rPr>
        <w:t>2</w:t>
      </w:r>
      <w:r w:rsidRPr="00A23451">
        <w:t>) were back translated into Pearson correlation coefficient, using its square root, according to the suggestions of Harel (2009).</w:t>
      </w:r>
      <w:r w:rsidR="0000101C">
        <w:t xml:space="preserve"> </w:t>
      </w:r>
      <w:r w:rsidR="0000101C" w:rsidRPr="00A23451">
        <w:t>As suggested by Borenstein et al. (2009), when within the same study two effect sizes on the same cognitive domain were reported, their effect sizes were combined using the formula Y= ½* (Y</w:t>
      </w:r>
      <w:r w:rsidR="0000101C" w:rsidRPr="00A23451">
        <w:rPr>
          <w:vertAlign w:val="subscript"/>
        </w:rPr>
        <w:t>1</w:t>
      </w:r>
      <w:r w:rsidR="0000101C" w:rsidRPr="00A23451">
        <w:t>+Y</w:t>
      </w:r>
      <w:r w:rsidR="0000101C" w:rsidRPr="00A23451">
        <w:rPr>
          <w:vertAlign w:val="subscript"/>
        </w:rPr>
        <w:t>2</w:t>
      </w:r>
      <w:r w:rsidR="0000101C" w:rsidRPr="00A23451">
        <w:t>).</w:t>
      </w:r>
      <w:r w:rsidR="00B22D94">
        <w:t xml:space="preserve"> </w:t>
      </w:r>
      <w:r w:rsidR="00B22D94" w:rsidRPr="00870E98">
        <w:t>A fixed positive correlational direction was used, meaning all negative correlation coefficients were inverted</w:t>
      </w:r>
      <w:r w:rsidR="00B22D94" w:rsidRPr="007A15F6">
        <w:t xml:space="preserve"> to positive ones, when they reflected a positive effect</w:t>
      </w:r>
      <w:r w:rsidR="00B22D94">
        <w:t xml:space="preserve"> (i.e., the higher the cognitive performance, the higher the everyday functioning performance).</w:t>
      </w:r>
    </w:p>
    <w:p w:rsidR="00911435" w:rsidRPr="000001F3" w:rsidRDefault="00911435" w:rsidP="005C41B7">
      <w:pPr>
        <w:pStyle w:val="APAPar"/>
      </w:pPr>
      <w:r w:rsidRPr="007A15F6">
        <w:t xml:space="preserve">The Comprehensive Meta-Analyses software (CMA) v.2 was used for the statistical meta-analyses. All computations were based on Fischer’s z values. Since the studies used different methodologies, distinct combinations of </w:t>
      </w:r>
      <w:r>
        <w:t>cognitive assessments</w:t>
      </w:r>
      <w:r w:rsidRPr="007A15F6">
        <w:t xml:space="preserve"> and </w:t>
      </w:r>
      <w:r>
        <w:t>everyday functioning measurement</w:t>
      </w:r>
      <w:r w:rsidRPr="007A15F6">
        <w:t xml:space="preserve"> tools, as well as heterogeneous samples, the effect sizes were calculated using the random effect model.</w:t>
      </w:r>
      <w:r w:rsidR="00B57A50">
        <w:t xml:space="preserve"> As such, the confidence intervals of the effect sizes reflected the </w:t>
      </w:r>
      <w:r w:rsidR="00B57A50" w:rsidRPr="00DD6C93">
        <w:rPr>
          <w:lang w:val="en-US"/>
        </w:rPr>
        <w:t xml:space="preserve">variance within a study plus </w:t>
      </w:r>
      <w:r w:rsidR="00B57A50">
        <w:rPr>
          <w:lang w:val="en-US"/>
        </w:rPr>
        <w:t xml:space="preserve">the </w:t>
      </w:r>
      <w:r w:rsidR="00B57A50" w:rsidRPr="00DD6C93">
        <w:rPr>
          <w:lang w:val="en-US"/>
        </w:rPr>
        <w:t xml:space="preserve">variance between </w:t>
      </w:r>
      <w:r w:rsidR="00B57A50">
        <w:rPr>
          <w:lang w:val="en-US"/>
        </w:rPr>
        <w:t xml:space="preserve">the </w:t>
      </w:r>
      <w:r w:rsidR="00B57A50" w:rsidRPr="00DD6C93">
        <w:rPr>
          <w:lang w:val="en-US"/>
        </w:rPr>
        <w:t>studies.</w:t>
      </w:r>
      <w:r w:rsidRPr="007A15F6">
        <w:t xml:space="preserve"> The software was instructed to use the mean of the comparison variables, as well as of the outcome variables, when possible and appropriate. Publication bias was examined by Egger’s regression intercept test</w:t>
      </w:r>
      <w:r w:rsidR="009C30D8">
        <w:t>.</w:t>
      </w:r>
      <w:r w:rsidR="009C30D8" w:rsidRPr="009C30D8">
        <w:rPr>
          <w:rStyle w:val="APAParChar"/>
        </w:rPr>
        <w:t xml:space="preserve"> </w:t>
      </w:r>
      <w:r w:rsidR="009C30D8" w:rsidRPr="007A15F6">
        <w:rPr>
          <w:rStyle w:val="APAParChar"/>
        </w:rPr>
        <w:t>A meta-regression analysis</w:t>
      </w:r>
      <w:r w:rsidR="004B5F2D">
        <w:rPr>
          <w:rStyle w:val="APAParChar"/>
        </w:rPr>
        <w:t xml:space="preserve"> was used to </w:t>
      </w:r>
      <w:r w:rsidR="00693B33">
        <w:rPr>
          <w:rStyle w:val="APAParChar"/>
        </w:rPr>
        <w:t>compute</w:t>
      </w:r>
      <w:r w:rsidR="001C543C">
        <w:rPr>
          <w:rStyle w:val="APAParChar"/>
        </w:rPr>
        <w:t xml:space="preserve"> the</w:t>
      </w:r>
      <w:r w:rsidR="00693B33">
        <w:rPr>
          <w:rStyle w:val="APAParChar"/>
        </w:rPr>
        <w:t xml:space="preserve"> moderation effects</w:t>
      </w:r>
      <w:r w:rsidR="001C543C">
        <w:rPr>
          <w:rStyle w:val="APAParChar"/>
        </w:rPr>
        <w:t xml:space="preserve"> of age and education</w:t>
      </w:r>
      <w:r w:rsidR="009C30D8" w:rsidRPr="007A15F6">
        <w:rPr>
          <w:rStyle w:val="APAParChar"/>
        </w:rPr>
        <w:t>, using the unrestricted maximum likelihood computation</w:t>
      </w:r>
      <w:r w:rsidR="00693B33">
        <w:rPr>
          <w:rStyle w:val="APAParChar"/>
        </w:rPr>
        <w:t>.</w:t>
      </w:r>
    </w:p>
    <w:p w:rsidR="00C8042C" w:rsidRPr="007A15F6" w:rsidRDefault="00152F7C" w:rsidP="00FE028D">
      <w:pPr>
        <w:pStyle w:val="Heading2"/>
      </w:pPr>
      <w:bookmarkStart w:id="111" w:name="_Toc521184201"/>
      <w:bookmarkEnd w:id="108"/>
      <w:r>
        <w:t>Results</w:t>
      </w:r>
      <w:bookmarkEnd w:id="111"/>
    </w:p>
    <w:p w:rsidR="003017F3" w:rsidRPr="005E229C" w:rsidRDefault="00152F7C" w:rsidP="005C41B7">
      <w:pPr>
        <w:pStyle w:val="APAPar"/>
        <w:rPr>
          <w:rStyle w:val="IntenseEmphasis"/>
        </w:rPr>
      </w:pPr>
      <w:r w:rsidRPr="007A15F6">
        <w:t>In total, 164 unique abstrac</w:t>
      </w:r>
      <w:r w:rsidR="00954511">
        <w:t xml:space="preserve">ts where retrieved and reviewed. </w:t>
      </w:r>
      <w:r w:rsidRPr="007A15F6">
        <w:t>From them, 44 were excluded</w:t>
      </w:r>
      <w:r w:rsidR="00954511">
        <w:t xml:space="preserve"> because</w:t>
      </w:r>
      <w:r w:rsidRPr="007A15F6">
        <w:t xml:space="preserve"> i) no data could be extracted (3), ii) they examined a sample that suffered a traumatic brain injury (3), iii) no quantitative data were reported (34), iv) were studies on animals (1), v) cognition was not examined (1), and vi) were meta-analyses not specifically addressing cognitively healthy older adults (2). The remaining 120 articles were reviewed in depth. Studies were included if they had samples of seniors that to at least 50% of the total did not suffer from dementia or other age-relate</w:t>
      </w:r>
      <w:r w:rsidR="00E055D2">
        <w:t>d neuropsychological conditions</w:t>
      </w:r>
      <w:r w:rsidRPr="007A15F6">
        <w:t xml:space="preserve">. </w:t>
      </w:r>
      <w:r w:rsidR="00CF3114">
        <w:t>F</w:t>
      </w:r>
      <w:r w:rsidRPr="007A15F6">
        <w:t>urther 91</w:t>
      </w:r>
      <w:r w:rsidR="001C543C">
        <w:t xml:space="preserve"> </w:t>
      </w:r>
      <w:r w:rsidRPr="007A15F6">
        <w:t>studies were excluded because i) they examined at least 50% of the sample seniors that suffered from dementia or other severe age-related neuropsychological conditions (68), or ii) did not report parametric correlations, standardized regression betas (</w:t>
      </w:r>
      <w:r w:rsidRPr="007A15F6">
        <w:rPr>
          <w:i/>
        </w:rPr>
        <w:t>β</w:t>
      </w:r>
      <w:r w:rsidRPr="007A15F6">
        <w:t xml:space="preserve">), or </w:t>
      </w:r>
      <w:r w:rsidRPr="007A15F6">
        <w:rPr>
          <w:i/>
        </w:rPr>
        <w:t>R</w:t>
      </w:r>
      <w:r w:rsidRPr="007A15F6">
        <w:rPr>
          <w:vertAlign w:val="superscript"/>
        </w:rPr>
        <w:t xml:space="preserve">2 </w:t>
      </w:r>
      <w:r w:rsidRPr="007A15F6">
        <w:t xml:space="preserve">(23). </w:t>
      </w:r>
    </w:p>
    <w:p w:rsidR="00DA65A9" w:rsidRDefault="00A703D5" w:rsidP="005C41B7">
      <w:pPr>
        <w:pStyle w:val="APAPar"/>
        <w:rPr>
          <w:rStyle w:val="IntenseEmphasis"/>
          <w:i/>
        </w:rPr>
      </w:pPr>
      <w:r>
        <w:t xml:space="preserve"> </w:t>
      </w:r>
      <w:r w:rsidR="001E1AFA" w:rsidRPr="007A15F6">
        <w:t>In total, 29 articles, examining 29 distinct samples</w:t>
      </w:r>
      <w:r w:rsidR="002A6510">
        <w:t xml:space="preserve"> (Appendix I)</w:t>
      </w:r>
      <w:r w:rsidR="001E1AFA" w:rsidRPr="007A15F6">
        <w:t xml:space="preserve"> were included in the final analysis. Of them, 20 were peer-reviewed ar</w:t>
      </w:r>
      <w:r w:rsidR="00DA65A9">
        <w:t>ticles and 9 were dissertations</w:t>
      </w:r>
      <w:r w:rsidR="00CF3114">
        <w:t xml:space="preserve">. The </w:t>
      </w:r>
      <w:r w:rsidR="00CF3114" w:rsidRPr="007A15F6">
        <w:t>studies were published in the period 1998 – 2014, undertaken in 16 countries [USA (21), Australia (2), Italy (1), Brazil (1), and Hong-Kong (1)]. One study included participants from 11 European countries (i.e., Denmark, Sweden, Austria, France, Germany, Switzerland, Belgium, the Netherlands, Spain, Italy, and Greece).</w:t>
      </w:r>
      <w:r w:rsidR="00CF3114">
        <w:t xml:space="preserve"> </w:t>
      </w:r>
      <w:r w:rsidR="00CF3114" w:rsidRPr="007A15F6">
        <w:t xml:space="preserve">Only 13 studies examined strictly healthy older adults. For one study, the proportion of participants that suffered from dementia was 46%. For four studies, the proportion of participants that suffered from Mild Cognitive Impairment (MCI) was 55.5%, 50%, 38.5%, and 30% respectively. Another 3 studies included a mixed sample that to 70%, 64%, 36% respectively, suffered either from MCI or dementia. One study used </w:t>
      </w:r>
      <w:r w:rsidR="00CF3114" w:rsidRPr="00367D37">
        <w:t xml:space="preserve">senior participants </w:t>
      </w:r>
      <w:r w:rsidR="00FD26C7" w:rsidRPr="00367D37">
        <w:t>of whom</w:t>
      </w:r>
      <w:r w:rsidR="00CF3114" w:rsidRPr="00367D37">
        <w:t xml:space="preserve"> 13% had suffered a stroke. One study examined patients of carotic stenosis, another examined individuals that</w:t>
      </w:r>
      <w:r w:rsidR="00CF3114" w:rsidRPr="007A15F6">
        <w:t xml:space="preserve"> suffered from depression, one examined seniors with diabetes, and two examined individuals that had various cardiovascular conditions. </w:t>
      </w:r>
      <w:r w:rsidR="00DA65A9">
        <w:t>In</w:t>
      </w:r>
      <w:r w:rsidR="00CF3114" w:rsidRPr="007A15F6">
        <w:t xml:space="preserve"> t</w:t>
      </w:r>
      <w:r>
        <w:t>hose</w:t>
      </w:r>
      <w:r w:rsidR="00DA65A9">
        <w:t xml:space="preserve"> studies</w:t>
      </w:r>
      <w:r w:rsidR="00CF3114" w:rsidRPr="007A15F6">
        <w:t xml:space="preserve">, either no cognitive impairments were observed during the </w:t>
      </w:r>
      <w:r w:rsidR="001C543C">
        <w:t xml:space="preserve">participants’ </w:t>
      </w:r>
      <w:r w:rsidR="00CF3114" w:rsidRPr="007A15F6">
        <w:t>examination, or the effect of the participants’ comorbidity wa</w:t>
      </w:r>
      <w:r w:rsidR="00CF3114">
        <w:t>s statistically controlled for</w:t>
      </w:r>
      <w:r w:rsidR="005B78CA">
        <w:t xml:space="preserve"> in the respective correlations reported</w:t>
      </w:r>
      <w:r w:rsidR="00CF3114">
        <w:t>.</w:t>
      </w:r>
    </w:p>
    <w:p w:rsidR="003561B5" w:rsidRPr="007A15F6" w:rsidRDefault="00C4694A" w:rsidP="003561B5">
      <w:pPr>
        <w:tabs>
          <w:tab w:val="left" w:pos="720"/>
        </w:tabs>
        <w:spacing w:before="240" w:line="480" w:lineRule="auto"/>
        <w:rPr>
          <w:rFonts w:ascii="Times New Roman" w:eastAsia="Calibri" w:hAnsi="Times New Roman" w:cs="Times New Roman"/>
          <w:color w:val="000000"/>
          <w:szCs w:val="20"/>
        </w:rPr>
      </w:pPr>
      <w:r>
        <w:rPr>
          <w:rFonts w:ascii="Times New Roman" w:eastAsia="Calibri" w:hAnsi="Times New Roman" w:cs="Times New Roman"/>
          <w:noProof/>
          <w:color w:val="000000"/>
          <w:szCs w:val="20"/>
          <w:lang w:eastAsia="en-GB"/>
        </w:rPr>
        <w:pict>
          <v:shapetype id="_x0000_t32" coordsize="21600,21600" o:spt="32" o:oned="t" path="m,l21600,21600e" filled="f">
            <v:path arrowok="t" fillok="f" o:connecttype="none"/>
            <o:lock v:ext="edit" shapetype="t"/>
          </v:shapetype>
          <v:shape id="AutoShape 26" o:spid="_x0000_s1134" type="#_x0000_t32" alt="" style="position:absolute;margin-left:252pt;margin-top:39pt;width:1.15pt;height:29.1pt;z-index:251683840;visibility:visible;mso-wrap-edited:f;mso-wrap-distance-left:3.17492mm;mso-wrap-distance-right:3.17492mm">
            <v:stroke endarrow="block"/>
            <o:lock v:ext="edit" shapetype="f"/>
          </v:shape>
        </w:pict>
      </w:r>
      <w:r>
        <w:rPr>
          <w:rFonts w:ascii="Times New Roman" w:eastAsia="Calibri" w:hAnsi="Times New Roman" w:cs="Times New Roman"/>
          <w:noProof/>
          <w:color w:val="000000"/>
          <w:szCs w:val="20"/>
          <w:lang w:eastAsia="en-GB"/>
        </w:rPr>
        <w:pict>
          <v:shape id="Text Box 22" o:spid="_x0000_s1133" type="#_x0000_t202" alt="" style="position:absolute;margin-left:130.05pt;margin-top:9.2pt;width:238.45pt;height:25.95pt;z-index:251684864;visibility:visible;mso-wrap-edited:f">
            <v:path arrowok="t"/>
            <v:textbox style="mso-next-textbox:#Text Box 22">
              <w:txbxContent>
                <w:p w:rsidR="00E87F3A" w:rsidRPr="009007FD" w:rsidRDefault="00E87F3A" w:rsidP="003561B5">
                  <w:pPr>
                    <w:jc w:val="center"/>
                    <w:rPr>
                      <w:rFonts w:ascii="Times New Roman" w:hAnsi="Times New Roman" w:cs="Times New Roman"/>
                      <w:sz w:val="20"/>
                      <w:szCs w:val="20"/>
                    </w:rPr>
                  </w:pPr>
                  <w:r>
                    <w:rPr>
                      <w:rFonts w:ascii="Times New Roman" w:hAnsi="Times New Roman" w:cs="Times New Roman"/>
                      <w:sz w:val="20"/>
                      <w:szCs w:val="20"/>
                    </w:rPr>
                    <w:t>164</w:t>
                  </w:r>
                  <w:r w:rsidRPr="009007FD">
                    <w:rPr>
                      <w:rFonts w:ascii="Times New Roman" w:hAnsi="Times New Roman" w:cs="Times New Roman"/>
                      <w:sz w:val="20"/>
                      <w:szCs w:val="20"/>
                    </w:rPr>
                    <w:t xml:space="preserve"> articles found and abstracts were reviewed</w:t>
                  </w:r>
                </w:p>
              </w:txbxContent>
            </v:textbox>
          </v:shape>
        </w:pict>
      </w:r>
    </w:p>
    <w:p w:rsidR="003561B5" w:rsidRPr="007A15F6" w:rsidRDefault="00C4694A" w:rsidP="003561B5">
      <w:pPr>
        <w:tabs>
          <w:tab w:val="left" w:pos="720"/>
        </w:tabs>
        <w:spacing w:before="240" w:line="480" w:lineRule="auto"/>
        <w:rPr>
          <w:rFonts w:ascii="Times New Roman" w:eastAsia="Calibri" w:hAnsi="Times New Roman" w:cs="Times New Roman"/>
          <w:color w:val="000000"/>
          <w:szCs w:val="20"/>
        </w:rPr>
      </w:pPr>
      <w:r>
        <w:rPr>
          <w:rFonts w:ascii="Times New Roman" w:eastAsia="Calibri" w:hAnsi="Times New Roman" w:cs="Times New Roman"/>
          <w:noProof/>
          <w:color w:val="000000"/>
          <w:szCs w:val="20"/>
          <w:lang w:eastAsia="en-GB"/>
        </w:rPr>
        <w:pict>
          <v:shape id="Text Box 23" o:spid="_x0000_s1132" type="#_x0000_t202" alt="" style="position:absolute;margin-left:132pt;margin-top:35.45pt;width:238.45pt;height:116.05pt;z-index:251685888;visibility:visible;mso-wrap-edited:f">
            <v:path arrowok="t"/>
            <v:textbox style="mso-next-textbox:#Text Box 23">
              <w:txbxContent>
                <w:p w:rsidR="00E87F3A" w:rsidRPr="009007FD" w:rsidRDefault="00E87F3A" w:rsidP="003561B5">
                  <w:pPr>
                    <w:jc w:val="center"/>
                    <w:rPr>
                      <w:rFonts w:ascii="Times New Roman" w:hAnsi="Times New Roman" w:cs="Times New Roman"/>
                      <w:sz w:val="20"/>
                      <w:szCs w:val="20"/>
                    </w:rPr>
                  </w:pPr>
                  <w:r w:rsidRPr="009007FD">
                    <w:rPr>
                      <w:rFonts w:ascii="Times New Roman" w:hAnsi="Times New Roman" w:cs="Times New Roman"/>
                      <w:sz w:val="20"/>
                      <w:szCs w:val="20"/>
                    </w:rPr>
                    <w:t>44 articles excluded because</w:t>
                  </w:r>
                  <w:r>
                    <w:rPr>
                      <w:rFonts w:ascii="Times New Roman" w:hAnsi="Times New Roman" w:cs="Times New Roman"/>
                      <w:sz w:val="20"/>
                      <w:szCs w:val="20"/>
                    </w:rPr>
                    <w:t>:</w:t>
                  </w:r>
                </w:p>
                <w:p w:rsidR="00E87F3A" w:rsidRPr="009007FD" w:rsidRDefault="00E87F3A" w:rsidP="003561B5">
                  <w:pPr>
                    <w:pStyle w:val="ListParagraph"/>
                    <w:numPr>
                      <w:ilvl w:val="0"/>
                      <w:numId w:val="1"/>
                    </w:numPr>
                    <w:ind w:left="1080"/>
                    <w:rPr>
                      <w:rFonts w:ascii="Times New Roman" w:hAnsi="Times New Roman" w:cs="Times New Roman"/>
                      <w:sz w:val="20"/>
                      <w:szCs w:val="20"/>
                    </w:rPr>
                  </w:pPr>
                  <w:r w:rsidRPr="009007FD">
                    <w:rPr>
                      <w:rFonts w:ascii="Times New Roman" w:hAnsi="Times New Roman" w:cs="Times New Roman"/>
                      <w:sz w:val="20"/>
                      <w:szCs w:val="20"/>
                    </w:rPr>
                    <w:t>Data could not be extracted (3)</w:t>
                  </w:r>
                </w:p>
                <w:p w:rsidR="00E87F3A" w:rsidRPr="009007FD" w:rsidRDefault="00E87F3A" w:rsidP="003561B5">
                  <w:pPr>
                    <w:pStyle w:val="ListParagraph"/>
                    <w:numPr>
                      <w:ilvl w:val="0"/>
                      <w:numId w:val="1"/>
                    </w:numPr>
                    <w:ind w:left="1080"/>
                    <w:rPr>
                      <w:rFonts w:ascii="Times New Roman" w:hAnsi="Times New Roman" w:cs="Times New Roman"/>
                      <w:sz w:val="20"/>
                      <w:szCs w:val="20"/>
                    </w:rPr>
                  </w:pPr>
                  <w:r w:rsidRPr="009007FD">
                    <w:rPr>
                      <w:rFonts w:ascii="Times New Roman" w:hAnsi="Times New Roman" w:cs="Times New Roman"/>
                      <w:sz w:val="20"/>
                      <w:szCs w:val="20"/>
                    </w:rPr>
                    <w:t xml:space="preserve">Sample suffered from a traumatic Brain </w:t>
                  </w:r>
                </w:p>
                <w:p w:rsidR="00E87F3A" w:rsidRPr="009007FD" w:rsidRDefault="00E87F3A" w:rsidP="003561B5">
                  <w:pPr>
                    <w:pStyle w:val="ListParagraph"/>
                    <w:ind w:left="1080"/>
                    <w:rPr>
                      <w:rFonts w:ascii="Times New Roman" w:hAnsi="Times New Roman" w:cs="Times New Roman"/>
                      <w:sz w:val="20"/>
                      <w:szCs w:val="20"/>
                    </w:rPr>
                  </w:pPr>
                  <w:r w:rsidRPr="009007FD">
                    <w:rPr>
                      <w:rFonts w:ascii="Times New Roman" w:hAnsi="Times New Roman" w:cs="Times New Roman"/>
                      <w:sz w:val="20"/>
                      <w:szCs w:val="20"/>
                    </w:rPr>
                    <w:t>Injury (3)</w:t>
                  </w:r>
                </w:p>
                <w:p w:rsidR="00E87F3A" w:rsidRPr="009007FD" w:rsidRDefault="00E87F3A" w:rsidP="003561B5">
                  <w:pPr>
                    <w:pStyle w:val="ListParagraph"/>
                    <w:numPr>
                      <w:ilvl w:val="0"/>
                      <w:numId w:val="1"/>
                    </w:numPr>
                    <w:ind w:left="1080"/>
                    <w:rPr>
                      <w:rFonts w:ascii="Times New Roman" w:hAnsi="Times New Roman" w:cs="Times New Roman"/>
                      <w:sz w:val="20"/>
                      <w:szCs w:val="20"/>
                    </w:rPr>
                  </w:pPr>
                  <w:r w:rsidRPr="009007FD">
                    <w:rPr>
                      <w:rFonts w:ascii="Times New Roman" w:hAnsi="Times New Roman" w:cs="Times New Roman"/>
                      <w:sz w:val="20"/>
                      <w:szCs w:val="20"/>
                    </w:rPr>
                    <w:t>No quantitative data were reported (34)</w:t>
                  </w:r>
                </w:p>
                <w:p w:rsidR="00E87F3A" w:rsidRPr="009007FD" w:rsidRDefault="00E87F3A" w:rsidP="003561B5">
                  <w:pPr>
                    <w:pStyle w:val="ListParagraph"/>
                    <w:numPr>
                      <w:ilvl w:val="0"/>
                      <w:numId w:val="1"/>
                    </w:numPr>
                    <w:ind w:left="1080"/>
                    <w:rPr>
                      <w:rFonts w:ascii="Times New Roman" w:hAnsi="Times New Roman" w:cs="Times New Roman"/>
                      <w:sz w:val="20"/>
                      <w:szCs w:val="20"/>
                    </w:rPr>
                  </w:pPr>
                  <w:r w:rsidRPr="009007FD">
                    <w:rPr>
                      <w:rFonts w:ascii="Times New Roman" w:hAnsi="Times New Roman" w:cs="Times New Roman"/>
                      <w:sz w:val="20"/>
                      <w:szCs w:val="20"/>
                    </w:rPr>
                    <w:t>Study on animals (1)</w:t>
                  </w:r>
                </w:p>
                <w:p w:rsidR="00E87F3A" w:rsidRPr="009007FD" w:rsidRDefault="00E87F3A" w:rsidP="003561B5">
                  <w:pPr>
                    <w:pStyle w:val="ListParagraph"/>
                    <w:numPr>
                      <w:ilvl w:val="0"/>
                      <w:numId w:val="1"/>
                    </w:numPr>
                    <w:ind w:left="1080"/>
                    <w:rPr>
                      <w:rFonts w:ascii="Times New Roman" w:hAnsi="Times New Roman" w:cs="Times New Roman"/>
                      <w:sz w:val="20"/>
                      <w:szCs w:val="20"/>
                    </w:rPr>
                  </w:pPr>
                  <w:r w:rsidRPr="009007FD">
                    <w:rPr>
                      <w:rFonts w:ascii="Times New Roman" w:hAnsi="Times New Roman" w:cs="Times New Roman"/>
                      <w:sz w:val="20"/>
                      <w:szCs w:val="20"/>
                    </w:rPr>
                    <w:t>No cognition was examined (1)</w:t>
                  </w:r>
                </w:p>
                <w:p w:rsidR="00E87F3A" w:rsidRPr="009007FD" w:rsidRDefault="00E87F3A" w:rsidP="003561B5">
                  <w:pPr>
                    <w:pStyle w:val="ListParagraph"/>
                    <w:numPr>
                      <w:ilvl w:val="0"/>
                      <w:numId w:val="1"/>
                    </w:numPr>
                    <w:ind w:left="1080"/>
                    <w:rPr>
                      <w:rFonts w:ascii="Times New Roman" w:hAnsi="Times New Roman" w:cs="Times New Roman"/>
                      <w:sz w:val="20"/>
                      <w:szCs w:val="20"/>
                    </w:rPr>
                  </w:pPr>
                  <w:r w:rsidRPr="009007FD">
                    <w:rPr>
                      <w:rFonts w:ascii="Times New Roman" w:hAnsi="Times New Roman" w:cs="Times New Roman"/>
                      <w:sz w:val="20"/>
                      <w:szCs w:val="20"/>
                    </w:rPr>
                    <w:t>Meta-analyses (2)</w:t>
                  </w:r>
                </w:p>
              </w:txbxContent>
            </v:textbox>
          </v:shape>
        </w:pict>
      </w:r>
    </w:p>
    <w:p w:rsidR="003561B5" w:rsidRPr="007A15F6" w:rsidRDefault="003561B5" w:rsidP="003561B5">
      <w:pPr>
        <w:spacing w:after="200" w:line="276" w:lineRule="auto"/>
        <w:rPr>
          <w:rFonts w:ascii="Times New Roman" w:eastAsia="Calibri" w:hAnsi="Times New Roman" w:cs="Times New Roman"/>
          <w:sz w:val="22"/>
          <w:szCs w:val="22"/>
        </w:rPr>
      </w:pPr>
    </w:p>
    <w:p w:rsidR="003561B5" w:rsidRPr="007A15F6" w:rsidRDefault="003561B5" w:rsidP="003561B5">
      <w:pPr>
        <w:spacing w:after="200" w:line="276" w:lineRule="auto"/>
        <w:rPr>
          <w:rFonts w:ascii="Times New Roman" w:eastAsia="Calibri" w:hAnsi="Times New Roman" w:cs="Times New Roman"/>
          <w:sz w:val="22"/>
          <w:szCs w:val="22"/>
        </w:rPr>
      </w:pPr>
    </w:p>
    <w:p w:rsidR="003561B5" w:rsidRPr="007A15F6" w:rsidRDefault="003561B5" w:rsidP="003561B5">
      <w:pPr>
        <w:spacing w:after="200" w:line="276" w:lineRule="auto"/>
        <w:rPr>
          <w:rFonts w:ascii="Times New Roman" w:eastAsia="Calibri" w:hAnsi="Times New Roman" w:cs="Times New Roman"/>
          <w:sz w:val="22"/>
          <w:szCs w:val="22"/>
        </w:rPr>
      </w:pPr>
    </w:p>
    <w:p w:rsidR="003561B5" w:rsidRPr="007A15F6" w:rsidRDefault="003561B5" w:rsidP="003561B5">
      <w:pPr>
        <w:spacing w:after="200" w:line="276" w:lineRule="auto"/>
        <w:rPr>
          <w:rFonts w:ascii="Times New Roman" w:eastAsia="Calibri" w:hAnsi="Times New Roman" w:cs="Times New Roman"/>
          <w:sz w:val="22"/>
          <w:szCs w:val="22"/>
        </w:rPr>
      </w:pPr>
    </w:p>
    <w:p w:rsidR="003561B5" w:rsidRPr="007A15F6" w:rsidRDefault="00C4694A" w:rsidP="003561B5">
      <w:pPr>
        <w:spacing w:after="200" w:line="276" w:lineRule="auto"/>
        <w:rPr>
          <w:rFonts w:ascii="Times New Roman" w:eastAsia="Calibri" w:hAnsi="Times New Roman" w:cs="Times New Roman"/>
          <w:sz w:val="22"/>
          <w:szCs w:val="22"/>
        </w:rPr>
      </w:pPr>
      <w:r>
        <w:rPr>
          <w:rFonts w:ascii="Calibri" w:eastAsia="Calibri" w:hAnsi="Calibri" w:cs="Times New Roman"/>
          <w:noProof/>
          <w:sz w:val="22"/>
          <w:szCs w:val="22"/>
          <w:lang w:eastAsia="en-GB"/>
        </w:rPr>
        <w:pict>
          <v:shape id="AutoShape 25" o:spid="_x0000_s1131" type="#_x0000_t32" alt="" style="position:absolute;margin-left:251.95pt;margin-top:23.65pt;width:0;height:25.35pt;z-index:251686912;visibility:visible;mso-wrap-edited:f;mso-wrap-distance-left:3.17467mm;mso-wrap-distance-right:3.17467mm">
            <v:stroke endarrow="block"/>
            <o:lock v:ext="edit" shapetype="f"/>
          </v:shape>
        </w:pict>
      </w:r>
    </w:p>
    <w:p w:rsidR="003561B5" w:rsidRPr="007A15F6" w:rsidRDefault="003561B5" w:rsidP="003561B5">
      <w:pPr>
        <w:spacing w:after="200" w:line="276" w:lineRule="auto"/>
        <w:rPr>
          <w:rFonts w:ascii="Times New Roman" w:eastAsia="Calibri" w:hAnsi="Times New Roman" w:cs="Times New Roman"/>
          <w:sz w:val="22"/>
          <w:szCs w:val="22"/>
        </w:rPr>
      </w:pPr>
    </w:p>
    <w:p w:rsidR="003561B5" w:rsidRPr="007A15F6" w:rsidRDefault="00C4694A" w:rsidP="003561B5">
      <w:pPr>
        <w:spacing w:after="200" w:line="276" w:lineRule="auto"/>
        <w:rPr>
          <w:rFonts w:ascii="Times New Roman" w:eastAsia="Calibri" w:hAnsi="Times New Roman" w:cs="Times New Roman"/>
          <w:sz w:val="22"/>
          <w:szCs w:val="22"/>
        </w:rPr>
      </w:pPr>
      <w:r>
        <w:rPr>
          <w:rFonts w:ascii="Calibri" w:eastAsia="Calibri" w:hAnsi="Calibri" w:cs="Times New Roman"/>
          <w:noProof/>
          <w:sz w:val="22"/>
          <w:szCs w:val="22"/>
          <w:lang w:eastAsia="en-GB"/>
        </w:rPr>
        <w:pict>
          <v:shape id="Text Box 24" o:spid="_x0000_s1130" type="#_x0000_t202" alt="" style="position:absolute;margin-left:132pt;margin-top:1.55pt;width:238.45pt;height:113.45pt;z-index:251687936;visibility:visible;mso-wrap-edited:f">
            <v:path arrowok="t"/>
            <v:textbox style="mso-next-textbox:#Text Box 24">
              <w:txbxContent>
                <w:p w:rsidR="00E87F3A" w:rsidRPr="009007FD" w:rsidRDefault="00E87F3A" w:rsidP="003561B5">
                  <w:pPr>
                    <w:jc w:val="center"/>
                    <w:rPr>
                      <w:rFonts w:ascii="Times New Roman" w:hAnsi="Times New Roman" w:cs="Times New Roman"/>
                      <w:sz w:val="20"/>
                      <w:szCs w:val="20"/>
                    </w:rPr>
                  </w:pPr>
                  <w:r w:rsidRPr="009007FD">
                    <w:rPr>
                      <w:rFonts w:ascii="Times New Roman" w:hAnsi="Times New Roman" w:cs="Times New Roman"/>
                      <w:sz w:val="20"/>
                      <w:szCs w:val="20"/>
                    </w:rPr>
                    <w:t xml:space="preserve">Further </w:t>
                  </w:r>
                  <w:r>
                    <w:rPr>
                      <w:rFonts w:ascii="Times New Roman" w:hAnsi="Times New Roman" w:cs="Times New Roman"/>
                      <w:sz w:val="20"/>
                      <w:szCs w:val="20"/>
                    </w:rPr>
                    <w:t>91</w:t>
                  </w:r>
                  <w:r w:rsidRPr="009007FD">
                    <w:rPr>
                      <w:rFonts w:ascii="Times New Roman" w:hAnsi="Times New Roman" w:cs="Times New Roman"/>
                      <w:sz w:val="20"/>
                      <w:szCs w:val="20"/>
                    </w:rPr>
                    <w:t xml:space="preserve"> studies excluded because</w:t>
                  </w:r>
                  <w:r>
                    <w:rPr>
                      <w:rFonts w:ascii="Times New Roman" w:hAnsi="Times New Roman" w:cs="Times New Roman"/>
                      <w:sz w:val="20"/>
                      <w:szCs w:val="20"/>
                    </w:rPr>
                    <w:t>:</w:t>
                  </w:r>
                </w:p>
                <w:p w:rsidR="00E87F3A" w:rsidRDefault="00E87F3A" w:rsidP="003561B5">
                  <w:pPr>
                    <w:pStyle w:val="ListParagraph"/>
                    <w:numPr>
                      <w:ilvl w:val="0"/>
                      <w:numId w:val="2"/>
                    </w:numPr>
                    <w:ind w:left="630"/>
                    <w:rPr>
                      <w:rFonts w:ascii="Times New Roman" w:hAnsi="Times New Roman" w:cs="Times New Roman"/>
                      <w:sz w:val="20"/>
                      <w:szCs w:val="20"/>
                    </w:rPr>
                  </w:pPr>
                  <w:r>
                    <w:rPr>
                      <w:rFonts w:ascii="Times New Roman" w:hAnsi="Times New Roman" w:cs="Times New Roman"/>
                      <w:sz w:val="20"/>
                      <w:szCs w:val="20"/>
                    </w:rPr>
                    <w:t>E</w:t>
                  </w:r>
                  <w:r w:rsidRPr="009007FD">
                    <w:rPr>
                      <w:rFonts w:ascii="Times New Roman" w:hAnsi="Times New Roman" w:cs="Times New Roman"/>
                      <w:sz w:val="20"/>
                      <w:szCs w:val="20"/>
                    </w:rPr>
                    <w:t>xamined seniors that to more than 50% suffered from dementia or other severe age-related neuropsychological conditions</w:t>
                  </w:r>
                  <w:r>
                    <w:rPr>
                      <w:rFonts w:ascii="Times New Roman" w:hAnsi="Times New Roman" w:cs="Times New Roman"/>
                      <w:sz w:val="20"/>
                      <w:szCs w:val="20"/>
                    </w:rPr>
                    <w:t xml:space="preserve"> (68)</w:t>
                  </w:r>
                </w:p>
                <w:p w:rsidR="00E87F3A" w:rsidRPr="001460E1" w:rsidRDefault="00E87F3A" w:rsidP="003561B5">
                  <w:pPr>
                    <w:pStyle w:val="ListParagraph"/>
                    <w:numPr>
                      <w:ilvl w:val="0"/>
                      <w:numId w:val="2"/>
                    </w:numPr>
                    <w:ind w:left="630"/>
                    <w:rPr>
                      <w:rFonts w:ascii="Times New Roman" w:hAnsi="Times New Roman" w:cs="Times New Roman"/>
                      <w:sz w:val="20"/>
                      <w:szCs w:val="20"/>
                    </w:rPr>
                  </w:pPr>
                  <w:r w:rsidRPr="001460E1">
                    <w:rPr>
                      <w:rFonts w:ascii="Times New Roman" w:hAnsi="Times New Roman" w:cs="Times New Roman"/>
                      <w:sz w:val="20"/>
                      <w:szCs w:val="20"/>
                    </w:rPr>
                    <w:t>Did not report correlations, standardized regression betas (</w:t>
                  </w:r>
                  <w:r w:rsidRPr="001460E1">
                    <w:rPr>
                      <w:rFonts w:ascii="Times New Roman" w:hAnsi="Times New Roman" w:cs="Times New Roman"/>
                      <w:i/>
                      <w:sz w:val="20"/>
                      <w:szCs w:val="20"/>
                      <w:lang w:val="el-GR"/>
                    </w:rPr>
                    <w:t>β</w:t>
                  </w:r>
                  <w:r w:rsidRPr="001460E1">
                    <w:rPr>
                      <w:rFonts w:ascii="Times New Roman" w:hAnsi="Times New Roman" w:cs="Times New Roman"/>
                      <w:sz w:val="20"/>
                      <w:szCs w:val="20"/>
                    </w:rPr>
                    <w:t>), or R</w:t>
                  </w:r>
                  <w:r w:rsidRPr="001460E1">
                    <w:rPr>
                      <w:rFonts w:ascii="Times New Roman" w:hAnsi="Times New Roman" w:cs="Times New Roman"/>
                      <w:sz w:val="20"/>
                      <w:szCs w:val="20"/>
                      <w:vertAlign w:val="superscript"/>
                    </w:rPr>
                    <w:t>2</w:t>
                  </w:r>
                  <w:r w:rsidRPr="001460E1">
                    <w:rPr>
                      <w:rFonts w:ascii="Times New Roman" w:hAnsi="Times New Roman" w:cs="Times New Roman"/>
                      <w:sz w:val="20"/>
                      <w:szCs w:val="20"/>
                    </w:rPr>
                    <w:t>.</w:t>
                  </w:r>
                </w:p>
              </w:txbxContent>
            </v:textbox>
          </v:shape>
        </w:pict>
      </w:r>
    </w:p>
    <w:p w:rsidR="003561B5" w:rsidRPr="007A15F6" w:rsidRDefault="003561B5" w:rsidP="003561B5">
      <w:pPr>
        <w:spacing w:after="200" w:line="276" w:lineRule="auto"/>
        <w:rPr>
          <w:rFonts w:ascii="Times New Roman" w:eastAsia="Calibri" w:hAnsi="Times New Roman" w:cs="Times New Roman"/>
          <w:sz w:val="22"/>
          <w:szCs w:val="22"/>
        </w:rPr>
      </w:pPr>
    </w:p>
    <w:p w:rsidR="003561B5" w:rsidRPr="007A15F6" w:rsidRDefault="003561B5" w:rsidP="003561B5">
      <w:pPr>
        <w:spacing w:after="200" w:line="276" w:lineRule="auto"/>
        <w:rPr>
          <w:rFonts w:ascii="Times New Roman" w:eastAsia="Calibri" w:hAnsi="Times New Roman" w:cs="Times New Roman"/>
          <w:sz w:val="22"/>
          <w:szCs w:val="22"/>
        </w:rPr>
      </w:pPr>
    </w:p>
    <w:p w:rsidR="003561B5" w:rsidRPr="007A15F6" w:rsidRDefault="003561B5" w:rsidP="003561B5">
      <w:pPr>
        <w:spacing w:after="200" w:line="276" w:lineRule="auto"/>
        <w:rPr>
          <w:rFonts w:ascii="Times New Roman" w:eastAsia="Calibri" w:hAnsi="Times New Roman" w:cs="Times New Roman"/>
          <w:sz w:val="22"/>
          <w:szCs w:val="22"/>
        </w:rPr>
      </w:pPr>
    </w:p>
    <w:p w:rsidR="003561B5" w:rsidRPr="007A15F6" w:rsidRDefault="00C4694A" w:rsidP="003561B5">
      <w:pPr>
        <w:spacing w:after="200" w:line="276" w:lineRule="auto"/>
        <w:rPr>
          <w:rFonts w:ascii="Times New Roman" w:eastAsia="Calibri" w:hAnsi="Times New Roman" w:cs="Times New Roman"/>
          <w:sz w:val="22"/>
          <w:szCs w:val="22"/>
        </w:rPr>
      </w:pPr>
      <w:r>
        <w:rPr>
          <w:rFonts w:ascii="Calibri" w:eastAsia="Calibri" w:hAnsi="Calibri" w:cs="Times New Roman"/>
          <w:noProof/>
          <w:sz w:val="22"/>
          <w:szCs w:val="22"/>
          <w:lang w:eastAsia="en-GB"/>
        </w:rPr>
        <w:pict>
          <v:shape id="AutoShape 27" o:spid="_x0000_s1129" type="#_x0000_t32" alt="" style="position:absolute;margin-left:251.95pt;margin-top:20.35pt;width:0;height:25.35pt;z-index:251688960;visibility:visible;mso-wrap-edited:f;mso-wrap-distance-left:3.17467mm;mso-wrap-distance-right:3.17467mm">
            <v:stroke endarrow="block"/>
            <o:lock v:ext="edit" shapetype="f"/>
          </v:shape>
        </w:pict>
      </w:r>
    </w:p>
    <w:p w:rsidR="003561B5" w:rsidRPr="007A15F6" w:rsidRDefault="00C4694A" w:rsidP="003561B5">
      <w:pPr>
        <w:spacing w:after="200" w:line="276" w:lineRule="auto"/>
        <w:rPr>
          <w:rFonts w:ascii="Times New Roman" w:eastAsia="Calibri" w:hAnsi="Times New Roman" w:cs="Times New Roman"/>
          <w:sz w:val="22"/>
          <w:szCs w:val="22"/>
        </w:rPr>
      </w:pPr>
      <w:r>
        <w:rPr>
          <w:rFonts w:ascii="Calibri" w:eastAsia="Calibri" w:hAnsi="Calibri" w:cs="Times New Roman"/>
          <w:noProof/>
          <w:sz w:val="22"/>
          <w:szCs w:val="22"/>
          <w:lang w:eastAsia="en-GB"/>
        </w:rPr>
        <w:pict>
          <v:shape id="Text Box 28" o:spid="_x0000_s1128" type="#_x0000_t202" alt="" style="position:absolute;margin-left:132pt;margin-top:22.8pt;width:238.85pt;height:42.4pt;z-index:251689984;visibility:visible;mso-wrap-edited:f;mso-height-percent:200;mso-height-percent:200;mso-width-relative:margin;mso-height-relative:margin">
            <v:path arrowok="t"/>
            <v:textbox style="mso-next-textbox:#Text Box 28;mso-fit-shape-to-text:t">
              <w:txbxContent>
                <w:p w:rsidR="00E87F3A" w:rsidRDefault="00E87F3A" w:rsidP="003561B5">
                  <w:pPr>
                    <w:rPr>
                      <w:rFonts w:ascii="Times New Roman" w:hAnsi="Times New Roman" w:cs="Times New Roman"/>
                      <w:sz w:val="20"/>
                      <w:szCs w:val="20"/>
                    </w:rPr>
                  </w:pPr>
                  <w:r>
                    <w:rPr>
                      <w:rFonts w:ascii="Times New Roman" w:hAnsi="Times New Roman" w:cs="Times New Roman"/>
                      <w:sz w:val="20"/>
                      <w:szCs w:val="20"/>
                    </w:rPr>
                    <w:t>29</w:t>
                  </w:r>
                  <w:r w:rsidRPr="007462E1">
                    <w:rPr>
                      <w:rFonts w:ascii="Times New Roman" w:hAnsi="Times New Roman" w:cs="Times New Roman"/>
                      <w:sz w:val="20"/>
                      <w:szCs w:val="20"/>
                    </w:rPr>
                    <w:t xml:space="preserve"> studies</w:t>
                  </w:r>
                  <w:r>
                    <w:rPr>
                      <w:rFonts w:ascii="Times New Roman" w:hAnsi="Times New Roman" w:cs="Times New Roman"/>
                      <w:sz w:val="20"/>
                      <w:szCs w:val="20"/>
                    </w:rPr>
                    <w:t xml:space="preserve"> </w:t>
                  </w:r>
                  <w:r w:rsidRPr="007462E1">
                    <w:rPr>
                      <w:rFonts w:ascii="Times New Roman" w:hAnsi="Times New Roman" w:cs="Times New Roman"/>
                      <w:sz w:val="20"/>
                      <w:szCs w:val="20"/>
                    </w:rPr>
                    <w:t xml:space="preserve">that examined Cognitive Performance and Everyday Functionality </w:t>
                  </w:r>
                  <w:r>
                    <w:rPr>
                      <w:rFonts w:ascii="Times New Roman" w:hAnsi="Times New Roman" w:cs="Times New Roman"/>
                      <w:sz w:val="20"/>
                      <w:szCs w:val="20"/>
                    </w:rPr>
                    <w:t>where</w:t>
                  </w:r>
                  <w:r w:rsidRPr="007462E1">
                    <w:rPr>
                      <w:rFonts w:ascii="Times New Roman" w:hAnsi="Times New Roman" w:cs="Times New Roman"/>
                      <w:sz w:val="20"/>
                      <w:szCs w:val="20"/>
                    </w:rPr>
                    <w:t xml:space="preserve"> included</w:t>
                  </w:r>
                </w:p>
                <w:p w:rsidR="00E87F3A" w:rsidRPr="007462E1" w:rsidRDefault="00E87F3A" w:rsidP="003561B5">
                  <w:pPr>
                    <w:rPr>
                      <w:rFonts w:ascii="Times New Roman" w:hAnsi="Times New Roman" w:cs="Times New Roman"/>
                      <w:sz w:val="20"/>
                      <w:szCs w:val="20"/>
                    </w:rPr>
                  </w:pPr>
                  <w:r>
                    <w:rPr>
                      <w:rFonts w:ascii="Times New Roman" w:hAnsi="Times New Roman" w:cs="Times New Roman"/>
                      <w:sz w:val="20"/>
                      <w:szCs w:val="20"/>
                    </w:rPr>
                    <w:t xml:space="preserve">Total number of participants </w:t>
                  </w:r>
                  <w:r w:rsidRPr="007D6A5F">
                    <w:rPr>
                      <w:rFonts w:ascii="Times New Roman" w:hAnsi="Times New Roman" w:cs="Times New Roman"/>
                      <w:i/>
                      <w:sz w:val="20"/>
                      <w:szCs w:val="20"/>
                    </w:rPr>
                    <w:t>N</w:t>
                  </w:r>
                  <w:r>
                    <w:rPr>
                      <w:rFonts w:ascii="Times New Roman" w:hAnsi="Times New Roman" w:cs="Times New Roman"/>
                      <w:sz w:val="20"/>
                      <w:szCs w:val="20"/>
                    </w:rPr>
                    <w:t xml:space="preserve"> = 27094</w:t>
                  </w:r>
                </w:p>
              </w:txbxContent>
            </v:textbox>
          </v:shape>
        </w:pict>
      </w:r>
    </w:p>
    <w:p w:rsidR="003561B5" w:rsidRPr="007A15F6" w:rsidRDefault="003561B5" w:rsidP="003561B5">
      <w:pPr>
        <w:tabs>
          <w:tab w:val="left" w:pos="720"/>
        </w:tabs>
        <w:spacing w:before="240" w:line="480" w:lineRule="auto"/>
        <w:rPr>
          <w:rFonts w:ascii="Times New Roman" w:eastAsia="Calibri" w:hAnsi="Times New Roman" w:cs="Times New Roman"/>
          <w:i/>
          <w:color w:val="000000"/>
          <w:szCs w:val="20"/>
        </w:rPr>
      </w:pPr>
    </w:p>
    <w:p w:rsidR="003561B5" w:rsidRPr="00FD26C7" w:rsidRDefault="00FD26C7" w:rsidP="003561B5">
      <w:pPr>
        <w:tabs>
          <w:tab w:val="left" w:pos="720"/>
        </w:tabs>
        <w:spacing w:before="240" w:line="480" w:lineRule="auto"/>
        <w:rPr>
          <w:rStyle w:val="IntenseEmphasis"/>
        </w:rPr>
      </w:pPr>
      <w:r w:rsidRPr="00367D37">
        <w:rPr>
          <w:rStyle w:val="IntenseEmphasis"/>
        </w:rPr>
        <w:t>Figure 1.1</w:t>
      </w:r>
      <w:r w:rsidR="003561B5" w:rsidRPr="00367D37">
        <w:rPr>
          <w:rStyle w:val="IntenseEmphasis"/>
        </w:rPr>
        <w:t xml:space="preserve"> Flow chart of the literature review procedure</w:t>
      </w:r>
    </w:p>
    <w:p w:rsidR="00BC70B0" w:rsidRPr="00FD26C7" w:rsidRDefault="00BC70B0" w:rsidP="00FD26C7">
      <w:pPr>
        <w:tabs>
          <w:tab w:val="left" w:pos="720"/>
        </w:tabs>
        <w:spacing w:before="240" w:line="480" w:lineRule="auto"/>
        <w:rPr>
          <w:rFonts w:ascii="Times New Roman" w:eastAsia="Calibri" w:hAnsi="Times New Roman" w:cs="Times New Roman"/>
          <w:color w:val="000000"/>
          <w:szCs w:val="20"/>
        </w:rPr>
        <w:sectPr w:rsidR="00BC70B0" w:rsidRPr="00FD26C7" w:rsidSect="00A818A8">
          <w:pgSz w:w="11907" w:h="16839" w:code="9"/>
          <w:pgMar w:top="1440" w:right="1440" w:bottom="1440" w:left="1440" w:header="720" w:footer="720" w:gutter="0"/>
          <w:pgNumType w:start="1"/>
          <w:cols w:space="720"/>
          <w:docGrid w:linePitch="360"/>
        </w:sectPr>
      </w:pPr>
    </w:p>
    <w:p w:rsidR="00656481" w:rsidRPr="003C6D84" w:rsidRDefault="003C6D84" w:rsidP="003C6D84">
      <w:pPr>
        <w:tabs>
          <w:tab w:val="left" w:pos="720"/>
        </w:tabs>
        <w:spacing w:before="240" w:line="480" w:lineRule="auto"/>
        <w:rPr>
          <w:rStyle w:val="IntenseEmphasis"/>
        </w:rPr>
      </w:pPr>
      <w:r w:rsidRPr="00367D37">
        <w:rPr>
          <w:rStyle w:val="IntenseEmphasis"/>
        </w:rPr>
        <w:t xml:space="preserve">Table </w:t>
      </w:r>
      <w:r w:rsidR="000D4CDC" w:rsidRPr="00367D37">
        <w:rPr>
          <w:rStyle w:val="IntenseEmphasis"/>
        </w:rPr>
        <w:t>4</w:t>
      </w:r>
      <w:r w:rsidR="00FD26C7" w:rsidRPr="00367D37">
        <w:rPr>
          <w:rStyle w:val="IntenseEmphasis"/>
        </w:rPr>
        <w:t>.2 Neuropsychological</w:t>
      </w:r>
      <w:r w:rsidRPr="00367D37">
        <w:rPr>
          <w:rStyle w:val="IntenseEmphasis"/>
        </w:rPr>
        <w:t xml:space="preserve"> </w:t>
      </w:r>
      <w:r w:rsidR="00FE028D" w:rsidRPr="00367D37">
        <w:rPr>
          <w:rStyle w:val="IntenseEmphasis"/>
        </w:rPr>
        <w:t>Assessment Of Memory Included In The Meta-Analysis</w:t>
      </w:r>
    </w:p>
    <w:tbl>
      <w:tblPr>
        <w:tblStyle w:val="TableGrid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98"/>
        <w:gridCol w:w="5400"/>
        <w:gridCol w:w="5670"/>
      </w:tblGrid>
      <w:tr w:rsidR="00656481" w:rsidRPr="007A15F6" w:rsidTr="00656481">
        <w:trPr>
          <w:cantSplit/>
        </w:trPr>
        <w:tc>
          <w:tcPr>
            <w:tcW w:w="1998" w:type="dxa"/>
            <w:vAlign w:val="center"/>
          </w:tcPr>
          <w:p w:rsidR="00656481" w:rsidRPr="007A15F6" w:rsidRDefault="00656481" w:rsidP="00656481">
            <w:pPr>
              <w:rPr>
                <w:rFonts w:ascii="Times New Roman" w:eastAsia="MS Mincho" w:hAnsi="Times New Roman" w:cs="Times New Roman"/>
                <w:szCs w:val="20"/>
              </w:rPr>
            </w:pPr>
            <w:r w:rsidRPr="007A15F6">
              <w:rPr>
                <w:rFonts w:ascii="Times New Roman" w:eastAsia="MS Mincho" w:hAnsi="Times New Roman" w:cs="Times New Roman"/>
                <w:szCs w:val="20"/>
              </w:rPr>
              <w:t>Abbreviation</w:t>
            </w:r>
          </w:p>
        </w:tc>
        <w:tc>
          <w:tcPr>
            <w:tcW w:w="5400" w:type="dxa"/>
            <w:vAlign w:val="center"/>
          </w:tcPr>
          <w:p w:rsidR="00656481" w:rsidRPr="007A15F6" w:rsidRDefault="00656481" w:rsidP="00656481">
            <w:pPr>
              <w:rPr>
                <w:rFonts w:ascii="Times New Roman" w:eastAsia="MS Mincho" w:hAnsi="Times New Roman" w:cs="Times New Roman"/>
                <w:szCs w:val="20"/>
              </w:rPr>
            </w:pPr>
            <w:r w:rsidRPr="007A15F6">
              <w:rPr>
                <w:rFonts w:ascii="Times New Roman" w:eastAsia="MS Mincho" w:hAnsi="Times New Roman" w:cs="Times New Roman"/>
                <w:szCs w:val="20"/>
              </w:rPr>
              <w:t xml:space="preserve">Neuropsychological Assessment </w:t>
            </w:r>
          </w:p>
        </w:tc>
        <w:tc>
          <w:tcPr>
            <w:tcW w:w="5670" w:type="dxa"/>
            <w:vAlign w:val="center"/>
          </w:tcPr>
          <w:p w:rsidR="00656481" w:rsidRPr="007A15F6" w:rsidRDefault="00656481" w:rsidP="00656481">
            <w:pPr>
              <w:rPr>
                <w:rFonts w:ascii="Times New Roman" w:eastAsia="MS Mincho" w:hAnsi="Times New Roman" w:cs="Times New Roman"/>
                <w:szCs w:val="20"/>
              </w:rPr>
            </w:pPr>
            <w:r w:rsidRPr="007A15F6">
              <w:rPr>
                <w:rFonts w:ascii="Times New Roman" w:eastAsia="MS Mincho" w:hAnsi="Times New Roman" w:cs="Times New Roman"/>
                <w:szCs w:val="20"/>
              </w:rPr>
              <w:t>Used in study</w:t>
            </w:r>
          </w:p>
        </w:tc>
      </w:tr>
      <w:tr w:rsidR="00656481" w:rsidRPr="007A15F6"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ADAC-cog</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Alzheimer’s Disease assessment Scale- Delayed recall test (Chu, Chiu, Hui, Yu, Tsui, &amp; Lee, 2000)</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Tam &amp; Lam  (2012)</w:t>
            </w:r>
          </w:p>
        </w:tc>
      </w:tr>
      <w:tr w:rsidR="00656481" w:rsidRPr="00E041BC"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AVLT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Auditory Verbal learning Test (Brandt, 1991)</w:t>
            </w:r>
          </w:p>
        </w:tc>
        <w:tc>
          <w:tcPr>
            <w:tcW w:w="5670" w:type="dxa"/>
            <w:vAlign w:val="center"/>
          </w:tcPr>
          <w:p w:rsidR="00656481" w:rsidRPr="00E041BC" w:rsidRDefault="00656481" w:rsidP="00656481">
            <w:pPr>
              <w:rPr>
                <w:rFonts w:ascii="Times New Roman" w:eastAsia="MS Mincho" w:hAnsi="Times New Roman" w:cs="Times New Roman"/>
                <w:sz w:val="20"/>
                <w:szCs w:val="20"/>
                <w:lang w:val="de-DE"/>
              </w:rPr>
            </w:pPr>
            <w:r w:rsidRPr="00E041BC">
              <w:rPr>
                <w:rFonts w:ascii="Times New Roman" w:eastAsia="MS Mincho" w:hAnsi="Times New Roman" w:cs="Times New Roman"/>
                <w:sz w:val="20"/>
                <w:szCs w:val="20"/>
                <w:lang w:val="de-DE"/>
              </w:rPr>
              <w:t>Gross, Rebok, Unvertzagt, Willis, &amp; Brandt  (2011)</w:t>
            </w:r>
          </w:p>
          <w:p w:rsidR="00656481" w:rsidRPr="00E041BC" w:rsidRDefault="00656481" w:rsidP="00656481">
            <w:pPr>
              <w:rPr>
                <w:rFonts w:ascii="Times New Roman" w:eastAsia="MS Mincho" w:hAnsi="Times New Roman" w:cs="Times New Roman"/>
                <w:sz w:val="20"/>
                <w:szCs w:val="20"/>
                <w:lang w:val="de-DE"/>
              </w:rPr>
            </w:pPr>
          </w:p>
        </w:tc>
      </w:tr>
      <w:tr w:rsidR="00656481" w:rsidRPr="007A15F6"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BVMRT-R</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Brief Visuospatial Memory Test (Benedict, 1997)</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Schmitter- Edgecombe, &amp; Parsey (2014)</w:t>
            </w:r>
          </w:p>
        </w:tc>
      </w:tr>
      <w:tr w:rsidR="00656481" w:rsidRPr="007A15F6"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CFT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Complex Figure Test (Loring et al., 1990)</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Alosco, et al. (2013)</w:t>
            </w:r>
          </w:p>
        </w:tc>
      </w:tr>
      <w:tr w:rsidR="00656481" w:rsidRPr="00E041BC"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DWR</w:t>
            </w:r>
          </w:p>
        </w:tc>
        <w:tc>
          <w:tcPr>
            <w:tcW w:w="5400" w:type="dxa"/>
            <w:vAlign w:val="center"/>
          </w:tcPr>
          <w:p w:rsidR="00656481" w:rsidRPr="00E041BC" w:rsidRDefault="00656481" w:rsidP="00656481">
            <w:pPr>
              <w:rPr>
                <w:rFonts w:ascii="Times New Roman" w:eastAsia="MS Mincho" w:hAnsi="Times New Roman" w:cs="Times New Roman"/>
                <w:sz w:val="20"/>
                <w:szCs w:val="20"/>
                <w:lang w:val="de-DE"/>
              </w:rPr>
            </w:pPr>
            <w:r w:rsidRPr="00E041BC">
              <w:rPr>
                <w:rFonts w:ascii="Times New Roman" w:eastAsia="MS Mincho" w:hAnsi="Times New Roman" w:cs="Times New Roman"/>
                <w:sz w:val="20"/>
                <w:szCs w:val="20"/>
                <w:lang w:val="de-DE"/>
              </w:rPr>
              <w:t>Delayed Word Recognition (Aichenberger, Busch, Reischies, Stroehle, Heinz, &amp; Rapp, 2010)</w:t>
            </w:r>
          </w:p>
        </w:tc>
        <w:tc>
          <w:tcPr>
            <w:tcW w:w="5670" w:type="dxa"/>
            <w:vAlign w:val="center"/>
          </w:tcPr>
          <w:p w:rsidR="00656481" w:rsidRPr="00E041BC" w:rsidRDefault="00656481" w:rsidP="00656481">
            <w:pPr>
              <w:rPr>
                <w:rFonts w:ascii="Times New Roman" w:eastAsia="MS Mincho" w:hAnsi="Times New Roman" w:cs="Times New Roman"/>
                <w:sz w:val="20"/>
                <w:szCs w:val="20"/>
                <w:lang w:val="de-DE"/>
              </w:rPr>
            </w:pPr>
            <w:r w:rsidRPr="00E041BC">
              <w:rPr>
                <w:rFonts w:ascii="Times New Roman" w:eastAsia="MS Mincho" w:hAnsi="Times New Roman" w:cs="Times New Roman"/>
                <w:sz w:val="20"/>
                <w:szCs w:val="20"/>
                <w:lang w:val="de-DE"/>
              </w:rPr>
              <w:t>Aichenberger, Busch, Reischies, Stroehle, Heinz, Rapp (2010)</w:t>
            </w:r>
          </w:p>
        </w:tc>
      </w:tr>
      <w:tr w:rsidR="00656481" w:rsidRPr="00E041BC" w:rsidTr="00656481">
        <w:trPr>
          <w:cantSplit/>
          <w:trHeight w:val="575"/>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HVLT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Hopkins Verbal Learning Test (Brandt &amp;</w:t>
            </w:r>
          </w:p>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Benedict, 2001)</w:t>
            </w:r>
          </w:p>
        </w:tc>
        <w:tc>
          <w:tcPr>
            <w:tcW w:w="5670" w:type="dxa"/>
            <w:vAlign w:val="center"/>
          </w:tcPr>
          <w:p w:rsidR="00656481" w:rsidRPr="00E041BC" w:rsidRDefault="00656481" w:rsidP="00656481">
            <w:pPr>
              <w:rPr>
                <w:rFonts w:ascii="Times New Roman" w:eastAsia="MS Mincho" w:hAnsi="Times New Roman" w:cs="Times New Roman"/>
                <w:sz w:val="20"/>
                <w:szCs w:val="20"/>
                <w:lang w:val="de-DE"/>
              </w:rPr>
            </w:pPr>
            <w:r w:rsidRPr="00E041BC">
              <w:rPr>
                <w:rFonts w:ascii="Times New Roman" w:eastAsia="MS Mincho" w:hAnsi="Times New Roman" w:cs="Times New Roman"/>
                <w:sz w:val="20"/>
                <w:szCs w:val="20"/>
                <w:lang w:val="de-DE"/>
              </w:rPr>
              <w:t>Gross, Rebok, Unvertzagt, Willis, &amp; Brandt,  (2011)</w:t>
            </w:r>
          </w:p>
          <w:p w:rsidR="00656481" w:rsidRPr="00E041BC" w:rsidRDefault="00656481" w:rsidP="00656481">
            <w:pPr>
              <w:rPr>
                <w:rFonts w:ascii="Times New Roman" w:eastAsia="MS Mincho" w:hAnsi="Times New Roman" w:cs="Times New Roman"/>
                <w:sz w:val="20"/>
                <w:szCs w:val="20"/>
                <w:lang w:val="de-DE"/>
              </w:rPr>
            </w:pPr>
          </w:p>
        </w:tc>
      </w:tr>
      <w:tr w:rsidR="00656481" w:rsidRPr="007A15F6"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MAS</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Memory Assessment Scale (Williams, 1991)</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Schmitter- Edgecombe, McAlister, &amp; Weakly (2012); Schmitter- Edgecombe, Parsey, &amp; Cook (2011); Schmitter- Edgecombe, &amp; Parsey (2014)</w:t>
            </w:r>
          </w:p>
        </w:tc>
      </w:tr>
      <w:tr w:rsidR="00656481" w:rsidRPr="007A15F6"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vertAlign w:val="subscript"/>
              </w:rPr>
            </w:pPr>
            <w:r w:rsidRPr="007A15F6">
              <w:rPr>
                <w:rFonts w:ascii="Times New Roman" w:eastAsia="MS Mincho" w:hAnsi="Times New Roman" w:cs="Times New Roman"/>
                <w:sz w:val="20"/>
                <w:szCs w:val="20"/>
              </w:rPr>
              <w:t>Memory</w:t>
            </w:r>
            <w:r w:rsidRPr="007A15F6">
              <w:rPr>
                <w:rFonts w:ascii="Times New Roman" w:eastAsia="MS Mincho" w:hAnsi="Times New Roman" w:cs="Times New Roman"/>
                <w:sz w:val="20"/>
                <w:szCs w:val="20"/>
                <w:vertAlign w:val="subscript"/>
              </w:rPr>
              <w:t>composite</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Memory composite</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Burton (2007); Christman, Vannorsdall, Godfrey, Hill-Briggs, &amp; Schretlen, (2010); Everaets (2013); Reppermund et al. (2010)</w:t>
            </w:r>
          </w:p>
        </w:tc>
      </w:tr>
      <w:tr w:rsidR="00656481" w:rsidRPr="007A15F6"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PM</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Activity-Based Multiple Memory Processes Paradigm (Schmitter-Edgecombe, Woo, &amp; Greely, 2009)</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Schmitter- Edgecombe, McAlister, &amp; Weakly (2012)</w:t>
            </w:r>
          </w:p>
        </w:tc>
      </w:tr>
      <w:tr w:rsidR="00656481" w:rsidRPr="007A15F6"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PVLT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Philadelphia Verbal Learning Test (Price et al., 2009)</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Selingman, Giovannetti, Sestitio, &amp; Libon (2013)</w:t>
            </w:r>
          </w:p>
        </w:tc>
      </w:tr>
      <w:tr w:rsidR="00656481" w:rsidRPr="007A15F6" w:rsidTr="00656481">
        <w:trPr>
          <w:cantSplit/>
          <w:trHeight w:val="620"/>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RBANST</w:t>
            </w:r>
            <w:r w:rsidRPr="007A15F6">
              <w:rPr>
                <w:rFonts w:ascii="Times New Roman" w:eastAsia="MS Mincho" w:hAnsi="Times New Roman" w:cs="Times New Roman"/>
                <w:sz w:val="20"/>
                <w:szCs w:val="20"/>
                <w:vertAlign w:val="subscript"/>
              </w:rPr>
              <w:t>memory</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Repeated Battery for the Assessment of Neuropsychological Status- memory subtest  (Randolph, 1998)</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Keil (2005)</w:t>
            </w:r>
          </w:p>
        </w:tc>
      </w:tr>
      <w:tr w:rsidR="00656481" w:rsidRPr="007A15F6" w:rsidTr="00656481">
        <w:trPr>
          <w:cantSplit/>
          <w:trHeight w:val="620"/>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RBMT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Rivermead Behavioural Memory Test (Wilson, Cochburn, &amp; Baddelley, 1991)</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Keil (2005)</w:t>
            </w:r>
          </w:p>
        </w:tc>
      </w:tr>
      <w:tr w:rsidR="00656481" w:rsidRPr="007A15F6" w:rsidTr="00656481">
        <w:trPr>
          <w:cantSplit/>
          <w:trHeight w:val="620"/>
        </w:trPr>
        <w:tc>
          <w:tcPr>
            <w:tcW w:w="1998" w:type="dxa"/>
            <w:vAlign w:val="center"/>
          </w:tcPr>
          <w:p w:rsidR="00656481" w:rsidRPr="007A15F6" w:rsidRDefault="00656481" w:rsidP="00656481">
            <w:pPr>
              <w:jc w:val="center"/>
              <w:rPr>
                <w:rFonts w:ascii="Times New Roman" w:eastAsia="MS Mincho" w:hAnsi="Times New Roman" w:cs="Times New Roman"/>
                <w:sz w:val="20"/>
                <w:szCs w:val="20"/>
                <w:vertAlign w:val="subscript"/>
              </w:rPr>
            </w:pPr>
            <w:r w:rsidRPr="007A15F6">
              <w:rPr>
                <w:rFonts w:ascii="Times New Roman" w:eastAsia="MS Mincho" w:hAnsi="Times New Roman" w:cs="Times New Roman"/>
                <w:sz w:val="20"/>
                <w:szCs w:val="20"/>
              </w:rPr>
              <w:t>SENAS</w:t>
            </w:r>
            <w:r w:rsidRPr="007A15F6">
              <w:rPr>
                <w:rFonts w:ascii="Times New Roman" w:eastAsia="MS Mincho" w:hAnsi="Times New Roman" w:cs="Times New Roman"/>
                <w:sz w:val="20"/>
                <w:szCs w:val="20"/>
                <w:vertAlign w:val="subscript"/>
              </w:rPr>
              <w:t>memory</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Spanish and English Neuropsychological Assessment Scales-Memory subset(Mungas et al. 2000)</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Farias, Mungas, Reed, &amp; Haan, (2004)</w:t>
            </w:r>
          </w:p>
          <w:p w:rsidR="00656481" w:rsidRPr="007A15F6" w:rsidRDefault="00656481" w:rsidP="00656481">
            <w:pPr>
              <w:rPr>
                <w:rFonts w:ascii="Times New Roman" w:eastAsia="MS Mincho" w:hAnsi="Times New Roman" w:cs="Times New Roman"/>
                <w:sz w:val="20"/>
                <w:szCs w:val="20"/>
              </w:rPr>
            </w:pPr>
          </w:p>
        </w:tc>
      </w:tr>
      <w:tr w:rsidR="00656481" w:rsidRPr="007A15F6" w:rsidTr="00656481">
        <w:trPr>
          <w:cantSplit/>
          <w:trHeight w:val="620"/>
        </w:trPr>
        <w:tc>
          <w:tcPr>
            <w:tcW w:w="1998" w:type="dxa"/>
            <w:vAlign w:val="center"/>
          </w:tcPr>
          <w:p w:rsidR="00656481" w:rsidRPr="007A15F6" w:rsidRDefault="00656481" w:rsidP="00656481">
            <w:pPr>
              <w:jc w:val="center"/>
              <w:rPr>
                <w:rFonts w:ascii="Times New Roman" w:eastAsia="MS Mincho" w:hAnsi="Times New Roman" w:cs="Times New Roman"/>
                <w:sz w:val="20"/>
                <w:szCs w:val="20"/>
                <w:vertAlign w:val="subscript"/>
              </w:rPr>
            </w:pPr>
            <w:r w:rsidRPr="007A15F6">
              <w:rPr>
                <w:rFonts w:ascii="Times New Roman" w:eastAsia="MS Mincho" w:hAnsi="Times New Roman" w:cs="Times New Roman"/>
                <w:sz w:val="20"/>
                <w:szCs w:val="20"/>
              </w:rPr>
              <w:t>SENAS</w:t>
            </w:r>
            <w:r w:rsidRPr="007A15F6">
              <w:rPr>
                <w:rFonts w:ascii="Times New Roman" w:eastAsia="MS Mincho" w:hAnsi="Times New Roman" w:cs="Times New Roman"/>
                <w:sz w:val="20"/>
                <w:szCs w:val="20"/>
                <w:vertAlign w:val="subscript"/>
              </w:rPr>
              <w:t>verbal span</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Spanish and English Neuropsychological Assessment Scales-Verbal span subset (Mungas et al., 2004)</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Farias, Mungas, Reed, &amp; Haan (2004)</w:t>
            </w:r>
          </w:p>
          <w:p w:rsidR="00656481" w:rsidRPr="007A15F6" w:rsidRDefault="00656481" w:rsidP="00656481">
            <w:pPr>
              <w:rPr>
                <w:rFonts w:ascii="Times New Roman" w:eastAsia="MS Mincho" w:hAnsi="Times New Roman" w:cs="Times New Roman"/>
                <w:sz w:val="20"/>
                <w:szCs w:val="20"/>
              </w:rPr>
            </w:pPr>
          </w:p>
        </w:tc>
      </w:tr>
    </w:tbl>
    <w:p w:rsidR="00656481" w:rsidRPr="007A15F6" w:rsidRDefault="00656481" w:rsidP="00656481">
      <w:pPr>
        <w:spacing w:after="200" w:line="276" w:lineRule="auto"/>
        <w:rPr>
          <w:rFonts w:ascii="Calibri" w:eastAsia="Calibri" w:hAnsi="Calibri" w:cs="Times New Roman"/>
          <w:sz w:val="22"/>
          <w:szCs w:val="22"/>
          <w:lang w:eastAsia="en-US"/>
        </w:rPr>
      </w:pPr>
      <w:r w:rsidRPr="007A15F6">
        <w:rPr>
          <w:rFonts w:ascii="Calibri" w:eastAsia="Calibri" w:hAnsi="Calibri" w:cs="Times New Roman"/>
          <w:sz w:val="22"/>
          <w:szCs w:val="22"/>
          <w:lang w:eastAsia="en-US"/>
        </w:rPr>
        <w:br w:type="page"/>
      </w:r>
    </w:p>
    <w:tbl>
      <w:tblPr>
        <w:tblStyle w:val="TableGrid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98"/>
        <w:gridCol w:w="5400"/>
        <w:gridCol w:w="5670"/>
      </w:tblGrid>
      <w:tr w:rsidR="00656481" w:rsidRPr="007A15F6" w:rsidTr="00656481">
        <w:trPr>
          <w:cantSplit/>
          <w:trHeight w:val="70"/>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p>
        </w:tc>
        <w:tc>
          <w:tcPr>
            <w:tcW w:w="5400" w:type="dxa"/>
            <w:vAlign w:val="center"/>
          </w:tcPr>
          <w:p w:rsidR="00656481" w:rsidRPr="007A15F6" w:rsidRDefault="00656481" w:rsidP="00656481">
            <w:pPr>
              <w:rPr>
                <w:rFonts w:ascii="Times New Roman" w:eastAsia="MS Mincho" w:hAnsi="Times New Roman" w:cs="Times New Roman"/>
                <w:sz w:val="20"/>
                <w:szCs w:val="20"/>
              </w:rPr>
            </w:pPr>
          </w:p>
        </w:tc>
        <w:tc>
          <w:tcPr>
            <w:tcW w:w="5670" w:type="dxa"/>
            <w:vAlign w:val="center"/>
          </w:tcPr>
          <w:p w:rsidR="00656481" w:rsidRPr="007A15F6" w:rsidRDefault="00656481" w:rsidP="00656481">
            <w:pPr>
              <w:rPr>
                <w:rFonts w:ascii="Times New Roman" w:eastAsia="MS Mincho" w:hAnsi="Times New Roman" w:cs="Times New Roman"/>
                <w:sz w:val="20"/>
                <w:szCs w:val="20"/>
              </w:rPr>
            </w:pPr>
          </w:p>
        </w:tc>
      </w:tr>
    </w:tbl>
    <w:p w:rsidR="00656481" w:rsidRPr="00AB65B5" w:rsidRDefault="003F4255" w:rsidP="00656481">
      <w:pPr>
        <w:tabs>
          <w:tab w:val="left" w:pos="720"/>
        </w:tabs>
        <w:spacing w:before="240" w:line="480" w:lineRule="auto"/>
        <w:rPr>
          <w:rStyle w:val="IntenseEmphasis"/>
        </w:rPr>
      </w:pPr>
      <w:r w:rsidRPr="00367D37">
        <w:rPr>
          <w:rStyle w:val="IntenseEmphasis"/>
        </w:rPr>
        <w:t xml:space="preserve">Table </w:t>
      </w:r>
      <w:r w:rsidR="000D4CDC" w:rsidRPr="00367D37">
        <w:rPr>
          <w:rStyle w:val="IntenseEmphasis"/>
        </w:rPr>
        <w:t>4</w:t>
      </w:r>
      <w:r w:rsidR="00FD26C7" w:rsidRPr="00367D37">
        <w:rPr>
          <w:rStyle w:val="IntenseEmphasis"/>
        </w:rPr>
        <w:t>.3 Neuropsychological</w:t>
      </w:r>
      <w:r w:rsidR="00656481" w:rsidRPr="00367D37">
        <w:rPr>
          <w:rStyle w:val="IntenseEmphasis"/>
        </w:rPr>
        <w:t xml:space="preserve"> </w:t>
      </w:r>
      <w:r w:rsidR="00FE028D" w:rsidRPr="00367D37">
        <w:rPr>
          <w:rStyle w:val="IntenseEmphasis"/>
        </w:rPr>
        <w:t>Assessment Of Executive Function Included In The Meta-Analysis</w:t>
      </w:r>
    </w:p>
    <w:tbl>
      <w:tblPr>
        <w:tblStyle w:val="TableGrid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98"/>
        <w:gridCol w:w="5400"/>
        <w:gridCol w:w="5670"/>
      </w:tblGrid>
      <w:tr w:rsidR="00656481" w:rsidRPr="007A15F6" w:rsidTr="00656481">
        <w:trPr>
          <w:cantSplit/>
        </w:trPr>
        <w:tc>
          <w:tcPr>
            <w:tcW w:w="1998" w:type="dxa"/>
            <w:tcBorders>
              <w:top w:val="nil"/>
              <w:bottom w:val="single" w:sz="4" w:space="0" w:color="auto"/>
            </w:tcBorders>
            <w:vAlign w:val="center"/>
          </w:tcPr>
          <w:p w:rsidR="00656481" w:rsidRPr="007A15F6" w:rsidRDefault="00656481" w:rsidP="00656481">
            <w:pPr>
              <w:jc w:val="center"/>
              <w:rPr>
                <w:rFonts w:ascii="Times New Roman" w:eastAsia="MS Mincho" w:hAnsi="Times New Roman" w:cs="Times New Roman"/>
                <w:szCs w:val="20"/>
              </w:rPr>
            </w:pPr>
            <w:r w:rsidRPr="007A15F6">
              <w:rPr>
                <w:rFonts w:ascii="Times New Roman" w:eastAsia="MS Mincho" w:hAnsi="Times New Roman" w:cs="Times New Roman"/>
                <w:szCs w:val="20"/>
              </w:rPr>
              <w:t>Abbreviation</w:t>
            </w:r>
          </w:p>
        </w:tc>
        <w:tc>
          <w:tcPr>
            <w:tcW w:w="5400" w:type="dxa"/>
            <w:tcBorders>
              <w:top w:val="nil"/>
              <w:bottom w:val="single" w:sz="4" w:space="0" w:color="auto"/>
            </w:tcBorders>
            <w:vAlign w:val="center"/>
          </w:tcPr>
          <w:p w:rsidR="00656481" w:rsidRPr="007A15F6" w:rsidRDefault="00656481" w:rsidP="00656481">
            <w:pPr>
              <w:rPr>
                <w:rFonts w:ascii="Times New Roman" w:eastAsia="MS Mincho" w:hAnsi="Times New Roman" w:cs="Times New Roman"/>
                <w:szCs w:val="20"/>
              </w:rPr>
            </w:pPr>
            <w:r w:rsidRPr="007A15F6">
              <w:rPr>
                <w:rFonts w:ascii="Times New Roman" w:eastAsia="MS Mincho" w:hAnsi="Times New Roman" w:cs="Times New Roman"/>
                <w:szCs w:val="20"/>
              </w:rPr>
              <w:t>Neuropsychological Assessment</w:t>
            </w:r>
          </w:p>
        </w:tc>
        <w:tc>
          <w:tcPr>
            <w:tcW w:w="5670" w:type="dxa"/>
            <w:tcBorders>
              <w:top w:val="nil"/>
              <w:bottom w:val="single" w:sz="4" w:space="0" w:color="auto"/>
            </w:tcBorders>
            <w:vAlign w:val="center"/>
          </w:tcPr>
          <w:p w:rsidR="00656481" w:rsidRPr="007A15F6" w:rsidRDefault="00656481" w:rsidP="00656481">
            <w:pPr>
              <w:rPr>
                <w:rFonts w:ascii="Times New Roman" w:eastAsia="MS Mincho" w:hAnsi="Times New Roman" w:cs="Times New Roman"/>
                <w:szCs w:val="20"/>
              </w:rPr>
            </w:pPr>
            <w:r w:rsidRPr="007A15F6">
              <w:rPr>
                <w:rFonts w:ascii="Times New Roman" w:eastAsia="MS Mincho" w:hAnsi="Times New Roman" w:cs="Times New Roman"/>
                <w:szCs w:val="20"/>
              </w:rPr>
              <w:t>Used in study</w:t>
            </w:r>
          </w:p>
        </w:tc>
      </w:tr>
      <w:tr w:rsidR="00656481" w:rsidRPr="007A15F6" w:rsidTr="00656481">
        <w:trPr>
          <w:cantSplit/>
        </w:trPr>
        <w:tc>
          <w:tcPr>
            <w:tcW w:w="1998" w:type="dxa"/>
            <w:tcBorders>
              <w:top w:val="single" w:sz="4" w:space="0" w:color="auto"/>
            </w:tcBorders>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AFT</w:t>
            </w:r>
          </w:p>
        </w:tc>
        <w:tc>
          <w:tcPr>
            <w:tcW w:w="5400" w:type="dxa"/>
            <w:tcBorders>
              <w:top w:val="single" w:sz="4" w:space="0" w:color="auto"/>
            </w:tcBorders>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Animal Fluency test (Morris et al., 1989)</w:t>
            </w:r>
          </w:p>
        </w:tc>
        <w:tc>
          <w:tcPr>
            <w:tcW w:w="5670" w:type="dxa"/>
            <w:tcBorders>
              <w:top w:val="single" w:sz="4" w:space="0" w:color="auto"/>
            </w:tcBorders>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Alosco, et al. (2013)</w:t>
            </w:r>
          </w:p>
        </w:tc>
      </w:tr>
      <w:tr w:rsidR="00656481" w:rsidRPr="007A15F6" w:rsidTr="00656481">
        <w:trPr>
          <w:cantSplit/>
        </w:trPr>
        <w:tc>
          <w:tcPr>
            <w:tcW w:w="1998" w:type="dxa"/>
            <w:tcBorders>
              <w:top w:val="single" w:sz="4" w:space="0" w:color="auto"/>
            </w:tcBorders>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BADS</w:t>
            </w:r>
          </w:p>
        </w:tc>
        <w:tc>
          <w:tcPr>
            <w:tcW w:w="5400" w:type="dxa"/>
            <w:tcBorders>
              <w:top w:val="single" w:sz="4" w:space="0" w:color="auto"/>
            </w:tcBorders>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Behavioural Assessment of the Dysexecutive Syndrome (Wilson, Alderman, Burgess, Emslie, &amp; Evans, 1996)</w:t>
            </w:r>
          </w:p>
        </w:tc>
        <w:tc>
          <w:tcPr>
            <w:tcW w:w="5670" w:type="dxa"/>
            <w:tcBorders>
              <w:top w:val="single" w:sz="4" w:space="0" w:color="auto"/>
            </w:tcBorders>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Schmitter- Edgecombe, McAlister, &amp; Weakly (2012)</w:t>
            </w:r>
          </w:p>
        </w:tc>
      </w:tr>
      <w:tr w:rsidR="00656481" w:rsidRPr="007A15F6" w:rsidTr="000A2DB0">
        <w:trPr>
          <w:cantSplit/>
          <w:trHeight w:val="268"/>
        </w:trPr>
        <w:tc>
          <w:tcPr>
            <w:tcW w:w="1998" w:type="dxa"/>
            <w:tcBorders>
              <w:top w:val="single" w:sz="4" w:space="0" w:color="auto"/>
            </w:tcBorders>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BDS</w:t>
            </w:r>
          </w:p>
        </w:tc>
        <w:tc>
          <w:tcPr>
            <w:tcW w:w="5400" w:type="dxa"/>
            <w:tcBorders>
              <w:top w:val="single" w:sz="4" w:space="0" w:color="auto"/>
            </w:tcBorders>
            <w:vAlign w:val="center"/>
          </w:tcPr>
          <w:p w:rsidR="00656481" w:rsidRPr="007A15F6" w:rsidRDefault="008A0BE2" w:rsidP="00656481">
            <w:pPr>
              <w:rPr>
                <w:rFonts w:ascii="Times New Roman" w:eastAsia="MS Mincho" w:hAnsi="Times New Roman" w:cs="Times New Roman"/>
                <w:sz w:val="20"/>
                <w:szCs w:val="20"/>
              </w:rPr>
            </w:pPr>
            <w:r>
              <w:rPr>
                <w:rFonts w:ascii="Times New Roman" w:eastAsia="MS Mincho" w:hAnsi="Times New Roman" w:cs="Times New Roman"/>
                <w:sz w:val="20"/>
                <w:szCs w:val="20"/>
              </w:rPr>
              <w:t>Backwards Digit</w:t>
            </w:r>
            <w:r w:rsidR="00656481" w:rsidRPr="007A15F6">
              <w:rPr>
                <w:rFonts w:ascii="Times New Roman" w:eastAsia="MS Mincho" w:hAnsi="Times New Roman" w:cs="Times New Roman"/>
                <w:sz w:val="20"/>
                <w:szCs w:val="20"/>
              </w:rPr>
              <w:t xml:space="preserve"> Span</w:t>
            </w:r>
          </w:p>
        </w:tc>
        <w:tc>
          <w:tcPr>
            <w:tcW w:w="5670" w:type="dxa"/>
            <w:tcBorders>
              <w:top w:val="single" w:sz="4" w:space="0" w:color="auto"/>
            </w:tcBorders>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Tam &amp; Lam  (2012)</w:t>
            </w:r>
          </w:p>
        </w:tc>
      </w:tr>
      <w:tr w:rsidR="00656481" w:rsidRPr="007A15F6" w:rsidTr="00656481">
        <w:trPr>
          <w:cantSplit/>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COWA</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Controlled Oral Word Association (Spreen &amp; Strauss, 1991)</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Jefferson, Paul., Ozonoff, &amp; Cohen (2006)</w:t>
            </w:r>
          </w:p>
        </w:tc>
      </w:tr>
      <w:tr w:rsidR="00656481" w:rsidRPr="007A15F6" w:rsidTr="00656481">
        <w:trPr>
          <w:cantSplit/>
          <w:trHeight w:val="683"/>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COWAT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Control Oral Word Association Test</w:t>
            </w:r>
          </w:p>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(Benton and Hamsher, 1976)</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Bell-McGinty, Podell, Franzen, Baird, &amp; Williams, (2002)</w:t>
            </w:r>
          </w:p>
          <w:p w:rsidR="00656481" w:rsidRPr="007A15F6" w:rsidRDefault="00656481" w:rsidP="00656481">
            <w:pPr>
              <w:rPr>
                <w:rFonts w:ascii="Times New Roman" w:eastAsia="MS Mincho" w:hAnsi="Times New Roman" w:cs="Times New Roman"/>
                <w:sz w:val="20"/>
                <w:szCs w:val="20"/>
              </w:rPr>
            </w:pPr>
          </w:p>
        </w:tc>
      </w:tr>
      <w:tr w:rsidR="00656481" w:rsidRPr="007A15F6" w:rsidTr="00656481">
        <w:trPr>
          <w:cantSplit/>
          <w:trHeight w:val="683"/>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CVFLT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Category Verbal Fluency Test (Lam, Ho, Lui, &amp; Tam, 2006)</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Tam &amp; Lam  (2012)</w:t>
            </w:r>
          </w:p>
        </w:tc>
      </w:tr>
      <w:tr w:rsidR="00656481" w:rsidRPr="00E041BC" w:rsidTr="00656481">
        <w:trPr>
          <w:cantSplit/>
          <w:trHeight w:val="800"/>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D-KEFS</w:t>
            </w:r>
          </w:p>
        </w:tc>
        <w:tc>
          <w:tcPr>
            <w:tcW w:w="5400" w:type="dxa"/>
            <w:vAlign w:val="center"/>
          </w:tcPr>
          <w:p w:rsidR="00656481" w:rsidRPr="00E041BC" w:rsidRDefault="00656481" w:rsidP="00656481">
            <w:pPr>
              <w:rPr>
                <w:rFonts w:ascii="Times New Roman" w:eastAsia="MS Mincho" w:hAnsi="Times New Roman" w:cs="Times New Roman"/>
                <w:sz w:val="20"/>
                <w:szCs w:val="20"/>
                <w:lang w:val="sv-SE"/>
              </w:rPr>
            </w:pPr>
            <w:r w:rsidRPr="00E041BC">
              <w:rPr>
                <w:rFonts w:ascii="Times New Roman" w:eastAsia="MS Mincho" w:hAnsi="Times New Roman" w:cs="Times New Roman"/>
                <w:sz w:val="20"/>
                <w:szCs w:val="20"/>
                <w:lang w:val="sv-SE"/>
              </w:rPr>
              <w:t>Delis-Kaplan Executive Function System (Delis, Kaplan, &amp; Kramer, 2001)</w:t>
            </w:r>
          </w:p>
        </w:tc>
        <w:tc>
          <w:tcPr>
            <w:tcW w:w="5670" w:type="dxa"/>
            <w:vAlign w:val="center"/>
          </w:tcPr>
          <w:p w:rsidR="00656481" w:rsidRPr="00E041BC" w:rsidRDefault="00656481" w:rsidP="00656481">
            <w:pPr>
              <w:rPr>
                <w:rFonts w:ascii="Times New Roman" w:eastAsia="MS Mincho" w:hAnsi="Times New Roman" w:cs="Times New Roman"/>
                <w:sz w:val="20"/>
                <w:szCs w:val="20"/>
                <w:lang w:val="sv-SE"/>
              </w:rPr>
            </w:pPr>
            <w:r w:rsidRPr="00E041BC">
              <w:rPr>
                <w:rFonts w:ascii="Times New Roman" w:eastAsia="MS Mincho" w:hAnsi="Times New Roman" w:cs="Times New Roman"/>
                <w:sz w:val="20"/>
                <w:szCs w:val="20"/>
                <w:lang w:val="sv-SE"/>
              </w:rPr>
              <w:t>Aichenberger, Busch, Reischies, Stroehle, Heinz, &amp; Rapp (2010); Greco, S. P. (2004) ; Jefferson, Paul., Ozonoff, &amp; Cohen (2006); Mitchell, M. (2006); Schmitter- Edgecombe, Parsey, &amp; Cook (2011); Schmitter- Edgecombe, &amp; Parsey (2014)</w:t>
            </w:r>
          </w:p>
        </w:tc>
      </w:tr>
      <w:tr w:rsidR="00656481" w:rsidRPr="007A15F6" w:rsidTr="00656481">
        <w:trPr>
          <w:cantSplit/>
          <w:trHeight w:val="404"/>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EF</w:t>
            </w:r>
            <w:r w:rsidRPr="007A15F6">
              <w:rPr>
                <w:rFonts w:ascii="Times New Roman" w:eastAsia="MS Mincho" w:hAnsi="Times New Roman" w:cs="Times New Roman"/>
                <w:sz w:val="20"/>
                <w:szCs w:val="20"/>
                <w:vertAlign w:val="subscript"/>
              </w:rPr>
              <w:t>composite</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Executive Function composite</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Alosco, et al. (2013); Alosco  (2013); Burton (2007); Christman, Vannorsdall, Godfrey, Hill-Briggs, &amp; Schretlen, (2010); Reppermund et al. (2010); Everaets (2013)</w:t>
            </w:r>
          </w:p>
        </w:tc>
      </w:tr>
      <w:tr w:rsidR="00656481" w:rsidRPr="007A15F6" w:rsidTr="00656481">
        <w:trPr>
          <w:cantSplit/>
          <w:trHeight w:val="404"/>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EXIT25</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Executive Cognitive Test (Royall, Mahurin, &amp; Gray, 1992)</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Burnett, Dyer, &amp; Naik (2009)</w:t>
            </w:r>
          </w:p>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Royall, Palmer, Chiodo, &amp; Polk (2004)</w:t>
            </w:r>
          </w:p>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Pereira, Yassuda. &amp; Oliveira, (2008)</w:t>
            </w:r>
          </w:p>
        </w:tc>
      </w:tr>
      <w:tr w:rsidR="00656481" w:rsidRPr="007A15F6" w:rsidTr="00656481">
        <w:trPr>
          <w:cantSplit/>
          <w:trHeight w:val="404"/>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MPT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Manual Postures Test</w:t>
            </w:r>
            <w:r w:rsidR="000A2DB0">
              <w:rPr>
                <w:rFonts w:ascii="Times New Roman" w:eastAsia="MS Mincho" w:hAnsi="Times New Roman" w:cs="Times New Roman"/>
                <w:sz w:val="20"/>
                <w:szCs w:val="20"/>
              </w:rPr>
              <w:t xml:space="preserve"> </w:t>
            </w:r>
            <w:r w:rsidRPr="007A15F6">
              <w:rPr>
                <w:rFonts w:ascii="Times New Roman" w:eastAsia="MS Mincho" w:hAnsi="Times New Roman" w:cs="Times New Roman"/>
                <w:sz w:val="20"/>
                <w:szCs w:val="20"/>
              </w:rPr>
              <w:t>(Goldberg, Podell, Bilder, &amp; Jaeger, 2000)</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Bell-McGinty, Podell, Franzen, Baird, &amp; Williams, (2002)</w:t>
            </w:r>
          </w:p>
        </w:tc>
      </w:tr>
      <w:tr w:rsidR="00656481" w:rsidRPr="007A15F6" w:rsidTr="00656481">
        <w:trPr>
          <w:cantSplit/>
          <w:trHeight w:val="404"/>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PASAT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Paced Auditory Serial Addition Task (Gornwall, 1977)</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Jefferson, Paul., Ozonoff, &amp; Cohen (2006)</w:t>
            </w:r>
          </w:p>
        </w:tc>
      </w:tr>
      <w:tr w:rsidR="00656481" w:rsidRPr="007A15F6" w:rsidTr="00656481">
        <w:trPr>
          <w:cantSplit/>
          <w:trHeight w:val="404"/>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RFFT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Ruff Figural Fluency test (Ruff, Light, &amp; Evans, 1987)</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Jefferson, Paul., Ozonoff, &amp; Cohen (2006)</w:t>
            </w:r>
          </w:p>
        </w:tc>
      </w:tr>
      <w:tr w:rsidR="00656481" w:rsidRPr="007A15F6" w:rsidTr="00656481">
        <w:trPr>
          <w:cantSplit/>
          <w:trHeight w:val="530"/>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TMT-B</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Trail Making Test, part B (Reitan and Wolfson, 1985)</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Alosco et al. (2012); Bell-McGinty, Podell, Franzen, Baird, &amp; Williams, (2002); Jefferson, Paul., Ozonoff, &amp; Cohen (2006); Tam &amp; Lam  (2012)</w:t>
            </w:r>
          </w:p>
        </w:tc>
      </w:tr>
      <w:tr w:rsidR="00656481" w:rsidRPr="007A15F6" w:rsidTr="00656481">
        <w:trPr>
          <w:cantSplit/>
          <w:trHeight w:val="494"/>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WCST</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Wisconsin Card Sorting Test(</w:t>
            </w:r>
            <w:r w:rsidR="0017047F">
              <w:rPr>
                <w:rFonts w:ascii="Times New Roman" w:eastAsia="MS Mincho" w:hAnsi="Times New Roman" w:cs="Times New Roman"/>
                <w:sz w:val="20"/>
                <w:szCs w:val="20"/>
              </w:rPr>
              <w:t xml:space="preserve"> </w:t>
            </w:r>
            <w:r w:rsidRPr="007A15F6">
              <w:rPr>
                <w:rFonts w:ascii="Times New Roman" w:eastAsia="MS Mincho" w:hAnsi="Times New Roman" w:cs="Times New Roman"/>
                <w:sz w:val="20"/>
                <w:szCs w:val="20"/>
              </w:rPr>
              <w:t>Kongs, Thompson, Iverson, &amp; Heaton, 2000)</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Bell-McGinty, Podell, Franzen, Baird, &amp; Williams, (2002)</w:t>
            </w:r>
          </w:p>
        </w:tc>
      </w:tr>
      <w:tr w:rsidR="00656481" w:rsidRPr="007A15F6" w:rsidTr="00656481">
        <w:trPr>
          <w:cantSplit/>
          <w:trHeight w:val="494"/>
        </w:trPr>
        <w:tc>
          <w:tcPr>
            <w:tcW w:w="199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WMS-MC</w:t>
            </w:r>
          </w:p>
        </w:tc>
        <w:tc>
          <w:tcPr>
            <w:tcW w:w="540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Wechsler Memory Scale-Mental Control</w:t>
            </w:r>
          </w:p>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(Lamar, Price, Davis, KaplFan, &amp; Libon, 2002)</w:t>
            </w:r>
          </w:p>
        </w:tc>
        <w:tc>
          <w:tcPr>
            <w:tcW w:w="5670"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Selingman, Giovannetti, Sestitio, &amp; Libon (2013)</w:t>
            </w:r>
          </w:p>
        </w:tc>
      </w:tr>
    </w:tbl>
    <w:p w:rsidR="00656481" w:rsidRPr="00786D04" w:rsidRDefault="003F4255" w:rsidP="00656481">
      <w:pPr>
        <w:tabs>
          <w:tab w:val="left" w:pos="720"/>
        </w:tabs>
        <w:spacing w:before="240" w:line="480" w:lineRule="auto"/>
        <w:rPr>
          <w:rStyle w:val="IntenseEmphasis"/>
        </w:rPr>
      </w:pPr>
      <w:r w:rsidRPr="00367D37">
        <w:rPr>
          <w:rStyle w:val="IntenseEmphasis"/>
        </w:rPr>
        <w:t xml:space="preserve">Table </w:t>
      </w:r>
      <w:r w:rsidR="000D4CDC" w:rsidRPr="00367D37">
        <w:rPr>
          <w:rStyle w:val="IntenseEmphasis"/>
        </w:rPr>
        <w:t>4</w:t>
      </w:r>
      <w:r w:rsidR="00FD26C7" w:rsidRPr="00367D37">
        <w:rPr>
          <w:rStyle w:val="IntenseEmphasis"/>
        </w:rPr>
        <w:t>.4 Neuropsychological</w:t>
      </w:r>
      <w:r w:rsidR="00656481" w:rsidRPr="00367D37">
        <w:rPr>
          <w:rStyle w:val="IntenseEmphasis"/>
        </w:rPr>
        <w:t xml:space="preserve"> assessment per various cognitive domains included in the meta-analysis</w:t>
      </w:r>
    </w:p>
    <w:tbl>
      <w:tblPr>
        <w:tblStyle w:val="TableGrid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88"/>
        <w:gridCol w:w="4078"/>
        <w:gridCol w:w="5132"/>
        <w:gridCol w:w="2180"/>
      </w:tblGrid>
      <w:tr w:rsidR="00656481" w:rsidRPr="007A15F6" w:rsidTr="00656481">
        <w:trPr>
          <w:cantSplit/>
        </w:trPr>
        <w:tc>
          <w:tcPr>
            <w:tcW w:w="1788" w:type="dxa"/>
            <w:tcBorders>
              <w:top w:val="nil"/>
              <w:bottom w:val="single" w:sz="4" w:space="0" w:color="auto"/>
            </w:tcBorders>
            <w:vAlign w:val="center"/>
          </w:tcPr>
          <w:p w:rsidR="00656481" w:rsidRPr="007A15F6" w:rsidRDefault="00656481" w:rsidP="00656481">
            <w:pPr>
              <w:jc w:val="center"/>
              <w:rPr>
                <w:rFonts w:ascii="Times New Roman" w:eastAsia="MS Mincho" w:hAnsi="Times New Roman" w:cs="Times New Roman"/>
                <w:szCs w:val="20"/>
              </w:rPr>
            </w:pPr>
            <w:r w:rsidRPr="007A15F6">
              <w:rPr>
                <w:rFonts w:ascii="Times New Roman" w:eastAsia="MS Mincho" w:hAnsi="Times New Roman" w:cs="Times New Roman"/>
                <w:szCs w:val="20"/>
              </w:rPr>
              <w:t>Abbreviation</w:t>
            </w:r>
          </w:p>
        </w:tc>
        <w:tc>
          <w:tcPr>
            <w:tcW w:w="4078" w:type="dxa"/>
            <w:tcBorders>
              <w:top w:val="nil"/>
              <w:bottom w:val="single" w:sz="4" w:space="0" w:color="auto"/>
            </w:tcBorders>
            <w:vAlign w:val="center"/>
          </w:tcPr>
          <w:p w:rsidR="00656481" w:rsidRPr="007A15F6" w:rsidRDefault="00656481" w:rsidP="00656481">
            <w:pPr>
              <w:rPr>
                <w:rFonts w:ascii="Times New Roman" w:eastAsia="MS Mincho" w:hAnsi="Times New Roman" w:cs="Times New Roman"/>
                <w:szCs w:val="20"/>
              </w:rPr>
            </w:pPr>
            <w:r w:rsidRPr="007A15F6">
              <w:rPr>
                <w:rFonts w:ascii="Times New Roman" w:eastAsia="MS Mincho" w:hAnsi="Times New Roman" w:cs="Times New Roman"/>
                <w:szCs w:val="20"/>
              </w:rPr>
              <w:t>Neuropsychological Assessment</w:t>
            </w:r>
          </w:p>
        </w:tc>
        <w:tc>
          <w:tcPr>
            <w:tcW w:w="5132" w:type="dxa"/>
            <w:tcBorders>
              <w:top w:val="nil"/>
              <w:bottom w:val="single" w:sz="4" w:space="0" w:color="auto"/>
            </w:tcBorders>
            <w:vAlign w:val="center"/>
          </w:tcPr>
          <w:p w:rsidR="00656481" w:rsidRPr="007A15F6" w:rsidRDefault="00656481" w:rsidP="00656481">
            <w:pPr>
              <w:rPr>
                <w:rFonts w:ascii="Times New Roman" w:eastAsia="MS Mincho" w:hAnsi="Times New Roman" w:cs="Times New Roman"/>
                <w:szCs w:val="20"/>
              </w:rPr>
            </w:pPr>
            <w:r w:rsidRPr="007A15F6">
              <w:rPr>
                <w:rFonts w:ascii="Times New Roman" w:eastAsia="MS Mincho" w:hAnsi="Times New Roman" w:cs="Times New Roman"/>
                <w:szCs w:val="20"/>
              </w:rPr>
              <w:t>Used in study</w:t>
            </w:r>
          </w:p>
        </w:tc>
        <w:tc>
          <w:tcPr>
            <w:tcW w:w="2180" w:type="dxa"/>
            <w:tcBorders>
              <w:top w:val="nil"/>
              <w:bottom w:val="single" w:sz="4" w:space="0" w:color="auto"/>
            </w:tcBorders>
          </w:tcPr>
          <w:p w:rsidR="00656481" w:rsidRPr="007A15F6" w:rsidRDefault="00656481" w:rsidP="00656481">
            <w:pPr>
              <w:jc w:val="center"/>
              <w:rPr>
                <w:rFonts w:ascii="Times New Roman" w:eastAsia="MS Mincho" w:hAnsi="Times New Roman" w:cs="Times New Roman"/>
                <w:szCs w:val="20"/>
              </w:rPr>
            </w:pPr>
            <w:r w:rsidRPr="007A15F6">
              <w:rPr>
                <w:rFonts w:ascii="Times New Roman" w:eastAsia="MS Mincho" w:hAnsi="Times New Roman" w:cs="Times New Roman"/>
                <w:szCs w:val="20"/>
              </w:rPr>
              <w:t>Domain</w:t>
            </w:r>
          </w:p>
        </w:tc>
      </w:tr>
      <w:tr w:rsidR="00656481" w:rsidRPr="007A15F6" w:rsidTr="00656481">
        <w:trPr>
          <w:cantSplit/>
        </w:trPr>
        <w:tc>
          <w:tcPr>
            <w:tcW w:w="1788" w:type="dxa"/>
            <w:tcBorders>
              <w:top w:val="single" w:sz="4" w:space="0" w:color="auto"/>
            </w:tcBorders>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DRS</w:t>
            </w:r>
          </w:p>
        </w:tc>
        <w:tc>
          <w:tcPr>
            <w:tcW w:w="4078" w:type="dxa"/>
            <w:tcBorders>
              <w:top w:val="single" w:sz="4" w:space="0" w:color="auto"/>
            </w:tcBorders>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Mattis Dementia Rating Scale (Mattis, 1998)</w:t>
            </w:r>
          </w:p>
        </w:tc>
        <w:tc>
          <w:tcPr>
            <w:tcW w:w="5132" w:type="dxa"/>
            <w:tcBorders>
              <w:top w:val="single" w:sz="4" w:space="0" w:color="auto"/>
            </w:tcBorders>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Bell-McGinty, Podell, Franzen, Baird, &amp; Williams, (2002); Suchy, Williams, Kraybill, Franchow, &amp; Butner  (2010)</w:t>
            </w:r>
          </w:p>
        </w:tc>
        <w:tc>
          <w:tcPr>
            <w:tcW w:w="2180" w:type="dxa"/>
            <w:tcBorders>
              <w:top w:val="single" w:sz="4" w:space="0" w:color="auto"/>
            </w:tcBorders>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Global Cognitive Status</w:t>
            </w:r>
          </w:p>
        </w:tc>
      </w:tr>
      <w:tr w:rsidR="00656481" w:rsidRPr="007A15F6" w:rsidTr="00656481">
        <w:trPr>
          <w:cantSplit/>
        </w:trPr>
        <w:tc>
          <w:tcPr>
            <w:tcW w:w="1788" w:type="dxa"/>
            <w:tcBorders>
              <w:top w:val="single" w:sz="4" w:space="0" w:color="auto"/>
            </w:tcBorders>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MMSE</w:t>
            </w:r>
          </w:p>
        </w:tc>
        <w:tc>
          <w:tcPr>
            <w:tcW w:w="4078" w:type="dxa"/>
            <w:tcBorders>
              <w:top w:val="single" w:sz="4" w:space="0" w:color="auto"/>
            </w:tcBorders>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Mini Mental State Examination (Folstein, Folstein, &amp; McHugh, 1975)</w:t>
            </w:r>
          </w:p>
        </w:tc>
        <w:tc>
          <w:tcPr>
            <w:tcW w:w="5132" w:type="dxa"/>
            <w:tcBorders>
              <w:top w:val="single" w:sz="4" w:space="0" w:color="auto"/>
            </w:tcBorders>
            <w:vAlign w:val="center"/>
          </w:tcPr>
          <w:p w:rsidR="00656481" w:rsidRPr="00E041BC" w:rsidRDefault="00656481" w:rsidP="00656481">
            <w:pPr>
              <w:rPr>
                <w:rFonts w:ascii="Calibri" w:eastAsia="MS Mincho" w:hAnsi="Calibri" w:cs="Times New Roman"/>
                <w:bCs/>
                <w:sz w:val="20"/>
                <w:szCs w:val="20"/>
                <w:lang w:val="fr-FR"/>
              </w:rPr>
            </w:pPr>
            <w:r w:rsidRPr="00E041BC">
              <w:rPr>
                <w:rFonts w:ascii="Times New Roman" w:eastAsia="MS Mincho" w:hAnsi="Times New Roman" w:cs="Times New Roman"/>
                <w:sz w:val="20"/>
                <w:szCs w:val="20"/>
                <w:lang w:val="fr-FR"/>
              </w:rPr>
              <w:t>Alosco et al. (2012); Burnett, Dyer, &amp; Naik (2009); Farias et al. (2008); Jefferson, Paul., Ozonoff, &amp; Cohen (2006); Lucca  et al. (2011); O’ Connor (2010);</w:t>
            </w:r>
            <w:r w:rsidRPr="00E041BC">
              <w:rPr>
                <w:rFonts w:ascii="Calibri" w:eastAsia="MS Mincho" w:hAnsi="Calibri" w:cs="Times New Roman"/>
                <w:sz w:val="20"/>
                <w:szCs w:val="20"/>
                <w:lang w:val="fr-FR"/>
              </w:rPr>
              <w:t xml:space="preserve"> </w:t>
            </w:r>
            <w:r w:rsidRPr="00E041BC">
              <w:rPr>
                <w:rFonts w:ascii="Times New Roman" w:eastAsia="MS Mincho" w:hAnsi="Times New Roman" w:cs="Times New Roman"/>
                <w:bCs/>
                <w:sz w:val="20"/>
                <w:szCs w:val="20"/>
                <w:lang w:val="fr-FR"/>
              </w:rPr>
              <w:t xml:space="preserve">Royall, Palmer, Chiodo, &amp; Polk (2004); </w:t>
            </w:r>
            <w:r w:rsidRPr="00E041BC">
              <w:rPr>
                <w:rFonts w:ascii="Times New Roman" w:eastAsia="MS Mincho" w:hAnsi="Times New Roman" w:cs="Times New Roman"/>
                <w:sz w:val="20"/>
                <w:szCs w:val="20"/>
                <w:lang w:val="fr-FR"/>
              </w:rPr>
              <w:t>Selingman, Giovannetti, Sestitio, &amp; Libon (2013); Tam &amp; Lam  (2012)</w:t>
            </w:r>
          </w:p>
        </w:tc>
        <w:tc>
          <w:tcPr>
            <w:tcW w:w="2180" w:type="dxa"/>
            <w:tcBorders>
              <w:top w:val="single" w:sz="4" w:space="0" w:color="auto"/>
            </w:tcBorders>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Global Cognitive Status</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RBANST</w:t>
            </w:r>
            <w:r w:rsidRPr="007A15F6">
              <w:rPr>
                <w:rFonts w:ascii="Times New Roman" w:eastAsia="MS Mincho" w:hAnsi="Times New Roman" w:cs="Times New Roman"/>
                <w:sz w:val="20"/>
                <w:szCs w:val="20"/>
                <w:vertAlign w:val="subscript"/>
              </w:rPr>
              <w:t>gc</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Repeated Battery for the Assessment of Neuropsychological Status (Randolph, 1998)</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Keil (2005); Landgraff (2004)</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Global Cognitive Status</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TICS</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Telephone Interview of Cognitive Status (Brandt &amp; Folstein, 2003)</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Schmitter- Edgecombe, Parsey, &amp; Cook (2011); Schmitter- Edgecombe, &amp; Parsey (2014)</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Global Cognitive Status</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Cognistat</w:t>
            </w:r>
            <w:r w:rsidRPr="007A15F6">
              <w:rPr>
                <w:rFonts w:ascii="Times New Roman" w:eastAsia="MS Mincho" w:hAnsi="Times New Roman" w:cs="Times New Roman"/>
                <w:sz w:val="20"/>
                <w:szCs w:val="20"/>
                <w:vertAlign w:val="subscript"/>
              </w:rPr>
              <w:t>conpoaite</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Cognistat (Kiernan et al., 1987)</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Klinger (1998)</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Global Cognitive Status</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RBANST</w:t>
            </w:r>
            <w:r w:rsidRPr="007A15F6">
              <w:rPr>
                <w:rFonts w:ascii="Times New Roman" w:eastAsia="MS Mincho" w:hAnsi="Times New Roman" w:cs="Times New Roman"/>
                <w:sz w:val="20"/>
                <w:szCs w:val="20"/>
                <w:vertAlign w:val="subscript"/>
              </w:rPr>
              <w:t>attention</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Repeated Battery for the Assessment of Neuropsychological Status-attention subtest  (Randolph, 1998)</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Keil (2005)</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Attention</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 xml:space="preserve">Attention </w:t>
            </w:r>
            <w:r w:rsidRPr="007A15F6">
              <w:rPr>
                <w:rFonts w:ascii="Times New Roman" w:eastAsia="MS Mincho" w:hAnsi="Times New Roman" w:cs="Times New Roman"/>
                <w:sz w:val="20"/>
                <w:szCs w:val="20"/>
                <w:vertAlign w:val="subscript"/>
              </w:rPr>
              <w:t>Composite</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Attention Composite</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Everaets (2013)</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Attention</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Clox</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Clock’s 2 (Royall, Cordes, &amp; Polk, 1998)</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Burnett, Dyer, &amp; Naik (2009); Schmitter- Edgecombe, Parsey, &amp; Cook (2011)</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Visuospatial ability</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Block Design</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Block Design (Wechsler, 1981)</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Reppermund et al. (2010)</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Visuospatial ability</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RBANST</w:t>
            </w:r>
            <w:r w:rsidRPr="007A15F6">
              <w:rPr>
                <w:rFonts w:ascii="Times New Roman" w:eastAsia="MS Mincho" w:hAnsi="Times New Roman" w:cs="Times New Roman"/>
                <w:sz w:val="20"/>
                <w:szCs w:val="20"/>
                <w:vertAlign w:val="subscript"/>
              </w:rPr>
              <w:t>visuospatial</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Repeated Battery for the Assessment of Neuropsychological Status-visuospatial ability subtest  (Randolph, 1998)</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Keil (2005)</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Visuospatial ability</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SENAS</w:t>
            </w:r>
            <w:r w:rsidRPr="007A15F6">
              <w:rPr>
                <w:rFonts w:ascii="Times New Roman" w:eastAsia="MS Mincho" w:hAnsi="Times New Roman" w:cs="Times New Roman"/>
                <w:sz w:val="20"/>
                <w:szCs w:val="20"/>
                <w:vertAlign w:val="subscript"/>
              </w:rPr>
              <w:t>visuospatial</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Spanish and English Neuropsychological Assessment Scales-visuospatial subset (Mungas et al., 2004)</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Farias, Mungas, Reed, &amp; Haan (2004)</w:t>
            </w:r>
          </w:p>
          <w:p w:rsidR="00656481" w:rsidRPr="007A15F6" w:rsidRDefault="00656481" w:rsidP="00656481">
            <w:pPr>
              <w:rPr>
                <w:rFonts w:ascii="Times New Roman" w:eastAsia="MS Mincho" w:hAnsi="Times New Roman" w:cs="Times New Roman"/>
                <w:sz w:val="20"/>
                <w:szCs w:val="20"/>
              </w:rPr>
            </w:pP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Language</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 xml:space="preserve">Language </w:t>
            </w:r>
            <w:r w:rsidRPr="007A15F6">
              <w:rPr>
                <w:rFonts w:ascii="Times New Roman" w:eastAsia="MS Mincho" w:hAnsi="Times New Roman" w:cs="Times New Roman"/>
                <w:sz w:val="20"/>
                <w:szCs w:val="20"/>
                <w:vertAlign w:val="superscript"/>
              </w:rPr>
              <w:t>composite</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Language Composite</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Everaets (2013); Reppermund et al. (2010)</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Language</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RBANST</w:t>
            </w:r>
            <w:r w:rsidRPr="007A15F6">
              <w:rPr>
                <w:rFonts w:ascii="Times New Roman" w:eastAsia="MS Mincho" w:hAnsi="Times New Roman" w:cs="Times New Roman"/>
                <w:sz w:val="20"/>
                <w:szCs w:val="20"/>
                <w:vertAlign w:val="subscript"/>
              </w:rPr>
              <w:t>language</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Repeated Battery for the Assessment of Neuropsychological Status-language subtest  (Randolph, 1998)</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Keil (2005)</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Language</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SENAS</w:t>
            </w:r>
            <w:r w:rsidRPr="007A15F6">
              <w:rPr>
                <w:rFonts w:ascii="Times New Roman" w:eastAsia="MS Mincho" w:hAnsi="Times New Roman" w:cs="Times New Roman"/>
                <w:sz w:val="20"/>
                <w:szCs w:val="20"/>
                <w:vertAlign w:val="subscript"/>
              </w:rPr>
              <w:t>object naming</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Spanish and English Neuropsychological Assessment Scales- Object Naming subset (Mungas et al., 2004)</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Farias, Mungas, Reed, &amp; Haan (2004)</w:t>
            </w:r>
          </w:p>
          <w:p w:rsidR="00656481" w:rsidRPr="007A15F6" w:rsidRDefault="00656481" w:rsidP="00656481">
            <w:pPr>
              <w:rPr>
                <w:rFonts w:ascii="Times New Roman" w:eastAsia="MS Mincho" w:hAnsi="Times New Roman" w:cs="Times New Roman"/>
                <w:sz w:val="20"/>
                <w:szCs w:val="20"/>
              </w:rPr>
            </w:pP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Language</w:t>
            </w:r>
          </w:p>
        </w:tc>
      </w:tr>
      <w:tr w:rsidR="00656481" w:rsidRPr="007A15F6" w:rsidTr="00656481">
        <w:trPr>
          <w:cantSplit/>
        </w:trPr>
        <w:tc>
          <w:tcPr>
            <w:tcW w:w="1788" w:type="dxa"/>
            <w:vAlign w:val="center"/>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SENAS</w:t>
            </w:r>
            <w:r w:rsidRPr="007A15F6">
              <w:rPr>
                <w:rFonts w:ascii="Times New Roman" w:eastAsia="MS Mincho" w:hAnsi="Times New Roman" w:cs="Times New Roman"/>
                <w:sz w:val="20"/>
                <w:szCs w:val="20"/>
                <w:vertAlign w:val="subscript"/>
              </w:rPr>
              <w:t>vct</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Spanish and English Neuropsychological Assessment Scales- Verbal Conceptual Thin</w:t>
            </w:r>
            <w:r w:rsidR="006857B7">
              <w:rPr>
                <w:rFonts w:ascii="Times New Roman" w:eastAsia="MS Mincho" w:hAnsi="Times New Roman" w:cs="Times New Roman"/>
                <w:sz w:val="20"/>
                <w:szCs w:val="20"/>
              </w:rPr>
              <w:t>king subset (Mungas et al., 2000</w:t>
            </w:r>
            <w:r w:rsidRPr="007A15F6">
              <w:rPr>
                <w:rFonts w:ascii="Times New Roman" w:eastAsia="MS Mincho" w:hAnsi="Times New Roman" w:cs="Times New Roman"/>
                <w:sz w:val="20"/>
                <w:szCs w:val="20"/>
              </w:rPr>
              <w:t>)</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Farias, Mungas, Reed, &amp; Haan (2004)</w:t>
            </w:r>
          </w:p>
          <w:p w:rsidR="00656481" w:rsidRPr="007A15F6" w:rsidRDefault="00656481" w:rsidP="00656481">
            <w:pPr>
              <w:rPr>
                <w:rFonts w:ascii="Times New Roman" w:eastAsia="MS Mincho" w:hAnsi="Times New Roman" w:cs="Times New Roman"/>
                <w:sz w:val="20"/>
                <w:szCs w:val="20"/>
              </w:rPr>
            </w:pP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Language</w:t>
            </w:r>
          </w:p>
        </w:tc>
      </w:tr>
      <w:tr w:rsidR="00656481" w:rsidRPr="007A15F6" w:rsidTr="00656481">
        <w:trPr>
          <w:cantSplit/>
        </w:trPr>
        <w:tc>
          <w:tcPr>
            <w:tcW w:w="1788" w:type="dxa"/>
            <w:vAlign w:val="center"/>
          </w:tcPr>
          <w:p w:rsidR="00656481" w:rsidRPr="007A15F6" w:rsidRDefault="00656481" w:rsidP="00656481">
            <w:pPr>
              <w:ind w:left="-90"/>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 xml:space="preserve">Visuospatial </w:t>
            </w:r>
            <w:r w:rsidRPr="007A15F6">
              <w:rPr>
                <w:rFonts w:ascii="Times New Roman" w:eastAsia="MS Mincho" w:hAnsi="Times New Roman" w:cs="Times New Roman"/>
                <w:sz w:val="20"/>
                <w:szCs w:val="20"/>
                <w:vertAlign w:val="subscript"/>
              </w:rPr>
              <w:t>composite</w:t>
            </w:r>
          </w:p>
        </w:tc>
        <w:tc>
          <w:tcPr>
            <w:tcW w:w="4078"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Visuospatial Ability Composite</w:t>
            </w:r>
          </w:p>
        </w:tc>
        <w:tc>
          <w:tcPr>
            <w:tcW w:w="5132" w:type="dxa"/>
            <w:vAlign w:val="center"/>
          </w:tcPr>
          <w:p w:rsidR="00656481" w:rsidRPr="007A15F6" w:rsidRDefault="00656481" w:rsidP="00656481">
            <w:pPr>
              <w:rPr>
                <w:rFonts w:ascii="Times New Roman" w:eastAsia="MS Mincho" w:hAnsi="Times New Roman" w:cs="Times New Roman"/>
                <w:sz w:val="20"/>
                <w:szCs w:val="20"/>
              </w:rPr>
            </w:pPr>
            <w:r w:rsidRPr="007A15F6">
              <w:rPr>
                <w:rFonts w:ascii="Times New Roman" w:eastAsia="MS Mincho" w:hAnsi="Times New Roman" w:cs="Times New Roman"/>
                <w:sz w:val="20"/>
                <w:szCs w:val="20"/>
              </w:rPr>
              <w:t>Everaets (2013)</w:t>
            </w:r>
          </w:p>
        </w:tc>
        <w:tc>
          <w:tcPr>
            <w:tcW w:w="2180" w:type="dxa"/>
          </w:tcPr>
          <w:p w:rsidR="00656481" w:rsidRPr="007A15F6" w:rsidRDefault="00656481" w:rsidP="00656481">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Language</w:t>
            </w:r>
          </w:p>
        </w:tc>
      </w:tr>
    </w:tbl>
    <w:p w:rsidR="00656481" w:rsidRPr="007A15F6" w:rsidRDefault="00656481" w:rsidP="00656481">
      <w:pPr>
        <w:spacing w:after="200" w:line="276" w:lineRule="auto"/>
        <w:rPr>
          <w:rFonts w:ascii="Times New Roman" w:eastAsia="MS Gothic" w:hAnsi="Times New Roman" w:cs="Times New Roman"/>
          <w:bCs/>
        </w:rPr>
        <w:sectPr w:rsidR="00656481" w:rsidRPr="007A15F6" w:rsidSect="00345F97">
          <w:pgSz w:w="15842" w:h="12242" w:orient="landscape"/>
          <w:pgMar w:top="1440" w:right="1440" w:bottom="1440" w:left="1440" w:header="720" w:footer="720" w:gutter="0"/>
          <w:cols w:space="720"/>
          <w:docGrid w:linePitch="360"/>
        </w:sectPr>
      </w:pPr>
    </w:p>
    <w:p w:rsidR="00656481" w:rsidRPr="00786D04" w:rsidRDefault="00FD26C7" w:rsidP="00656481">
      <w:pPr>
        <w:spacing w:after="200" w:line="276" w:lineRule="auto"/>
        <w:rPr>
          <w:rStyle w:val="IntenseEmphasis"/>
        </w:rPr>
      </w:pPr>
      <w:r w:rsidRPr="00870E98">
        <w:rPr>
          <w:rStyle w:val="IntenseEmphasis"/>
        </w:rPr>
        <w:t xml:space="preserve">Table </w:t>
      </w:r>
      <w:r w:rsidR="000D4CDC" w:rsidRPr="00870E98">
        <w:rPr>
          <w:rStyle w:val="IntenseEmphasis"/>
        </w:rPr>
        <w:t>4</w:t>
      </w:r>
      <w:r w:rsidRPr="00870E98">
        <w:rPr>
          <w:rStyle w:val="IntenseEmphasis"/>
        </w:rPr>
        <w:t>.5 Everyday</w:t>
      </w:r>
      <w:r w:rsidR="00656481" w:rsidRPr="00870E98">
        <w:rPr>
          <w:rStyle w:val="IntenseEmphasis"/>
        </w:rPr>
        <w:t xml:space="preserve"> </w:t>
      </w:r>
      <w:r w:rsidR="00FE028D" w:rsidRPr="00870E98">
        <w:rPr>
          <w:rStyle w:val="IntenseEmphasis"/>
        </w:rPr>
        <w:t>Functioning Assessments Included In The Meta-Analysis</w:t>
      </w:r>
    </w:p>
    <w:tbl>
      <w:tblPr>
        <w:tblStyle w:val="TableGrid1"/>
        <w:tblW w:w="12815"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2"/>
        <w:gridCol w:w="4693"/>
        <w:gridCol w:w="5012"/>
        <w:gridCol w:w="1838"/>
      </w:tblGrid>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Abbreviation</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EvF Assessment</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Study</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Type of assessment</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IADLSR</w:t>
            </w:r>
          </w:p>
        </w:tc>
        <w:tc>
          <w:tcPr>
            <w:tcW w:w="4693" w:type="dxa"/>
            <w:vAlign w:val="center"/>
          </w:tcPr>
          <w:p w:rsidR="00656481" w:rsidRPr="007A15F6" w:rsidRDefault="008267F4" w:rsidP="00656481">
            <w:pPr>
              <w:ind w:left="-103"/>
              <w:rPr>
                <w:rFonts w:ascii="Times New Roman" w:eastAsia="MS Gothic" w:hAnsi="Times New Roman" w:cs="Times New Roman"/>
                <w:bCs/>
                <w:sz w:val="20"/>
                <w:szCs w:val="20"/>
              </w:rPr>
            </w:pPr>
            <w:r>
              <w:rPr>
                <w:rFonts w:ascii="Times New Roman" w:eastAsia="MS Gothic" w:hAnsi="Times New Roman" w:cs="Times New Roman"/>
                <w:bCs/>
                <w:sz w:val="20"/>
                <w:szCs w:val="20"/>
              </w:rPr>
              <w:t>Items based on Instrumental A</w:t>
            </w:r>
            <w:r w:rsidR="00656481" w:rsidRPr="007A15F6">
              <w:rPr>
                <w:rFonts w:ascii="Times New Roman" w:eastAsia="MS Gothic" w:hAnsi="Times New Roman" w:cs="Times New Roman"/>
                <w:bCs/>
                <w:sz w:val="20"/>
                <w:szCs w:val="20"/>
              </w:rPr>
              <w:t>ctivities of Daily Living (Lawton &amp; Broady, 1963)</w:t>
            </w:r>
          </w:p>
        </w:tc>
        <w:tc>
          <w:tcPr>
            <w:tcW w:w="5012" w:type="dxa"/>
            <w:vAlign w:val="center"/>
          </w:tcPr>
          <w:p w:rsidR="00656481" w:rsidRPr="00E041BC" w:rsidRDefault="00656481" w:rsidP="00656481">
            <w:pPr>
              <w:rPr>
                <w:rFonts w:ascii="Times New Roman" w:eastAsia="MS Gothic" w:hAnsi="Times New Roman" w:cs="Times New Roman"/>
                <w:bCs/>
                <w:sz w:val="20"/>
                <w:szCs w:val="20"/>
                <w:lang w:val="de-DE"/>
              </w:rPr>
            </w:pPr>
            <w:r w:rsidRPr="00E041BC">
              <w:rPr>
                <w:rFonts w:ascii="Times New Roman" w:eastAsia="MS Gothic" w:hAnsi="Times New Roman" w:cs="Times New Roman"/>
                <w:bCs/>
                <w:sz w:val="20"/>
                <w:szCs w:val="20"/>
                <w:lang w:val="de-DE"/>
              </w:rPr>
              <w:t>Aichenberger, Busch, Reischies, Stroehle, Heinz, &amp; Rapp (2010); Alosco et al. (2012); Alosco (2013); Alosco et al., (2012); Gross, Rebok, Unvertzagt, Willis, &amp; Brandt,  (2011); Landgraff (2004);  Schmitter- Edgecombe, Parsey, &amp; Cook (2011)</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Self-Reports</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DHQ</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Driving habits Questionnaire (Stalvey, Owsley, Sloane, &amp; Ball, 1999)</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O’Connor, 2010</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Self-Reports</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IADLIR</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Items based on Instrumental activities of Daily Living (Lawton&amp; Broady, 1963)</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Christman, Vannorsdall, Godfrey, Hill-Briggs, &amp; Schretlen, (2010); Jefferson, Paul., Ozonoff, &amp; Cohen (2006); Reppermund et al. (2010); Schmitter- Edgecombe, McAlister, &amp; Weakly (2012)</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Informant-Reports</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Ecog</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Everyday Cognition (Farias &amp; Mungas, 2008)</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Farias &amp; Mungas (2014)</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Informant-Reports</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MFAQ</w:t>
            </w:r>
          </w:p>
        </w:tc>
        <w:tc>
          <w:tcPr>
            <w:tcW w:w="4693" w:type="dxa"/>
            <w:vAlign w:val="center"/>
          </w:tcPr>
          <w:p w:rsidR="00656481" w:rsidRPr="00E041BC" w:rsidRDefault="00656481" w:rsidP="00656481">
            <w:pPr>
              <w:rPr>
                <w:rFonts w:ascii="Times New Roman" w:eastAsia="MS Gothic" w:hAnsi="Times New Roman" w:cs="Times New Roman"/>
                <w:bCs/>
                <w:sz w:val="20"/>
                <w:szCs w:val="20"/>
                <w:lang w:val="fr-FR"/>
              </w:rPr>
            </w:pPr>
            <w:r w:rsidRPr="00E041BC">
              <w:rPr>
                <w:rFonts w:ascii="Times New Roman" w:eastAsia="MS Gothic" w:hAnsi="Times New Roman" w:cs="Times New Roman"/>
                <w:bCs/>
                <w:sz w:val="20"/>
                <w:szCs w:val="20"/>
                <w:lang w:val="fr-FR"/>
              </w:rPr>
              <w:t>Multidimensional Functional Assessment Questionnaire (Fillenbaum, 1978)</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Royall, Palmer, Chiodo, &amp; Polk (2004)</w:t>
            </w:r>
          </w:p>
          <w:p w:rsidR="00656481" w:rsidRPr="007A15F6" w:rsidRDefault="00656481" w:rsidP="00656481">
            <w:pPr>
              <w:rPr>
                <w:rFonts w:ascii="Times New Roman" w:eastAsia="MS Gothic" w:hAnsi="Times New Roman" w:cs="Times New Roman"/>
                <w:bCs/>
                <w:sz w:val="20"/>
                <w:szCs w:val="20"/>
              </w:rPr>
            </w:pP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Informant-Reports</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SBI-SI</w:t>
            </w:r>
          </w:p>
        </w:tc>
        <w:tc>
          <w:tcPr>
            <w:tcW w:w="4693" w:type="dxa"/>
            <w:vAlign w:val="center"/>
          </w:tcPr>
          <w:p w:rsidR="00656481" w:rsidRPr="00E041BC" w:rsidRDefault="00656481" w:rsidP="00656481">
            <w:pPr>
              <w:rPr>
                <w:rFonts w:ascii="Times New Roman" w:eastAsia="MS Gothic" w:hAnsi="Times New Roman" w:cs="Times New Roman"/>
                <w:bCs/>
                <w:sz w:val="20"/>
                <w:szCs w:val="20"/>
                <w:lang w:val="it-IT"/>
              </w:rPr>
            </w:pPr>
            <w:r w:rsidRPr="00E041BC">
              <w:rPr>
                <w:rFonts w:ascii="Times New Roman" w:eastAsia="MS Gothic" w:hAnsi="Times New Roman" w:cs="Times New Roman"/>
                <w:bCs/>
                <w:sz w:val="20"/>
                <w:szCs w:val="20"/>
                <w:lang w:val="it-IT"/>
              </w:rPr>
              <w:t>Spontaneous Behaviour Interview (Lucca, Tettamanti, Martell, Luchelli, Alberoni, &amp; Spangoli, 1996)</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Lucca et al. (2011)</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Informant-Reports</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IQCODE</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Informant Questionnaire on Cognitive Decline in the Elderly (Jorrn, &amp; Jacomb, 1989)</w:t>
            </w:r>
          </w:p>
        </w:tc>
        <w:tc>
          <w:tcPr>
            <w:tcW w:w="5012" w:type="dxa"/>
            <w:vAlign w:val="center"/>
          </w:tcPr>
          <w:p w:rsidR="00656481" w:rsidRPr="00E041BC" w:rsidRDefault="00656481" w:rsidP="00656481">
            <w:pPr>
              <w:rPr>
                <w:rFonts w:ascii="Times New Roman" w:eastAsia="MS Gothic" w:hAnsi="Times New Roman" w:cs="Times New Roman"/>
                <w:bCs/>
                <w:sz w:val="20"/>
                <w:szCs w:val="20"/>
                <w:lang w:val="es-ES_tradnl"/>
              </w:rPr>
            </w:pPr>
            <w:r w:rsidRPr="00E041BC">
              <w:rPr>
                <w:rFonts w:ascii="Times New Roman" w:eastAsia="MS Gothic" w:hAnsi="Times New Roman" w:cs="Times New Roman"/>
                <w:bCs/>
                <w:sz w:val="20"/>
                <w:szCs w:val="20"/>
                <w:lang w:val="es-ES_tradnl"/>
              </w:rPr>
              <w:t>Farias, Mungas, Reed, &amp; Haan (2004)</w:t>
            </w:r>
          </w:p>
          <w:p w:rsidR="00656481" w:rsidRPr="007A15F6" w:rsidRDefault="00656481" w:rsidP="00656481">
            <w:pPr>
              <w:rPr>
                <w:rFonts w:ascii="Times New Roman" w:eastAsia="MS Gothic" w:hAnsi="Times New Roman" w:cs="Times New Roman"/>
                <w:bCs/>
                <w:sz w:val="20"/>
                <w:szCs w:val="20"/>
              </w:rPr>
            </w:pPr>
            <w:r w:rsidRPr="00E041BC">
              <w:rPr>
                <w:rFonts w:ascii="Times New Roman" w:eastAsia="MS Gothic" w:hAnsi="Times New Roman" w:cs="Times New Roman"/>
                <w:bCs/>
                <w:sz w:val="20"/>
                <w:szCs w:val="20"/>
                <w:lang w:val="es-ES_tradnl"/>
              </w:rPr>
              <w:t xml:space="preserve">; Lucca et al. </w:t>
            </w:r>
            <w:r w:rsidRPr="007A15F6">
              <w:rPr>
                <w:rFonts w:ascii="Times New Roman" w:eastAsia="MS Gothic" w:hAnsi="Times New Roman" w:cs="Times New Roman"/>
                <w:bCs/>
                <w:sz w:val="20"/>
                <w:szCs w:val="20"/>
              </w:rPr>
              <w:t>(2011)</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Informant-Reports</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DAD</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Disability Assessement for Dementia Scale (</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Tam &amp; Lam  (2012)</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Informant-Reports</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TIADL</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Performance Based IADL (Owsley, Sloane, mcGwin, &amp; Ball, 2002)</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Suchy, Williams, Kraybill, Franchow, &amp; Butner  (2010)</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ILS</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Independent Living Scale (Loeb, 1996)</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Bell-McGinty, Podell, Franzen, Baird, &amp; Williams, (2002); Everaerts (2013); Greco, (2004)</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KELS</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Kohlman Evaluation of Living Skills (1992)</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Burnett, Dyer, &amp; Naik (2009)</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OTDL-R</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Observed Tasks of Daily Living</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Schmitter- Edgecombe, Parsey, &amp; Cook (2011)</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DAFS</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Direct Assessment of Functional Status (Loewenstein &amp; Bates, 1989)</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Pereira, Yassuda. &amp; Oliveira, (2008); Keil (2005); Klinger (1998); Mitchell (2006)</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 in Campus Room (Schmitter- Edgecombe, Parsey, &amp; Cook (2011)</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Schmitter- Edgecombe, Parsey, &amp; Cook (2011); Schmitter- Edgecombe, &amp; Parsey (2014)</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DOT</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Day Out Task (Schmitter- Edgecombe, McAlister, &amp; Weakly, 2012)</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Schmitter- Edgecombe, McAlister, &amp; Weakly (2012)</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NAT</w:t>
            </w:r>
          </w:p>
        </w:tc>
        <w:tc>
          <w:tcPr>
            <w:tcW w:w="4693" w:type="dxa"/>
            <w:vAlign w:val="center"/>
          </w:tcPr>
          <w:p w:rsidR="00656481" w:rsidRPr="007A15F6" w:rsidRDefault="00656481" w:rsidP="001506FD">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The Naturalisitc Action Test (Sc</w:t>
            </w:r>
            <w:r w:rsidR="001506FD" w:rsidRPr="007A15F6">
              <w:rPr>
                <w:rFonts w:ascii="Times New Roman" w:eastAsia="MS Gothic" w:hAnsi="Times New Roman" w:cs="Times New Roman"/>
                <w:bCs/>
                <w:sz w:val="20"/>
                <w:szCs w:val="20"/>
              </w:rPr>
              <w:t>h</w:t>
            </w:r>
            <w:r w:rsidRPr="007A15F6">
              <w:rPr>
                <w:rFonts w:ascii="Times New Roman" w:eastAsia="MS Gothic" w:hAnsi="Times New Roman" w:cs="Times New Roman"/>
                <w:bCs/>
                <w:sz w:val="20"/>
                <w:szCs w:val="20"/>
              </w:rPr>
              <w:t xml:space="preserve">wartz, </w:t>
            </w:r>
            <w:r w:rsidR="001506FD" w:rsidRPr="007A15F6">
              <w:rPr>
                <w:rFonts w:ascii="Times New Roman" w:eastAsia="MS Gothic" w:hAnsi="Times New Roman" w:cs="Times New Roman"/>
                <w:bCs/>
                <w:sz w:val="20"/>
                <w:szCs w:val="20"/>
              </w:rPr>
              <w:t>F</w:t>
            </w:r>
            <w:r w:rsidRPr="007A15F6">
              <w:rPr>
                <w:rFonts w:ascii="Times New Roman" w:eastAsia="MS Gothic" w:hAnsi="Times New Roman" w:cs="Times New Roman"/>
                <w:bCs/>
                <w:sz w:val="20"/>
                <w:szCs w:val="20"/>
              </w:rPr>
              <w:t>, Veramonti, ferraro, &amp; Buxbaum, 2002)</w:t>
            </w:r>
          </w:p>
        </w:tc>
        <w:tc>
          <w:tcPr>
            <w:tcW w:w="501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Selingman, Giovannetti, Sestitio, &amp; Libon (2013)</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EvF</w:t>
            </w:r>
            <w:r w:rsidRPr="007A15F6">
              <w:rPr>
                <w:rFonts w:ascii="Times New Roman" w:eastAsia="MS Gothic" w:hAnsi="Times New Roman" w:cs="Times New Roman"/>
                <w:bCs/>
                <w:sz w:val="20"/>
                <w:szCs w:val="20"/>
                <w:vertAlign w:val="subscript"/>
              </w:rPr>
              <w:t>compositeO</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 xml:space="preserve">Everyday Functionality composite </w:t>
            </w:r>
          </w:p>
        </w:tc>
        <w:tc>
          <w:tcPr>
            <w:tcW w:w="5012" w:type="dxa"/>
            <w:vAlign w:val="center"/>
          </w:tcPr>
          <w:p w:rsidR="00656481" w:rsidRPr="00E041BC" w:rsidRDefault="00656481" w:rsidP="00656481">
            <w:pPr>
              <w:rPr>
                <w:rFonts w:ascii="Times New Roman" w:eastAsia="MS Gothic" w:hAnsi="Times New Roman" w:cs="Times New Roman"/>
                <w:bCs/>
                <w:sz w:val="20"/>
                <w:szCs w:val="20"/>
                <w:lang w:val="de-DE"/>
              </w:rPr>
            </w:pPr>
            <w:r w:rsidRPr="00E041BC">
              <w:rPr>
                <w:rFonts w:ascii="Times New Roman" w:eastAsia="MS Gothic" w:hAnsi="Times New Roman" w:cs="Times New Roman"/>
                <w:bCs/>
                <w:sz w:val="20"/>
                <w:szCs w:val="20"/>
                <w:lang w:val="de-DE"/>
              </w:rPr>
              <w:t>Gross, Rebok, Unvertzagt, Willis, &amp; Brandt,  (2011)</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Observation</w:t>
            </w:r>
          </w:p>
        </w:tc>
      </w:tr>
      <w:tr w:rsidR="00656481" w:rsidRPr="007A15F6" w:rsidTr="00E4148F">
        <w:trPr>
          <w:jc w:val="center"/>
        </w:trPr>
        <w:tc>
          <w:tcPr>
            <w:tcW w:w="1272"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EPT</w:t>
            </w:r>
          </w:p>
        </w:tc>
        <w:tc>
          <w:tcPr>
            <w:tcW w:w="4693"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Everyday Problem Test (Willis, 1993)</w:t>
            </w:r>
          </w:p>
        </w:tc>
        <w:tc>
          <w:tcPr>
            <w:tcW w:w="5012" w:type="dxa"/>
            <w:vAlign w:val="center"/>
          </w:tcPr>
          <w:p w:rsidR="00656481" w:rsidRPr="007A15F6" w:rsidRDefault="00EC625E" w:rsidP="00656481">
            <w:pPr>
              <w:rPr>
                <w:rFonts w:ascii="Times New Roman" w:eastAsia="MS Gothic" w:hAnsi="Times New Roman" w:cs="Times New Roman"/>
                <w:bCs/>
                <w:sz w:val="20"/>
                <w:szCs w:val="20"/>
              </w:rPr>
            </w:pPr>
            <w:r>
              <w:rPr>
                <w:rFonts w:ascii="Times New Roman" w:eastAsia="MS Gothic" w:hAnsi="Times New Roman" w:cs="Times New Roman"/>
                <w:bCs/>
                <w:sz w:val="20"/>
                <w:szCs w:val="20"/>
              </w:rPr>
              <w:t>Burton (2007</w:t>
            </w:r>
            <w:r w:rsidR="00656481" w:rsidRPr="007A15F6">
              <w:rPr>
                <w:rFonts w:ascii="Times New Roman" w:eastAsia="MS Gothic" w:hAnsi="Times New Roman" w:cs="Times New Roman"/>
                <w:bCs/>
                <w:sz w:val="20"/>
                <w:szCs w:val="20"/>
              </w:rPr>
              <w:t>); Schmitter- Edgecombe, Parsey, &amp; Cook (2011)</w:t>
            </w:r>
          </w:p>
        </w:tc>
        <w:tc>
          <w:tcPr>
            <w:tcW w:w="1838" w:type="dxa"/>
            <w:vAlign w:val="center"/>
          </w:tcPr>
          <w:p w:rsidR="00656481" w:rsidRPr="007A15F6" w:rsidRDefault="00656481" w:rsidP="00656481">
            <w:pPr>
              <w:rPr>
                <w:rFonts w:ascii="Times New Roman" w:eastAsia="MS Gothic" w:hAnsi="Times New Roman" w:cs="Times New Roman"/>
                <w:bCs/>
                <w:sz w:val="20"/>
                <w:szCs w:val="20"/>
              </w:rPr>
            </w:pPr>
            <w:r w:rsidRPr="007A15F6">
              <w:rPr>
                <w:rFonts w:ascii="Times New Roman" w:eastAsia="MS Gothic" w:hAnsi="Times New Roman" w:cs="Times New Roman"/>
                <w:bCs/>
                <w:sz w:val="20"/>
                <w:szCs w:val="20"/>
              </w:rPr>
              <w:t>Test Based</w:t>
            </w:r>
          </w:p>
        </w:tc>
      </w:tr>
    </w:tbl>
    <w:p w:rsidR="00656481" w:rsidRPr="007A15F6" w:rsidRDefault="00656481" w:rsidP="00656481">
      <w:pPr>
        <w:tabs>
          <w:tab w:val="left" w:pos="720"/>
        </w:tabs>
        <w:spacing w:before="240" w:line="480" w:lineRule="auto"/>
        <w:rPr>
          <w:rFonts w:ascii="Times New Roman" w:eastAsia="Calibri" w:hAnsi="Times New Roman" w:cs="Times New Roman"/>
          <w:color w:val="000000"/>
          <w:szCs w:val="20"/>
        </w:rPr>
        <w:sectPr w:rsidR="00656481" w:rsidRPr="007A15F6" w:rsidSect="00345F97">
          <w:pgSz w:w="15842" w:h="12242" w:orient="landscape"/>
          <w:pgMar w:top="1440" w:right="1440" w:bottom="1440" w:left="1440" w:header="720" w:footer="720" w:gutter="0"/>
          <w:cols w:space="720"/>
          <w:docGrid w:linePitch="360"/>
        </w:sectPr>
      </w:pPr>
    </w:p>
    <w:p w:rsidR="0020460A" w:rsidRPr="00786D04" w:rsidRDefault="00FD26C7" w:rsidP="000D4CDC">
      <w:pPr>
        <w:tabs>
          <w:tab w:val="left" w:pos="720"/>
        </w:tabs>
        <w:spacing w:before="240" w:line="360" w:lineRule="auto"/>
        <w:ind w:left="964" w:hanging="964"/>
        <w:rPr>
          <w:rStyle w:val="IntenseEmphasis"/>
        </w:rPr>
      </w:pPr>
      <w:r w:rsidRPr="00367D37">
        <w:rPr>
          <w:rStyle w:val="IntenseEmphasis"/>
        </w:rPr>
        <w:t xml:space="preserve">Table </w:t>
      </w:r>
      <w:r w:rsidR="000D4CDC" w:rsidRPr="00367D37">
        <w:rPr>
          <w:rStyle w:val="IntenseEmphasis"/>
        </w:rPr>
        <w:t>4.6 Neuropsychological</w:t>
      </w:r>
      <w:r w:rsidR="0020460A" w:rsidRPr="00367D37">
        <w:rPr>
          <w:rStyle w:val="IntenseEmphasis"/>
        </w:rPr>
        <w:t xml:space="preserve"> </w:t>
      </w:r>
      <w:r w:rsidR="00FE028D" w:rsidRPr="00367D37">
        <w:rPr>
          <w:rStyle w:val="IntenseEmphasis"/>
        </w:rPr>
        <w:t>Assessment Of Speed Of Processing Included In The Meta-Analysis</w:t>
      </w:r>
    </w:p>
    <w:tbl>
      <w:tblPr>
        <w:tblStyle w:val="TableGrid1"/>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277"/>
        <w:gridCol w:w="441"/>
        <w:gridCol w:w="3919"/>
        <w:gridCol w:w="364"/>
        <w:gridCol w:w="3235"/>
      </w:tblGrid>
      <w:tr w:rsidR="0020460A" w:rsidRPr="007A15F6" w:rsidTr="007224AF">
        <w:trPr>
          <w:cantSplit/>
        </w:trPr>
        <w:tc>
          <w:tcPr>
            <w:tcW w:w="1277" w:type="dxa"/>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Abbreviation</w:t>
            </w:r>
          </w:p>
        </w:tc>
        <w:tc>
          <w:tcPr>
            <w:tcW w:w="4360" w:type="dxa"/>
            <w:gridSpan w:val="2"/>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Neuropsychological Assessment for Speed of Processing</w:t>
            </w:r>
          </w:p>
        </w:tc>
        <w:tc>
          <w:tcPr>
            <w:tcW w:w="3599" w:type="dxa"/>
            <w:gridSpan w:val="2"/>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Used in study</w:t>
            </w:r>
          </w:p>
        </w:tc>
      </w:tr>
      <w:tr w:rsidR="0020460A" w:rsidRPr="007A15F6" w:rsidTr="007224AF">
        <w:trPr>
          <w:cantSplit/>
        </w:trPr>
        <w:tc>
          <w:tcPr>
            <w:tcW w:w="1718" w:type="dxa"/>
            <w:gridSpan w:val="2"/>
            <w:vAlign w:val="center"/>
          </w:tcPr>
          <w:p w:rsidR="0020460A" w:rsidRPr="007A15F6" w:rsidRDefault="0020460A" w:rsidP="0020460A">
            <w:pPr>
              <w:spacing w:line="276" w:lineRule="auto"/>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DSC</w:t>
            </w:r>
          </w:p>
        </w:tc>
        <w:tc>
          <w:tcPr>
            <w:tcW w:w="3919" w:type="dxa"/>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Digit Symbol Coding (Smith, 1983)</w:t>
            </w:r>
          </w:p>
        </w:tc>
        <w:tc>
          <w:tcPr>
            <w:tcW w:w="3599" w:type="dxa"/>
            <w:gridSpan w:val="2"/>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Alosco, et al. (2013)</w:t>
            </w:r>
          </w:p>
        </w:tc>
      </w:tr>
      <w:tr w:rsidR="0020460A" w:rsidRPr="007A15F6" w:rsidTr="007224AF">
        <w:trPr>
          <w:cantSplit/>
        </w:trPr>
        <w:tc>
          <w:tcPr>
            <w:tcW w:w="1718" w:type="dxa"/>
            <w:gridSpan w:val="2"/>
            <w:vAlign w:val="center"/>
          </w:tcPr>
          <w:p w:rsidR="0020460A" w:rsidRPr="007A15F6" w:rsidRDefault="0020460A" w:rsidP="007224AF">
            <w:pPr>
              <w:spacing w:line="276" w:lineRule="auto"/>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SoP</w:t>
            </w:r>
            <w:r w:rsidRPr="007A15F6">
              <w:rPr>
                <w:rFonts w:ascii="Times New Roman" w:eastAsia="MS Mincho" w:hAnsi="Times New Roman" w:cs="Times New Roman"/>
                <w:sz w:val="20"/>
                <w:szCs w:val="20"/>
                <w:vertAlign w:val="subscript"/>
              </w:rPr>
              <w:t>composite</w:t>
            </w:r>
          </w:p>
        </w:tc>
        <w:tc>
          <w:tcPr>
            <w:tcW w:w="3919" w:type="dxa"/>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Speed of Processing composite</w:t>
            </w:r>
          </w:p>
        </w:tc>
        <w:tc>
          <w:tcPr>
            <w:tcW w:w="3599" w:type="dxa"/>
            <w:gridSpan w:val="2"/>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Burton (2007)</w:t>
            </w:r>
          </w:p>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Christman, Vannorsdall, Godfrey, Hill-Briggs, &amp; Schretlen, (2010)</w:t>
            </w:r>
          </w:p>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Everaets (2013)</w:t>
            </w:r>
          </w:p>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Reppermund et al. (2010)</w:t>
            </w:r>
          </w:p>
        </w:tc>
      </w:tr>
      <w:tr w:rsidR="0020460A" w:rsidRPr="007A15F6" w:rsidTr="007224AF">
        <w:trPr>
          <w:cantSplit/>
        </w:trPr>
        <w:tc>
          <w:tcPr>
            <w:tcW w:w="1718" w:type="dxa"/>
            <w:gridSpan w:val="2"/>
            <w:vAlign w:val="center"/>
          </w:tcPr>
          <w:p w:rsidR="0020460A" w:rsidRPr="007A15F6" w:rsidRDefault="0020460A" w:rsidP="0020460A">
            <w:pPr>
              <w:spacing w:line="276" w:lineRule="auto"/>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SDMT</w:t>
            </w:r>
          </w:p>
        </w:tc>
        <w:tc>
          <w:tcPr>
            <w:tcW w:w="3919" w:type="dxa"/>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Symbol Digit Modality Test (Smith, 1991)</w:t>
            </w:r>
          </w:p>
        </w:tc>
        <w:tc>
          <w:tcPr>
            <w:tcW w:w="3599" w:type="dxa"/>
            <w:gridSpan w:val="2"/>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Schmitter- Edgecombe, Parsey, &amp; Cook (2011)</w:t>
            </w:r>
          </w:p>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Schmitter- Edgecombe, &amp; Parsey (2014)</w:t>
            </w:r>
          </w:p>
        </w:tc>
      </w:tr>
      <w:tr w:rsidR="0020460A" w:rsidRPr="007A15F6" w:rsidTr="007224AF">
        <w:trPr>
          <w:cantSplit/>
          <w:trHeight w:val="359"/>
        </w:trPr>
        <w:tc>
          <w:tcPr>
            <w:tcW w:w="1718" w:type="dxa"/>
            <w:gridSpan w:val="2"/>
            <w:vAlign w:val="center"/>
          </w:tcPr>
          <w:p w:rsidR="0020460A" w:rsidRPr="007A15F6" w:rsidRDefault="0020460A" w:rsidP="0020460A">
            <w:pPr>
              <w:spacing w:line="276" w:lineRule="auto"/>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TMT-A</w:t>
            </w:r>
          </w:p>
        </w:tc>
        <w:tc>
          <w:tcPr>
            <w:tcW w:w="3919" w:type="dxa"/>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Trail making Test, part A (Reitan &amp; Wolfson, 1985)</w:t>
            </w:r>
          </w:p>
        </w:tc>
        <w:tc>
          <w:tcPr>
            <w:tcW w:w="3599" w:type="dxa"/>
            <w:gridSpan w:val="2"/>
            <w:vAlign w:val="center"/>
          </w:tcPr>
          <w:p w:rsidR="0020460A" w:rsidRPr="007A15F6" w:rsidRDefault="0020460A" w:rsidP="0020460A">
            <w:pPr>
              <w:spacing w:line="276" w:lineRule="auto"/>
              <w:rPr>
                <w:rFonts w:ascii="Times New Roman" w:eastAsia="MS Mincho" w:hAnsi="Times New Roman" w:cs="Times New Roman"/>
                <w:sz w:val="20"/>
                <w:szCs w:val="20"/>
              </w:rPr>
            </w:pPr>
            <w:r w:rsidRPr="007A15F6">
              <w:rPr>
                <w:rFonts w:ascii="Times New Roman" w:eastAsia="MS Mincho" w:hAnsi="Times New Roman" w:cs="Times New Roman"/>
                <w:sz w:val="20"/>
                <w:szCs w:val="20"/>
              </w:rPr>
              <w:t>Alosco, et al. (2012); Tam &amp; Lam  (2012)</w:t>
            </w:r>
          </w:p>
        </w:tc>
      </w:tr>
      <w:tr w:rsidR="0020460A" w:rsidRPr="007A15F6" w:rsidTr="007224AF">
        <w:trPr>
          <w:cantSplit/>
        </w:trPr>
        <w:tc>
          <w:tcPr>
            <w:tcW w:w="1718" w:type="dxa"/>
            <w:gridSpan w:val="2"/>
            <w:vAlign w:val="center"/>
          </w:tcPr>
          <w:p w:rsidR="0020460A" w:rsidRPr="007A15F6" w:rsidRDefault="0020460A" w:rsidP="0020460A">
            <w:pPr>
              <w:spacing w:line="276" w:lineRule="auto"/>
              <w:rPr>
                <w:rFonts w:ascii="Times New Roman" w:eastAsia="MS Mincho" w:hAnsi="Times New Roman" w:cs="Times New Roman"/>
                <w:sz w:val="20"/>
                <w:szCs w:val="20"/>
              </w:rPr>
            </w:pPr>
          </w:p>
        </w:tc>
        <w:tc>
          <w:tcPr>
            <w:tcW w:w="4283" w:type="dxa"/>
            <w:gridSpan w:val="2"/>
            <w:vAlign w:val="center"/>
          </w:tcPr>
          <w:p w:rsidR="00B07EBC" w:rsidRPr="007A15F6" w:rsidRDefault="00B07EBC" w:rsidP="0020460A">
            <w:pPr>
              <w:spacing w:line="276" w:lineRule="auto"/>
              <w:rPr>
                <w:rFonts w:ascii="Times New Roman" w:eastAsia="MS Mincho" w:hAnsi="Times New Roman" w:cs="Times New Roman"/>
                <w:sz w:val="20"/>
                <w:szCs w:val="20"/>
              </w:rPr>
            </w:pPr>
          </w:p>
        </w:tc>
        <w:tc>
          <w:tcPr>
            <w:tcW w:w="3235" w:type="dxa"/>
            <w:vAlign w:val="center"/>
          </w:tcPr>
          <w:p w:rsidR="0020460A" w:rsidRPr="007A15F6" w:rsidRDefault="0020460A" w:rsidP="0020460A">
            <w:pPr>
              <w:spacing w:line="276" w:lineRule="auto"/>
              <w:rPr>
                <w:rFonts w:ascii="Times New Roman" w:eastAsia="MS Mincho" w:hAnsi="Times New Roman" w:cs="Times New Roman"/>
                <w:sz w:val="20"/>
                <w:szCs w:val="20"/>
              </w:rPr>
            </w:pPr>
          </w:p>
        </w:tc>
      </w:tr>
    </w:tbl>
    <w:p w:rsidR="00FD26C7" w:rsidRPr="007A15F6" w:rsidRDefault="00FD26C7" w:rsidP="005C41B7">
      <w:pPr>
        <w:pStyle w:val="APAPar"/>
      </w:pPr>
      <w:r w:rsidRPr="007A15F6">
        <w:t xml:space="preserve">The total number of participants in the included studies was </w:t>
      </w:r>
      <w:r w:rsidRPr="007A15F6">
        <w:rPr>
          <w:i/>
        </w:rPr>
        <w:t>N</w:t>
      </w:r>
      <w:r w:rsidRPr="007A15F6">
        <w:t xml:space="preserve"> = 27094, with a mean age of </w:t>
      </w:r>
      <w:r w:rsidRPr="007A15F6">
        <w:rPr>
          <w:i/>
        </w:rPr>
        <w:t>M</w:t>
      </w:r>
      <w:r w:rsidRPr="007A15F6">
        <w:rPr>
          <w:vertAlign w:val="subscript"/>
        </w:rPr>
        <w:t xml:space="preserve">age </w:t>
      </w:r>
      <w:r w:rsidRPr="007A15F6">
        <w:t xml:space="preserve">= 75.96, and mean years of education </w:t>
      </w:r>
      <w:r w:rsidRPr="007A15F6">
        <w:rPr>
          <w:i/>
        </w:rPr>
        <w:t>M</w:t>
      </w:r>
      <w:r w:rsidRPr="007A15F6">
        <w:rPr>
          <w:vertAlign w:val="subscript"/>
        </w:rPr>
        <w:t xml:space="preserve">education </w:t>
      </w:r>
      <w:r w:rsidRPr="007A15F6">
        <w:t xml:space="preserve">= 12.38. Five studies (5) did not report the participants’ years of education. In total, 208 unique correlations between </w:t>
      </w:r>
      <w:r>
        <w:t xml:space="preserve">cognitive performance </w:t>
      </w:r>
      <w:r w:rsidRPr="007A15F6">
        <w:t xml:space="preserve">and </w:t>
      </w:r>
      <w:r>
        <w:t>everyday functioning</w:t>
      </w:r>
      <w:r w:rsidRPr="007A15F6">
        <w:t xml:space="preserve"> a</w:t>
      </w:r>
      <w:r>
        <w:t xml:space="preserve">ssessment tools were extracted. </w:t>
      </w:r>
      <w:r w:rsidRPr="007A15F6">
        <w:t xml:space="preserve">As reported </w:t>
      </w:r>
      <w:r>
        <w:t xml:space="preserve">below, </w:t>
      </w:r>
      <w:r w:rsidRPr="007A15F6">
        <w:t>48 distinct neuropsychological tests</w:t>
      </w:r>
      <w:r>
        <w:t xml:space="preserve">, </w:t>
      </w:r>
      <w:r w:rsidRPr="007A15F6">
        <w:t>as well as 4 composite scores of neuropsychological test b</w:t>
      </w:r>
      <w:r>
        <w:t>atteries were used. For</w:t>
      </w:r>
      <w:r w:rsidRPr="007A15F6">
        <w:t xml:space="preserve"> the assessment of </w:t>
      </w:r>
      <w:r>
        <w:t>everyday functioning</w:t>
      </w:r>
      <w:r w:rsidRPr="007A15F6">
        <w:t xml:space="preserve">, 16 tests were used. </w:t>
      </w:r>
    </w:p>
    <w:p w:rsidR="00FD26C7" w:rsidRDefault="00FD26C7" w:rsidP="005C41B7">
      <w:pPr>
        <w:pStyle w:val="APAPar"/>
      </w:pPr>
      <w:r w:rsidRPr="007A15F6">
        <w:t>Publication bias was examined by Egger’s regression intercept test, indicating insignificant levels in this respect (</w:t>
      </w:r>
      <w:r w:rsidRPr="007A15F6">
        <w:rPr>
          <w:i/>
        </w:rPr>
        <w:t xml:space="preserve">p </w:t>
      </w:r>
      <w:r>
        <w:t>= .0875)</w:t>
      </w:r>
      <w:r w:rsidRPr="007A15F6">
        <w:t xml:space="preserve">. In the first analyses the </w:t>
      </w:r>
      <w:r>
        <w:t>everyday functioning</w:t>
      </w:r>
      <w:r w:rsidRPr="007A15F6">
        <w:t xml:space="preserve"> assessments were used as the outcome measures and the distinct neuropsychological tests as the comparison groups The analyses indicated that the samples of the included studies were very heterogeneous (</w:t>
      </w:r>
      <w:r w:rsidRPr="007A15F6">
        <w:rPr>
          <w:i/>
        </w:rPr>
        <w:t>I</w:t>
      </w:r>
      <w:r w:rsidRPr="007A15F6">
        <w:rPr>
          <w:i/>
          <w:vertAlign w:val="superscript"/>
        </w:rPr>
        <w:t>2</w:t>
      </w:r>
      <w:r w:rsidRPr="007A15F6">
        <w:t xml:space="preserve"> = 98.46), where a moderate statistically significant effect size between CP and EvF emerged (</w:t>
      </w:r>
      <w:r w:rsidRPr="007A15F6">
        <w:rPr>
          <w:i/>
        </w:rPr>
        <w:t>N</w:t>
      </w:r>
      <w:r w:rsidRPr="007A15F6">
        <w:rPr>
          <w:i/>
          <w:vertAlign w:val="subscript"/>
        </w:rPr>
        <w:t>studie</w:t>
      </w:r>
      <w:r w:rsidRPr="007A15F6">
        <w:rPr>
          <w:vertAlign w:val="subscript"/>
        </w:rPr>
        <w:t>s</w:t>
      </w:r>
      <w:r w:rsidRPr="007A15F6">
        <w:t xml:space="preserve"> = 29, </w:t>
      </w:r>
      <w:r w:rsidRPr="007A15F6">
        <w:rPr>
          <w:i/>
        </w:rPr>
        <w:t>ES</w:t>
      </w:r>
      <w:r w:rsidRPr="007A15F6">
        <w:t xml:space="preserve"> = .436, </w:t>
      </w:r>
      <w:r w:rsidRPr="007A15F6">
        <w:rPr>
          <w:i/>
        </w:rPr>
        <w:t>C</w:t>
      </w:r>
      <w:r w:rsidRPr="007A15F6">
        <w:t xml:space="preserve">I: .328 - .533, </w:t>
      </w:r>
      <w:r w:rsidRPr="007A15F6">
        <w:rPr>
          <w:i/>
        </w:rPr>
        <w:t xml:space="preserve">p </w:t>
      </w:r>
      <w:r w:rsidRPr="007A15F6">
        <w:t>&lt; .001). A moderate to large and statistical significant effect size emerged among the studies that examined strictly healthy older adults as well (</w:t>
      </w:r>
      <w:r w:rsidRPr="007A15F6">
        <w:rPr>
          <w:i/>
        </w:rPr>
        <w:t>N</w:t>
      </w:r>
      <w:r w:rsidRPr="007A15F6">
        <w:rPr>
          <w:i/>
          <w:vertAlign w:val="subscript"/>
        </w:rPr>
        <w:t xml:space="preserve">studies </w:t>
      </w:r>
      <w:r w:rsidRPr="007A15F6">
        <w:t xml:space="preserve">= 13, I2 = 95.14, </w:t>
      </w:r>
      <w:r w:rsidRPr="007A15F6">
        <w:rPr>
          <w:i/>
        </w:rPr>
        <w:t xml:space="preserve">ES </w:t>
      </w:r>
      <w:r w:rsidRPr="007A15F6">
        <w:t xml:space="preserve">= .478, </w:t>
      </w:r>
      <w:r w:rsidRPr="007A15F6">
        <w:rPr>
          <w:i/>
        </w:rPr>
        <w:t>CI</w:t>
      </w:r>
      <w:r w:rsidRPr="007A15F6">
        <w:t xml:space="preserve">: .390 - .557, </w:t>
      </w:r>
      <w:r w:rsidRPr="007A15F6">
        <w:rPr>
          <w:i/>
        </w:rPr>
        <w:t>p</w:t>
      </w:r>
      <w:r w:rsidRPr="007A15F6">
        <w:t xml:space="preserve"> &lt; .001). </w:t>
      </w:r>
    </w:p>
    <w:p w:rsidR="00656481" w:rsidRPr="007A15F6" w:rsidRDefault="00656481" w:rsidP="005C41B7">
      <w:pPr>
        <w:pStyle w:val="APAPar"/>
        <w:sectPr w:rsidR="00656481" w:rsidRPr="007A15F6" w:rsidSect="00345F97">
          <w:pgSz w:w="11900" w:h="16820"/>
          <w:pgMar w:top="1440" w:right="1440" w:bottom="1440" w:left="1440" w:header="720" w:footer="720" w:gutter="0"/>
          <w:cols w:space="720"/>
          <w:docGrid w:linePitch="360"/>
        </w:sectPr>
      </w:pPr>
    </w:p>
    <w:p w:rsidR="00656481" w:rsidRPr="007A15F6" w:rsidRDefault="00656481" w:rsidP="00656481">
      <w:pPr>
        <w:spacing w:after="200" w:line="276" w:lineRule="auto"/>
        <w:rPr>
          <w:rFonts w:ascii="Calibri" w:eastAsia="Calibri" w:hAnsi="Calibri" w:cs="Times New Roman"/>
          <w:sz w:val="22"/>
          <w:szCs w:val="22"/>
        </w:rPr>
      </w:pPr>
    </w:p>
    <w:p w:rsidR="00656481" w:rsidRPr="007A15F6" w:rsidRDefault="00656481" w:rsidP="00656481">
      <w:pPr>
        <w:spacing w:after="200" w:line="276" w:lineRule="auto"/>
        <w:rPr>
          <w:rFonts w:ascii="Calibri" w:eastAsia="Calibri" w:hAnsi="Calibri" w:cs="Times New Roman"/>
          <w:sz w:val="22"/>
          <w:szCs w:val="22"/>
        </w:rPr>
        <w:sectPr w:rsidR="00656481" w:rsidRPr="007A15F6" w:rsidSect="00345F97">
          <w:pgSz w:w="16817" w:h="11901" w:orient="landscape"/>
          <w:pgMar w:top="1440" w:right="1440" w:bottom="1440" w:left="1440" w:header="720" w:footer="720" w:gutter="0"/>
          <w:cols w:space="720"/>
          <w:docGrid w:linePitch="360"/>
        </w:sectPr>
      </w:pPr>
      <w:r w:rsidRPr="007A15F6">
        <w:rPr>
          <w:rFonts w:ascii="Calibri" w:eastAsia="Calibri" w:hAnsi="Calibri" w:cs="Times New Roman"/>
          <w:noProof/>
          <w:sz w:val="22"/>
          <w:szCs w:val="22"/>
          <w:lang w:eastAsia="zh-CN"/>
        </w:rPr>
        <w:drawing>
          <wp:inline distT="0" distB="0" distL="0" distR="0">
            <wp:extent cx="8646160" cy="4595707"/>
            <wp:effectExtent l="0" t="0" r="0" b="1905"/>
            <wp:docPr id="33" name="Picture 11" descr="analysis 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ysis 1.wmf"/>
                    <pic:cNvPicPr/>
                  </pic:nvPicPr>
                  <pic:blipFill>
                    <a:blip r:embed="rId22"/>
                    <a:stretch>
                      <a:fillRect/>
                    </a:stretch>
                  </pic:blipFill>
                  <pic:spPr>
                    <a:xfrm>
                      <a:off x="0" y="0"/>
                      <a:ext cx="8646692" cy="4595990"/>
                    </a:xfrm>
                    <a:prstGeom prst="rect">
                      <a:avLst/>
                    </a:prstGeom>
                  </pic:spPr>
                </pic:pic>
              </a:graphicData>
            </a:graphic>
          </wp:inline>
        </w:drawing>
      </w:r>
    </w:p>
    <w:p w:rsidR="00656481" w:rsidRPr="00F80136" w:rsidRDefault="00656481" w:rsidP="000D4CDC">
      <w:pPr>
        <w:tabs>
          <w:tab w:val="left" w:pos="720"/>
        </w:tabs>
        <w:spacing w:before="240" w:line="360" w:lineRule="auto"/>
        <w:ind w:left="1305" w:hanging="1021"/>
        <w:rPr>
          <w:rStyle w:val="IntenseEmphasis"/>
        </w:rPr>
        <w:sectPr w:rsidR="00656481" w:rsidRPr="00F80136" w:rsidSect="00345F97">
          <w:type w:val="continuous"/>
          <w:pgSz w:w="16817" w:h="11901" w:orient="landscape"/>
          <w:pgMar w:top="1440" w:right="1440" w:bottom="1440" w:left="1440" w:header="720" w:footer="720" w:gutter="0"/>
          <w:cols w:space="720"/>
          <w:docGrid w:linePitch="360"/>
        </w:sectPr>
      </w:pPr>
      <w:r w:rsidRPr="00367D37">
        <w:rPr>
          <w:rStyle w:val="IntenseEmphasis"/>
        </w:rPr>
        <w:t xml:space="preserve">Figure </w:t>
      </w:r>
      <w:r w:rsidR="000D4CDC" w:rsidRPr="00367D37">
        <w:rPr>
          <w:rStyle w:val="IntenseEmphasis"/>
        </w:rPr>
        <w:t>4.2</w:t>
      </w:r>
      <w:r w:rsidRPr="00367D37">
        <w:rPr>
          <w:rStyle w:val="IntenseEmphasis"/>
        </w:rPr>
        <w:t xml:space="preserve"> High resolution plot of the effect sizes of the relation between older adults’ performance in neuropsychological assessments and everyday functionality assessments</w:t>
      </w:r>
      <w:r w:rsidRPr="00F80136">
        <w:rPr>
          <w:rStyle w:val="IntenseEmphasis"/>
        </w:rPr>
        <w:t xml:space="preserve"> </w:t>
      </w:r>
    </w:p>
    <w:p w:rsidR="00656481" w:rsidRPr="007A15F6" w:rsidRDefault="00656481" w:rsidP="00656481">
      <w:pPr>
        <w:tabs>
          <w:tab w:val="left" w:pos="720"/>
        </w:tabs>
        <w:spacing w:before="240" w:line="480" w:lineRule="auto"/>
        <w:ind w:left="1134" w:hanging="850"/>
        <w:rPr>
          <w:rFonts w:ascii="Times New Roman" w:eastAsia="Calibri" w:hAnsi="Times New Roman" w:cs="Times New Roman"/>
          <w:color w:val="000000"/>
          <w:szCs w:val="20"/>
        </w:rPr>
      </w:pPr>
      <w:r w:rsidRPr="007A15F6">
        <w:rPr>
          <w:rFonts w:ascii="Times New Roman" w:eastAsia="Calibri" w:hAnsi="Times New Roman" w:cs="Times New Roman"/>
          <w:noProof/>
          <w:color w:val="000000"/>
          <w:szCs w:val="20"/>
          <w:lang w:eastAsia="zh-CN"/>
        </w:rPr>
        <w:drawing>
          <wp:inline distT="0" distB="0" distL="0" distR="0">
            <wp:extent cx="5016283" cy="3048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alphaModFix/>
                      <a:lum contrast="3000"/>
                    </a:blip>
                    <a:srcRect/>
                    <a:stretch>
                      <a:fillRect/>
                    </a:stretch>
                  </pic:blipFill>
                  <pic:spPr bwMode="auto">
                    <a:xfrm>
                      <a:off x="0" y="0"/>
                      <a:ext cx="5021510" cy="3051176"/>
                    </a:xfrm>
                    <a:prstGeom prst="rect">
                      <a:avLst/>
                    </a:prstGeom>
                    <a:noFill/>
                    <a:ln w="9525">
                      <a:noFill/>
                      <a:miter lim="800000"/>
                      <a:headEnd/>
                      <a:tailEnd/>
                    </a:ln>
                    <a:effectLst>
                      <a:outerShdw dist="50800" sx="1000" sy="1000" algn="ctr" rotWithShape="0">
                        <a:srgbClr val="000000"/>
                      </a:outerShdw>
                    </a:effectLst>
                  </pic:spPr>
                </pic:pic>
              </a:graphicData>
            </a:graphic>
          </wp:inline>
        </w:drawing>
      </w:r>
    </w:p>
    <w:p w:rsidR="00656481" w:rsidRPr="00F80136" w:rsidRDefault="00656481" w:rsidP="00640C1B">
      <w:pPr>
        <w:tabs>
          <w:tab w:val="left" w:pos="720"/>
        </w:tabs>
        <w:spacing w:before="240" w:line="360" w:lineRule="auto"/>
        <w:ind w:left="1037" w:hanging="1037"/>
        <w:rPr>
          <w:rStyle w:val="IntenseEmphasis"/>
          <w:i/>
        </w:rPr>
      </w:pPr>
      <w:r w:rsidRPr="00367D37">
        <w:rPr>
          <w:rStyle w:val="IntenseEmphasis"/>
        </w:rPr>
        <w:t xml:space="preserve">Figure </w:t>
      </w:r>
      <w:r w:rsidR="000D4CDC" w:rsidRPr="00367D37">
        <w:rPr>
          <w:rStyle w:val="IntenseEmphasis"/>
        </w:rPr>
        <w:t>4.3</w:t>
      </w:r>
      <w:r w:rsidRPr="00367D37">
        <w:rPr>
          <w:rStyle w:val="IntenseEmphasis"/>
        </w:rPr>
        <w:t xml:space="preserve"> Meta-regression for the effect of age in the effect sizes’ slope in the relation between performance in neuropsychological and everyday functionality assessments</w:t>
      </w:r>
      <w:r w:rsidRPr="00F80136">
        <w:rPr>
          <w:rStyle w:val="IntenseEmphasis"/>
          <w:i/>
        </w:rPr>
        <w:t xml:space="preserve"> </w:t>
      </w:r>
    </w:p>
    <w:p w:rsidR="00656481" w:rsidRPr="007A15F6" w:rsidRDefault="00656481" w:rsidP="002976A8">
      <w:pPr>
        <w:tabs>
          <w:tab w:val="left" w:pos="720"/>
        </w:tabs>
        <w:spacing w:before="240" w:line="480" w:lineRule="auto"/>
        <w:jc w:val="center"/>
        <w:rPr>
          <w:rFonts w:ascii="Times New Roman" w:eastAsia="Calibri" w:hAnsi="Times New Roman" w:cs="Times New Roman"/>
          <w:color w:val="000000"/>
          <w:szCs w:val="20"/>
        </w:rPr>
      </w:pPr>
      <w:r w:rsidRPr="007A15F6">
        <w:rPr>
          <w:rFonts w:ascii="Times New Roman" w:eastAsia="Calibri" w:hAnsi="Times New Roman" w:cs="Times New Roman"/>
          <w:noProof/>
          <w:color w:val="000000"/>
          <w:szCs w:val="20"/>
          <w:lang w:eastAsia="zh-CN"/>
        </w:rPr>
        <w:drawing>
          <wp:inline distT="0" distB="0" distL="0" distR="0">
            <wp:extent cx="4719074" cy="3107267"/>
            <wp:effectExtent l="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4725540" cy="3111525"/>
                    </a:xfrm>
                    <a:prstGeom prst="rect">
                      <a:avLst/>
                    </a:prstGeom>
                    <a:noFill/>
                    <a:ln w="9525">
                      <a:noFill/>
                      <a:miter lim="800000"/>
                      <a:headEnd/>
                      <a:tailEnd/>
                    </a:ln>
                  </pic:spPr>
                </pic:pic>
              </a:graphicData>
            </a:graphic>
          </wp:inline>
        </w:drawing>
      </w:r>
    </w:p>
    <w:p w:rsidR="00656481" w:rsidRPr="00F80136" w:rsidRDefault="00656481" w:rsidP="00640C1B">
      <w:pPr>
        <w:tabs>
          <w:tab w:val="left" w:pos="720"/>
        </w:tabs>
        <w:spacing w:before="240" w:line="360" w:lineRule="auto"/>
        <w:ind w:left="1037" w:hanging="1037"/>
        <w:rPr>
          <w:rStyle w:val="IntenseEmphasis"/>
        </w:rPr>
      </w:pPr>
      <w:r w:rsidRPr="00367D37">
        <w:rPr>
          <w:rStyle w:val="IntenseEmphasis"/>
        </w:rPr>
        <w:t xml:space="preserve">Figure </w:t>
      </w:r>
      <w:r w:rsidR="000D4CDC" w:rsidRPr="00367D37">
        <w:rPr>
          <w:rStyle w:val="IntenseEmphasis"/>
        </w:rPr>
        <w:t>4</w:t>
      </w:r>
      <w:r w:rsidRPr="00367D37">
        <w:rPr>
          <w:rStyle w:val="IntenseEmphasis"/>
        </w:rPr>
        <w:t>.</w:t>
      </w:r>
      <w:r w:rsidR="000D4CDC" w:rsidRPr="00367D37">
        <w:rPr>
          <w:rStyle w:val="IntenseEmphasis"/>
        </w:rPr>
        <w:t>4</w:t>
      </w:r>
      <w:r w:rsidRPr="00367D37">
        <w:rPr>
          <w:rStyle w:val="IntenseEmphasis"/>
        </w:rPr>
        <w:t xml:space="preserve"> Meta-regression for the effect of education in the effect sizes’ slope in the relation between performance in neuropsychological and everyday functionality assessments</w:t>
      </w:r>
    </w:p>
    <w:p w:rsidR="000D4CDC" w:rsidRDefault="000D4CDC" w:rsidP="005C41B7">
      <w:pPr>
        <w:pStyle w:val="APAPar"/>
      </w:pPr>
      <w:r w:rsidRPr="007A15F6">
        <w:rPr>
          <w:rStyle w:val="APAParChar"/>
        </w:rPr>
        <w:t>A meta-regression analysis, revealed that age was a stat</w:t>
      </w:r>
      <w:r>
        <w:rPr>
          <w:rStyle w:val="APAParChar"/>
        </w:rPr>
        <w:t xml:space="preserve">istically significant moderator </w:t>
      </w:r>
      <w:r w:rsidRPr="007A15F6">
        <w:rPr>
          <w:rStyle w:val="APAParChar"/>
        </w:rPr>
        <w:t xml:space="preserve">of the relation between </w:t>
      </w:r>
      <w:r>
        <w:rPr>
          <w:rStyle w:val="APAParChar"/>
        </w:rPr>
        <w:t>cognitive performance</w:t>
      </w:r>
      <w:r w:rsidRPr="007A15F6">
        <w:rPr>
          <w:rStyle w:val="APAParChar"/>
        </w:rPr>
        <w:t xml:space="preserve"> and </w:t>
      </w:r>
      <w:r>
        <w:rPr>
          <w:rStyle w:val="APAParChar"/>
        </w:rPr>
        <w:t>everyday functioning</w:t>
      </w:r>
      <w:r w:rsidRPr="007A15F6">
        <w:rPr>
          <w:rStyle w:val="APAParChar"/>
        </w:rPr>
        <w:t xml:space="preserve"> (</w:t>
      </w:r>
      <w:r w:rsidRPr="00AF78A8">
        <w:rPr>
          <w:rStyle w:val="APAParChar"/>
          <w:i/>
        </w:rPr>
        <w:t>N</w:t>
      </w:r>
      <w:r w:rsidRPr="00AF78A8">
        <w:rPr>
          <w:rStyle w:val="APAParChar"/>
          <w:i/>
          <w:vertAlign w:val="subscript"/>
        </w:rPr>
        <w:t>studie</w:t>
      </w:r>
      <w:r w:rsidRPr="00712E4F">
        <w:rPr>
          <w:rStyle w:val="APAParChar"/>
          <w:i/>
          <w:vertAlign w:val="subscript"/>
        </w:rPr>
        <w:t>s</w:t>
      </w:r>
      <w:r w:rsidRPr="007A15F6">
        <w:rPr>
          <w:rStyle w:val="APAParChar"/>
        </w:rPr>
        <w:t xml:space="preserve"> = 29, </w:t>
      </w:r>
      <w:r w:rsidRPr="00AF78A8">
        <w:rPr>
          <w:rStyle w:val="APAParChar"/>
          <w:i/>
        </w:rPr>
        <w:t>z</w:t>
      </w:r>
      <w:r w:rsidRPr="007A15F6">
        <w:rPr>
          <w:rStyle w:val="APAParChar"/>
        </w:rPr>
        <w:t xml:space="preserve"> = 2.036, p = .043, R</w:t>
      </w:r>
      <w:r w:rsidRPr="00712E4F">
        <w:rPr>
          <w:rStyle w:val="APAParChar"/>
          <w:vertAlign w:val="superscript"/>
        </w:rPr>
        <w:t>2</w:t>
      </w:r>
      <w:r w:rsidRPr="007A15F6">
        <w:rPr>
          <w:rStyle w:val="APAParChar"/>
        </w:rPr>
        <w:t xml:space="preserve">= 14%), indicating that the effect sizes of the relation between </w:t>
      </w:r>
      <w:r>
        <w:rPr>
          <w:rStyle w:val="APAParChar"/>
        </w:rPr>
        <w:t>cognitive performance</w:t>
      </w:r>
      <w:r w:rsidRPr="007A15F6">
        <w:rPr>
          <w:rStyle w:val="APAParChar"/>
        </w:rPr>
        <w:t xml:space="preserve"> and </w:t>
      </w:r>
      <w:r>
        <w:rPr>
          <w:rStyle w:val="APAParChar"/>
        </w:rPr>
        <w:t>everyday functioning</w:t>
      </w:r>
      <w:r w:rsidRPr="007A15F6">
        <w:rPr>
          <w:rStyle w:val="APAParChar"/>
        </w:rPr>
        <w:t xml:space="preserve"> tend to become higher when examining samples of older seniors. Similarly, to age, education was a statistically significant moderator as well (</w:t>
      </w:r>
      <w:r w:rsidRPr="00AF78A8">
        <w:rPr>
          <w:rStyle w:val="APAParChar"/>
          <w:i/>
        </w:rPr>
        <w:t>N</w:t>
      </w:r>
      <w:r w:rsidRPr="00AF78A8">
        <w:rPr>
          <w:rStyle w:val="APAParChar"/>
          <w:i/>
          <w:vertAlign w:val="subscript"/>
        </w:rPr>
        <w:t>studie</w:t>
      </w:r>
      <w:r w:rsidRPr="007A15F6">
        <w:rPr>
          <w:rStyle w:val="APAParChar"/>
          <w:i/>
          <w:vertAlign w:val="subscript"/>
        </w:rPr>
        <w:t>s</w:t>
      </w:r>
      <w:r w:rsidRPr="007A15F6">
        <w:rPr>
          <w:rStyle w:val="APAParChar"/>
        </w:rPr>
        <w:t xml:space="preserve"> = 24, z = -2.153, </w:t>
      </w:r>
      <w:r w:rsidRPr="00AF78A8">
        <w:rPr>
          <w:rStyle w:val="APAParChar"/>
          <w:i/>
        </w:rPr>
        <w:t>p</w:t>
      </w:r>
      <w:r w:rsidRPr="007A15F6">
        <w:rPr>
          <w:rStyle w:val="APAParChar"/>
        </w:rPr>
        <w:t xml:space="preserve"> = .031, </w:t>
      </w:r>
      <w:r w:rsidRPr="00AF78A8">
        <w:rPr>
          <w:rStyle w:val="APAParChar"/>
          <w:i/>
        </w:rPr>
        <w:t>R</w:t>
      </w:r>
      <w:r w:rsidRPr="00AF78A8">
        <w:rPr>
          <w:rStyle w:val="APAParChar"/>
          <w:i/>
          <w:vertAlign w:val="superscript"/>
        </w:rPr>
        <w:t>2</w:t>
      </w:r>
      <w:r w:rsidRPr="007A15F6">
        <w:rPr>
          <w:rStyle w:val="APAParChar"/>
        </w:rPr>
        <w:t xml:space="preserve"> = 24%), indicating that the effect sizes of the relation between </w:t>
      </w:r>
      <w:r>
        <w:rPr>
          <w:rStyle w:val="APAParChar"/>
        </w:rPr>
        <w:t>cognitive performance</w:t>
      </w:r>
      <w:r w:rsidRPr="007A15F6">
        <w:rPr>
          <w:rStyle w:val="APAParChar"/>
        </w:rPr>
        <w:t xml:space="preserve"> and </w:t>
      </w:r>
      <w:r>
        <w:rPr>
          <w:rStyle w:val="APAParChar"/>
        </w:rPr>
        <w:t>everyday functioning</w:t>
      </w:r>
      <w:r w:rsidRPr="007A15F6">
        <w:rPr>
          <w:rStyle w:val="APAParChar"/>
        </w:rPr>
        <w:t xml:space="preserve"> tend to decrease when examining samples of older adults with more years of formal education. The analysis on the studies that examined strictly healthy older adults did not provided any evidence that age (</w:t>
      </w:r>
      <w:r w:rsidRPr="00AF78A8">
        <w:rPr>
          <w:rStyle w:val="APAParChar"/>
          <w:i/>
        </w:rPr>
        <w:t>N</w:t>
      </w:r>
      <w:r w:rsidRPr="00AF78A8">
        <w:rPr>
          <w:rStyle w:val="APAParChar"/>
          <w:i/>
          <w:vertAlign w:val="subscript"/>
        </w:rPr>
        <w:t>studie</w:t>
      </w:r>
      <w:r w:rsidRPr="007A15F6">
        <w:rPr>
          <w:rStyle w:val="APAParChar"/>
          <w:i/>
          <w:vertAlign w:val="subscript"/>
        </w:rPr>
        <w:t>s</w:t>
      </w:r>
      <w:r w:rsidRPr="007A15F6">
        <w:rPr>
          <w:rStyle w:val="APAParChar"/>
        </w:rPr>
        <w:t xml:space="preserve"> = 13, </w:t>
      </w:r>
      <w:r w:rsidRPr="00AF78A8">
        <w:rPr>
          <w:rStyle w:val="APAParChar"/>
          <w:i/>
        </w:rPr>
        <w:t>z</w:t>
      </w:r>
      <w:r w:rsidRPr="007A15F6">
        <w:rPr>
          <w:rStyle w:val="APAParChar"/>
        </w:rPr>
        <w:t xml:space="preserve"> =0.540, </w:t>
      </w:r>
      <w:r w:rsidRPr="00AF78A8">
        <w:rPr>
          <w:rStyle w:val="APAParChar"/>
          <w:i/>
        </w:rPr>
        <w:t>p</w:t>
      </w:r>
      <w:r w:rsidRPr="007A15F6">
        <w:rPr>
          <w:rStyle w:val="APAParChar"/>
        </w:rPr>
        <w:t xml:space="preserve"> = .956) and education (</w:t>
      </w:r>
      <w:r w:rsidRPr="00AF78A8">
        <w:rPr>
          <w:rStyle w:val="APAParChar"/>
          <w:i/>
        </w:rPr>
        <w:t>N</w:t>
      </w:r>
      <w:r w:rsidRPr="00AF78A8">
        <w:rPr>
          <w:rStyle w:val="APAParChar"/>
          <w:i/>
          <w:vertAlign w:val="subscript"/>
        </w:rPr>
        <w:t>studies</w:t>
      </w:r>
      <w:r w:rsidRPr="007A15F6">
        <w:rPr>
          <w:rStyle w:val="APAParChar"/>
        </w:rPr>
        <w:t xml:space="preserve"> = 10, z</w:t>
      </w:r>
      <w:r w:rsidRPr="007A15F6">
        <w:rPr>
          <w:i/>
        </w:rPr>
        <w:t xml:space="preserve"> </w:t>
      </w:r>
      <w:r w:rsidRPr="007A15F6">
        <w:t xml:space="preserve">=-1.363, </w:t>
      </w:r>
      <w:r w:rsidRPr="007A15F6">
        <w:rPr>
          <w:i/>
        </w:rPr>
        <w:t>p</w:t>
      </w:r>
      <w:r w:rsidRPr="007A15F6">
        <w:t xml:space="preserve"> = .173, 3 missing data) are statistically significant moderators of the relation between </w:t>
      </w:r>
      <w:r>
        <w:rPr>
          <w:rStyle w:val="APAParChar"/>
        </w:rPr>
        <w:t>cognitive performance</w:t>
      </w:r>
      <w:r w:rsidRPr="007A15F6">
        <w:rPr>
          <w:rStyle w:val="APAParChar"/>
        </w:rPr>
        <w:t xml:space="preserve"> and </w:t>
      </w:r>
      <w:r>
        <w:rPr>
          <w:rStyle w:val="APAParChar"/>
        </w:rPr>
        <w:t>everyday functioning</w:t>
      </w:r>
      <w:r>
        <w:t>.</w:t>
      </w:r>
    </w:p>
    <w:p w:rsidR="00F80136" w:rsidRDefault="00F80136" w:rsidP="005C41B7">
      <w:pPr>
        <w:pStyle w:val="APAPar"/>
      </w:pPr>
      <w:r w:rsidRPr="00367D37">
        <w:t xml:space="preserve">The second </w:t>
      </w:r>
      <w:r w:rsidR="000D4CDC" w:rsidRPr="00367D37">
        <w:t xml:space="preserve">set </w:t>
      </w:r>
      <w:r w:rsidR="000705DC" w:rsidRPr="00367D37">
        <w:t xml:space="preserve">of </w:t>
      </w:r>
      <w:r w:rsidRPr="00367D37">
        <w:t>analyses compared the relation between different cognitive domains (i.e., attention, executive function</w:t>
      </w:r>
      <w:r w:rsidRPr="007A15F6">
        <w:t xml:space="preserve">, general cognition, language, memory, speed of processing, visuospatial ability), with </w:t>
      </w:r>
      <w:r>
        <w:t>everyday functioning</w:t>
      </w:r>
      <w:r w:rsidRPr="007A15F6">
        <w:t xml:space="preserve">. The </w:t>
      </w:r>
      <w:r>
        <w:t>everyday functioning</w:t>
      </w:r>
      <w:r w:rsidRPr="007A15F6">
        <w:t xml:space="preserve"> assessments were used as the outcome variables and the distinct cognitive domains as the comparison groups.  The CMA software was instructed to use the mean of the comparison groups and the mean of the outcomes, as well as to treat the cognitive domains in each study independently. This allowed the synthesis of the effect sizes for cognitive domains across studies. The results provided supportive evidence for the relation of all aforementioned cognitive domains, except for attention, with </w:t>
      </w:r>
      <w:r w:rsidR="004171E2">
        <w:t xml:space="preserve">everyday </w:t>
      </w:r>
      <w:r w:rsidR="004171E2" w:rsidRPr="00367D37">
        <w:t>functioning</w:t>
      </w:r>
      <w:r w:rsidRPr="00367D37">
        <w:t xml:space="preserve"> (Table </w:t>
      </w:r>
      <w:r w:rsidR="000D4CDC" w:rsidRPr="00367D37">
        <w:t>4.7).</w:t>
      </w:r>
    </w:p>
    <w:p w:rsidR="000D4CDC" w:rsidRPr="007A15F6" w:rsidRDefault="000D4CDC" w:rsidP="005C41B7">
      <w:pPr>
        <w:pStyle w:val="APAPar"/>
      </w:pPr>
      <w:r w:rsidRPr="007A15F6">
        <w:t xml:space="preserve">The </w:t>
      </w:r>
      <w:r w:rsidRPr="00367D37">
        <w:t xml:space="preserve">third set </w:t>
      </w:r>
      <w:r w:rsidR="000705DC" w:rsidRPr="00367D37">
        <w:t>of</w:t>
      </w:r>
      <w:r w:rsidRPr="00367D37">
        <w:t xml:space="preserve"> analyses</w:t>
      </w:r>
      <w:r w:rsidRPr="007A15F6">
        <w:t xml:space="preserve"> examined the relation between seniors’ performance in various neuropsychological tests with their performance in </w:t>
      </w:r>
      <w:r>
        <w:t>everyday functioning</w:t>
      </w:r>
      <w:r w:rsidRPr="007A15F6">
        <w:t xml:space="preserve"> assessments. Only the neuropsychological tests that were used in at least 3 studies (i.e., the D-KEFS, EF composites, MAS, memory composites, MMSE, </w:t>
      </w:r>
      <w:r>
        <w:t>speed of processing</w:t>
      </w:r>
      <w:r w:rsidRPr="007A15F6">
        <w:t xml:space="preserve"> composites, and the TMT-B) were taken under consideration. The </w:t>
      </w:r>
      <w:r>
        <w:t>everyday functioning</w:t>
      </w:r>
      <w:r w:rsidRPr="007A15F6">
        <w:t xml:space="preserve"> assessments were used as the outcome variables and the neuropsychological assessments as the comparison groups. The software was instructed to treat the neuropsychological assessments in each study independently. This allowed the comparison of the same neuropsychological tests’ effect sizes across studies. The results provided supportive evidence for the relation between D-KEFS, EF composites, MAS, memory composites, </w:t>
      </w:r>
      <w:r>
        <w:t>speed of processing</w:t>
      </w:r>
      <w:r w:rsidRPr="007A15F6">
        <w:t xml:space="preserve"> composites, the TMT-B, but not for MMSE, with </w:t>
      </w:r>
      <w:r>
        <w:t xml:space="preserve">everyday functioning </w:t>
      </w:r>
      <w:r w:rsidRPr="00D97C60">
        <w:t>(Table 4.8).</w:t>
      </w:r>
    </w:p>
    <w:p w:rsidR="00A505AE" w:rsidRPr="007A15F6" w:rsidRDefault="000D4CDC" w:rsidP="000D4CDC">
      <w:pPr>
        <w:tabs>
          <w:tab w:val="left" w:pos="851"/>
        </w:tabs>
        <w:spacing w:before="240" w:line="360" w:lineRule="auto"/>
        <w:ind w:left="964" w:hanging="964"/>
        <w:rPr>
          <w:rFonts w:ascii="Times New Roman" w:eastAsia="Calibri" w:hAnsi="Times New Roman" w:cs="Times New Roman"/>
          <w:color w:val="000000"/>
          <w:szCs w:val="20"/>
        </w:rPr>
      </w:pPr>
      <w:r w:rsidRPr="00D97C60">
        <w:rPr>
          <w:rFonts w:ascii="Times New Roman" w:eastAsia="Calibri" w:hAnsi="Times New Roman" w:cs="Times New Roman"/>
          <w:color w:val="000000"/>
          <w:szCs w:val="20"/>
        </w:rPr>
        <w:t>Table 4.7</w:t>
      </w:r>
      <w:r w:rsidR="00A505AE" w:rsidRPr="00D97C60">
        <w:rPr>
          <w:rFonts w:ascii="Times New Roman" w:eastAsia="Calibri" w:hAnsi="Times New Roman" w:cs="Times New Roman"/>
          <w:color w:val="000000"/>
          <w:szCs w:val="20"/>
        </w:rPr>
        <w:t xml:space="preserve"> Effect </w:t>
      </w:r>
      <w:r w:rsidR="00FE028D" w:rsidRPr="00D97C60">
        <w:rPr>
          <w:rFonts w:ascii="Times New Roman" w:eastAsia="Calibri" w:hAnsi="Times New Roman" w:cs="Times New Roman"/>
          <w:color w:val="000000"/>
          <w:szCs w:val="20"/>
        </w:rPr>
        <w:t>Size, Confidence Intervals And Levels Of Significance Of The Relation Between Several Cognitive Domains And Everyday Functioning</w:t>
      </w:r>
    </w:p>
    <w:tbl>
      <w:tblPr>
        <w:tblStyle w:val="TableGrid1"/>
        <w:tblW w:w="889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25"/>
        <w:gridCol w:w="1671"/>
        <w:gridCol w:w="1666"/>
        <w:gridCol w:w="1668"/>
        <w:gridCol w:w="1666"/>
      </w:tblGrid>
      <w:tr w:rsidR="00A505AE" w:rsidRPr="007A15F6" w:rsidTr="00C943EF">
        <w:trPr>
          <w:jc w:val="center"/>
        </w:trPr>
        <w:tc>
          <w:tcPr>
            <w:tcW w:w="2225" w:type="dxa"/>
          </w:tcPr>
          <w:p w:rsidR="00A505AE" w:rsidRPr="007A15F6" w:rsidRDefault="00A505AE" w:rsidP="000D4CDC">
            <w:pPr>
              <w:spacing w:line="276" w:lineRule="auto"/>
              <w:rPr>
                <w:rFonts w:ascii="Times New Roman" w:eastAsia="MS Mincho" w:hAnsi="Times New Roman" w:cs="Times New Roman"/>
                <w:b/>
              </w:rPr>
            </w:pPr>
            <w:r w:rsidRPr="007A15F6">
              <w:rPr>
                <w:rFonts w:ascii="Times New Roman" w:eastAsia="MS Mincho" w:hAnsi="Times New Roman" w:cs="Times New Roman"/>
                <w:b/>
              </w:rPr>
              <w:t>Cognitive domains</w:t>
            </w:r>
          </w:p>
        </w:tc>
        <w:tc>
          <w:tcPr>
            <w:tcW w:w="1671"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N</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ES</w:t>
            </w:r>
          </w:p>
        </w:tc>
        <w:tc>
          <w:tcPr>
            <w:tcW w:w="166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CI</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p</w:t>
            </w:r>
          </w:p>
        </w:tc>
      </w:tr>
      <w:tr w:rsidR="00A505AE" w:rsidRPr="007A15F6" w:rsidTr="00C943EF">
        <w:trPr>
          <w:jc w:val="center"/>
        </w:trPr>
        <w:tc>
          <w:tcPr>
            <w:tcW w:w="2225"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Attention</w:t>
            </w:r>
          </w:p>
        </w:tc>
        <w:tc>
          <w:tcPr>
            <w:tcW w:w="1671"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.298</w:t>
            </w:r>
          </w:p>
        </w:tc>
        <w:tc>
          <w:tcPr>
            <w:tcW w:w="166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-.052 - .582</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.094</w:t>
            </w:r>
          </w:p>
        </w:tc>
      </w:tr>
      <w:tr w:rsidR="00A505AE" w:rsidRPr="007A15F6" w:rsidTr="00C943EF">
        <w:trPr>
          <w:jc w:val="center"/>
        </w:trPr>
        <w:tc>
          <w:tcPr>
            <w:tcW w:w="2225"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Executive Function</w:t>
            </w:r>
          </w:p>
        </w:tc>
        <w:tc>
          <w:tcPr>
            <w:tcW w:w="1671"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20</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.448</w:t>
            </w:r>
          </w:p>
        </w:tc>
        <w:tc>
          <w:tcPr>
            <w:tcW w:w="166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.277 -.591</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.000</w:t>
            </w:r>
          </w:p>
        </w:tc>
      </w:tr>
      <w:tr w:rsidR="00A505AE" w:rsidRPr="007A15F6" w:rsidTr="00C943EF">
        <w:trPr>
          <w:jc w:val="center"/>
        </w:trPr>
        <w:tc>
          <w:tcPr>
            <w:tcW w:w="2225"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General Cognition</w:t>
            </w:r>
          </w:p>
        </w:tc>
        <w:tc>
          <w:tcPr>
            <w:tcW w:w="1671"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16</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.397</w:t>
            </w:r>
          </w:p>
        </w:tc>
        <w:tc>
          <w:tcPr>
            <w:tcW w:w="166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.121 - .616</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.006</w:t>
            </w:r>
          </w:p>
        </w:tc>
      </w:tr>
      <w:tr w:rsidR="00A505AE" w:rsidRPr="007A15F6" w:rsidTr="00C943EF">
        <w:trPr>
          <w:jc w:val="center"/>
        </w:trPr>
        <w:tc>
          <w:tcPr>
            <w:tcW w:w="2225"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Language</w:t>
            </w:r>
          </w:p>
        </w:tc>
        <w:tc>
          <w:tcPr>
            <w:tcW w:w="1671"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4</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.331</w:t>
            </w:r>
          </w:p>
        </w:tc>
        <w:tc>
          <w:tcPr>
            <w:tcW w:w="166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.120 - .513</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.002</w:t>
            </w:r>
          </w:p>
        </w:tc>
      </w:tr>
      <w:tr w:rsidR="00A505AE" w:rsidRPr="007A15F6" w:rsidTr="00C943EF">
        <w:trPr>
          <w:jc w:val="center"/>
        </w:trPr>
        <w:tc>
          <w:tcPr>
            <w:tcW w:w="2225"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Memory</w:t>
            </w:r>
          </w:p>
        </w:tc>
        <w:tc>
          <w:tcPr>
            <w:tcW w:w="1671"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14</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.360</w:t>
            </w:r>
          </w:p>
        </w:tc>
        <w:tc>
          <w:tcPr>
            <w:tcW w:w="166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.264 - .448</w:t>
            </w:r>
          </w:p>
        </w:tc>
        <w:tc>
          <w:tcPr>
            <w:tcW w:w="1666"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.000</w:t>
            </w:r>
          </w:p>
        </w:tc>
      </w:tr>
      <w:tr w:rsidR="00A505AE" w:rsidRPr="007A15F6" w:rsidTr="00C943EF">
        <w:trPr>
          <w:jc w:val="center"/>
        </w:trPr>
        <w:tc>
          <w:tcPr>
            <w:tcW w:w="2225" w:type="dxa"/>
            <w:tcBorders>
              <w:bottom w:val="single" w:sz="4" w:space="0" w:color="auto"/>
            </w:tcBorders>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Speed of processing</w:t>
            </w:r>
          </w:p>
        </w:tc>
        <w:tc>
          <w:tcPr>
            <w:tcW w:w="1671" w:type="dxa"/>
            <w:tcBorders>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9</w:t>
            </w:r>
          </w:p>
        </w:tc>
        <w:tc>
          <w:tcPr>
            <w:tcW w:w="1666" w:type="dxa"/>
            <w:tcBorders>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.310</w:t>
            </w:r>
          </w:p>
        </w:tc>
        <w:tc>
          <w:tcPr>
            <w:tcW w:w="1668" w:type="dxa"/>
            <w:tcBorders>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.177 - .433</w:t>
            </w:r>
          </w:p>
        </w:tc>
        <w:tc>
          <w:tcPr>
            <w:tcW w:w="1666" w:type="dxa"/>
            <w:tcBorders>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.000</w:t>
            </w:r>
          </w:p>
        </w:tc>
      </w:tr>
      <w:tr w:rsidR="00A505AE" w:rsidRPr="007A15F6" w:rsidTr="00C943EF">
        <w:trPr>
          <w:jc w:val="center"/>
        </w:trPr>
        <w:tc>
          <w:tcPr>
            <w:tcW w:w="2225" w:type="dxa"/>
            <w:tcBorders>
              <w:top w:val="single" w:sz="4" w:space="0" w:color="auto"/>
              <w:bottom w:val="single" w:sz="4" w:space="0" w:color="auto"/>
            </w:tcBorders>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Visuospatial</w:t>
            </w:r>
          </w:p>
        </w:tc>
        <w:tc>
          <w:tcPr>
            <w:tcW w:w="1671" w:type="dxa"/>
            <w:tcBorders>
              <w:top w:val="single" w:sz="4" w:space="0" w:color="auto"/>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6</w:t>
            </w:r>
          </w:p>
        </w:tc>
        <w:tc>
          <w:tcPr>
            <w:tcW w:w="1666" w:type="dxa"/>
            <w:tcBorders>
              <w:top w:val="single" w:sz="4" w:space="0" w:color="auto"/>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.270</w:t>
            </w:r>
          </w:p>
        </w:tc>
        <w:tc>
          <w:tcPr>
            <w:tcW w:w="1668" w:type="dxa"/>
            <w:tcBorders>
              <w:top w:val="single" w:sz="4" w:space="0" w:color="auto"/>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.126 - .404</w:t>
            </w:r>
          </w:p>
        </w:tc>
        <w:tc>
          <w:tcPr>
            <w:tcW w:w="1666" w:type="dxa"/>
            <w:tcBorders>
              <w:top w:val="single" w:sz="4" w:space="0" w:color="auto"/>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.000</w:t>
            </w:r>
          </w:p>
        </w:tc>
      </w:tr>
    </w:tbl>
    <w:p w:rsidR="00A505AE" w:rsidRPr="007A15F6" w:rsidRDefault="00A505AE" w:rsidP="00A505AE">
      <w:pPr>
        <w:spacing w:after="200" w:line="276" w:lineRule="auto"/>
        <w:ind w:left="540"/>
        <w:rPr>
          <w:rFonts w:ascii="Times New Roman" w:eastAsia="Calibri" w:hAnsi="Times New Roman" w:cs="Times New Roman"/>
          <w:sz w:val="18"/>
          <w:szCs w:val="20"/>
        </w:rPr>
      </w:pPr>
      <w:r w:rsidRPr="007A15F6">
        <w:rPr>
          <w:rFonts w:ascii="Times New Roman" w:eastAsia="Calibri" w:hAnsi="Times New Roman" w:cs="Times New Roman"/>
          <w:sz w:val="18"/>
          <w:szCs w:val="20"/>
        </w:rPr>
        <w:t>Level of significance p &lt; .05</w:t>
      </w:r>
    </w:p>
    <w:p w:rsidR="000D4CDC" w:rsidRDefault="000D4CDC" w:rsidP="00A505AE">
      <w:pPr>
        <w:tabs>
          <w:tab w:val="left" w:pos="720"/>
        </w:tabs>
        <w:spacing w:before="240" w:line="360" w:lineRule="auto"/>
        <w:ind w:left="709" w:hanging="709"/>
        <w:rPr>
          <w:rFonts w:ascii="Times New Roman" w:eastAsia="Calibri" w:hAnsi="Times New Roman" w:cs="Times New Roman"/>
          <w:color w:val="000000"/>
          <w:szCs w:val="20"/>
        </w:rPr>
      </w:pPr>
    </w:p>
    <w:p w:rsidR="00A505AE" w:rsidRPr="007A15F6" w:rsidRDefault="000D4CDC" w:rsidP="000705DC">
      <w:pPr>
        <w:tabs>
          <w:tab w:val="left" w:pos="720"/>
        </w:tabs>
        <w:spacing w:before="240" w:line="360" w:lineRule="auto"/>
        <w:ind w:left="964" w:hanging="964"/>
        <w:rPr>
          <w:rFonts w:ascii="Times New Roman" w:eastAsia="Calibri" w:hAnsi="Times New Roman" w:cs="Times New Roman"/>
          <w:color w:val="000000"/>
          <w:szCs w:val="20"/>
        </w:rPr>
      </w:pPr>
      <w:r w:rsidRPr="00D97C60">
        <w:rPr>
          <w:rFonts w:ascii="Times New Roman" w:eastAsia="Calibri" w:hAnsi="Times New Roman" w:cs="Times New Roman"/>
          <w:color w:val="000000"/>
          <w:szCs w:val="20"/>
        </w:rPr>
        <w:t>Table 4.8</w:t>
      </w:r>
      <w:r w:rsidR="00A505AE" w:rsidRPr="00D97C60">
        <w:rPr>
          <w:rFonts w:ascii="Times New Roman" w:eastAsia="Calibri" w:hAnsi="Times New Roman" w:cs="Times New Roman"/>
          <w:color w:val="000000"/>
          <w:szCs w:val="20"/>
        </w:rPr>
        <w:t xml:space="preserve"> Effect </w:t>
      </w:r>
      <w:r w:rsidR="00FE028D" w:rsidRPr="00D97C60">
        <w:rPr>
          <w:rFonts w:ascii="Times New Roman" w:eastAsia="Calibri" w:hAnsi="Times New Roman" w:cs="Times New Roman"/>
          <w:color w:val="000000"/>
          <w:szCs w:val="20"/>
        </w:rPr>
        <w:t>Size, Confidence Intervals And Levels Of Significance Of The Relation Between Several Neuropsychological Assessments And Everyday Functioning</w:t>
      </w:r>
    </w:p>
    <w:tbl>
      <w:tblPr>
        <w:tblStyle w:val="TableGrid1"/>
        <w:tblW w:w="8640"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33"/>
        <w:gridCol w:w="1605"/>
        <w:gridCol w:w="1600"/>
        <w:gridCol w:w="1602"/>
        <w:gridCol w:w="1600"/>
      </w:tblGrid>
      <w:tr w:rsidR="00A505AE" w:rsidRPr="007A15F6" w:rsidTr="0002180F">
        <w:trPr>
          <w:jc w:val="center"/>
        </w:trPr>
        <w:tc>
          <w:tcPr>
            <w:tcW w:w="1440" w:type="dxa"/>
          </w:tcPr>
          <w:p w:rsidR="00A505AE" w:rsidRPr="000705DC" w:rsidRDefault="00A505AE" w:rsidP="000705DC">
            <w:pPr>
              <w:spacing w:line="276" w:lineRule="auto"/>
              <w:rPr>
                <w:rFonts w:ascii="Times New Roman" w:eastAsia="MS Mincho" w:hAnsi="Times New Roman" w:cs="Times New Roman"/>
                <w:b/>
              </w:rPr>
            </w:pPr>
            <w:r w:rsidRPr="000705DC">
              <w:rPr>
                <w:rFonts w:ascii="Times New Roman" w:eastAsia="MS Mincho" w:hAnsi="Times New Roman" w:cs="Times New Roman"/>
                <w:b/>
              </w:rPr>
              <w:t>Assessments</w:t>
            </w:r>
          </w:p>
        </w:tc>
        <w:tc>
          <w:tcPr>
            <w:tcW w:w="1222"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N</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ES</w:t>
            </w:r>
          </w:p>
        </w:tc>
        <w:tc>
          <w:tcPr>
            <w:tcW w:w="1220"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CI</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p</w:t>
            </w:r>
          </w:p>
        </w:tc>
      </w:tr>
      <w:tr w:rsidR="00A505AE" w:rsidRPr="007A15F6" w:rsidTr="0002180F">
        <w:trPr>
          <w:jc w:val="center"/>
        </w:trPr>
        <w:tc>
          <w:tcPr>
            <w:tcW w:w="1440"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D-KEFS</w:t>
            </w:r>
          </w:p>
        </w:tc>
        <w:tc>
          <w:tcPr>
            <w:tcW w:w="1222"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4</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.544</w:t>
            </w:r>
          </w:p>
        </w:tc>
        <w:tc>
          <w:tcPr>
            <w:tcW w:w="1220"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.084 - .813</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.023</w:t>
            </w:r>
          </w:p>
        </w:tc>
      </w:tr>
      <w:tr w:rsidR="00A505AE" w:rsidRPr="007A15F6" w:rsidTr="0002180F">
        <w:trPr>
          <w:jc w:val="center"/>
        </w:trPr>
        <w:tc>
          <w:tcPr>
            <w:tcW w:w="1440"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EF</w:t>
            </w:r>
            <w:r w:rsidRPr="007A15F6">
              <w:rPr>
                <w:rFonts w:ascii="Times New Roman" w:eastAsia="MS Mincho" w:hAnsi="Times New Roman" w:cs="Times New Roman"/>
                <w:vertAlign w:val="subscript"/>
              </w:rPr>
              <w:t>composite</w:t>
            </w:r>
          </w:p>
        </w:tc>
        <w:tc>
          <w:tcPr>
            <w:tcW w:w="1222"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5</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.284</w:t>
            </w:r>
          </w:p>
        </w:tc>
        <w:tc>
          <w:tcPr>
            <w:tcW w:w="1220"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.141 - .415</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.000</w:t>
            </w:r>
          </w:p>
        </w:tc>
      </w:tr>
      <w:tr w:rsidR="00A505AE" w:rsidRPr="007A15F6" w:rsidTr="0002180F">
        <w:trPr>
          <w:jc w:val="center"/>
        </w:trPr>
        <w:tc>
          <w:tcPr>
            <w:tcW w:w="1440"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MAS</w:t>
            </w:r>
          </w:p>
        </w:tc>
        <w:tc>
          <w:tcPr>
            <w:tcW w:w="1222"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3</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.317</w:t>
            </w:r>
          </w:p>
        </w:tc>
        <w:tc>
          <w:tcPr>
            <w:tcW w:w="1220"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.193 - .432</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.000</w:t>
            </w:r>
          </w:p>
        </w:tc>
      </w:tr>
      <w:tr w:rsidR="00A505AE" w:rsidRPr="007A15F6" w:rsidTr="0002180F">
        <w:trPr>
          <w:jc w:val="center"/>
        </w:trPr>
        <w:tc>
          <w:tcPr>
            <w:tcW w:w="1440"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Memory</w:t>
            </w:r>
            <w:r w:rsidRPr="007A15F6">
              <w:rPr>
                <w:rFonts w:ascii="Times New Roman" w:eastAsia="MS Mincho" w:hAnsi="Times New Roman" w:cs="Times New Roman"/>
                <w:vertAlign w:val="subscript"/>
              </w:rPr>
              <w:t>composite</w:t>
            </w:r>
          </w:p>
        </w:tc>
        <w:tc>
          <w:tcPr>
            <w:tcW w:w="1222"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4</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.230</w:t>
            </w:r>
          </w:p>
        </w:tc>
        <w:tc>
          <w:tcPr>
            <w:tcW w:w="1220"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.110 - .343</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.000</w:t>
            </w:r>
          </w:p>
        </w:tc>
      </w:tr>
      <w:tr w:rsidR="00A505AE" w:rsidRPr="007A15F6" w:rsidTr="0002180F">
        <w:trPr>
          <w:jc w:val="center"/>
        </w:trPr>
        <w:tc>
          <w:tcPr>
            <w:tcW w:w="1440" w:type="dxa"/>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MMSE</w:t>
            </w:r>
          </w:p>
        </w:tc>
        <w:tc>
          <w:tcPr>
            <w:tcW w:w="1222"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10</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.409</w:t>
            </w:r>
          </w:p>
        </w:tc>
        <w:tc>
          <w:tcPr>
            <w:tcW w:w="1220"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-.010 - .706</w:t>
            </w:r>
          </w:p>
        </w:tc>
        <w:tc>
          <w:tcPr>
            <w:tcW w:w="1218" w:type="dxa"/>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.055</w:t>
            </w:r>
          </w:p>
        </w:tc>
      </w:tr>
      <w:tr w:rsidR="00A505AE" w:rsidRPr="007A15F6" w:rsidTr="0002180F">
        <w:trPr>
          <w:jc w:val="center"/>
        </w:trPr>
        <w:tc>
          <w:tcPr>
            <w:tcW w:w="1440" w:type="dxa"/>
            <w:tcBorders>
              <w:bottom w:val="single" w:sz="4" w:space="0" w:color="auto"/>
            </w:tcBorders>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SoP</w:t>
            </w:r>
            <w:r w:rsidRPr="007A15F6">
              <w:rPr>
                <w:rFonts w:ascii="Times New Roman" w:eastAsia="MS Mincho" w:hAnsi="Times New Roman" w:cs="Times New Roman"/>
                <w:vertAlign w:val="subscript"/>
              </w:rPr>
              <w:t>composite</w:t>
            </w:r>
          </w:p>
        </w:tc>
        <w:tc>
          <w:tcPr>
            <w:tcW w:w="1222" w:type="dxa"/>
            <w:tcBorders>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4</w:t>
            </w:r>
          </w:p>
        </w:tc>
        <w:tc>
          <w:tcPr>
            <w:tcW w:w="1218" w:type="dxa"/>
            <w:tcBorders>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.395</w:t>
            </w:r>
          </w:p>
        </w:tc>
        <w:tc>
          <w:tcPr>
            <w:tcW w:w="1220" w:type="dxa"/>
            <w:tcBorders>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.109 - .620</w:t>
            </w:r>
          </w:p>
        </w:tc>
        <w:tc>
          <w:tcPr>
            <w:tcW w:w="1218" w:type="dxa"/>
            <w:tcBorders>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.008</w:t>
            </w:r>
          </w:p>
        </w:tc>
      </w:tr>
      <w:tr w:rsidR="00A505AE" w:rsidRPr="007A15F6" w:rsidTr="0002180F">
        <w:trPr>
          <w:jc w:val="center"/>
        </w:trPr>
        <w:tc>
          <w:tcPr>
            <w:tcW w:w="1440" w:type="dxa"/>
            <w:tcBorders>
              <w:top w:val="single" w:sz="4" w:space="0" w:color="auto"/>
              <w:bottom w:val="single" w:sz="4" w:space="0" w:color="auto"/>
            </w:tcBorders>
          </w:tcPr>
          <w:p w:rsidR="00A505AE" w:rsidRPr="007A15F6" w:rsidRDefault="00A505AE" w:rsidP="000D4CDC">
            <w:pPr>
              <w:spacing w:line="276" w:lineRule="auto"/>
              <w:rPr>
                <w:rFonts w:ascii="Times New Roman" w:eastAsia="MS Mincho" w:hAnsi="Times New Roman" w:cs="Times New Roman"/>
              </w:rPr>
            </w:pPr>
            <w:r w:rsidRPr="007A15F6">
              <w:rPr>
                <w:rFonts w:ascii="Times New Roman" w:eastAsia="MS Mincho" w:hAnsi="Times New Roman" w:cs="Times New Roman"/>
              </w:rPr>
              <w:t>TMT-B</w:t>
            </w:r>
          </w:p>
        </w:tc>
        <w:tc>
          <w:tcPr>
            <w:tcW w:w="1222" w:type="dxa"/>
            <w:tcBorders>
              <w:top w:val="single" w:sz="4" w:space="0" w:color="auto"/>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4</w:t>
            </w:r>
          </w:p>
        </w:tc>
        <w:tc>
          <w:tcPr>
            <w:tcW w:w="1218" w:type="dxa"/>
            <w:tcBorders>
              <w:top w:val="single" w:sz="4" w:space="0" w:color="auto"/>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.269</w:t>
            </w:r>
          </w:p>
        </w:tc>
        <w:tc>
          <w:tcPr>
            <w:tcW w:w="1220" w:type="dxa"/>
            <w:tcBorders>
              <w:top w:val="single" w:sz="4" w:space="0" w:color="auto"/>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.105 - .418</w:t>
            </w:r>
          </w:p>
        </w:tc>
        <w:tc>
          <w:tcPr>
            <w:tcW w:w="1218" w:type="dxa"/>
            <w:tcBorders>
              <w:top w:val="single" w:sz="4" w:space="0" w:color="auto"/>
              <w:bottom w:val="single" w:sz="4" w:space="0" w:color="auto"/>
            </w:tcBorders>
          </w:tcPr>
          <w:p w:rsidR="00A505AE" w:rsidRPr="007A15F6" w:rsidRDefault="00A505AE" w:rsidP="000D4CDC">
            <w:pPr>
              <w:spacing w:line="276" w:lineRule="auto"/>
              <w:jc w:val="center"/>
              <w:rPr>
                <w:rFonts w:ascii="Times New Roman" w:eastAsia="MS Mincho" w:hAnsi="Times New Roman" w:cs="Times New Roman"/>
              </w:rPr>
            </w:pPr>
            <w:r w:rsidRPr="007A15F6">
              <w:rPr>
                <w:rFonts w:ascii="Times New Roman" w:eastAsia="MS Mincho" w:hAnsi="Times New Roman" w:cs="Times New Roman"/>
              </w:rPr>
              <w:t>.001</w:t>
            </w:r>
          </w:p>
        </w:tc>
      </w:tr>
    </w:tbl>
    <w:p w:rsidR="00C943EF" w:rsidRPr="007A15F6" w:rsidRDefault="00A505AE" w:rsidP="00FB3FE7">
      <w:pPr>
        <w:spacing w:after="200" w:line="276" w:lineRule="auto"/>
        <w:ind w:left="540"/>
        <w:rPr>
          <w:rFonts w:ascii="Times New Roman" w:eastAsia="Calibri" w:hAnsi="Times New Roman" w:cs="Times New Roman"/>
          <w:sz w:val="18"/>
          <w:szCs w:val="20"/>
        </w:rPr>
      </w:pPr>
      <w:r w:rsidRPr="007A15F6">
        <w:rPr>
          <w:rFonts w:ascii="Times New Roman" w:eastAsia="Calibri" w:hAnsi="Times New Roman" w:cs="Times New Roman"/>
          <w:sz w:val="18"/>
          <w:szCs w:val="20"/>
        </w:rPr>
        <w:t>Level of significance p &lt; .05, D-KEFS = Delis-Kaplan Executive Function System, EF = executive function, MAS = Memory Assessment Scale, MMSE = Mini Mental State Examination, SoP = Speed of Processing, TMT-B=Trail Making Test, part B</w:t>
      </w:r>
    </w:p>
    <w:p w:rsidR="00FB3FE7" w:rsidRPr="007A15F6" w:rsidRDefault="00FB3FE7" w:rsidP="00FB3FE7">
      <w:pPr>
        <w:spacing w:after="200" w:line="276" w:lineRule="auto"/>
        <w:ind w:left="540"/>
        <w:rPr>
          <w:rFonts w:ascii="Times New Roman" w:eastAsia="Calibri" w:hAnsi="Times New Roman" w:cs="Times New Roman"/>
          <w:sz w:val="18"/>
          <w:szCs w:val="20"/>
        </w:rPr>
      </w:pPr>
    </w:p>
    <w:p w:rsidR="004171E2" w:rsidRPr="007A15F6" w:rsidRDefault="004171E2" w:rsidP="005C41B7">
      <w:pPr>
        <w:pStyle w:val="APAPar"/>
      </w:pPr>
      <w:r w:rsidRPr="007A15F6">
        <w:t xml:space="preserve">The fourth and </w:t>
      </w:r>
      <w:r w:rsidRPr="00D97C60">
        <w:t xml:space="preserve">final </w:t>
      </w:r>
      <w:r w:rsidR="000705DC" w:rsidRPr="00D97C60">
        <w:t>set of analyse</w:t>
      </w:r>
      <w:r w:rsidRPr="00D97C60">
        <w:t>s</w:t>
      </w:r>
      <w:r w:rsidRPr="007A15F6">
        <w:t xml:space="preserve"> examined the relation between seniors’ performance in neuropsychological tests with different types </w:t>
      </w:r>
      <w:r w:rsidR="00255D46">
        <w:t xml:space="preserve">of </w:t>
      </w:r>
      <w:r>
        <w:t>everyday functioning</w:t>
      </w:r>
      <w:r w:rsidRPr="007A15F6">
        <w:t xml:space="preserve"> assessments (i.e., </w:t>
      </w:r>
      <w:r w:rsidR="001B7922" w:rsidRPr="007A15F6">
        <w:t>self-reports</w:t>
      </w:r>
      <w:r w:rsidR="001B7922">
        <w:t>, informant-reports, observation- based, and test-</w:t>
      </w:r>
      <w:r w:rsidRPr="007A15F6">
        <w:t xml:space="preserve">based). The neuropsychological tests were used as the outcome variables and the different types of </w:t>
      </w:r>
      <w:r w:rsidR="002364C5">
        <w:t>everyday functioning</w:t>
      </w:r>
      <w:r w:rsidR="002364C5" w:rsidRPr="007A15F6">
        <w:t xml:space="preserve"> </w:t>
      </w:r>
      <w:r w:rsidRPr="007A15F6">
        <w:t xml:space="preserve">assessments as the comparison groups. </w:t>
      </w:r>
      <w:r w:rsidR="002364C5">
        <w:t>Since test-based everyday functioning</w:t>
      </w:r>
      <w:r w:rsidRPr="007A15F6">
        <w:t xml:space="preserve"> assessments were administered only in one study they were excluded from this analysis.</w:t>
      </w:r>
    </w:p>
    <w:p w:rsidR="00C943EF" w:rsidRPr="007A15F6" w:rsidRDefault="00656481" w:rsidP="005C41B7">
      <w:pPr>
        <w:pStyle w:val="APAPar"/>
      </w:pPr>
      <w:r w:rsidRPr="007A15F6">
        <w:t xml:space="preserve">The software was instructed to treat each </w:t>
      </w:r>
      <w:r w:rsidR="002364C5">
        <w:t>everyday functioning</w:t>
      </w:r>
      <w:r w:rsidRPr="007A15F6">
        <w:t xml:space="preserve"> assessment type as an in</w:t>
      </w:r>
      <w:r w:rsidRPr="00D97C60">
        <w:t>d</w:t>
      </w:r>
      <w:r w:rsidR="00255D46" w:rsidRPr="00D97C60">
        <w:t>ependent measure, combining when</w:t>
      </w:r>
      <w:r w:rsidRPr="00D97C60">
        <w:t xml:space="preserve"> possible the effect sizes of different types of neuropsychological assessments within studies. The </w:t>
      </w:r>
      <w:r w:rsidR="00A505AE" w:rsidRPr="00D97C60">
        <w:t>results are presented in T</w:t>
      </w:r>
      <w:r w:rsidR="00EF5CEA" w:rsidRPr="00D97C60">
        <w:t xml:space="preserve">able </w:t>
      </w:r>
      <w:r w:rsidR="000705DC" w:rsidRPr="00D97C60">
        <w:t>4.9</w:t>
      </w:r>
      <w:r w:rsidRPr="00D97C60">
        <w:t>. Subsequently, self-reports and informant-reports EvF assessments were grouped together as questionnaire based EvF assessments, and contrasted with</w:t>
      </w:r>
      <w:r w:rsidR="00A505AE" w:rsidRPr="00D97C60">
        <w:t xml:space="preserve"> observation-based ones (T</w:t>
      </w:r>
      <w:r w:rsidR="00EF5CEA" w:rsidRPr="00D97C60">
        <w:t xml:space="preserve">able </w:t>
      </w:r>
      <w:r w:rsidR="000705DC" w:rsidRPr="00D97C60">
        <w:t>4.10</w:t>
      </w:r>
      <w:r w:rsidRPr="00D97C60">
        <w:t>)</w:t>
      </w:r>
      <w:r w:rsidR="00536152" w:rsidRPr="00D97C60">
        <w:t>.</w:t>
      </w:r>
    </w:p>
    <w:p w:rsidR="00C943EF" w:rsidRPr="000705DC" w:rsidRDefault="00A505AE" w:rsidP="00640C1B">
      <w:pPr>
        <w:tabs>
          <w:tab w:val="left" w:pos="720"/>
        </w:tabs>
        <w:spacing w:before="240" w:after="240" w:line="360" w:lineRule="auto"/>
        <w:ind w:left="965" w:hanging="965"/>
        <w:rPr>
          <w:rStyle w:val="IntenseEmphasis"/>
        </w:rPr>
      </w:pPr>
      <w:r w:rsidRPr="00D97C60">
        <w:rPr>
          <w:rStyle w:val="IntenseEmphasis"/>
        </w:rPr>
        <w:t xml:space="preserve">Table </w:t>
      </w:r>
      <w:r w:rsidR="000705DC" w:rsidRPr="00D97C60">
        <w:rPr>
          <w:rStyle w:val="IntenseEmphasis"/>
        </w:rPr>
        <w:t>4.9</w:t>
      </w:r>
      <w:r w:rsidRPr="00D97C60">
        <w:rPr>
          <w:rStyle w:val="IntenseEmphasis"/>
        </w:rPr>
        <w:t xml:space="preserve"> Effect </w:t>
      </w:r>
      <w:r w:rsidR="00FE028D" w:rsidRPr="00D97C60">
        <w:rPr>
          <w:rStyle w:val="IntenseEmphasis"/>
        </w:rPr>
        <w:t>Size, Confidence Intervals And Levels Of Significance Of The Relation Between Neuropsychological Assessments And Three Types Of Everyday Functioning Assessments</w:t>
      </w:r>
    </w:p>
    <w:tbl>
      <w:tblPr>
        <w:tblStyle w:val="TableGrid1"/>
        <w:tblW w:w="889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25"/>
        <w:gridCol w:w="1671"/>
        <w:gridCol w:w="1666"/>
        <w:gridCol w:w="1668"/>
        <w:gridCol w:w="1666"/>
      </w:tblGrid>
      <w:tr w:rsidR="00A505AE" w:rsidRPr="007A15F6" w:rsidTr="00C943EF">
        <w:trPr>
          <w:jc w:val="center"/>
        </w:trPr>
        <w:tc>
          <w:tcPr>
            <w:tcW w:w="2225" w:type="dxa"/>
          </w:tcPr>
          <w:p w:rsidR="00A505AE" w:rsidRPr="007A15F6" w:rsidRDefault="00A505AE" w:rsidP="0002180F">
            <w:pPr>
              <w:spacing w:line="360" w:lineRule="auto"/>
              <w:rPr>
                <w:rFonts w:ascii="Times New Roman" w:eastAsia="MS Mincho" w:hAnsi="Times New Roman" w:cs="Times New Roman"/>
              </w:rPr>
            </w:pPr>
            <w:r w:rsidRPr="007A15F6">
              <w:rPr>
                <w:rFonts w:ascii="Times New Roman" w:eastAsia="MS Mincho" w:hAnsi="Times New Roman" w:cs="Times New Roman"/>
              </w:rPr>
              <w:t>EvF assessments</w:t>
            </w:r>
          </w:p>
        </w:tc>
        <w:tc>
          <w:tcPr>
            <w:tcW w:w="1671" w:type="dxa"/>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N</w:t>
            </w:r>
          </w:p>
        </w:tc>
        <w:tc>
          <w:tcPr>
            <w:tcW w:w="1666" w:type="dxa"/>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ES</w:t>
            </w:r>
          </w:p>
        </w:tc>
        <w:tc>
          <w:tcPr>
            <w:tcW w:w="1668" w:type="dxa"/>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CI</w:t>
            </w:r>
          </w:p>
        </w:tc>
        <w:tc>
          <w:tcPr>
            <w:tcW w:w="1666" w:type="dxa"/>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p</w:t>
            </w:r>
          </w:p>
        </w:tc>
      </w:tr>
      <w:tr w:rsidR="00A505AE" w:rsidRPr="007A15F6" w:rsidTr="00C943EF">
        <w:trPr>
          <w:jc w:val="center"/>
        </w:trPr>
        <w:tc>
          <w:tcPr>
            <w:tcW w:w="2225" w:type="dxa"/>
          </w:tcPr>
          <w:p w:rsidR="00A505AE" w:rsidRPr="007A15F6" w:rsidRDefault="00A505AE" w:rsidP="0002180F">
            <w:pPr>
              <w:spacing w:line="360" w:lineRule="auto"/>
              <w:rPr>
                <w:rFonts w:ascii="Times New Roman" w:eastAsia="MS Mincho" w:hAnsi="Times New Roman" w:cs="Times New Roman"/>
              </w:rPr>
            </w:pPr>
            <w:r w:rsidRPr="007A15F6">
              <w:rPr>
                <w:rFonts w:ascii="Times New Roman" w:eastAsia="MS Mincho" w:hAnsi="Times New Roman" w:cs="Times New Roman"/>
              </w:rPr>
              <w:t>Informant Reports</w:t>
            </w:r>
          </w:p>
        </w:tc>
        <w:tc>
          <w:tcPr>
            <w:tcW w:w="1671" w:type="dxa"/>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8</w:t>
            </w:r>
          </w:p>
        </w:tc>
        <w:tc>
          <w:tcPr>
            <w:tcW w:w="1666" w:type="dxa"/>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.451</w:t>
            </w:r>
          </w:p>
        </w:tc>
        <w:tc>
          <w:tcPr>
            <w:tcW w:w="1668" w:type="dxa"/>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.025 - .719</w:t>
            </w:r>
          </w:p>
        </w:tc>
        <w:tc>
          <w:tcPr>
            <w:tcW w:w="1666" w:type="dxa"/>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.038</w:t>
            </w:r>
          </w:p>
        </w:tc>
      </w:tr>
      <w:tr w:rsidR="00A505AE" w:rsidRPr="007A15F6" w:rsidTr="00C943EF">
        <w:trPr>
          <w:jc w:val="center"/>
        </w:trPr>
        <w:tc>
          <w:tcPr>
            <w:tcW w:w="2225" w:type="dxa"/>
            <w:tcBorders>
              <w:bottom w:val="single" w:sz="4" w:space="0" w:color="auto"/>
            </w:tcBorders>
          </w:tcPr>
          <w:p w:rsidR="00A505AE" w:rsidRPr="007A15F6" w:rsidRDefault="00A505AE" w:rsidP="0002180F">
            <w:pPr>
              <w:spacing w:line="360" w:lineRule="auto"/>
              <w:rPr>
                <w:rFonts w:ascii="Times New Roman" w:eastAsia="MS Mincho" w:hAnsi="Times New Roman" w:cs="Times New Roman"/>
              </w:rPr>
            </w:pPr>
            <w:r w:rsidRPr="007A15F6">
              <w:rPr>
                <w:rFonts w:ascii="Times New Roman" w:eastAsia="MS Mincho" w:hAnsi="Times New Roman" w:cs="Times New Roman"/>
              </w:rPr>
              <w:t>Observation Based</w:t>
            </w:r>
          </w:p>
        </w:tc>
        <w:tc>
          <w:tcPr>
            <w:tcW w:w="1671" w:type="dxa"/>
            <w:tcBorders>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14</w:t>
            </w:r>
          </w:p>
        </w:tc>
        <w:tc>
          <w:tcPr>
            <w:tcW w:w="1666" w:type="dxa"/>
            <w:tcBorders>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.529</w:t>
            </w:r>
          </w:p>
        </w:tc>
        <w:tc>
          <w:tcPr>
            <w:tcW w:w="1668" w:type="dxa"/>
            <w:tcBorders>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.354 -.668</w:t>
            </w:r>
          </w:p>
        </w:tc>
        <w:tc>
          <w:tcPr>
            <w:tcW w:w="1666" w:type="dxa"/>
            <w:tcBorders>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.000</w:t>
            </w:r>
          </w:p>
        </w:tc>
      </w:tr>
      <w:tr w:rsidR="00A505AE" w:rsidRPr="007A15F6" w:rsidTr="00C943EF">
        <w:trPr>
          <w:jc w:val="center"/>
        </w:trPr>
        <w:tc>
          <w:tcPr>
            <w:tcW w:w="2225" w:type="dxa"/>
            <w:tcBorders>
              <w:top w:val="single" w:sz="4" w:space="0" w:color="auto"/>
              <w:bottom w:val="single" w:sz="4" w:space="0" w:color="auto"/>
            </w:tcBorders>
          </w:tcPr>
          <w:p w:rsidR="00A505AE" w:rsidRPr="007A15F6" w:rsidRDefault="001B7922" w:rsidP="0002180F">
            <w:pPr>
              <w:spacing w:line="360" w:lineRule="auto"/>
              <w:rPr>
                <w:rFonts w:ascii="Times New Roman" w:eastAsia="MS Mincho" w:hAnsi="Times New Roman" w:cs="Times New Roman"/>
              </w:rPr>
            </w:pPr>
            <w:r w:rsidRPr="007A15F6">
              <w:rPr>
                <w:rFonts w:ascii="Times New Roman" w:eastAsia="MS Mincho" w:hAnsi="Times New Roman" w:cs="Times New Roman"/>
              </w:rPr>
              <w:t>Self-Reports</w:t>
            </w:r>
          </w:p>
        </w:tc>
        <w:tc>
          <w:tcPr>
            <w:tcW w:w="1671" w:type="dxa"/>
            <w:tcBorders>
              <w:top w:val="single" w:sz="4" w:space="0" w:color="auto"/>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11</w:t>
            </w:r>
          </w:p>
        </w:tc>
        <w:tc>
          <w:tcPr>
            <w:tcW w:w="1666" w:type="dxa"/>
            <w:tcBorders>
              <w:top w:val="single" w:sz="4" w:space="0" w:color="auto"/>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.309</w:t>
            </w:r>
          </w:p>
        </w:tc>
        <w:tc>
          <w:tcPr>
            <w:tcW w:w="1668" w:type="dxa"/>
            <w:tcBorders>
              <w:top w:val="single" w:sz="4" w:space="0" w:color="auto"/>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.171 - .435</w:t>
            </w:r>
          </w:p>
        </w:tc>
        <w:tc>
          <w:tcPr>
            <w:tcW w:w="1666" w:type="dxa"/>
            <w:tcBorders>
              <w:top w:val="single" w:sz="4" w:space="0" w:color="auto"/>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rPr>
            </w:pPr>
            <w:r w:rsidRPr="007A15F6">
              <w:rPr>
                <w:rFonts w:ascii="Times New Roman" w:eastAsia="MS Mincho" w:hAnsi="Times New Roman" w:cs="Times New Roman"/>
              </w:rPr>
              <w:t>.000</w:t>
            </w:r>
          </w:p>
        </w:tc>
      </w:tr>
    </w:tbl>
    <w:p w:rsidR="00CD4A7B" w:rsidRDefault="00A505AE" w:rsidP="002364C5">
      <w:pPr>
        <w:spacing w:after="200" w:line="276" w:lineRule="auto"/>
        <w:ind w:left="540"/>
        <w:rPr>
          <w:rFonts w:ascii="Times New Roman" w:eastAsia="Calibri" w:hAnsi="Times New Roman" w:cs="Times New Roman"/>
          <w:sz w:val="18"/>
          <w:szCs w:val="20"/>
        </w:rPr>
      </w:pPr>
      <w:r w:rsidRPr="007A15F6">
        <w:rPr>
          <w:rFonts w:ascii="Times New Roman" w:eastAsia="Calibri" w:hAnsi="Times New Roman" w:cs="Times New Roman"/>
          <w:sz w:val="18"/>
          <w:szCs w:val="20"/>
        </w:rPr>
        <w:t>Level of significance p &lt; .05, EvF = Everyday Functionality</w:t>
      </w:r>
    </w:p>
    <w:p w:rsidR="002364C5" w:rsidRDefault="002364C5" w:rsidP="002364C5">
      <w:pPr>
        <w:spacing w:after="200" w:line="276" w:lineRule="auto"/>
        <w:ind w:left="540"/>
        <w:rPr>
          <w:rFonts w:ascii="Times New Roman" w:eastAsia="Calibri" w:hAnsi="Times New Roman" w:cs="Times New Roman"/>
          <w:sz w:val="18"/>
          <w:szCs w:val="20"/>
        </w:rPr>
      </w:pPr>
    </w:p>
    <w:p w:rsidR="000705DC" w:rsidRDefault="000705DC" w:rsidP="002364C5">
      <w:pPr>
        <w:spacing w:after="200" w:line="276" w:lineRule="auto"/>
        <w:ind w:left="540"/>
        <w:rPr>
          <w:rFonts w:ascii="Times New Roman" w:eastAsia="Calibri" w:hAnsi="Times New Roman" w:cs="Times New Roman"/>
          <w:sz w:val="18"/>
          <w:szCs w:val="20"/>
        </w:rPr>
      </w:pPr>
    </w:p>
    <w:p w:rsidR="000705DC" w:rsidRDefault="000705DC" w:rsidP="002364C5">
      <w:pPr>
        <w:spacing w:after="200" w:line="276" w:lineRule="auto"/>
        <w:ind w:left="540"/>
        <w:rPr>
          <w:rFonts w:ascii="Times New Roman" w:eastAsia="Calibri" w:hAnsi="Times New Roman" w:cs="Times New Roman"/>
          <w:sz w:val="18"/>
          <w:szCs w:val="20"/>
        </w:rPr>
      </w:pPr>
    </w:p>
    <w:p w:rsidR="000705DC" w:rsidRPr="007A15F6" w:rsidRDefault="000705DC" w:rsidP="002364C5">
      <w:pPr>
        <w:spacing w:after="200" w:line="276" w:lineRule="auto"/>
        <w:ind w:left="540"/>
        <w:rPr>
          <w:rFonts w:ascii="Times New Roman" w:eastAsia="Calibri" w:hAnsi="Times New Roman" w:cs="Times New Roman"/>
          <w:sz w:val="18"/>
          <w:szCs w:val="20"/>
        </w:rPr>
      </w:pPr>
    </w:p>
    <w:p w:rsidR="00A505AE" w:rsidRPr="000705DC" w:rsidRDefault="000705DC" w:rsidP="00640C1B">
      <w:pPr>
        <w:tabs>
          <w:tab w:val="left" w:pos="720"/>
        </w:tabs>
        <w:spacing w:before="240" w:after="240" w:line="360" w:lineRule="auto"/>
        <w:ind w:left="1080" w:hanging="1080"/>
        <w:rPr>
          <w:rStyle w:val="IntenseEmphasis"/>
        </w:rPr>
      </w:pPr>
      <w:r w:rsidRPr="00D97C60">
        <w:rPr>
          <w:rStyle w:val="IntenseEmphasis"/>
        </w:rPr>
        <w:t>Table 4.10</w:t>
      </w:r>
      <w:r w:rsidR="00A505AE" w:rsidRPr="00D97C60">
        <w:rPr>
          <w:rStyle w:val="IntenseEmphasis"/>
        </w:rPr>
        <w:t xml:space="preserve"> Effect </w:t>
      </w:r>
      <w:r w:rsidR="00FE028D" w:rsidRPr="00D97C60">
        <w:rPr>
          <w:rStyle w:val="IntenseEmphasis"/>
        </w:rPr>
        <w:t>Size, Confidence Intervals And Levels Of Significance Of The Relation Between Neuropsychological Assessments And Two Types Of Everyday Functioning Assessments</w:t>
      </w:r>
    </w:p>
    <w:tbl>
      <w:tblPr>
        <w:tblStyle w:val="TableGrid1"/>
        <w:tblW w:w="8896"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25"/>
        <w:gridCol w:w="1671"/>
        <w:gridCol w:w="1666"/>
        <w:gridCol w:w="1668"/>
        <w:gridCol w:w="1666"/>
      </w:tblGrid>
      <w:tr w:rsidR="00A505AE" w:rsidRPr="007A15F6" w:rsidTr="00C943EF">
        <w:trPr>
          <w:jc w:val="center"/>
        </w:trPr>
        <w:tc>
          <w:tcPr>
            <w:tcW w:w="2225" w:type="dxa"/>
          </w:tcPr>
          <w:p w:rsidR="00A505AE" w:rsidRPr="007A15F6" w:rsidRDefault="00A505AE" w:rsidP="0002180F">
            <w:pPr>
              <w:spacing w:line="360" w:lineRule="auto"/>
              <w:rPr>
                <w:rFonts w:ascii="Times New Roman" w:eastAsia="MS Mincho" w:hAnsi="Times New Roman" w:cs="Times New Roman"/>
                <w:sz w:val="22"/>
                <w:szCs w:val="20"/>
              </w:rPr>
            </w:pPr>
            <w:r w:rsidRPr="007A15F6">
              <w:rPr>
                <w:rFonts w:ascii="Times New Roman" w:eastAsia="MS Mincho" w:hAnsi="Times New Roman" w:cs="Times New Roman"/>
                <w:sz w:val="22"/>
                <w:szCs w:val="20"/>
              </w:rPr>
              <w:t>EvF assessments</w:t>
            </w:r>
          </w:p>
        </w:tc>
        <w:tc>
          <w:tcPr>
            <w:tcW w:w="1671" w:type="dxa"/>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N</w:t>
            </w:r>
          </w:p>
        </w:tc>
        <w:tc>
          <w:tcPr>
            <w:tcW w:w="1666" w:type="dxa"/>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ES</w:t>
            </w:r>
          </w:p>
        </w:tc>
        <w:tc>
          <w:tcPr>
            <w:tcW w:w="1668" w:type="dxa"/>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CI</w:t>
            </w:r>
          </w:p>
        </w:tc>
        <w:tc>
          <w:tcPr>
            <w:tcW w:w="1666" w:type="dxa"/>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p</w:t>
            </w:r>
          </w:p>
        </w:tc>
      </w:tr>
      <w:tr w:rsidR="00A505AE" w:rsidRPr="007A15F6" w:rsidTr="00C943EF">
        <w:trPr>
          <w:jc w:val="center"/>
        </w:trPr>
        <w:tc>
          <w:tcPr>
            <w:tcW w:w="2225" w:type="dxa"/>
          </w:tcPr>
          <w:p w:rsidR="00A505AE" w:rsidRPr="007A15F6" w:rsidRDefault="00A505AE" w:rsidP="0002180F">
            <w:pPr>
              <w:spacing w:line="360" w:lineRule="auto"/>
              <w:rPr>
                <w:rFonts w:ascii="Times New Roman" w:eastAsia="MS Mincho" w:hAnsi="Times New Roman" w:cs="Times New Roman"/>
                <w:sz w:val="22"/>
                <w:szCs w:val="20"/>
              </w:rPr>
            </w:pPr>
            <w:r w:rsidRPr="007A15F6">
              <w:rPr>
                <w:rFonts w:ascii="Times New Roman" w:eastAsia="MS Mincho" w:hAnsi="Times New Roman" w:cs="Times New Roman"/>
                <w:sz w:val="22"/>
                <w:szCs w:val="20"/>
              </w:rPr>
              <w:t>Questionnaire-based</w:t>
            </w:r>
          </w:p>
        </w:tc>
        <w:tc>
          <w:tcPr>
            <w:tcW w:w="1671" w:type="dxa"/>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14</w:t>
            </w:r>
          </w:p>
        </w:tc>
        <w:tc>
          <w:tcPr>
            <w:tcW w:w="1666" w:type="dxa"/>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.361</w:t>
            </w:r>
          </w:p>
        </w:tc>
        <w:tc>
          <w:tcPr>
            <w:tcW w:w="1668" w:type="dxa"/>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.211 -.495</w:t>
            </w:r>
          </w:p>
        </w:tc>
        <w:tc>
          <w:tcPr>
            <w:tcW w:w="1666" w:type="dxa"/>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.000</w:t>
            </w:r>
          </w:p>
        </w:tc>
      </w:tr>
      <w:tr w:rsidR="00A505AE" w:rsidRPr="007A15F6" w:rsidTr="00C943EF">
        <w:trPr>
          <w:jc w:val="center"/>
        </w:trPr>
        <w:tc>
          <w:tcPr>
            <w:tcW w:w="2225" w:type="dxa"/>
            <w:tcBorders>
              <w:bottom w:val="single" w:sz="4" w:space="0" w:color="auto"/>
            </w:tcBorders>
          </w:tcPr>
          <w:p w:rsidR="00A505AE" w:rsidRPr="007A15F6" w:rsidRDefault="00A505AE" w:rsidP="0002180F">
            <w:pPr>
              <w:spacing w:line="360" w:lineRule="auto"/>
              <w:rPr>
                <w:rFonts w:ascii="Times New Roman" w:eastAsia="MS Mincho" w:hAnsi="Times New Roman" w:cs="Times New Roman"/>
                <w:sz w:val="22"/>
                <w:szCs w:val="20"/>
              </w:rPr>
            </w:pPr>
            <w:r w:rsidRPr="007A15F6">
              <w:rPr>
                <w:rFonts w:ascii="Times New Roman" w:eastAsia="MS Mincho" w:hAnsi="Times New Roman" w:cs="Times New Roman"/>
                <w:sz w:val="22"/>
                <w:szCs w:val="20"/>
              </w:rPr>
              <w:t>Observation-based</w:t>
            </w:r>
          </w:p>
        </w:tc>
        <w:tc>
          <w:tcPr>
            <w:tcW w:w="1671" w:type="dxa"/>
            <w:tcBorders>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19</w:t>
            </w:r>
          </w:p>
        </w:tc>
        <w:tc>
          <w:tcPr>
            <w:tcW w:w="1666" w:type="dxa"/>
            <w:tcBorders>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.529</w:t>
            </w:r>
          </w:p>
        </w:tc>
        <w:tc>
          <w:tcPr>
            <w:tcW w:w="1668" w:type="dxa"/>
            <w:tcBorders>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.354 -.668</w:t>
            </w:r>
          </w:p>
        </w:tc>
        <w:tc>
          <w:tcPr>
            <w:tcW w:w="1666" w:type="dxa"/>
            <w:tcBorders>
              <w:bottom w:val="single" w:sz="4" w:space="0" w:color="auto"/>
            </w:tcBorders>
          </w:tcPr>
          <w:p w:rsidR="00A505AE" w:rsidRPr="007A15F6" w:rsidRDefault="00A505AE" w:rsidP="0002180F">
            <w:pPr>
              <w:spacing w:line="360" w:lineRule="auto"/>
              <w:jc w:val="center"/>
              <w:rPr>
                <w:rFonts w:ascii="Times New Roman" w:eastAsia="MS Mincho" w:hAnsi="Times New Roman" w:cs="Times New Roman"/>
                <w:sz w:val="22"/>
                <w:szCs w:val="20"/>
              </w:rPr>
            </w:pPr>
            <w:r w:rsidRPr="007A15F6">
              <w:rPr>
                <w:rFonts w:ascii="Times New Roman" w:eastAsia="MS Mincho" w:hAnsi="Times New Roman" w:cs="Times New Roman"/>
                <w:sz w:val="22"/>
                <w:szCs w:val="20"/>
              </w:rPr>
              <w:t>.000</w:t>
            </w:r>
          </w:p>
        </w:tc>
      </w:tr>
    </w:tbl>
    <w:p w:rsidR="00A505AE" w:rsidRPr="007A15F6" w:rsidRDefault="00A505AE" w:rsidP="00A505AE">
      <w:pPr>
        <w:spacing w:after="200" w:line="360" w:lineRule="auto"/>
        <w:ind w:left="540"/>
        <w:rPr>
          <w:rFonts w:ascii="Times New Roman" w:eastAsia="Calibri" w:hAnsi="Times New Roman" w:cs="Times New Roman"/>
          <w:sz w:val="18"/>
          <w:szCs w:val="20"/>
        </w:rPr>
      </w:pPr>
      <w:r w:rsidRPr="007A15F6">
        <w:rPr>
          <w:rFonts w:ascii="Times New Roman" w:eastAsia="Calibri" w:hAnsi="Times New Roman" w:cs="Times New Roman"/>
          <w:sz w:val="18"/>
          <w:szCs w:val="20"/>
        </w:rPr>
        <w:t>Level of significance p &lt; .05, EvF = Everyday Functionality</w:t>
      </w:r>
    </w:p>
    <w:p w:rsidR="00CD4A7B" w:rsidRPr="007A15F6" w:rsidRDefault="008F0339" w:rsidP="00FE028D">
      <w:pPr>
        <w:pStyle w:val="Heading2"/>
      </w:pPr>
      <w:bookmarkStart w:id="112" w:name="_Toc521184202"/>
      <w:r>
        <w:t>Discussion</w:t>
      </w:r>
      <w:bookmarkEnd w:id="112"/>
    </w:p>
    <w:p w:rsidR="001849F6" w:rsidRPr="007A15F6" w:rsidRDefault="002364C5" w:rsidP="005C41B7">
      <w:pPr>
        <w:pStyle w:val="APAPar"/>
      </w:pPr>
      <w:r w:rsidRPr="00D97C60">
        <w:t>This c</w:t>
      </w:r>
      <w:r w:rsidR="00CD4A7B" w:rsidRPr="00D97C60">
        <w:t xml:space="preserve">hapter </w:t>
      </w:r>
      <w:r w:rsidR="00E543FB" w:rsidRPr="00D97C60">
        <w:t>aimed at investigating</w:t>
      </w:r>
      <w:r w:rsidR="00CD4A7B" w:rsidRPr="00D97C60">
        <w:t xml:space="preserve"> the relation between </w:t>
      </w:r>
      <w:r w:rsidR="00A265AA" w:rsidRPr="00D97C60">
        <w:t>cognitive performance</w:t>
      </w:r>
      <w:r w:rsidR="00CD4A7B" w:rsidRPr="00D97C60">
        <w:t xml:space="preserve"> and </w:t>
      </w:r>
      <w:r w:rsidR="00A265AA" w:rsidRPr="00D97C60">
        <w:t xml:space="preserve">everyday </w:t>
      </w:r>
      <w:r w:rsidR="003F6E23" w:rsidRPr="00D97C60">
        <w:t>functioning</w:t>
      </w:r>
      <w:r w:rsidR="00CD4A7B" w:rsidRPr="00D97C60">
        <w:t xml:space="preserve"> </w:t>
      </w:r>
      <w:r w:rsidR="003F6E23" w:rsidRPr="00D97C60">
        <w:t>among cognitively healthy older adults</w:t>
      </w:r>
      <w:r w:rsidR="00CD4A7B" w:rsidRPr="00D97C60">
        <w:t xml:space="preserve">. A conscious effort was made to </w:t>
      </w:r>
      <w:r w:rsidR="00E543FB" w:rsidRPr="00D97C60">
        <w:t xml:space="preserve">systematically </w:t>
      </w:r>
      <w:r w:rsidR="00CD4A7B" w:rsidRPr="00D97C60">
        <w:t xml:space="preserve">review the relevant literature and conduct a statistical meta-analysis, including studies that narrowed their sampling strategy to participants in the healthy spectrum of cognitive ageing. </w:t>
      </w:r>
      <w:r w:rsidR="001849F6" w:rsidRPr="00D97C60">
        <w:t xml:space="preserve">It was hypothesized that cognitive performance </w:t>
      </w:r>
      <w:r w:rsidR="00E543FB" w:rsidRPr="00D97C60">
        <w:t xml:space="preserve">would </w:t>
      </w:r>
      <w:r w:rsidR="001849F6" w:rsidRPr="00D97C60">
        <w:t xml:space="preserve">be related with everyday functioning among cognitive healthy older </w:t>
      </w:r>
      <w:r w:rsidR="00251B50" w:rsidRPr="00D97C60">
        <w:t>adults, and that the effect sizes</w:t>
      </w:r>
      <w:r w:rsidR="001849F6" w:rsidRPr="00D97C60">
        <w:t xml:space="preserve"> o</w:t>
      </w:r>
      <w:r w:rsidR="00251B50" w:rsidRPr="00D97C60">
        <w:t xml:space="preserve">f this relation </w:t>
      </w:r>
      <w:r w:rsidR="00E543FB" w:rsidRPr="00D97C60">
        <w:t>would</w:t>
      </w:r>
      <w:r w:rsidR="00251B50" w:rsidRPr="00D97C60">
        <w:t xml:space="preserve"> be stronger when using </w:t>
      </w:r>
      <w:r w:rsidR="001849F6" w:rsidRPr="00D97C60">
        <w:t>observation-based measures. Lastly, it was hypothes</w:t>
      </w:r>
      <w:r w:rsidR="00E543FB" w:rsidRPr="00D97C60">
        <w:t>ized that age and education would</w:t>
      </w:r>
      <w:r w:rsidR="001849F6" w:rsidRPr="00D97C60">
        <w:t xml:space="preserve"> </w:t>
      </w:r>
      <w:r w:rsidR="00E543FB" w:rsidRPr="00D97C60">
        <w:t>moderate the</w:t>
      </w:r>
      <w:r w:rsidR="001849F6" w:rsidRPr="00D97C60">
        <w:t xml:space="preserve"> relation</w:t>
      </w:r>
      <w:r w:rsidR="00985628" w:rsidRPr="00D97C60">
        <w:t>s</w:t>
      </w:r>
      <w:r w:rsidR="003951B4" w:rsidRPr="00D97C60">
        <w:t>hip</w:t>
      </w:r>
      <w:r w:rsidR="001849F6" w:rsidRPr="00D97C60">
        <w:t xml:space="preserve"> </w:t>
      </w:r>
      <w:r w:rsidR="00E543FB" w:rsidRPr="00D97C60">
        <w:t>found.</w:t>
      </w:r>
      <w:r w:rsidR="001849F6" w:rsidRPr="007A15F6">
        <w:t xml:space="preserve"> </w:t>
      </w:r>
    </w:p>
    <w:p w:rsidR="00FD591C" w:rsidRDefault="00CD4A7B" w:rsidP="005C41B7">
      <w:pPr>
        <w:pStyle w:val="APAPar"/>
      </w:pPr>
      <w:r w:rsidRPr="00D97C60">
        <w:t xml:space="preserve">Although studies that examined </w:t>
      </w:r>
      <w:r w:rsidR="00985628" w:rsidRPr="00D97C60">
        <w:t>everyday functioning</w:t>
      </w:r>
      <w:r w:rsidRPr="00D97C60">
        <w:t xml:space="preserve"> using ADL measures</w:t>
      </w:r>
      <w:r w:rsidR="00985628" w:rsidRPr="00D97C60">
        <w:t xml:space="preserve"> were not </w:t>
      </w:r>
      <w:r w:rsidR="006A00AB" w:rsidRPr="00D97C60">
        <w:t>purposefully</w:t>
      </w:r>
      <w:r w:rsidR="00FC072A" w:rsidRPr="00D97C60">
        <w:t xml:space="preserve"> excluded</w:t>
      </w:r>
      <w:r w:rsidRPr="00D97C60">
        <w:t xml:space="preserve">, </w:t>
      </w:r>
      <w:r w:rsidR="00985628" w:rsidRPr="00D97C60">
        <w:t xml:space="preserve">almost </w:t>
      </w:r>
      <w:r w:rsidRPr="00D97C60">
        <w:t xml:space="preserve">all </w:t>
      </w:r>
      <w:r w:rsidR="00985628" w:rsidRPr="00D97C60">
        <w:t>(</w:t>
      </w:r>
      <w:r w:rsidRPr="00D97C60">
        <w:t>but one</w:t>
      </w:r>
      <w:r w:rsidR="00985628" w:rsidRPr="00D97C60">
        <w:t>)</w:t>
      </w:r>
      <w:r w:rsidRPr="00D97C60">
        <w:t xml:space="preserve"> </w:t>
      </w:r>
      <w:r w:rsidR="00D71E35" w:rsidRPr="00D97C60">
        <w:t xml:space="preserve">studies </w:t>
      </w:r>
      <w:r w:rsidRPr="00D97C60">
        <w:t>utilized IADL measure</w:t>
      </w:r>
      <w:r w:rsidR="006A00AB" w:rsidRPr="00D97C60">
        <w:t>s</w:t>
      </w:r>
      <w:r w:rsidRPr="00D97C60">
        <w:t>. This indicates that most researchers regarded IADL measures as the most</w:t>
      </w:r>
      <w:r w:rsidR="0039676D" w:rsidRPr="00D97C60">
        <w:t xml:space="preserve"> suitable </w:t>
      </w:r>
      <w:r w:rsidR="00E543FB" w:rsidRPr="00D97C60">
        <w:t>tools</w:t>
      </w:r>
      <w:r w:rsidR="0039676D" w:rsidRPr="00D97C60">
        <w:t xml:space="preserve"> to assess everyday functioning</w:t>
      </w:r>
      <w:r w:rsidRPr="00D97C60">
        <w:t xml:space="preserve"> in the healthy spectrum of cognitive ageing</w:t>
      </w:r>
      <w:r w:rsidR="0039676D" w:rsidRPr="00D97C60">
        <w:t xml:space="preserve">. </w:t>
      </w:r>
      <w:r w:rsidR="00F170A6" w:rsidRPr="00D97C60">
        <w:t>Consistent with the first hypothesis, t</w:t>
      </w:r>
      <w:r w:rsidR="000413C0" w:rsidRPr="00D97C60">
        <w:t>he</w:t>
      </w:r>
      <w:r w:rsidR="00656481" w:rsidRPr="00D97C60">
        <w:t xml:space="preserve"> results </w:t>
      </w:r>
      <w:r w:rsidR="001B7922" w:rsidRPr="00D97C60">
        <w:t>of the meta-analysi</w:t>
      </w:r>
      <w:r w:rsidR="0039676D" w:rsidRPr="00D97C60">
        <w:t xml:space="preserve">s </w:t>
      </w:r>
      <w:r w:rsidR="00656481" w:rsidRPr="00D97C60">
        <w:t xml:space="preserve">indicate </w:t>
      </w:r>
      <w:r w:rsidR="00E543FB" w:rsidRPr="00D97C60">
        <w:t xml:space="preserve">a consistent and moderate relation between </w:t>
      </w:r>
      <w:r w:rsidR="00656481" w:rsidRPr="00D97C60">
        <w:t xml:space="preserve">performance in neuropsychological and </w:t>
      </w:r>
      <w:r w:rsidR="0039676D" w:rsidRPr="00D97C60">
        <w:t>everyday functioning</w:t>
      </w:r>
      <w:r w:rsidR="00656481" w:rsidRPr="00D97C60">
        <w:t xml:space="preserve"> </w:t>
      </w:r>
      <w:r w:rsidR="00F170A6" w:rsidRPr="00D97C60">
        <w:t>among cognitively healthy older adults</w:t>
      </w:r>
      <w:r w:rsidR="00656481" w:rsidRPr="00D97C60">
        <w:t>. This relation</w:t>
      </w:r>
      <w:r w:rsidR="003951B4" w:rsidRPr="00D97C60">
        <w:t>ship</w:t>
      </w:r>
      <w:r w:rsidR="00656481" w:rsidRPr="00D97C60">
        <w:t xml:space="preserve"> was retained, even when seniors’ cognitive status </w:t>
      </w:r>
      <w:r w:rsidR="00D07C66" w:rsidRPr="00D97C60">
        <w:t xml:space="preserve">was restricted </w:t>
      </w:r>
      <w:r w:rsidR="00656481" w:rsidRPr="00D97C60">
        <w:t>from mixed samples to strictly healthy samples</w:t>
      </w:r>
      <w:r w:rsidR="00D71E35" w:rsidRPr="00D97C60">
        <w:t xml:space="preserve"> (i.e., with no official diagnosis of dementia or MCI)</w:t>
      </w:r>
      <w:r w:rsidR="00656481" w:rsidRPr="00D97C60">
        <w:t xml:space="preserve">. The effect sizes’ confidence intervals were of moderate heterogeneity, advocating the robustness of the relation </w:t>
      </w:r>
      <w:r w:rsidR="001B7922" w:rsidRPr="00D97C60">
        <w:t>between</w:t>
      </w:r>
      <w:r w:rsidR="001B7922">
        <w:t xml:space="preserve"> cognitive performance and everyday functioning </w:t>
      </w:r>
      <w:r w:rsidR="003C3203" w:rsidRPr="007A15F6">
        <w:t xml:space="preserve">in the healthy spectrum of cognitive </w:t>
      </w:r>
      <w:r w:rsidR="00FD591C">
        <w:t>performance</w:t>
      </w:r>
      <w:r w:rsidR="00656481" w:rsidRPr="007A15F6">
        <w:t>.</w:t>
      </w:r>
    </w:p>
    <w:p w:rsidR="0023631C" w:rsidRDefault="00F5129F" w:rsidP="005C41B7">
      <w:pPr>
        <w:pStyle w:val="APAPar"/>
      </w:pPr>
      <w:r w:rsidRPr="007A15F6">
        <w:t xml:space="preserve"> </w:t>
      </w:r>
      <w:r w:rsidR="00FD591C" w:rsidRPr="00D97C60">
        <w:t>Consistent with the third hypothesis, a</w:t>
      </w:r>
      <w:r w:rsidR="00656481" w:rsidRPr="00D97C60">
        <w:t xml:space="preserve">ge and education </w:t>
      </w:r>
      <w:r w:rsidR="00997E05" w:rsidRPr="00D97C60">
        <w:t>had</w:t>
      </w:r>
      <w:r w:rsidR="00656481" w:rsidRPr="00D97C60">
        <w:t xml:space="preserve"> important </w:t>
      </w:r>
      <w:r w:rsidR="00893524" w:rsidRPr="00D97C60">
        <w:t xml:space="preserve">moderation </w:t>
      </w:r>
      <w:r w:rsidR="00656481" w:rsidRPr="00D97C60">
        <w:t>effect</w:t>
      </w:r>
      <w:r w:rsidR="003D7317" w:rsidRPr="00D97C60">
        <w:t>s</w:t>
      </w:r>
      <w:r w:rsidR="00B46112" w:rsidRPr="00D97C60">
        <w:t xml:space="preserve"> on </w:t>
      </w:r>
      <w:r w:rsidR="00CF3ECD" w:rsidRPr="00D97C60">
        <w:t>the relation between cognitive performance and everyday functioning</w:t>
      </w:r>
      <w:r w:rsidR="00656481" w:rsidRPr="00D97C60">
        <w:t xml:space="preserve">. </w:t>
      </w:r>
      <w:r w:rsidR="00CF3ECD" w:rsidRPr="00D97C60">
        <w:t xml:space="preserve">Age </w:t>
      </w:r>
      <w:r w:rsidR="00656481" w:rsidRPr="00D97C60">
        <w:t>explained 14%</w:t>
      </w:r>
      <w:r w:rsidR="00CF3ECD" w:rsidRPr="00D97C60">
        <w:t>,</w:t>
      </w:r>
      <w:r w:rsidR="00656481" w:rsidRPr="00D97C60">
        <w:t xml:space="preserve"> </w:t>
      </w:r>
      <w:r w:rsidR="003D7317" w:rsidRPr="00D97C60">
        <w:t>and education explained 24%</w:t>
      </w:r>
      <w:r w:rsidR="00CF3ECD" w:rsidRPr="00D97C60">
        <w:t>,</w:t>
      </w:r>
      <w:r w:rsidR="003D7317" w:rsidRPr="00D97C60">
        <w:t xml:space="preserve"> </w:t>
      </w:r>
      <w:r w:rsidR="00656481" w:rsidRPr="00D97C60">
        <w:t>of the total variance in the effect sizes</w:t>
      </w:r>
      <w:r w:rsidR="00297DE6" w:rsidRPr="00D97C60">
        <w:t xml:space="preserve"> of the respective relation under examination</w:t>
      </w:r>
      <w:r w:rsidR="00656481" w:rsidRPr="00D97C60">
        <w:t>.</w:t>
      </w:r>
      <w:r w:rsidR="003D7317" w:rsidRPr="00D97C60">
        <w:t xml:space="preserve"> </w:t>
      </w:r>
      <w:r w:rsidR="006C3579" w:rsidRPr="00D97C60">
        <w:t xml:space="preserve">This variance </w:t>
      </w:r>
      <w:r w:rsidR="00E543FB" w:rsidRPr="00D97C60">
        <w:t>may</w:t>
      </w:r>
      <w:r w:rsidR="006C3579" w:rsidRPr="00D97C60">
        <w:t xml:space="preserve"> not indicate </w:t>
      </w:r>
      <w:r w:rsidR="00A727D3" w:rsidRPr="00D97C60">
        <w:t xml:space="preserve">a direct </w:t>
      </w:r>
      <w:r w:rsidR="00E543FB" w:rsidRPr="00D97C60">
        <w:t xml:space="preserve">moderation </w:t>
      </w:r>
      <w:r w:rsidR="00A727D3" w:rsidRPr="00D97C60">
        <w:t xml:space="preserve">effect of education </w:t>
      </w:r>
      <w:r w:rsidR="001F6038" w:rsidRPr="00D97C60">
        <w:t xml:space="preserve">and age </w:t>
      </w:r>
      <w:r w:rsidR="00A727D3" w:rsidRPr="00D97C60">
        <w:t>o</w:t>
      </w:r>
      <w:r w:rsidR="006C3579" w:rsidRPr="00D97C60">
        <w:t xml:space="preserve">n cognitive </w:t>
      </w:r>
      <w:r w:rsidR="001B7922" w:rsidRPr="00D97C60">
        <w:t xml:space="preserve">or functional </w:t>
      </w:r>
      <w:r w:rsidR="006C3579" w:rsidRPr="00D97C60">
        <w:t xml:space="preserve">decline with ageing, </w:t>
      </w:r>
      <w:r w:rsidR="00E543FB" w:rsidRPr="00D97C60">
        <w:t>as</w:t>
      </w:r>
      <w:r w:rsidR="00A727D3" w:rsidRPr="00D97C60">
        <w:t xml:space="preserve"> </w:t>
      </w:r>
      <w:r w:rsidR="00E543FB" w:rsidRPr="00D97C60">
        <w:t xml:space="preserve">a shared </w:t>
      </w:r>
      <w:r w:rsidR="00A727D3" w:rsidRPr="00D97C60">
        <w:t>variance</w:t>
      </w:r>
      <w:r w:rsidR="00E543FB" w:rsidRPr="00D97C60">
        <w:t xml:space="preserve"> may be possible</w:t>
      </w:r>
      <w:r w:rsidR="00A727D3" w:rsidRPr="00D97C60">
        <w:t xml:space="preserve">. </w:t>
      </w:r>
      <w:r w:rsidR="009B2C28" w:rsidRPr="00D97C60">
        <w:t>Given the relation</w:t>
      </w:r>
      <w:r w:rsidR="003951B4" w:rsidRPr="00D97C60">
        <w:t>ship</w:t>
      </w:r>
      <w:r w:rsidR="009B2C28" w:rsidRPr="00D97C60">
        <w:t xml:space="preserve"> that age and education have</w:t>
      </w:r>
      <w:r w:rsidR="00FD0667" w:rsidRPr="00D97C60">
        <w:t xml:space="preserve"> (i.e., older adults have received in average less years of education)</w:t>
      </w:r>
      <w:r w:rsidR="001F6038" w:rsidRPr="00D97C60">
        <w:t>, t</w:t>
      </w:r>
      <w:r w:rsidR="003D7317" w:rsidRPr="00D97C60">
        <w:t xml:space="preserve">he aforementioned percentages </w:t>
      </w:r>
      <w:r w:rsidR="00297DE6" w:rsidRPr="00D97C60">
        <w:t>may</w:t>
      </w:r>
      <w:r w:rsidR="003D7317" w:rsidRPr="00D97C60">
        <w:t xml:space="preserve"> not represent a uni</w:t>
      </w:r>
      <w:r w:rsidRPr="00D97C60">
        <w:t xml:space="preserve">que variance </w:t>
      </w:r>
      <w:r w:rsidR="001F6038" w:rsidRPr="00D97C60">
        <w:t xml:space="preserve">explained </w:t>
      </w:r>
      <w:r w:rsidR="003951B4" w:rsidRPr="00D97C60">
        <w:t>by</w:t>
      </w:r>
      <w:r w:rsidR="001B7922" w:rsidRPr="00D97C60">
        <w:t xml:space="preserve"> </w:t>
      </w:r>
      <w:r w:rsidR="001F6038" w:rsidRPr="00D97C60">
        <w:t xml:space="preserve">education or </w:t>
      </w:r>
      <w:r w:rsidR="009B74DF" w:rsidRPr="00D97C60">
        <w:t>age</w:t>
      </w:r>
      <w:r w:rsidR="003D7317" w:rsidRPr="00D97C60">
        <w:t xml:space="preserve">, </w:t>
      </w:r>
      <w:r w:rsidR="001B7922" w:rsidRPr="00D97C60">
        <w:t>rather than that</w:t>
      </w:r>
      <w:r w:rsidR="003951B4" w:rsidRPr="00D97C60">
        <w:t xml:space="preserve"> of some</w:t>
      </w:r>
      <w:r w:rsidR="003D7317" w:rsidRPr="00D97C60">
        <w:t xml:space="preserve"> </w:t>
      </w:r>
      <w:r w:rsidR="001B7922" w:rsidRPr="00D97C60">
        <w:t xml:space="preserve">shared </w:t>
      </w:r>
      <w:r w:rsidR="003D7317" w:rsidRPr="00D97C60">
        <w:t xml:space="preserve">variance. </w:t>
      </w:r>
      <w:r w:rsidR="008C2641" w:rsidRPr="00D97C60">
        <w:t>The meta-analysis</w:t>
      </w:r>
      <w:r w:rsidR="00FD0667" w:rsidRPr="00D97C60">
        <w:t xml:space="preserve"> however, did not allow </w:t>
      </w:r>
      <w:r w:rsidR="003951B4" w:rsidRPr="00D97C60">
        <w:t>for an examination of</w:t>
      </w:r>
      <w:r w:rsidR="00FD0667" w:rsidRPr="00D97C60">
        <w:t xml:space="preserve"> both age and education in the same statistical model</w:t>
      </w:r>
      <w:r w:rsidR="008C2641" w:rsidRPr="00D97C60">
        <w:t xml:space="preserve"> as separate predictors</w:t>
      </w:r>
      <w:r w:rsidR="003951B4" w:rsidRPr="00D97C60">
        <w:t>.</w:t>
      </w:r>
    </w:p>
    <w:p w:rsidR="00B60B98" w:rsidRPr="007A15F6" w:rsidRDefault="00B60B98" w:rsidP="005C41B7">
      <w:pPr>
        <w:pStyle w:val="APAPar"/>
      </w:pPr>
      <w:r w:rsidRPr="00D97C60">
        <w:t>No moderation effect for both education and age was evident</w:t>
      </w:r>
      <w:r w:rsidR="001D29F4" w:rsidRPr="00D97C60">
        <w:t xml:space="preserve"> when the sample </w:t>
      </w:r>
      <w:r w:rsidR="003951B4" w:rsidRPr="00D97C60">
        <w:t>examined</w:t>
      </w:r>
      <w:r w:rsidR="001D29F4" w:rsidRPr="00D97C60">
        <w:t xml:space="preserve"> was strictly restricted to cognitively intact older adults. </w:t>
      </w:r>
      <w:r w:rsidR="00355A1C" w:rsidRPr="00D97C60">
        <w:t>This may be due to the decreased power for the respective analysis, brought by</w:t>
      </w:r>
      <w:r w:rsidR="00E35778" w:rsidRPr="00D97C60">
        <w:t xml:space="preserve"> </w:t>
      </w:r>
      <w:r w:rsidR="00487D13" w:rsidRPr="00D97C60">
        <w:t xml:space="preserve">a </w:t>
      </w:r>
      <w:r w:rsidR="00E35778" w:rsidRPr="00D97C60">
        <w:t xml:space="preserve">decreased number of </w:t>
      </w:r>
      <w:r w:rsidR="00487D13" w:rsidRPr="00D97C60">
        <w:t xml:space="preserve">studies under </w:t>
      </w:r>
      <w:r w:rsidR="00E35778" w:rsidRPr="00D97C60">
        <w:t>exami</w:t>
      </w:r>
      <w:r w:rsidR="008C2641" w:rsidRPr="00D97C60">
        <w:t>nation, or a bias in examining highly educated individuals in the respective studies</w:t>
      </w:r>
      <w:r w:rsidR="003951B4" w:rsidRPr="00D97C60">
        <w:t>.</w:t>
      </w:r>
      <w:r w:rsidR="00E35778" w:rsidRPr="00D97C60">
        <w:t xml:space="preserve"> </w:t>
      </w:r>
      <w:r w:rsidR="00570BA2" w:rsidRPr="00D97C60">
        <w:t>As such, it is un</w:t>
      </w:r>
      <w:r w:rsidR="003951B4" w:rsidRPr="00D97C60">
        <w:t xml:space="preserve">certain </w:t>
      </w:r>
      <w:r w:rsidR="00570BA2" w:rsidRPr="00D97C60">
        <w:t>whether the respective moderation effect</w:t>
      </w:r>
      <w:r w:rsidR="008C2641" w:rsidRPr="00D97C60">
        <w:t>s are</w:t>
      </w:r>
      <w:r w:rsidR="00570BA2" w:rsidRPr="00D97C60">
        <w:t xml:space="preserve"> evident </w:t>
      </w:r>
      <w:r w:rsidR="005D5B4A" w:rsidRPr="00D97C60">
        <w:t xml:space="preserve">only </w:t>
      </w:r>
      <w:r w:rsidR="00E543FB" w:rsidRPr="00D97C60">
        <w:t xml:space="preserve">i) </w:t>
      </w:r>
      <w:r w:rsidR="00570BA2" w:rsidRPr="00D97C60">
        <w:t xml:space="preserve">when </w:t>
      </w:r>
      <w:r w:rsidR="008C2641" w:rsidRPr="00D97C60">
        <w:t>examining a larger</w:t>
      </w:r>
      <w:r w:rsidR="00570BA2" w:rsidRPr="00D97C60">
        <w:t xml:space="preserve"> </w:t>
      </w:r>
      <w:r w:rsidR="008C2641" w:rsidRPr="00D97C60">
        <w:t xml:space="preserve">number of participants </w:t>
      </w:r>
      <w:r w:rsidR="00570BA2" w:rsidRPr="00D97C60">
        <w:t>population</w:t>
      </w:r>
      <w:r w:rsidR="008C2641" w:rsidRPr="00D97C60">
        <w:t>s,</w:t>
      </w:r>
      <w:r w:rsidR="00E543FB" w:rsidRPr="00D97C60">
        <w:t xml:space="preserve"> ii)</w:t>
      </w:r>
      <w:r w:rsidR="008C2641" w:rsidRPr="00D97C60">
        <w:t xml:space="preserve"> if these effects are evident when this examination includes a</w:t>
      </w:r>
      <w:r w:rsidR="005D5B4A" w:rsidRPr="00D97C60">
        <w:t xml:space="preserve"> greater prevalence of </w:t>
      </w:r>
      <w:r w:rsidR="009476E4" w:rsidRPr="00D97C60">
        <w:t xml:space="preserve">age-related </w:t>
      </w:r>
      <w:r w:rsidR="005D5B4A" w:rsidRPr="00D97C60">
        <w:t>neuropsychological conditions</w:t>
      </w:r>
      <w:r w:rsidR="00487D13" w:rsidRPr="00D97C60">
        <w:t xml:space="preserve">, or </w:t>
      </w:r>
      <w:r w:rsidR="00E543FB" w:rsidRPr="00D97C60">
        <w:t xml:space="preserve">iii) </w:t>
      </w:r>
      <w:r w:rsidR="008C2641" w:rsidRPr="00D97C60">
        <w:t>when examining older adults of lower levels of educational attainment.</w:t>
      </w:r>
    </w:p>
    <w:p w:rsidR="00DE6391" w:rsidRDefault="00B46112" w:rsidP="005C41B7">
      <w:pPr>
        <w:pStyle w:val="APAPar"/>
      </w:pPr>
      <w:r w:rsidRPr="007A15F6">
        <w:t>The direction of education’s</w:t>
      </w:r>
      <w:r w:rsidR="00656481" w:rsidRPr="007A15F6">
        <w:t xml:space="preserve"> </w:t>
      </w:r>
      <w:r w:rsidR="0023631C" w:rsidRPr="007A15F6">
        <w:t xml:space="preserve">moderation </w:t>
      </w:r>
      <w:r w:rsidR="001315C6" w:rsidRPr="007A15F6">
        <w:t>effect</w:t>
      </w:r>
      <w:r w:rsidR="002503CF">
        <w:t xml:space="preserve"> in the mixed sample of studies</w:t>
      </w:r>
      <w:r w:rsidR="001315C6" w:rsidRPr="007A15F6">
        <w:t xml:space="preserve"> </w:t>
      </w:r>
      <w:r w:rsidRPr="007A15F6">
        <w:t>directs</w:t>
      </w:r>
      <w:r w:rsidR="00EE33C9" w:rsidRPr="007A15F6">
        <w:t xml:space="preserve"> </w:t>
      </w:r>
      <w:r w:rsidR="005D5E4C">
        <w:t xml:space="preserve">to </w:t>
      </w:r>
      <w:r w:rsidR="001315C6" w:rsidRPr="007A15F6">
        <w:t xml:space="preserve">more </w:t>
      </w:r>
      <w:r w:rsidR="00656481" w:rsidRPr="007A15F6">
        <w:t xml:space="preserve">years of formal education </w:t>
      </w:r>
      <w:r w:rsidR="005D5E4C">
        <w:t>producing</w:t>
      </w:r>
      <w:r w:rsidR="00656481" w:rsidRPr="007A15F6">
        <w:t xml:space="preserve"> weaker correlations between </w:t>
      </w:r>
      <w:r w:rsidR="005D5E4C">
        <w:t>cognitive performance and everyday functioning</w:t>
      </w:r>
      <w:r w:rsidR="00656481" w:rsidRPr="007A15F6">
        <w:t xml:space="preserve">. </w:t>
      </w:r>
      <w:r w:rsidR="005D5E4C">
        <w:t>As</w:t>
      </w:r>
      <w:r w:rsidR="008C2641">
        <w:t xml:space="preserve"> discussed earlier, most</w:t>
      </w:r>
      <w:r w:rsidR="00C36D59" w:rsidRPr="007A15F6">
        <w:t xml:space="preserve"> </w:t>
      </w:r>
      <w:r w:rsidR="005D5E4C">
        <w:t xml:space="preserve">neuropsychological and everyday </w:t>
      </w:r>
      <w:r w:rsidR="00E6242E">
        <w:t>functioning</w:t>
      </w:r>
      <w:r w:rsidR="00C36D59" w:rsidRPr="007A15F6">
        <w:t xml:space="preserve"> assessments follow a structure and procedure that assimilate </w:t>
      </w:r>
      <w:r w:rsidR="00997E05" w:rsidRPr="007A15F6">
        <w:t xml:space="preserve">those of the </w:t>
      </w:r>
      <w:r w:rsidR="00C36D59" w:rsidRPr="00D97C60">
        <w:t>class-based</w:t>
      </w:r>
      <w:r w:rsidR="00E6242E" w:rsidRPr="00D97C60">
        <w:t xml:space="preserve"> tests (Marcotte et al., 2010</w:t>
      </w:r>
      <w:r w:rsidR="008C2641" w:rsidRPr="00D97C60">
        <w:t>). T</w:t>
      </w:r>
      <w:r w:rsidR="006E736C" w:rsidRPr="00D97C60">
        <w:t>he weaker relation</w:t>
      </w:r>
      <w:r w:rsidR="00E6242E" w:rsidRPr="00D97C60">
        <w:t xml:space="preserve"> among more educated </w:t>
      </w:r>
      <w:r w:rsidR="006E736C" w:rsidRPr="00D97C60">
        <w:t>older adults</w:t>
      </w:r>
      <w:r w:rsidR="00E6242E" w:rsidRPr="00D97C60">
        <w:t xml:space="preserve"> </w:t>
      </w:r>
      <w:r w:rsidR="006E736C" w:rsidRPr="00D97C60">
        <w:t>may indicate that test-familiarity mask</w:t>
      </w:r>
      <w:r w:rsidR="003951B4" w:rsidRPr="00D97C60">
        <w:t>s</w:t>
      </w:r>
      <w:r w:rsidR="006E736C" w:rsidRPr="00D97C60">
        <w:t xml:space="preserve"> the effect </w:t>
      </w:r>
      <w:r w:rsidR="00C70FBD" w:rsidRPr="00D97C60">
        <w:t xml:space="preserve">that </w:t>
      </w:r>
      <w:r w:rsidR="006E736C" w:rsidRPr="00D97C60">
        <w:t>cognitive decrements</w:t>
      </w:r>
      <w:r w:rsidR="00C70FBD" w:rsidRPr="00D97C60">
        <w:t xml:space="preserve"> have</w:t>
      </w:r>
      <w:r w:rsidR="006E736C" w:rsidRPr="00D97C60">
        <w:t xml:space="preserve"> on</w:t>
      </w:r>
      <w:r w:rsidR="00C70FBD" w:rsidRPr="00D97C60">
        <w:t xml:space="preserve"> everyday functioning</w:t>
      </w:r>
      <w:r w:rsidR="00C36D59" w:rsidRPr="00D97C60">
        <w:t>.</w:t>
      </w:r>
      <w:r w:rsidR="006E736C" w:rsidRPr="00D97C60">
        <w:t xml:space="preserve"> This </w:t>
      </w:r>
      <w:r w:rsidR="00C70FBD" w:rsidRPr="00D97C60">
        <w:t>is</w:t>
      </w:r>
      <w:r w:rsidR="007F0DD0" w:rsidRPr="00D97C60">
        <w:t xml:space="preserve"> </w:t>
      </w:r>
      <w:r w:rsidR="006E736C" w:rsidRPr="00D97C60">
        <w:t>consistent with the</w:t>
      </w:r>
      <w:r w:rsidR="00DE5EEF" w:rsidRPr="00D97C60">
        <w:t xml:space="preserve"> hypothesis of Stern (2002) who stated that in the face of a neuropathology, individuals of higher education may</w:t>
      </w:r>
      <w:r w:rsidR="008B5901">
        <w:t xml:space="preserve"> </w:t>
      </w:r>
      <w:r w:rsidR="00DE5EEF" w:rsidRPr="00D97C60">
        <w:t xml:space="preserve">be more capable </w:t>
      </w:r>
      <w:r w:rsidR="008B5901">
        <w:t>of</w:t>
      </w:r>
      <w:r w:rsidR="00DE5EEF" w:rsidRPr="00D97C60">
        <w:t xml:space="preserve"> eng</w:t>
      </w:r>
      <w:r w:rsidR="008B5901">
        <w:t>aging</w:t>
      </w:r>
      <w:r w:rsidR="00C70FBD" w:rsidRPr="00D97C60">
        <w:t xml:space="preserve"> in compensatory mechanisms </w:t>
      </w:r>
      <w:r w:rsidR="00DE5EEF" w:rsidRPr="00D97C60">
        <w:t>to attenuate the underlying cognitive impairments and m</w:t>
      </w:r>
      <w:r w:rsidR="00C74327" w:rsidRPr="00D97C60">
        <w:t xml:space="preserve">aintain behavioural efficiency. </w:t>
      </w:r>
      <w:r w:rsidR="00423C41" w:rsidRPr="00D97C60">
        <w:t xml:space="preserve">This hypothesis </w:t>
      </w:r>
      <w:r w:rsidR="008C2641" w:rsidRPr="00D97C60">
        <w:t>is not</w:t>
      </w:r>
      <w:r w:rsidR="00423C41" w:rsidRPr="00D97C60">
        <w:t xml:space="preserve"> examined </w:t>
      </w:r>
      <w:r w:rsidR="001116C2" w:rsidRPr="00D97C60">
        <w:t>in this chapter</w:t>
      </w:r>
      <w:r w:rsidR="00DE6391" w:rsidRPr="00D97C60">
        <w:t xml:space="preserve">, and therefore, no conclusions </w:t>
      </w:r>
      <w:r w:rsidR="008C2641" w:rsidRPr="00D97C60">
        <w:t xml:space="preserve">in this respect are </w:t>
      </w:r>
      <w:r w:rsidR="00DE6391" w:rsidRPr="00D97C60">
        <w:t>made</w:t>
      </w:r>
      <w:r w:rsidR="008C2641" w:rsidRPr="00D97C60">
        <w:t xml:space="preserve"> here</w:t>
      </w:r>
      <w:r w:rsidR="001116C2" w:rsidRPr="00D97C60">
        <w:t>.</w:t>
      </w:r>
    </w:p>
    <w:p w:rsidR="004B08BF" w:rsidRPr="007A15F6" w:rsidRDefault="00F9302D" w:rsidP="005C41B7">
      <w:pPr>
        <w:pStyle w:val="APAPar"/>
      </w:pPr>
      <w:r w:rsidRPr="00D97C60">
        <w:t xml:space="preserve">In </w:t>
      </w:r>
      <w:r w:rsidR="00EA2BA4" w:rsidRPr="00D97C60">
        <w:t>addition</w:t>
      </w:r>
      <w:r w:rsidRPr="00D97C60">
        <w:t xml:space="preserve">, </w:t>
      </w:r>
      <w:r w:rsidR="00591218" w:rsidRPr="00D97C60">
        <w:t>the findings</w:t>
      </w:r>
      <w:r w:rsidR="009F47BC" w:rsidRPr="00D97C60">
        <w:t xml:space="preserve"> </w:t>
      </w:r>
      <w:r w:rsidR="00591218" w:rsidRPr="00D97C60">
        <w:t>indicate</w:t>
      </w:r>
      <w:r w:rsidR="00656481" w:rsidRPr="00D97C60">
        <w:t xml:space="preserve"> that </w:t>
      </w:r>
      <w:r w:rsidR="00173054" w:rsidRPr="00D97C60">
        <w:t xml:space="preserve">cognitive performance in </w:t>
      </w:r>
      <w:r w:rsidR="009F47BC" w:rsidRPr="00D97C60">
        <w:t>all cognitive domains</w:t>
      </w:r>
      <w:r w:rsidR="00173054" w:rsidRPr="00D97C60">
        <w:t xml:space="preserve"> under examination </w:t>
      </w:r>
      <w:r w:rsidR="00A05573" w:rsidRPr="00D97C60">
        <w:t xml:space="preserve">(i.e., </w:t>
      </w:r>
      <w:r w:rsidR="00656481" w:rsidRPr="00D97C60">
        <w:t>executive function, general cognition, language, memory, speed of proces</w:t>
      </w:r>
      <w:r w:rsidR="001500D6" w:rsidRPr="00D97C60">
        <w:t>sing, and visuospatial ability</w:t>
      </w:r>
      <w:r w:rsidR="00A05573" w:rsidRPr="00D97C60">
        <w:t xml:space="preserve">), except attention, </w:t>
      </w:r>
      <w:r w:rsidR="00656481" w:rsidRPr="00D97C60">
        <w:t xml:space="preserve">are moderately </w:t>
      </w:r>
      <w:r w:rsidR="00591218" w:rsidRPr="00D97C60">
        <w:t xml:space="preserve">related </w:t>
      </w:r>
      <w:r w:rsidR="00656481" w:rsidRPr="00D97C60">
        <w:t xml:space="preserve">with </w:t>
      </w:r>
      <w:r w:rsidR="00173054" w:rsidRPr="00D97C60">
        <w:t xml:space="preserve">everyday </w:t>
      </w:r>
      <w:r w:rsidR="005A6BA9" w:rsidRPr="00D97C60">
        <w:t>functioning</w:t>
      </w:r>
      <w:r w:rsidR="00173054" w:rsidRPr="00D97C60">
        <w:t xml:space="preserve"> </w:t>
      </w:r>
      <w:r w:rsidR="005A6BA9" w:rsidRPr="00D97C60">
        <w:t xml:space="preserve">among cognitively intact older adults. </w:t>
      </w:r>
      <w:r w:rsidR="003951B4" w:rsidRPr="00D97C60">
        <w:t>E</w:t>
      </w:r>
      <w:r w:rsidR="00030FD9" w:rsidRPr="00D97C60">
        <w:t>xamination of T</w:t>
      </w:r>
      <w:r w:rsidR="006A4301" w:rsidRPr="00D97C60">
        <w:t xml:space="preserve">able </w:t>
      </w:r>
      <w:r w:rsidR="003951B4" w:rsidRPr="00D97C60">
        <w:t>4.7</w:t>
      </w:r>
      <w:r w:rsidR="006A4301" w:rsidRPr="00D97C60">
        <w:t xml:space="preserve"> </w:t>
      </w:r>
      <w:r w:rsidR="00EA2BA4" w:rsidRPr="00D97C60">
        <w:t>reveals</w:t>
      </w:r>
      <w:r w:rsidR="006A4301" w:rsidRPr="00D97C60">
        <w:t xml:space="preserve"> that </w:t>
      </w:r>
      <w:r w:rsidR="005A6BA9" w:rsidRPr="00D97C60">
        <w:t xml:space="preserve">the </w:t>
      </w:r>
      <w:r w:rsidR="006A4301" w:rsidRPr="00D97C60">
        <w:t xml:space="preserve">measures of EF, general cognitive status and memory correlate more strongly with </w:t>
      </w:r>
      <w:r w:rsidR="005A6BA9" w:rsidRPr="00D97C60">
        <w:t>performance in everyday functioning assessments, with</w:t>
      </w:r>
      <w:r w:rsidR="006A4301" w:rsidRPr="00D97C60">
        <w:t xml:space="preserve"> </w:t>
      </w:r>
      <w:r w:rsidR="005A6BA9" w:rsidRPr="00D97C60">
        <w:t>m</w:t>
      </w:r>
      <w:r w:rsidR="0022568B" w:rsidRPr="00D97C60">
        <w:t xml:space="preserve">easures of EF </w:t>
      </w:r>
      <w:r w:rsidR="005A6BA9" w:rsidRPr="00D97C60">
        <w:t>having</w:t>
      </w:r>
      <w:r w:rsidR="0022568B" w:rsidRPr="00D97C60">
        <w:t xml:space="preserve"> the highest effect sizes among all. </w:t>
      </w:r>
      <w:r w:rsidR="00030FD9" w:rsidRPr="00D97C60">
        <w:t>These findings are consistent with the</w:t>
      </w:r>
      <w:r w:rsidR="00FC0E0F" w:rsidRPr="00D97C60">
        <w:t xml:space="preserve"> research </w:t>
      </w:r>
      <w:r w:rsidR="00826666" w:rsidRPr="00D97C60">
        <w:t>by</w:t>
      </w:r>
      <w:r w:rsidR="00FC0E0F" w:rsidRPr="00D97C60">
        <w:t xml:space="preserve"> Ball et al., (2010), who argued that among the</w:t>
      </w:r>
      <w:r w:rsidR="00A727D3" w:rsidRPr="00D97C60">
        <w:t xml:space="preserve"> age-related declines in </w:t>
      </w:r>
      <w:r w:rsidR="00991246" w:rsidRPr="00D97C60">
        <w:t>cognitive performance</w:t>
      </w:r>
      <w:r w:rsidR="00FC0E0F" w:rsidRPr="00D97C60">
        <w:t>, those</w:t>
      </w:r>
      <w:r w:rsidR="00991246" w:rsidRPr="00D97C60">
        <w:t xml:space="preserve"> in </w:t>
      </w:r>
      <w:r w:rsidR="00030FD9" w:rsidRPr="00D97C60">
        <w:t xml:space="preserve">EF </w:t>
      </w:r>
      <w:r w:rsidR="00FC0E0F" w:rsidRPr="00D97C60">
        <w:t xml:space="preserve">are probably related the </w:t>
      </w:r>
      <w:r w:rsidR="00EA2BA4" w:rsidRPr="00D97C60">
        <w:t>most with decrements in everyday goal directed behaviours</w:t>
      </w:r>
      <w:r w:rsidR="00030FD9" w:rsidRPr="00D97C60">
        <w:t xml:space="preserve">. </w:t>
      </w:r>
      <w:r w:rsidR="00A05573" w:rsidRPr="00D97C60">
        <w:t>The</w:t>
      </w:r>
      <w:r w:rsidR="006A4301" w:rsidRPr="00D97C60">
        <w:t xml:space="preserve"> limited number of studies </w:t>
      </w:r>
      <w:r w:rsidR="00866071" w:rsidRPr="00D97C60">
        <w:t>included in this meta-analysi</w:t>
      </w:r>
      <w:r w:rsidR="00CC2C6D" w:rsidRPr="00D97C60">
        <w:t xml:space="preserve">s however </w:t>
      </w:r>
      <w:r w:rsidR="006A4301" w:rsidRPr="00D97C60">
        <w:t xml:space="preserve">prohibited a thorough </w:t>
      </w:r>
      <w:r w:rsidR="00473285" w:rsidRPr="00D97C60">
        <w:t xml:space="preserve">statistical </w:t>
      </w:r>
      <w:r w:rsidR="006A4301" w:rsidRPr="00D97C60">
        <w:t xml:space="preserve">examination </w:t>
      </w:r>
      <w:r w:rsidR="009F47BC" w:rsidRPr="00D97C60">
        <w:t xml:space="preserve">between </w:t>
      </w:r>
      <w:r w:rsidR="00012390" w:rsidRPr="00D97C60">
        <w:t xml:space="preserve">all </w:t>
      </w:r>
      <w:r w:rsidR="009F47BC" w:rsidRPr="00D97C60">
        <w:t>cognitive domains,</w:t>
      </w:r>
      <w:r w:rsidR="00921C7F" w:rsidRPr="00D97C60">
        <w:t xml:space="preserve"> and therefore, </w:t>
      </w:r>
      <w:r w:rsidR="009F47BC" w:rsidRPr="00D97C60">
        <w:t xml:space="preserve">the </w:t>
      </w:r>
      <w:r w:rsidR="00866071" w:rsidRPr="00D97C60">
        <w:t xml:space="preserve">identification of </w:t>
      </w:r>
      <w:r w:rsidR="00CC2C6D" w:rsidRPr="00D97C60">
        <w:t>a</w:t>
      </w:r>
      <w:r w:rsidR="009F47BC" w:rsidRPr="00D97C60">
        <w:t xml:space="preserve"> comparative advantage of EF </w:t>
      </w:r>
      <w:r w:rsidR="00CC2C6D" w:rsidRPr="00D97C60">
        <w:t>using</w:t>
      </w:r>
      <w:r w:rsidR="00866071" w:rsidRPr="00D97C60">
        <w:t xml:space="preserve"> inferential statistics </w:t>
      </w:r>
      <w:r w:rsidR="008C2641" w:rsidRPr="00D97C60">
        <w:t>can be regarded only as descriptive and not as inferential</w:t>
      </w:r>
      <w:r w:rsidR="00202B73" w:rsidRPr="00D97C60">
        <w:t>.</w:t>
      </w:r>
      <w:r w:rsidR="00A05573" w:rsidRPr="007A15F6">
        <w:t xml:space="preserve"> </w:t>
      </w:r>
    </w:p>
    <w:p w:rsidR="000D53CB" w:rsidRPr="007A15F6" w:rsidRDefault="00A326AD" w:rsidP="005C41B7">
      <w:pPr>
        <w:pStyle w:val="APAPar"/>
      </w:pPr>
      <w:r w:rsidRPr="00D97C60">
        <w:t>Despite that</w:t>
      </w:r>
      <w:r w:rsidR="00E14123" w:rsidRPr="00D97C60">
        <w:t>,</w:t>
      </w:r>
      <w:r w:rsidR="00656481" w:rsidRPr="00D97C60">
        <w:t xml:space="preserve"> not all neuropsychological assessments of global cognitive status related significantly with </w:t>
      </w:r>
      <w:r w:rsidRPr="00D97C60">
        <w:t>everyday functioning</w:t>
      </w:r>
      <w:r w:rsidR="00A33512" w:rsidRPr="00D97C60">
        <w:t xml:space="preserve">, as the </w:t>
      </w:r>
      <w:r w:rsidR="00B53DB8" w:rsidRPr="00D97C60">
        <w:t xml:space="preserve">effect </w:t>
      </w:r>
      <w:r w:rsidR="00661F17" w:rsidRPr="00D97C60">
        <w:t>sizes of the relation between MMSE and IADL measures were</w:t>
      </w:r>
      <w:r w:rsidR="008E2985" w:rsidRPr="00D97C60">
        <w:t xml:space="preserve"> not significant across </w:t>
      </w:r>
      <w:r w:rsidR="00661F17" w:rsidRPr="00D97C60">
        <w:t xml:space="preserve">most </w:t>
      </w:r>
      <w:r w:rsidR="008E2985" w:rsidRPr="00D97C60">
        <w:t>studies</w:t>
      </w:r>
      <w:r w:rsidR="00B53DB8" w:rsidRPr="00D97C60">
        <w:t xml:space="preserve">. </w:t>
      </w:r>
      <w:r w:rsidR="00FC0E0F" w:rsidRPr="00D97C60">
        <w:t>In C</w:t>
      </w:r>
      <w:r w:rsidR="00661F17" w:rsidRPr="00D97C60">
        <w:t xml:space="preserve">hapter 2, it was discussed how the MMSE was designed to </w:t>
      </w:r>
      <w:r w:rsidR="003A1CA5" w:rsidRPr="00D97C60">
        <w:t>screen for</w:t>
      </w:r>
      <w:r w:rsidR="00661F17" w:rsidRPr="00D97C60">
        <w:t xml:space="preserve"> </w:t>
      </w:r>
      <w:r w:rsidR="00FC0E0F" w:rsidRPr="00D97C60">
        <w:t>dementia, and</w:t>
      </w:r>
      <w:r w:rsidR="00661F17" w:rsidRPr="00D97C60">
        <w:t xml:space="preserve"> thus may not be sensitive enough to</w:t>
      </w:r>
      <w:r w:rsidR="00661F17" w:rsidRPr="007A15F6">
        <w:t xml:space="preserve"> capture </w:t>
      </w:r>
      <w:r w:rsidR="00661F17">
        <w:t>cognitive performance</w:t>
      </w:r>
      <w:r w:rsidR="00661F17" w:rsidRPr="007A15F6">
        <w:t xml:space="preserve"> fluctuations in the healthy spectrum of cognitive ageing. </w:t>
      </w:r>
      <w:r w:rsidR="00A52D56">
        <w:t>Indeed, in the</w:t>
      </w:r>
      <w:r w:rsidR="00656481" w:rsidRPr="007A15F6">
        <w:t xml:space="preserve"> Martyr and Clare (2012) meta-analyses, 25 out of the 52 studies reviewed reported correlations of MMSE with </w:t>
      </w:r>
      <w:r w:rsidR="006C73B6">
        <w:t>everyday functioning</w:t>
      </w:r>
      <w:r w:rsidR="00656481" w:rsidRPr="007A15F6">
        <w:t xml:space="preserve">, yielding statistical significant effect </w:t>
      </w:r>
      <w:r w:rsidR="008B5901">
        <w:t xml:space="preserve">size </w:t>
      </w:r>
      <w:r w:rsidR="00656481" w:rsidRPr="007A15F6">
        <w:t>of (</w:t>
      </w:r>
      <w:r w:rsidR="00656481" w:rsidRPr="007A15F6">
        <w:rPr>
          <w:i/>
        </w:rPr>
        <w:t>ES</w:t>
      </w:r>
      <w:r w:rsidR="00656481" w:rsidRPr="007A15F6">
        <w:t xml:space="preserve"> = .451, </w:t>
      </w:r>
      <w:r w:rsidR="00656481" w:rsidRPr="007A15F6">
        <w:rPr>
          <w:i/>
        </w:rPr>
        <w:t>CI</w:t>
      </w:r>
      <w:r w:rsidR="00656481" w:rsidRPr="007A15F6">
        <w:t>: .376 - .520,</w:t>
      </w:r>
      <w:r w:rsidR="00656481" w:rsidRPr="007A15F6">
        <w:rPr>
          <w:i/>
        </w:rPr>
        <w:t xml:space="preserve"> p</w:t>
      </w:r>
      <w:r w:rsidR="00E14123" w:rsidRPr="007A15F6">
        <w:rPr>
          <w:i/>
        </w:rPr>
        <w:t xml:space="preserve"> </w:t>
      </w:r>
      <w:r w:rsidR="00656481" w:rsidRPr="007A15F6">
        <w:t>&lt;</w:t>
      </w:r>
      <w:r w:rsidR="00266307">
        <w:t xml:space="preserve"> .</w:t>
      </w:r>
      <w:r w:rsidR="00266307" w:rsidRPr="007A15F6">
        <w:t>001</w:t>
      </w:r>
      <w:r w:rsidR="00656481" w:rsidRPr="007A15F6">
        <w:t>)</w:t>
      </w:r>
      <w:r w:rsidR="00A52D56">
        <w:t xml:space="preserve">. </w:t>
      </w:r>
      <w:r w:rsidR="003A1CA5">
        <w:t xml:space="preserve">Although evidently useful in the diagnosis of dementia, the findings of this chapter do not support its usefulness to measure cognitive performance </w:t>
      </w:r>
      <w:r w:rsidR="003A1CA5" w:rsidRPr="007A15F6">
        <w:t xml:space="preserve">in healthy </w:t>
      </w:r>
      <w:r w:rsidR="003A1CA5">
        <w:t>older adults</w:t>
      </w:r>
      <w:r w:rsidR="003A1CA5" w:rsidRPr="007A15F6">
        <w:t xml:space="preserve">. </w:t>
      </w:r>
      <w:r w:rsidR="00A727D3" w:rsidRPr="007A15F6">
        <w:t xml:space="preserve"> </w:t>
      </w:r>
    </w:p>
    <w:p w:rsidR="00A52D56" w:rsidRDefault="00656481" w:rsidP="005C41B7">
      <w:pPr>
        <w:pStyle w:val="APAPar"/>
      </w:pPr>
      <w:r w:rsidRPr="007A15F6">
        <w:t>Regarding the different assessment types of</w:t>
      </w:r>
      <w:r w:rsidR="00162C8B">
        <w:t xml:space="preserve"> everyday functioning</w:t>
      </w:r>
      <w:r w:rsidRPr="007A15F6">
        <w:t xml:space="preserve"> (i.e., informant-reports, self-reports, and observation-based), the</w:t>
      </w:r>
      <w:r w:rsidR="0005244A">
        <w:t xml:space="preserve"> </w:t>
      </w:r>
      <w:r w:rsidR="0005244A" w:rsidRPr="00D97C60">
        <w:t>findings indicate</w:t>
      </w:r>
      <w:r w:rsidRPr="00D97C60">
        <w:t xml:space="preserve"> that</w:t>
      </w:r>
      <w:r w:rsidRPr="007A15F6">
        <w:t xml:space="preserve"> all produce consistently statistically significant correlation with </w:t>
      </w:r>
      <w:r w:rsidR="00EA0490">
        <w:t>cognitive performance</w:t>
      </w:r>
      <w:r w:rsidRPr="007A15F6">
        <w:t xml:space="preserve">. </w:t>
      </w:r>
      <w:r w:rsidR="00A52D56">
        <w:t>Q</w:t>
      </w:r>
      <w:r w:rsidR="0070579E">
        <w:t xml:space="preserve">uestionnaire based measures </w:t>
      </w:r>
      <w:r w:rsidRPr="007A15F6">
        <w:t xml:space="preserve">were </w:t>
      </w:r>
      <w:r w:rsidR="0070579E">
        <w:t xml:space="preserve">more </w:t>
      </w:r>
      <w:r w:rsidR="0070579E" w:rsidRPr="00D97C60">
        <w:t>frequently</w:t>
      </w:r>
      <w:r w:rsidRPr="00D97C60">
        <w:t xml:space="preserve"> </w:t>
      </w:r>
      <w:r w:rsidR="0005244A" w:rsidRPr="00D97C60">
        <w:t>employed</w:t>
      </w:r>
      <w:r w:rsidR="0005244A">
        <w:t xml:space="preserve"> </w:t>
      </w:r>
      <w:r w:rsidRPr="007A15F6">
        <w:t>than observation-based assessments in the reviewed studies</w:t>
      </w:r>
      <w:r w:rsidR="00A52D56">
        <w:t>, indicating the preference placed in time-efficient measures of everyday functioning</w:t>
      </w:r>
      <w:r w:rsidR="0070579E">
        <w:t>.</w:t>
      </w:r>
      <w:r w:rsidR="00E96C0B" w:rsidRPr="007A15F6">
        <w:t xml:space="preserve"> </w:t>
      </w:r>
      <w:r w:rsidR="00D97C60">
        <w:t>I</w:t>
      </w:r>
      <w:r w:rsidRPr="007A15F6">
        <w:t xml:space="preserve">nformant-reports </w:t>
      </w:r>
      <w:r w:rsidR="00A52D56">
        <w:t xml:space="preserve">measures </w:t>
      </w:r>
      <w:r w:rsidRPr="007A15F6">
        <w:t>had the widest heterogeneity in effect sizes (</w:t>
      </w:r>
      <w:r w:rsidRPr="007A15F6">
        <w:rPr>
          <w:i/>
        </w:rPr>
        <w:t>CI</w:t>
      </w:r>
      <w:r w:rsidRPr="007A15F6">
        <w:t>: .046 - .729)</w:t>
      </w:r>
      <w:r w:rsidR="008C15A9" w:rsidRPr="007A15F6">
        <w:t xml:space="preserve"> and</w:t>
      </w:r>
      <w:r w:rsidR="004A3B1D">
        <w:t xml:space="preserve"> </w:t>
      </w:r>
      <w:r w:rsidRPr="007A15F6">
        <w:t>self-reports</w:t>
      </w:r>
      <w:r w:rsidR="004A3B1D">
        <w:t xml:space="preserve"> had</w:t>
      </w:r>
      <w:r w:rsidRPr="007A15F6">
        <w:t xml:space="preserve"> the weakest effect sizes (</w:t>
      </w:r>
      <w:r w:rsidRPr="007A15F6">
        <w:rPr>
          <w:i/>
        </w:rPr>
        <w:t>CI</w:t>
      </w:r>
      <w:r w:rsidRPr="007A15F6">
        <w:t>: .171 - .435). Observation-based assessments</w:t>
      </w:r>
      <w:r w:rsidR="00816F64" w:rsidRPr="007A15F6">
        <w:t xml:space="preserve"> on the other hand</w:t>
      </w:r>
      <w:r w:rsidRPr="007A15F6">
        <w:t xml:space="preserve"> had the narrowest confidence intervals (</w:t>
      </w:r>
      <w:r w:rsidR="00914A34" w:rsidRPr="007A15F6">
        <w:rPr>
          <w:i/>
        </w:rPr>
        <w:t>CI</w:t>
      </w:r>
      <w:r w:rsidR="00914A34">
        <w:rPr>
          <w:i/>
        </w:rPr>
        <w:t xml:space="preserve">: </w:t>
      </w:r>
      <w:r w:rsidRPr="007A15F6">
        <w:t xml:space="preserve">.326 -.679), indicating that they produce the most consistent and strong association with </w:t>
      </w:r>
      <w:r w:rsidR="004A3B1D">
        <w:t>cognitive performance among cognitively intact older adults</w:t>
      </w:r>
      <w:r w:rsidRPr="007A15F6">
        <w:t>.</w:t>
      </w:r>
      <w:r w:rsidR="008C15A9" w:rsidRPr="007A15F6">
        <w:t xml:space="preserve"> </w:t>
      </w:r>
    </w:p>
    <w:p w:rsidR="000541EA" w:rsidRPr="007A15F6" w:rsidRDefault="00656481" w:rsidP="005C41B7">
      <w:pPr>
        <w:pStyle w:val="APAPar"/>
      </w:pPr>
      <w:r w:rsidRPr="007A15F6">
        <w:t>Given the sma</w:t>
      </w:r>
      <w:r w:rsidR="008C15A9" w:rsidRPr="007A15F6">
        <w:t xml:space="preserve">ll number of studies that used </w:t>
      </w:r>
      <w:r w:rsidRPr="007A15F6">
        <w:t>self-</w:t>
      </w:r>
      <w:r w:rsidR="00B6470B" w:rsidRPr="007A15F6">
        <w:t xml:space="preserve">report and informant-report </w:t>
      </w:r>
      <w:r w:rsidR="00772057" w:rsidRPr="007A15F6">
        <w:t>assessment</w:t>
      </w:r>
      <w:r w:rsidR="004A3B1D">
        <w:t>s</w:t>
      </w:r>
      <w:r w:rsidR="00772057" w:rsidRPr="007A15F6">
        <w:t xml:space="preserve">, a statistical comparison between the </w:t>
      </w:r>
      <w:r w:rsidR="00A52D56">
        <w:t xml:space="preserve">two </w:t>
      </w:r>
      <w:r w:rsidR="00772057" w:rsidRPr="007A15F6">
        <w:t>types o</w:t>
      </w:r>
      <w:r w:rsidR="0005244A">
        <w:t>f assessment (i.e., self-report vs.</w:t>
      </w:r>
      <w:r w:rsidR="00772057" w:rsidRPr="007A15F6">
        <w:t xml:space="preserve"> informant-reports) was</w:t>
      </w:r>
      <w:r w:rsidRPr="007A15F6">
        <w:t xml:space="preserve"> not feasible. </w:t>
      </w:r>
      <w:r w:rsidR="00221665">
        <w:t>But when</w:t>
      </w:r>
      <w:r w:rsidRPr="007A15F6">
        <w:t xml:space="preserve"> self-reports and informant</w:t>
      </w:r>
      <w:r w:rsidR="00221665">
        <w:t>-reports where grouped together (i.e.,</w:t>
      </w:r>
      <w:r w:rsidRPr="007A15F6">
        <w:t xml:space="preserve"> based on the rational that both are questionnaire based</w:t>
      </w:r>
      <w:r w:rsidR="00221665">
        <w:t>) such a comparison was made possible</w:t>
      </w:r>
      <w:r w:rsidRPr="007A15F6">
        <w:t>. A vi</w:t>
      </w:r>
      <w:r w:rsidR="00591E63" w:rsidRPr="007A15F6">
        <w:t xml:space="preserve">sual examination of </w:t>
      </w:r>
      <w:r w:rsidR="00591E63" w:rsidRPr="00D97C60">
        <w:t>T</w:t>
      </w:r>
      <w:r w:rsidRPr="00D97C60">
        <w:t xml:space="preserve">able </w:t>
      </w:r>
      <w:r w:rsidR="00FC0E0F" w:rsidRPr="00D97C60">
        <w:t>4.10</w:t>
      </w:r>
      <w:r w:rsidR="00816F64" w:rsidRPr="007A15F6">
        <w:t xml:space="preserve"> </w:t>
      </w:r>
      <w:r w:rsidRPr="007A15F6">
        <w:t>reveals that observation-based assessmen</w:t>
      </w:r>
      <w:r w:rsidR="00124EBA" w:rsidRPr="007A15F6">
        <w:t>ts produce</w:t>
      </w:r>
      <w:r w:rsidR="008B5901">
        <w:t>d</w:t>
      </w:r>
      <w:r w:rsidR="00124EBA" w:rsidRPr="007A15F6">
        <w:t xml:space="preserve"> higher effect sizes, </w:t>
      </w:r>
      <w:r w:rsidR="0005244A">
        <w:t>suggesting that they are</w:t>
      </w:r>
      <w:r w:rsidR="00124EBA" w:rsidRPr="007A15F6">
        <w:t xml:space="preserve"> </w:t>
      </w:r>
      <w:r w:rsidR="008C15A9" w:rsidRPr="007A15F6">
        <w:t>the most suitable measures</w:t>
      </w:r>
      <w:r w:rsidR="00202B73" w:rsidRPr="007A15F6">
        <w:t xml:space="preserve"> in the healthy spectrum of ageing</w:t>
      </w:r>
      <w:r w:rsidR="00A52D56">
        <w:t xml:space="preserve">. </w:t>
      </w:r>
    </w:p>
    <w:p w:rsidR="00FC0E0F" w:rsidRDefault="00FC0E0F" w:rsidP="00FE028D">
      <w:pPr>
        <w:pStyle w:val="Heading2"/>
      </w:pPr>
      <w:bookmarkStart w:id="113" w:name="_Toc521184203"/>
      <w:r>
        <w:t>Conclusion</w:t>
      </w:r>
      <w:bookmarkEnd w:id="113"/>
    </w:p>
    <w:p w:rsidR="00210436" w:rsidRDefault="00656481" w:rsidP="005C41B7">
      <w:pPr>
        <w:pStyle w:val="APAPar"/>
      </w:pPr>
      <w:r w:rsidRPr="00D97C60">
        <w:t>As a conclusi</w:t>
      </w:r>
      <w:r w:rsidR="000541EA" w:rsidRPr="00D97C60">
        <w:t xml:space="preserve">on, the evidence supports </w:t>
      </w:r>
      <w:r w:rsidR="00FC0E0F" w:rsidRPr="00D97C60">
        <w:t xml:space="preserve">the </w:t>
      </w:r>
      <w:r w:rsidR="00D97C60" w:rsidRPr="00D97C60">
        <w:t>hypothesis</w:t>
      </w:r>
      <w:r w:rsidR="00FC0E0F" w:rsidRPr="00D97C60">
        <w:t xml:space="preserve"> </w:t>
      </w:r>
      <w:r w:rsidR="000541EA" w:rsidRPr="00D97C60">
        <w:t xml:space="preserve">that </w:t>
      </w:r>
      <w:r w:rsidR="005456A8" w:rsidRPr="00D97C60">
        <w:t>cognitive performance and everyday functioning</w:t>
      </w:r>
      <w:r w:rsidR="008C15A9" w:rsidRPr="00D97C60">
        <w:t xml:space="preserve"> </w:t>
      </w:r>
      <w:r w:rsidR="00202B73" w:rsidRPr="00D97C60">
        <w:t>are</w:t>
      </w:r>
      <w:r w:rsidR="008C15A9" w:rsidRPr="00D97C60">
        <w:t xml:space="preserve"> </w:t>
      </w:r>
      <w:r w:rsidRPr="00D97C60">
        <w:t xml:space="preserve">related </w:t>
      </w:r>
      <w:r w:rsidR="00F62257" w:rsidRPr="00D97C60">
        <w:t>among cognitively healthy older adults</w:t>
      </w:r>
      <w:r w:rsidR="006E3BFE" w:rsidRPr="00D97C60">
        <w:t>. This relation</w:t>
      </w:r>
      <w:r w:rsidR="00FC0E0F" w:rsidRPr="00D97C60">
        <w:t>ship</w:t>
      </w:r>
      <w:r w:rsidR="006E3BFE" w:rsidRPr="00D97C60">
        <w:t xml:space="preserve"> appears </w:t>
      </w:r>
      <w:r w:rsidRPr="00D97C60">
        <w:t xml:space="preserve">in </w:t>
      </w:r>
      <w:r w:rsidR="000541EA" w:rsidRPr="00D97C60">
        <w:t>many</w:t>
      </w:r>
      <w:r w:rsidR="006E3BFE" w:rsidRPr="00D97C60">
        <w:t xml:space="preserve"> cognitive domains and </w:t>
      </w:r>
      <w:r w:rsidRPr="00D97C60">
        <w:t xml:space="preserve">seems to </w:t>
      </w:r>
      <w:r w:rsidR="006E3BFE" w:rsidRPr="00D97C60">
        <w:t xml:space="preserve">have a robust moderate strength. </w:t>
      </w:r>
      <w:r w:rsidR="00B6470B" w:rsidRPr="00D97C60">
        <w:t>In this relation</w:t>
      </w:r>
      <w:r w:rsidR="00FC0E0F" w:rsidRPr="00D97C60">
        <w:t>ship</w:t>
      </w:r>
      <w:r w:rsidR="00B6470B" w:rsidRPr="00D97C60">
        <w:t>, a</w:t>
      </w:r>
      <w:r w:rsidR="006E3BFE" w:rsidRPr="00D97C60">
        <w:t>ge and education seem to have a</w:t>
      </w:r>
      <w:r w:rsidR="002458F2" w:rsidRPr="00D97C60">
        <w:t xml:space="preserve"> significant moderation effect, </w:t>
      </w:r>
      <w:r w:rsidR="00921C7F" w:rsidRPr="00D97C60">
        <w:t>indicating</w:t>
      </w:r>
      <w:r w:rsidR="00202B73" w:rsidRPr="00D97C60">
        <w:t xml:space="preserve"> that</w:t>
      </w:r>
      <w:r w:rsidR="00772057" w:rsidRPr="00D97C60">
        <w:t xml:space="preserve"> not</w:t>
      </w:r>
      <w:r w:rsidR="008C15A9" w:rsidRPr="00D97C60">
        <w:t xml:space="preserve"> being test-wise</w:t>
      </w:r>
      <w:r w:rsidR="00202B73" w:rsidRPr="00D97C60">
        <w:t xml:space="preserve"> </w:t>
      </w:r>
      <w:r w:rsidR="00772057" w:rsidRPr="00D97C60">
        <w:t>may augment</w:t>
      </w:r>
      <w:r w:rsidR="00F62257" w:rsidRPr="00D97C60">
        <w:t xml:space="preserve"> or mask</w:t>
      </w:r>
      <w:r w:rsidR="00772057" w:rsidRPr="00D97C60">
        <w:t xml:space="preserve"> the adverse effect of</w:t>
      </w:r>
      <w:r w:rsidR="00921C7F" w:rsidRPr="00D97C60">
        <w:t xml:space="preserve"> </w:t>
      </w:r>
      <w:r w:rsidR="00F62257" w:rsidRPr="00D97C60">
        <w:t>subtle cognitive performance</w:t>
      </w:r>
      <w:r w:rsidR="00202B73" w:rsidRPr="00D97C60">
        <w:t xml:space="preserve"> </w:t>
      </w:r>
      <w:r w:rsidR="00772057" w:rsidRPr="00D97C60">
        <w:t>declines on</w:t>
      </w:r>
      <w:r w:rsidR="00202B73" w:rsidRPr="00D97C60">
        <w:t xml:space="preserve"> </w:t>
      </w:r>
      <w:r w:rsidR="00F62257" w:rsidRPr="00D97C60">
        <w:t>everyday functioning</w:t>
      </w:r>
      <w:r w:rsidR="00202B73" w:rsidRPr="00D97C60">
        <w:t>.</w:t>
      </w:r>
      <w:r w:rsidR="00322317" w:rsidRPr="00D97C60">
        <w:t xml:space="preserve"> </w:t>
      </w:r>
      <w:r w:rsidR="0005244A" w:rsidRPr="00D97C60">
        <w:t>However, this moderation effect was not evident in studies that examined only cognitively intact older adults</w:t>
      </w:r>
      <w:r w:rsidR="009234BE" w:rsidRPr="00D97C60">
        <w:t>.</w:t>
      </w:r>
      <w:r w:rsidR="00202B73" w:rsidRPr="00D97C60">
        <w:t xml:space="preserve"> </w:t>
      </w:r>
      <w:r w:rsidR="009234BE" w:rsidRPr="00D97C60">
        <w:t>In addition, it</w:t>
      </w:r>
      <w:r w:rsidR="009D3BD7" w:rsidRPr="00D97C60">
        <w:t xml:space="preserve"> rema</w:t>
      </w:r>
      <w:r w:rsidR="006912D4" w:rsidRPr="00D97C60">
        <w:t>ins unclear if t</w:t>
      </w:r>
      <w:r w:rsidR="00202B73" w:rsidRPr="00D97C60">
        <w:t>his effect</w:t>
      </w:r>
      <w:r w:rsidR="008C15A9" w:rsidRPr="00D97C60">
        <w:t xml:space="preserve"> </w:t>
      </w:r>
      <w:r w:rsidR="006912D4" w:rsidRPr="00D97C60">
        <w:t>is</w:t>
      </w:r>
      <w:r w:rsidR="003B5460" w:rsidRPr="00D97C60">
        <w:t xml:space="preserve"> </w:t>
      </w:r>
      <w:r w:rsidR="008C15A9" w:rsidRPr="00D97C60">
        <w:t xml:space="preserve">more obvious </w:t>
      </w:r>
      <w:r w:rsidR="006912D4" w:rsidRPr="00D97C60">
        <w:t xml:space="preserve">only </w:t>
      </w:r>
      <w:r w:rsidR="008C15A9" w:rsidRPr="00D97C60">
        <w:t xml:space="preserve">in </w:t>
      </w:r>
      <w:r w:rsidR="00772057" w:rsidRPr="00D97C60">
        <w:t>older</w:t>
      </w:r>
      <w:r w:rsidR="003B5460" w:rsidRPr="00D97C60">
        <w:t xml:space="preserve"> cohorts that have received in average </w:t>
      </w:r>
      <w:r w:rsidR="00772057" w:rsidRPr="00D97C60">
        <w:t>less</w:t>
      </w:r>
      <w:r w:rsidR="00202B73" w:rsidRPr="00D97C60">
        <w:t xml:space="preserve"> </w:t>
      </w:r>
      <w:r w:rsidR="003B5460" w:rsidRPr="00D97C60">
        <w:t>years of education</w:t>
      </w:r>
      <w:r w:rsidRPr="00D97C60">
        <w:t>.</w:t>
      </w:r>
    </w:p>
    <w:p w:rsidR="00FB7C1D" w:rsidRPr="007A15F6" w:rsidRDefault="00202B73" w:rsidP="005C41B7">
      <w:pPr>
        <w:pStyle w:val="APAPar"/>
      </w:pPr>
      <w:r w:rsidRPr="00D97C60">
        <w:t xml:space="preserve">The results also indicate that </w:t>
      </w:r>
      <w:r w:rsidR="00656481" w:rsidRPr="00D97C60">
        <w:t xml:space="preserve">global cognition measures </w:t>
      </w:r>
      <w:r w:rsidRPr="00D97C60">
        <w:t>are</w:t>
      </w:r>
      <w:r w:rsidR="00656481" w:rsidRPr="00D97C60">
        <w:t xml:space="preserve"> valuable predictors of </w:t>
      </w:r>
      <w:r w:rsidR="00210436" w:rsidRPr="00D97C60">
        <w:t>everyday functioning</w:t>
      </w:r>
      <w:r w:rsidRPr="00D97C60">
        <w:t xml:space="preserve"> in the healthy spectrum of cognitive </w:t>
      </w:r>
      <w:r w:rsidR="00210436" w:rsidRPr="00D97C60">
        <w:t>performance</w:t>
      </w:r>
      <w:r w:rsidRPr="00D97C60">
        <w:t>,</w:t>
      </w:r>
      <w:r w:rsidR="009234BE" w:rsidRPr="00D97C60">
        <w:t xml:space="preserve"> </w:t>
      </w:r>
      <w:r w:rsidR="0005244A" w:rsidRPr="00D97C60">
        <w:t>with no such</w:t>
      </w:r>
      <w:r w:rsidR="00A52D56" w:rsidRPr="00D97C60">
        <w:t xml:space="preserve"> support being offered to</w:t>
      </w:r>
      <w:r w:rsidR="003B5460" w:rsidRPr="00D97C60">
        <w:t xml:space="preserve"> </w:t>
      </w:r>
      <w:r w:rsidR="00656481" w:rsidRPr="00D97C60">
        <w:t xml:space="preserve">the </w:t>
      </w:r>
      <w:r w:rsidR="00E9241A" w:rsidRPr="00D97C60">
        <w:t xml:space="preserve">widely used screening instrument </w:t>
      </w:r>
      <w:r w:rsidR="00656481" w:rsidRPr="00D97C60">
        <w:t xml:space="preserve">MMSE (Bradey &amp; Calloway, 1990). </w:t>
      </w:r>
      <w:r w:rsidRPr="00D97C60">
        <w:t xml:space="preserve">In addition, the evidence </w:t>
      </w:r>
      <w:r w:rsidR="00921C7F" w:rsidRPr="00D97C60">
        <w:t>indicates</w:t>
      </w:r>
      <w:r w:rsidRPr="00D97C60">
        <w:t xml:space="preserve"> that o</w:t>
      </w:r>
      <w:r w:rsidR="00656481" w:rsidRPr="00D97C60">
        <w:t xml:space="preserve">bservation-based </w:t>
      </w:r>
      <w:r w:rsidR="00210436" w:rsidRPr="00D97C60">
        <w:t>everyday functioning</w:t>
      </w:r>
      <w:r w:rsidR="00656481" w:rsidRPr="00D97C60">
        <w:t xml:space="preserve"> </w:t>
      </w:r>
      <w:r w:rsidR="008C15A9" w:rsidRPr="00D97C60">
        <w:t>measures</w:t>
      </w:r>
      <w:r w:rsidR="00656481" w:rsidRPr="00D97C60">
        <w:t xml:space="preserve"> may</w:t>
      </w:r>
      <w:r w:rsidR="00E9241A" w:rsidRPr="00D97C60">
        <w:t xml:space="preserve"> </w:t>
      </w:r>
      <w:r w:rsidR="00656481" w:rsidRPr="00D97C60">
        <w:t xml:space="preserve">be </w:t>
      </w:r>
      <w:r w:rsidR="00772057" w:rsidRPr="00D97C60">
        <w:t>better</w:t>
      </w:r>
      <w:r w:rsidR="00656481" w:rsidRPr="00D97C60">
        <w:t xml:space="preserve"> in</w:t>
      </w:r>
      <w:r w:rsidR="008C15A9" w:rsidRPr="00D97C60">
        <w:t xml:space="preserve"> assessing </w:t>
      </w:r>
      <w:r w:rsidR="00656481" w:rsidRPr="00D97C60">
        <w:t xml:space="preserve">cognitively healthy </w:t>
      </w:r>
      <w:r w:rsidR="00210436" w:rsidRPr="00D97C60">
        <w:t>older adults</w:t>
      </w:r>
      <w:r w:rsidR="00656481" w:rsidRPr="00D97C60">
        <w:t xml:space="preserve">, as they </w:t>
      </w:r>
      <w:r w:rsidR="0005244A" w:rsidRPr="00D97C60">
        <w:t xml:space="preserve">show a stronger correlation </w:t>
      </w:r>
      <w:r w:rsidR="00D72C81" w:rsidRPr="00D97C60">
        <w:t>with performance in</w:t>
      </w:r>
      <w:r w:rsidR="007B6A75" w:rsidRPr="00D97C60">
        <w:t xml:space="preserve"> neuropsy</w:t>
      </w:r>
      <w:r w:rsidR="00E9241A" w:rsidRPr="00D97C60">
        <w:t>chological assessments</w:t>
      </w:r>
      <w:r w:rsidR="0043334E" w:rsidRPr="00D97C60">
        <w:t>.</w:t>
      </w:r>
    </w:p>
    <w:p w:rsidR="0005244A" w:rsidRDefault="00FB7C1D" w:rsidP="005C41B7">
      <w:pPr>
        <w:pStyle w:val="APAPar"/>
      </w:pPr>
      <w:r w:rsidRPr="00D97C60">
        <w:t>The</w:t>
      </w:r>
      <w:r w:rsidR="00921C7F" w:rsidRPr="00D97C60">
        <w:t xml:space="preserve"> findings </w:t>
      </w:r>
      <w:r w:rsidR="007B6A75" w:rsidRPr="00D97C60">
        <w:t>of this c</w:t>
      </w:r>
      <w:r w:rsidRPr="00D97C60">
        <w:t xml:space="preserve">hapter </w:t>
      </w:r>
      <w:r w:rsidR="00921C7F" w:rsidRPr="00D97C60">
        <w:t>w</w:t>
      </w:r>
      <w:r w:rsidRPr="00D97C60">
        <w:t>ere</w:t>
      </w:r>
      <w:r w:rsidR="00921C7F" w:rsidRPr="00D97C60">
        <w:t xml:space="preserve"> used as a guide </w:t>
      </w:r>
      <w:r w:rsidRPr="00D97C60">
        <w:t xml:space="preserve">in this thesis for the selection of </w:t>
      </w:r>
      <w:r w:rsidR="0043334E" w:rsidRPr="00D97C60">
        <w:t>neuropsychological and</w:t>
      </w:r>
      <w:r w:rsidRPr="00D97C60">
        <w:t xml:space="preserve"> </w:t>
      </w:r>
      <w:r w:rsidR="0043334E" w:rsidRPr="00D97C60">
        <w:t xml:space="preserve">everyday functioning </w:t>
      </w:r>
      <w:r w:rsidR="00C7370F" w:rsidRPr="00D97C60">
        <w:t>assessments</w:t>
      </w:r>
      <w:r w:rsidR="00A52D56" w:rsidRPr="00D97C60">
        <w:t xml:space="preserve"> in the empirical part.</w:t>
      </w:r>
      <w:r w:rsidRPr="00D97C60">
        <w:t xml:space="preserve"> </w:t>
      </w:r>
      <w:r w:rsidR="00A52D56" w:rsidRPr="00D97C60">
        <w:t xml:space="preserve">The </w:t>
      </w:r>
      <w:r w:rsidRPr="00D97C60">
        <w:t xml:space="preserve">confidence of </w:t>
      </w:r>
      <w:r w:rsidR="00C7370F" w:rsidRPr="00D97C60">
        <w:t>selecting</w:t>
      </w:r>
      <w:r w:rsidRPr="00D97C60">
        <w:t xml:space="preserve"> assessment tools that are sensitive enough to capture </w:t>
      </w:r>
      <w:r w:rsidR="006232CB" w:rsidRPr="00D97C60">
        <w:t xml:space="preserve">functional </w:t>
      </w:r>
      <w:r w:rsidRPr="00D97C60">
        <w:t xml:space="preserve">performance </w:t>
      </w:r>
      <w:r w:rsidR="00C7370F" w:rsidRPr="00D97C60">
        <w:t xml:space="preserve">among </w:t>
      </w:r>
      <w:r w:rsidR="006232CB" w:rsidRPr="00D97C60">
        <w:t>cognitive</w:t>
      </w:r>
      <w:r w:rsidR="00C7370F" w:rsidRPr="00D97C60">
        <w:t xml:space="preserve"> healthy older adults </w:t>
      </w:r>
      <w:r w:rsidR="00A52D56" w:rsidRPr="00D97C60">
        <w:t xml:space="preserve">leans </w:t>
      </w:r>
      <w:r w:rsidR="00D604ED" w:rsidRPr="00D97C60">
        <w:t>towa</w:t>
      </w:r>
      <w:r w:rsidR="006232CB" w:rsidRPr="00D97C60">
        <w:t>r</w:t>
      </w:r>
      <w:r w:rsidR="00D604ED" w:rsidRPr="00D97C60">
        <w:t>d</w:t>
      </w:r>
      <w:r w:rsidR="006232CB" w:rsidRPr="00D97C60">
        <w:t>s the observation-based IADLs</w:t>
      </w:r>
      <w:r w:rsidRPr="00D97C60">
        <w:t xml:space="preserve">. </w:t>
      </w:r>
      <w:r w:rsidR="0005244A" w:rsidRPr="00D97C60">
        <w:t>Therefore, the next chapter is devoted to process followed for the translation and cultural adaptation to Greece of two IADL measures, observation-based and test-based</w:t>
      </w:r>
      <w:r w:rsidR="00826666" w:rsidRPr="00D97C60">
        <w:t>, specifically for</w:t>
      </w:r>
      <w:r w:rsidR="0005244A" w:rsidRPr="00D97C60">
        <w:t xml:space="preserve"> the purpose</w:t>
      </w:r>
      <w:r w:rsidR="00826666" w:rsidRPr="00D97C60">
        <w:t>s of this research</w:t>
      </w:r>
      <w:r w:rsidR="0005244A" w:rsidRPr="00D97C60">
        <w:t>.</w:t>
      </w:r>
    </w:p>
    <w:p w:rsidR="00C943EF" w:rsidRPr="007A15F6" w:rsidRDefault="00C943EF" w:rsidP="005C41B7">
      <w:pPr>
        <w:pStyle w:val="APAPar"/>
      </w:pPr>
      <w:r w:rsidRPr="007A15F6">
        <w:br w:type="page"/>
      </w:r>
    </w:p>
    <w:p w:rsidR="00647651" w:rsidRPr="00CF7468" w:rsidRDefault="00640C1B" w:rsidP="00640C1B">
      <w:pPr>
        <w:pStyle w:val="Heading0"/>
      </w:pPr>
      <w:bookmarkStart w:id="114" w:name="_Toc414007098"/>
      <w:bookmarkStart w:id="115" w:name="_Toc373425967"/>
      <w:bookmarkStart w:id="116" w:name="_Toc521184204"/>
      <w:r w:rsidRPr="00CF7468">
        <w:t xml:space="preserve">CHAPTER </w:t>
      </w:r>
      <w:r w:rsidR="00A829CB">
        <w:t xml:space="preserve"> </w:t>
      </w:r>
      <w:r w:rsidRPr="00CF7468">
        <w:t>5</w:t>
      </w:r>
      <w:bookmarkEnd w:id="114"/>
      <w:r w:rsidRPr="00CF7468">
        <w:t xml:space="preserve"> </w:t>
      </w:r>
      <w:r>
        <w:t xml:space="preserve"> THE </w:t>
      </w:r>
      <w:r w:rsidRPr="00CF7468">
        <w:t xml:space="preserve">EVERYDAY PROBLEM TEST AND </w:t>
      </w:r>
      <w:r>
        <w:t xml:space="preserve">THE </w:t>
      </w:r>
      <w:r w:rsidRPr="00CF7468">
        <w:t>OBSERVED TASKS OF DAILY LIVING</w:t>
      </w:r>
      <w:bookmarkEnd w:id="115"/>
      <w:bookmarkEnd w:id="116"/>
    </w:p>
    <w:p w:rsidR="00FB7C1D" w:rsidRPr="007A15F6" w:rsidRDefault="00FB7C1D" w:rsidP="00FE028D">
      <w:pPr>
        <w:pStyle w:val="Heading2"/>
      </w:pPr>
      <w:bookmarkStart w:id="117" w:name="_Toc373425968"/>
      <w:bookmarkStart w:id="118" w:name="_Toc521184205"/>
      <w:r w:rsidRPr="007A15F6">
        <w:t>Introduction</w:t>
      </w:r>
      <w:bookmarkEnd w:id="117"/>
      <w:bookmarkEnd w:id="118"/>
    </w:p>
    <w:p w:rsidR="0060479E" w:rsidRDefault="00851504" w:rsidP="005C41B7">
      <w:pPr>
        <w:pStyle w:val="APAPar"/>
        <w:rPr>
          <w:bCs/>
        </w:rPr>
      </w:pPr>
      <w:r>
        <w:t>It was argued in this thesis that</w:t>
      </w:r>
      <w:r w:rsidRPr="007A15F6">
        <w:t xml:space="preserve"> IADL</w:t>
      </w:r>
      <w:r>
        <w:t xml:space="preserve"> measures</w:t>
      </w:r>
      <w:r w:rsidRPr="007A15F6">
        <w:t xml:space="preserve"> might be useful in </w:t>
      </w:r>
      <w:r>
        <w:t xml:space="preserve">examining the </w:t>
      </w:r>
      <w:r w:rsidR="002D6D26">
        <w:t>healthy</w:t>
      </w:r>
      <w:r>
        <w:t xml:space="preserve"> spectrum of cognitive </w:t>
      </w:r>
      <w:r w:rsidR="002D6D26">
        <w:t xml:space="preserve">performance, because they are more sensitive to capture the effects of subtle cognitive decrements on </w:t>
      </w:r>
      <w:r w:rsidRPr="007A15F6">
        <w:t xml:space="preserve">functional decline. </w:t>
      </w:r>
      <w:r w:rsidR="003C7F6A">
        <w:t xml:space="preserve">Such tools are </w:t>
      </w:r>
      <w:r w:rsidR="00192464">
        <w:t>important</w:t>
      </w:r>
      <w:r w:rsidR="003C7F6A">
        <w:t xml:space="preserve"> for the purposes of this thesis, as</w:t>
      </w:r>
      <w:r w:rsidR="00917382">
        <w:t xml:space="preserve"> </w:t>
      </w:r>
      <w:r w:rsidR="00D25FE4">
        <w:t xml:space="preserve">the underlying research questions </w:t>
      </w:r>
      <w:r w:rsidR="00192464">
        <w:t>requires the examination of</w:t>
      </w:r>
      <w:r w:rsidR="00917382">
        <w:t xml:space="preserve"> both cognitive performance and everyday functioning among cognitively healthy older adults in Greece. </w:t>
      </w:r>
      <w:r w:rsidR="005E1CD2">
        <w:t xml:space="preserve"> Yet, </w:t>
      </w:r>
      <w:r w:rsidRPr="007A15F6">
        <w:t>the available tools for assessing</w:t>
      </w:r>
      <w:r w:rsidR="00596CA2">
        <w:t xml:space="preserve"> everyday</w:t>
      </w:r>
      <w:r w:rsidRPr="007A15F6">
        <w:t xml:space="preserve"> </w:t>
      </w:r>
      <w:r w:rsidR="007E6DB1">
        <w:t>functioning</w:t>
      </w:r>
      <w:r w:rsidRPr="007A15F6">
        <w:t xml:space="preserve"> in Greece are </w:t>
      </w:r>
      <w:r w:rsidR="005E1CD2">
        <w:t xml:space="preserve">mostly ADL measures, </w:t>
      </w:r>
      <w:r w:rsidR="00192464">
        <w:t>such as</w:t>
      </w:r>
      <w:r w:rsidR="005E1CD2">
        <w:t xml:space="preserve"> </w:t>
      </w:r>
      <w:r w:rsidRPr="007A15F6">
        <w:t>the Greek versions of the Oswerty and Ronald Morris Disability Questionaire (Boskainos et al., 2003), the Bath Ankylosing Functional Index, (</w:t>
      </w:r>
      <w:r w:rsidR="005E1CD2">
        <w:t xml:space="preserve">Chatzitheodorou et al., 2007), and </w:t>
      </w:r>
      <w:r w:rsidR="00192464">
        <w:t>t</w:t>
      </w:r>
      <w:r w:rsidRPr="007A15F6">
        <w:t xml:space="preserve">he </w:t>
      </w:r>
      <w:r w:rsidR="00192464">
        <w:rPr>
          <w:bCs/>
        </w:rPr>
        <w:t>Functional Cognitive Assessment S</w:t>
      </w:r>
      <w:r w:rsidRPr="007A15F6">
        <w:rPr>
          <w:bCs/>
        </w:rPr>
        <w:t>ca</w:t>
      </w:r>
      <w:r w:rsidR="005E1CD2">
        <w:rPr>
          <w:bCs/>
        </w:rPr>
        <w:t xml:space="preserve">le (FUCAS; Kounti et al., 2006). </w:t>
      </w:r>
    </w:p>
    <w:p w:rsidR="000C0CB3" w:rsidRDefault="005E1CD2" w:rsidP="005C41B7">
      <w:pPr>
        <w:pStyle w:val="APAPar"/>
      </w:pPr>
      <w:r>
        <w:rPr>
          <w:bCs/>
        </w:rPr>
        <w:t xml:space="preserve">The only </w:t>
      </w:r>
      <w:r w:rsidR="00851504" w:rsidRPr="007A15F6">
        <w:t>IADL</w:t>
      </w:r>
      <w:r>
        <w:t xml:space="preserve"> measure </w:t>
      </w:r>
      <w:r w:rsidR="00E102A0">
        <w:t xml:space="preserve">available </w:t>
      </w:r>
      <w:r w:rsidR="00596CA2">
        <w:t>to examine Greek older adults</w:t>
      </w:r>
      <w:r w:rsidR="00E94487">
        <w:t>’ everyday functioning</w:t>
      </w:r>
      <w:r w:rsidR="00E102A0">
        <w:t xml:space="preserve"> is the translated version of the Lawton </w:t>
      </w:r>
      <w:r w:rsidR="007F4BBB">
        <w:t>and Broady (1969) questionnaire</w:t>
      </w:r>
      <w:r w:rsidR="00574D37">
        <w:t>, a tool</w:t>
      </w:r>
      <w:r w:rsidR="00E102A0">
        <w:t xml:space="preserve"> that can be used either as a </w:t>
      </w:r>
      <w:r w:rsidR="00D17628">
        <w:t xml:space="preserve">self-report or as </w:t>
      </w:r>
      <w:r w:rsidR="007F4BBB">
        <w:t>an</w:t>
      </w:r>
      <w:r w:rsidR="00192464">
        <w:t xml:space="preserve"> informant-report</w:t>
      </w:r>
      <w:r w:rsidR="00D17628">
        <w:t xml:space="preserve"> assessment</w:t>
      </w:r>
      <w:r w:rsidR="007F4BBB">
        <w:t xml:space="preserve"> </w:t>
      </w:r>
      <w:r w:rsidR="00851504" w:rsidRPr="007A15F6">
        <w:t xml:space="preserve">(Mystakidou et al., 2013). </w:t>
      </w:r>
      <w:r w:rsidR="009E75B8">
        <w:t xml:space="preserve">It has been suggested though that </w:t>
      </w:r>
      <w:r w:rsidR="005625C0">
        <w:t xml:space="preserve">a </w:t>
      </w:r>
      <w:r w:rsidR="006054DE">
        <w:t>questionnaire based assessment</w:t>
      </w:r>
      <w:r w:rsidR="009E75B8">
        <w:rPr>
          <w:lang w:val="en-US"/>
        </w:rPr>
        <w:t>s</w:t>
      </w:r>
      <w:r w:rsidR="009E75B8" w:rsidRPr="009E75B8">
        <w:rPr>
          <w:lang w:val="en-US"/>
        </w:rPr>
        <w:t xml:space="preserve"> </w:t>
      </w:r>
      <w:r w:rsidR="005625C0">
        <w:t>may be</w:t>
      </w:r>
      <w:r w:rsidR="00AF1CA2">
        <w:t xml:space="preserve"> susceptible to self-se</w:t>
      </w:r>
      <w:r w:rsidR="0060479E">
        <w:t xml:space="preserve">rving or overestimation biases </w:t>
      </w:r>
      <w:r w:rsidR="00AF1CA2">
        <w:t>(Diehl et al., 2005).</w:t>
      </w:r>
      <w:r w:rsidR="0065593D">
        <w:t xml:space="preserve"> These</w:t>
      </w:r>
      <w:r w:rsidR="0060479E">
        <w:t xml:space="preserve"> </w:t>
      </w:r>
      <w:r w:rsidR="009E75B8">
        <w:t>conclusions were further supported</w:t>
      </w:r>
      <w:r w:rsidR="0060479E">
        <w:t xml:space="preserve"> by the results of the meta-analysis</w:t>
      </w:r>
      <w:r w:rsidR="0065593D">
        <w:t xml:space="preserve"> conducted and described</w:t>
      </w:r>
      <w:r w:rsidR="00FA06BD">
        <w:t xml:space="preserve"> in the previous C</w:t>
      </w:r>
      <w:r w:rsidR="0065593D">
        <w:t xml:space="preserve">hapter, which illustrated that observation based instruments may be </w:t>
      </w:r>
      <w:r w:rsidR="009816BD">
        <w:t xml:space="preserve">comparatively </w:t>
      </w:r>
      <w:r w:rsidR="0065593D">
        <w:t>more useful in the examination of cognitively healthy</w:t>
      </w:r>
      <w:r w:rsidR="00087847">
        <w:t xml:space="preserve"> older adults, </w:t>
      </w:r>
      <w:r w:rsidR="00192464">
        <w:t xml:space="preserve">having </w:t>
      </w:r>
      <w:r w:rsidR="003C2149">
        <w:t>narrower confidence intervals and stronger correlations with cognitive perform</w:t>
      </w:r>
      <w:r w:rsidR="00192464">
        <w:t>ance</w:t>
      </w:r>
      <w:r w:rsidR="008C1A6E">
        <w:t xml:space="preserve">. </w:t>
      </w:r>
      <w:r w:rsidR="00192464">
        <w:t xml:space="preserve">Hence, the </w:t>
      </w:r>
      <w:r w:rsidR="008C1A6E">
        <w:t>emergent</w:t>
      </w:r>
      <w:r w:rsidR="00C80B9F">
        <w:t xml:space="preserve"> </w:t>
      </w:r>
      <w:r w:rsidR="00192464">
        <w:t>gap in the literature</w:t>
      </w:r>
      <w:r w:rsidR="008C1A6E">
        <w:t xml:space="preserve"> </w:t>
      </w:r>
      <w:r w:rsidR="00C80B9F">
        <w:t xml:space="preserve">is that no </w:t>
      </w:r>
      <w:r w:rsidR="008C1A6E">
        <w:t>observation-based assessment tool for IADL is available</w:t>
      </w:r>
      <w:r w:rsidR="009816BD">
        <w:t xml:space="preserve"> in Greek</w:t>
      </w:r>
      <w:r w:rsidR="00A74F1A">
        <w:t>, although valuable for the examination of everyday day functioning among Greek older adults</w:t>
      </w:r>
      <w:r w:rsidR="008C1A6E">
        <w:t xml:space="preserve">. </w:t>
      </w:r>
      <w:r w:rsidR="00192464">
        <w:t>T</w:t>
      </w:r>
      <w:r w:rsidR="008C1A6E">
        <w:t xml:space="preserve">he </w:t>
      </w:r>
      <w:r w:rsidR="000C4DE3">
        <w:t xml:space="preserve">selection, </w:t>
      </w:r>
      <w:r w:rsidR="008C1A6E">
        <w:t xml:space="preserve">translation and cultural adaptation of </w:t>
      </w:r>
      <w:r w:rsidR="00A74F1A">
        <w:t xml:space="preserve">two </w:t>
      </w:r>
      <w:r w:rsidR="000C4DE3">
        <w:t>observation-based</w:t>
      </w:r>
      <w:r w:rsidR="008C1A6E">
        <w:t xml:space="preserve"> </w:t>
      </w:r>
      <w:r w:rsidR="000C4DE3">
        <w:t xml:space="preserve">IADL assessments </w:t>
      </w:r>
      <w:r w:rsidR="00A74F1A">
        <w:t>are</w:t>
      </w:r>
      <w:r w:rsidR="00FA06BD">
        <w:t xml:space="preserve"> described in this C</w:t>
      </w:r>
      <w:r w:rsidR="000C4DE3">
        <w:t>hapter.</w:t>
      </w:r>
      <w:r w:rsidR="00765F16">
        <w:t xml:space="preserve"> </w:t>
      </w:r>
    </w:p>
    <w:p w:rsidR="000C0CB3" w:rsidRDefault="00BD7A20" w:rsidP="0091167E">
      <w:pPr>
        <w:pStyle w:val="Heading3"/>
      </w:pPr>
      <w:bookmarkStart w:id="119" w:name="_Toc521184206"/>
      <w:r>
        <w:t>Selection of everyday f</w:t>
      </w:r>
      <w:r w:rsidR="000C0CB3">
        <w:t>unctioning tools</w:t>
      </w:r>
      <w:bookmarkEnd w:id="119"/>
    </w:p>
    <w:p w:rsidR="003D6644" w:rsidRDefault="00647651" w:rsidP="005C41B7">
      <w:pPr>
        <w:pStyle w:val="APAPar"/>
      </w:pPr>
      <w:r w:rsidRPr="007A15F6">
        <w:t xml:space="preserve">Moore et al. (2007) </w:t>
      </w:r>
      <w:r w:rsidR="00A26F48">
        <w:t>reviewed the literature</w:t>
      </w:r>
      <w:r w:rsidR="009A2087">
        <w:t xml:space="preserve"> </w:t>
      </w:r>
      <w:r w:rsidR="00A33E33">
        <w:t xml:space="preserve">on </w:t>
      </w:r>
      <w:r w:rsidR="00A33E33" w:rsidRPr="007A15F6">
        <w:t>performance based measures of functional living skills</w:t>
      </w:r>
      <w:r w:rsidR="00A33E33">
        <w:t xml:space="preserve">, and </w:t>
      </w:r>
      <w:r w:rsidRPr="007A15F6">
        <w:t>proposed that the Everyday Problem Test (EPT; Willis et al., 2006), the Observed Task of Daily Living (OTDL</w:t>
      </w:r>
      <w:r w:rsidR="006C090F" w:rsidRPr="007A15F6">
        <w:t xml:space="preserve">; Diehl, Willis, &amp; Shaie, 1995), as well as </w:t>
      </w:r>
      <w:r w:rsidRPr="007A15F6">
        <w:t>the Independent Living Scale (ILS; Loeb, 1996)</w:t>
      </w:r>
      <w:r w:rsidR="006C090F" w:rsidRPr="007A15F6">
        <w:t>,</w:t>
      </w:r>
      <w:r w:rsidRPr="007A15F6">
        <w:t xml:space="preserve"> are the most appropriate </w:t>
      </w:r>
      <w:r w:rsidR="009C72EA">
        <w:t xml:space="preserve">everyday functioning </w:t>
      </w:r>
      <w:r w:rsidRPr="007A15F6">
        <w:t xml:space="preserve">assessment tools </w:t>
      </w:r>
      <w:r w:rsidR="00F648C6">
        <w:t xml:space="preserve">for </w:t>
      </w:r>
      <w:r w:rsidR="00BF5EF3">
        <w:t>research purposes among healthy older adults</w:t>
      </w:r>
      <w:r w:rsidR="00F648C6">
        <w:t xml:space="preserve">. </w:t>
      </w:r>
      <w:r w:rsidRPr="007A15F6">
        <w:t>They commented that these tools are sensitive and have unambiguous standardization sample</w:t>
      </w:r>
      <w:r w:rsidR="003C2149">
        <w:t>s and good psychometric support</w:t>
      </w:r>
      <w:r w:rsidR="003D6644" w:rsidRPr="007A15F6">
        <w:t xml:space="preserve">. </w:t>
      </w:r>
      <w:r w:rsidR="009E75B8">
        <w:t>T</w:t>
      </w:r>
      <w:r w:rsidRPr="007A15F6">
        <w:t xml:space="preserve">he ILS (Loeb, 1996) and the OTDL (Diehl et al., 2005) are </w:t>
      </w:r>
      <w:r w:rsidR="00B175B3">
        <w:t xml:space="preserve">observation-based </w:t>
      </w:r>
      <w:r w:rsidRPr="007A15F6">
        <w:t>measures</w:t>
      </w:r>
      <w:r w:rsidR="00063E0A">
        <w:t>,</w:t>
      </w:r>
      <w:r w:rsidRPr="007A15F6">
        <w:t xml:space="preserve"> where participants have to react to several real-world material and stimuli. </w:t>
      </w:r>
      <w:r w:rsidR="009E75B8">
        <w:t>That is</w:t>
      </w:r>
      <w:r w:rsidRPr="007A15F6">
        <w:t xml:space="preserve">, they are asked </w:t>
      </w:r>
      <w:r w:rsidR="00315E5E" w:rsidRPr="007A15F6">
        <w:t xml:space="preserve">to </w:t>
      </w:r>
      <w:r w:rsidRPr="007A15F6">
        <w:t>carry out a number of tasks</w:t>
      </w:r>
      <w:r w:rsidR="00315E5E" w:rsidRPr="007A15F6">
        <w:t xml:space="preserve">, </w:t>
      </w:r>
      <w:r w:rsidR="00480AF2" w:rsidRPr="007A15F6">
        <w:t>wherea</w:t>
      </w:r>
      <w:r w:rsidR="00480AF2">
        <w:t xml:space="preserve">s </w:t>
      </w:r>
      <w:r w:rsidRPr="007A15F6">
        <w:t xml:space="preserve">the examiner observes and </w:t>
      </w:r>
      <w:r w:rsidR="00B175B3">
        <w:t>scores</w:t>
      </w:r>
      <w:r w:rsidRPr="007A15F6">
        <w:t xml:space="preserve"> their behaviour in a structured manner.</w:t>
      </w:r>
      <w:r w:rsidR="00214BA2">
        <w:t xml:space="preserve"> </w:t>
      </w:r>
      <w:r w:rsidR="00214BA2" w:rsidRPr="007A15F6">
        <w:t xml:space="preserve"> </w:t>
      </w:r>
    </w:p>
    <w:p w:rsidR="00BF4477" w:rsidRDefault="00214BA2" w:rsidP="005C41B7">
      <w:pPr>
        <w:pStyle w:val="APAPar"/>
      </w:pPr>
      <w:r>
        <w:t>As the</w:t>
      </w:r>
      <w:r w:rsidR="00B14077">
        <w:t xml:space="preserve"> ILS is a pay-to-use instrument</w:t>
      </w:r>
      <w:r>
        <w:t xml:space="preserve"> it was not considered </w:t>
      </w:r>
      <w:r w:rsidR="00B175B3">
        <w:t>further for</w:t>
      </w:r>
      <w:r>
        <w:t xml:space="preserve"> this thesis</w:t>
      </w:r>
      <w:r w:rsidR="00B175B3">
        <w:t>,</w:t>
      </w:r>
      <w:r>
        <w:t xml:space="preserve"> due to </w:t>
      </w:r>
      <w:r w:rsidR="00192464">
        <w:t xml:space="preserve">the </w:t>
      </w:r>
      <w:r w:rsidR="00B14077">
        <w:rPr>
          <w:lang w:val="en-US"/>
        </w:rPr>
        <w:t xml:space="preserve">lack of </w:t>
      </w:r>
      <w:r>
        <w:t>resources</w:t>
      </w:r>
      <w:r w:rsidR="00B14077">
        <w:t xml:space="preserve"> </w:t>
      </w:r>
      <w:r w:rsidR="00A74F1A">
        <w:t>available for the purposes of this</w:t>
      </w:r>
      <w:r w:rsidR="00192464">
        <w:t xml:space="preserve"> </w:t>
      </w:r>
      <w:r w:rsidR="00B14077">
        <w:t>research</w:t>
      </w:r>
      <w:r w:rsidR="002F7640">
        <w:t>.</w:t>
      </w:r>
      <w:r w:rsidR="002D6E11">
        <w:t xml:space="preserve"> The OTDL</w:t>
      </w:r>
      <w:r w:rsidR="0020502D">
        <w:t xml:space="preserve"> (Diehl, Willis, &amp; Shaie, 1995)</w:t>
      </w:r>
      <w:r w:rsidR="004F7195">
        <w:t xml:space="preserve"> </w:t>
      </w:r>
      <w:r w:rsidR="00632EA2">
        <w:t>on the other hand is</w:t>
      </w:r>
      <w:r w:rsidR="0020502D">
        <w:t xml:space="preserve"> a free-to-use instrument</w:t>
      </w:r>
      <w:r w:rsidR="00F81DEE">
        <w:t xml:space="preserve">, with </w:t>
      </w:r>
      <w:r w:rsidR="002F7640" w:rsidRPr="007A15F6">
        <w:t>administration instructions and training videos</w:t>
      </w:r>
      <w:r w:rsidR="008340A3">
        <w:t xml:space="preserve"> </w:t>
      </w:r>
      <w:r w:rsidR="00350CE9">
        <w:t>available</w:t>
      </w:r>
      <w:r w:rsidR="002D6E11">
        <w:t xml:space="preserve"> </w:t>
      </w:r>
      <w:r w:rsidR="00A74F1A">
        <w:t xml:space="preserve">that can be used online as a self-study material </w:t>
      </w:r>
      <w:r w:rsidR="00F81DEE" w:rsidRPr="007A15F6">
        <w:t>(http://www.phhp.ufl.edu/marsiskelab/otdl/otdl.html)</w:t>
      </w:r>
      <w:r w:rsidR="00A74F1A">
        <w:t>.</w:t>
      </w:r>
      <w:r w:rsidR="0020502D">
        <w:t xml:space="preserve"> </w:t>
      </w:r>
      <w:r w:rsidR="0093573D">
        <w:t xml:space="preserve">The </w:t>
      </w:r>
      <w:r w:rsidR="00192464">
        <w:t xml:space="preserve">first version of the </w:t>
      </w:r>
      <w:r w:rsidR="00601D23" w:rsidRPr="007A15F6">
        <w:t>OTDL</w:t>
      </w:r>
      <w:r w:rsidR="00601D23">
        <w:t xml:space="preserve"> instrument</w:t>
      </w:r>
      <w:r w:rsidR="00DE0EE9">
        <w:t xml:space="preserve"> contain</w:t>
      </w:r>
      <w:r w:rsidR="00A74F1A">
        <w:t>s</w:t>
      </w:r>
      <w:r w:rsidR="00601D23">
        <w:t xml:space="preserve"> 31 </w:t>
      </w:r>
      <w:r w:rsidR="00282F67">
        <w:t>tasks</w:t>
      </w:r>
      <w:r w:rsidR="0023470D">
        <w:t xml:space="preserve"> asking fr</w:t>
      </w:r>
      <w:r w:rsidR="007F3B67">
        <w:t>om the participants to identify,</w:t>
      </w:r>
      <w:r w:rsidR="0023470D">
        <w:t xml:space="preserve"> or</w:t>
      </w:r>
      <w:r w:rsidR="007F3B67">
        <w:t xml:space="preserve"> to generate, a solution for prototypical problems </w:t>
      </w:r>
      <w:r w:rsidR="00A74F1A">
        <w:t>encountered in daily life</w:t>
      </w:r>
      <w:r w:rsidR="007F3B67">
        <w:t xml:space="preserve">. </w:t>
      </w:r>
      <w:r w:rsidR="00A7259B">
        <w:t xml:space="preserve">The instrument </w:t>
      </w:r>
      <w:r w:rsidR="00601D23" w:rsidRPr="007A15F6">
        <w:t>was later revised</w:t>
      </w:r>
      <w:r w:rsidR="00324B38">
        <w:t xml:space="preserve"> </w:t>
      </w:r>
      <w:r w:rsidR="00601D23" w:rsidRPr="007A15F6">
        <w:t>in a shorter version</w:t>
      </w:r>
      <w:r w:rsidR="00BF21D4">
        <w:t xml:space="preserve"> (from 31 to 9 tasks)</w:t>
      </w:r>
      <w:r w:rsidR="00601D23" w:rsidRPr="007A15F6">
        <w:t>, called the OTD</w:t>
      </w:r>
      <w:r w:rsidR="00601D23">
        <w:t>L-Revised</w:t>
      </w:r>
      <w:r w:rsidR="00A7259B">
        <w:t xml:space="preserve">, in order to have </w:t>
      </w:r>
      <w:r w:rsidR="00DE0EE9">
        <w:t>a shorter time of administration</w:t>
      </w:r>
      <w:r w:rsidR="00601D23">
        <w:t xml:space="preserve"> </w:t>
      </w:r>
      <w:r w:rsidR="0020502D">
        <w:t xml:space="preserve">in the context of the ACTIVE study </w:t>
      </w:r>
      <w:r w:rsidR="00601D23">
        <w:t>(Diehl et al., 2005).</w:t>
      </w:r>
      <w:r w:rsidR="00ED2827">
        <w:t xml:space="preserve"> </w:t>
      </w:r>
    </w:p>
    <w:p w:rsidR="00AA6248" w:rsidRDefault="00ED2827" w:rsidP="005C41B7">
      <w:pPr>
        <w:pStyle w:val="APAPar"/>
      </w:pPr>
      <w:r>
        <w:t xml:space="preserve">The </w:t>
      </w:r>
      <w:r w:rsidR="00192464">
        <w:t>OTDL-R</w:t>
      </w:r>
      <w:r>
        <w:t xml:space="preserve"> </w:t>
      </w:r>
      <w:r w:rsidR="0093573D">
        <w:t xml:space="preserve">examines the ability of </w:t>
      </w:r>
      <w:r w:rsidR="00BF36C1">
        <w:t xml:space="preserve">cognitively intact older adults </w:t>
      </w:r>
      <w:r w:rsidR="006D39F4">
        <w:t>to</w:t>
      </w:r>
      <w:r w:rsidR="00BF36C1">
        <w:t xml:space="preserve"> </w:t>
      </w:r>
      <w:r w:rsidR="006D39F4">
        <w:t>carry out</w:t>
      </w:r>
      <w:r w:rsidR="0093573D">
        <w:t xml:space="preserve"> </w:t>
      </w:r>
      <w:r w:rsidR="002C6141">
        <w:t>3</w:t>
      </w:r>
      <w:r w:rsidR="00163593">
        <w:t xml:space="preserve"> tasks in medication handling, 3</w:t>
      </w:r>
      <w:r w:rsidR="002C6141">
        <w:t xml:space="preserve"> tasks in telephone handling, and 3 tasks in handling finances. </w:t>
      </w:r>
      <w:r w:rsidR="00BF4477">
        <w:t xml:space="preserve">The respective tasks are </w:t>
      </w:r>
      <w:r w:rsidR="00BF36C1">
        <w:t xml:space="preserve">i) </w:t>
      </w:r>
      <w:r w:rsidR="00BF4477" w:rsidRPr="00BF4477">
        <w:rPr>
          <w:lang w:val="en-US"/>
        </w:rPr>
        <w:t>following medicine label directions, understanding an aspirin leaflet, and</w:t>
      </w:r>
      <w:r w:rsidR="00BF4477">
        <w:rPr>
          <w:lang w:val="en-US"/>
        </w:rPr>
        <w:t xml:space="preserve"> </w:t>
      </w:r>
      <w:r w:rsidR="00BF4477" w:rsidRPr="00BF4477">
        <w:rPr>
          <w:lang w:val="en-US"/>
        </w:rPr>
        <w:t>completing a patient record form</w:t>
      </w:r>
      <w:r w:rsidR="00596A23">
        <w:rPr>
          <w:lang w:val="en-US"/>
        </w:rPr>
        <w:t xml:space="preserve"> </w:t>
      </w:r>
      <w:r w:rsidR="00BF4477">
        <w:rPr>
          <w:lang w:val="en-US"/>
        </w:rPr>
        <w:t xml:space="preserve">(for medication </w:t>
      </w:r>
      <w:r w:rsidR="00BF36C1">
        <w:rPr>
          <w:lang w:val="en-US"/>
        </w:rPr>
        <w:t>handling)</w:t>
      </w:r>
      <w:r w:rsidR="009E75B8">
        <w:rPr>
          <w:lang w:val="en-US"/>
        </w:rPr>
        <w:t>;</w:t>
      </w:r>
      <w:r w:rsidR="00BF36C1">
        <w:rPr>
          <w:lang w:val="en-US"/>
        </w:rPr>
        <w:t xml:space="preserve"> ii)</w:t>
      </w:r>
      <w:r w:rsidR="00BF4477" w:rsidRPr="00BF4477">
        <w:rPr>
          <w:lang w:val="en-US"/>
        </w:rPr>
        <w:t xml:space="preserve"> finding and dialing a number from the yellow</w:t>
      </w:r>
      <w:r w:rsidR="00596A23">
        <w:rPr>
          <w:lang w:val="en-US"/>
        </w:rPr>
        <w:t xml:space="preserve"> </w:t>
      </w:r>
      <w:r w:rsidR="00BF4477" w:rsidRPr="00BF4477">
        <w:rPr>
          <w:lang w:val="en-US"/>
        </w:rPr>
        <w:t>pages, finding and dialing a number from a directory of social service resources from the phonebook, using a rate d</w:t>
      </w:r>
      <w:r w:rsidR="00596A23">
        <w:rPr>
          <w:lang w:val="en-US"/>
        </w:rPr>
        <w:t>iscount chart from a phone book (for telephone handling),</w:t>
      </w:r>
      <w:r w:rsidR="00BF4477" w:rsidRPr="00BF4477">
        <w:rPr>
          <w:lang w:val="en-US"/>
        </w:rPr>
        <w:t xml:space="preserve"> and</w:t>
      </w:r>
      <w:r w:rsidR="00406903">
        <w:rPr>
          <w:lang w:val="en-US"/>
        </w:rPr>
        <w:t xml:space="preserve"> iii)</w:t>
      </w:r>
      <w:r w:rsidR="00BF4477" w:rsidRPr="00BF4477">
        <w:rPr>
          <w:lang w:val="en-US"/>
        </w:rPr>
        <w:t xml:space="preserve"> making</w:t>
      </w:r>
      <w:r w:rsidR="00596A23">
        <w:rPr>
          <w:lang w:val="en-US"/>
        </w:rPr>
        <w:t xml:space="preserve"> </w:t>
      </w:r>
      <w:r w:rsidR="00BF4477" w:rsidRPr="00BF4477">
        <w:rPr>
          <w:lang w:val="en-US"/>
        </w:rPr>
        <w:t>change with co</w:t>
      </w:r>
      <w:r w:rsidR="00FA06BD">
        <w:rPr>
          <w:lang w:val="en-US"/>
        </w:rPr>
        <w:t>i</w:t>
      </w:r>
      <w:r w:rsidR="006D39F4">
        <w:rPr>
          <w:lang w:val="en-US"/>
        </w:rPr>
        <w:t>ns and bills, balancing a check</w:t>
      </w:r>
      <w:r w:rsidR="00FA06BD">
        <w:rPr>
          <w:lang w:val="en-US"/>
        </w:rPr>
        <w:t xml:space="preserve"> </w:t>
      </w:r>
      <w:r w:rsidR="00BF4477" w:rsidRPr="00BF4477">
        <w:rPr>
          <w:lang w:val="en-US"/>
        </w:rPr>
        <w:t>book, paying a</w:t>
      </w:r>
      <w:r w:rsidR="006D39F4">
        <w:rPr>
          <w:lang w:val="en-US"/>
        </w:rPr>
        <w:t>n</w:t>
      </w:r>
      <w:r w:rsidR="00BF4477" w:rsidRPr="00BF4477">
        <w:rPr>
          <w:lang w:val="en-US"/>
        </w:rPr>
        <w:t xml:space="preserve"> utility bill with a check </w:t>
      </w:r>
      <w:r w:rsidR="00D4451F">
        <w:rPr>
          <w:lang w:val="en-US"/>
        </w:rPr>
        <w:t>an</w:t>
      </w:r>
      <w:r w:rsidR="00103848">
        <w:rPr>
          <w:lang w:val="en-US"/>
        </w:rPr>
        <w:t>d</w:t>
      </w:r>
      <w:r w:rsidR="00D4451F">
        <w:rPr>
          <w:lang w:val="en-US"/>
        </w:rPr>
        <w:t xml:space="preserve"> </w:t>
      </w:r>
      <w:r w:rsidR="00BF4477" w:rsidRPr="00BF4477">
        <w:rPr>
          <w:lang w:val="en-US"/>
        </w:rPr>
        <w:t>mailing it</w:t>
      </w:r>
      <w:r w:rsidR="00D4451F">
        <w:rPr>
          <w:lang w:val="en-US"/>
        </w:rPr>
        <w:t xml:space="preserve"> (for finance handling</w:t>
      </w:r>
      <w:r w:rsidR="00BF4477" w:rsidRPr="00BF4477">
        <w:rPr>
          <w:lang w:val="en-US"/>
        </w:rPr>
        <w:t>).</w:t>
      </w:r>
      <w:r w:rsidR="00D4451F">
        <w:rPr>
          <w:lang w:val="en-US"/>
        </w:rPr>
        <w:t xml:space="preserve"> </w:t>
      </w:r>
      <w:r w:rsidR="00163593">
        <w:t xml:space="preserve">In Appendix II, the testing booklet of the </w:t>
      </w:r>
      <w:r w:rsidR="00406903">
        <w:t>OTDL-R</w:t>
      </w:r>
      <w:r w:rsidR="00163593">
        <w:t xml:space="preserve"> </w:t>
      </w:r>
      <w:r w:rsidR="00406903">
        <w:t>along with</w:t>
      </w:r>
      <w:r w:rsidR="00D079B0">
        <w:t xml:space="preserve"> some of t</w:t>
      </w:r>
      <w:r w:rsidR="00374D8D">
        <w:t xml:space="preserve">he </w:t>
      </w:r>
      <w:r w:rsidR="00A040CD">
        <w:t>material used during th</w:t>
      </w:r>
      <w:r w:rsidR="00E71B0F">
        <w:t>e</w:t>
      </w:r>
      <w:r w:rsidR="00374D8D">
        <w:t xml:space="preserve"> assessment</w:t>
      </w:r>
      <w:r w:rsidR="00403FC8">
        <w:t xml:space="preserve"> can be found</w:t>
      </w:r>
      <w:r w:rsidR="00A74F1A">
        <w:t xml:space="preserve"> (i.e., an actual phone device is used as well)</w:t>
      </w:r>
      <w:r w:rsidR="00374D8D">
        <w:t>.</w:t>
      </w:r>
    </w:p>
    <w:p w:rsidR="001816DC" w:rsidRDefault="00E71B0F" w:rsidP="005C41B7">
      <w:pPr>
        <w:pStyle w:val="APAPar"/>
        <w:rPr>
          <w:lang w:val="en-US"/>
        </w:rPr>
      </w:pPr>
      <w:r>
        <w:t>In past studies</w:t>
      </w:r>
      <w:r w:rsidR="00AA6248">
        <w:t xml:space="preserve">, </w:t>
      </w:r>
      <w:r w:rsidR="000969FA">
        <w:t xml:space="preserve">older adults' </w:t>
      </w:r>
      <w:r w:rsidR="00871EC2">
        <w:t>performance in the 3 domains of the OTDL-R was</w:t>
      </w:r>
      <w:r w:rsidR="00BF36C1">
        <w:t xml:space="preserve"> correlated</w:t>
      </w:r>
      <w:r w:rsidR="00A74F1A">
        <w:t xml:space="preserve"> moderate</w:t>
      </w:r>
      <w:r w:rsidR="00F66DD1">
        <w:t xml:space="preserve"> to strongly</w:t>
      </w:r>
      <w:r w:rsidR="00BF36C1">
        <w:t xml:space="preserve">, leading the authors to suggest </w:t>
      </w:r>
      <w:r w:rsidR="009A2AB9">
        <w:t>the uni</w:t>
      </w:r>
      <w:r w:rsidR="00EE29EC">
        <w:t xml:space="preserve">-dimensionality of the measure. </w:t>
      </w:r>
      <w:r w:rsidR="00103848">
        <w:t xml:space="preserve">In addition, </w:t>
      </w:r>
      <w:r w:rsidR="00103848">
        <w:rPr>
          <w:lang w:val="en-US"/>
        </w:rPr>
        <w:t>t</w:t>
      </w:r>
      <w:r w:rsidR="0054246A">
        <w:rPr>
          <w:lang w:val="en-US"/>
        </w:rPr>
        <w:t>he OTDL-R</w:t>
      </w:r>
      <w:r w:rsidR="00212809">
        <w:rPr>
          <w:lang w:val="en-US"/>
        </w:rPr>
        <w:t xml:space="preserve"> correlated moderately </w:t>
      </w:r>
      <w:r w:rsidR="00190113">
        <w:rPr>
          <w:lang w:val="en-US"/>
        </w:rPr>
        <w:t xml:space="preserve">with </w:t>
      </w:r>
      <w:r w:rsidR="00190113" w:rsidRPr="00190113">
        <w:rPr>
          <w:lang w:val="en-US"/>
        </w:rPr>
        <w:t xml:space="preserve">cognitive </w:t>
      </w:r>
      <w:r w:rsidR="00190113">
        <w:rPr>
          <w:lang w:val="en-US"/>
        </w:rPr>
        <w:t xml:space="preserve">performance </w:t>
      </w:r>
      <w:r w:rsidR="00776C46">
        <w:rPr>
          <w:lang w:val="en-US"/>
        </w:rPr>
        <w:t xml:space="preserve">in </w:t>
      </w:r>
      <w:r w:rsidR="003E7208">
        <w:rPr>
          <w:lang w:val="en-US"/>
        </w:rPr>
        <w:t xml:space="preserve">various </w:t>
      </w:r>
      <w:r w:rsidR="00776C46">
        <w:rPr>
          <w:lang w:val="en-US"/>
        </w:rPr>
        <w:t xml:space="preserve">neuropsychological assessments </w:t>
      </w:r>
      <w:r w:rsidR="003E7208">
        <w:rPr>
          <w:lang w:val="en-US"/>
        </w:rPr>
        <w:t xml:space="preserve">(i.e., </w:t>
      </w:r>
      <w:r w:rsidR="00190113" w:rsidRPr="00190113">
        <w:rPr>
          <w:lang w:val="en-US"/>
        </w:rPr>
        <w:t>verbal ability, memory,</w:t>
      </w:r>
      <w:r w:rsidR="00190113">
        <w:rPr>
          <w:lang w:val="en-US"/>
        </w:rPr>
        <w:t xml:space="preserve"> </w:t>
      </w:r>
      <w:r w:rsidR="00190113" w:rsidRPr="00190113">
        <w:rPr>
          <w:lang w:val="en-US"/>
        </w:rPr>
        <w:t>inductive r</w:t>
      </w:r>
      <w:r w:rsidR="00EE29EC">
        <w:rPr>
          <w:lang w:val="en-US"/>
        </w:rPr>
        <w:t>easoning, and perceptual speed</w:t>
      </w:r>
      <w:r w:rsidR="000146C8">
        <w:rPr>
          <w:lang w:val="en-US"/>
        </w:rPr>
        <w:t>)</w:t>
      </w:r>
      <w:r w:rsidR="009F1610">
        <w:rPr>
          <w:lang w:val="en-US"/>
        </w:rPr>
        <w:t>, self-reported health</w:t>
      </w:r>
      <w:r w:rsidR="00A74F1A">
        <w:rPr>
          <w:lang w:val="en-US"/>
        </w:rPr>
        <w:t>, age</w:t>
      </w:r>
      <w:r w:rsidR="000146C8">
        <w:rPr>
          <w:lang w:val="en-US"/>
        </w:rPr>
        <w:t xml:space="preserve"> and education,</w:t>
      </w:r>
      <w:r w:rsidR="003E7208">
        <w:rPr>
          <w:lang w:val="en-US"/>
        </w:rPr>
        <w:t xml:space="preserve"> </w:t>
      </w:r>
      <w:r w:rsidR="00212809">
        <w:rPr>
          <w:lang w:val="en-US"/>
        </w:rPr>
        <w:t>as well as</w:t>
      </w:r>
      <w:r w:rsidR="000146C8">
        <w:rPr>
          <w:lang w:val="en-US"/>
        </w:rPr>
        <w:t xml:space="preserve"> </w:t>
      </w:r>
      <w:r w:rsidR="00EF7466">
        <w:rPr>
          <w:lang w:val="en-US"/>
        </w:rPr>
        <w:t>weak</w:t>
      </w:r>
      <w:r w:rsidR="00212809">
        <w:rPr>
          <w:lang w:val="en-US"/>
        </w:rPr>
        <w:t>ly</w:t>
      </w:r>
      <w:r w:rsidR="00EF7466">
        <w:rPr>
          <w:lang w:val="en-US"/>
        </w:rPr>
        <w:t xml:space="preserve"> with </w:t>
      </w:r>
      <w:r w:rsidR="00103848">
        <w:rPr>
          <w:lang w:val="en-US"/>
        </w:rPr>
        <w:t xml:space="preserve">the </w:t>
      </w:r>
      <w:r w:rsidR="00D777B3">
        <w:rPr>
          <w:lang w:val="en-US"/>
        </w:rPr>
        <w:t xml:space="preserve">IADL </w:t>
      </w:r>
      <w:r w:rsidR="00103848">
        <w:rPr>
          <w:lang w:val="en-US"/>
        </w:rPr>
        <w:t>measure</w:t>
      </w:r>
      <w:r w:rsidR="00D777B3">
        <w:rPr>
          <w:lang w:val="en-US"/>
        </w:rPr>
        <w:t xml:space="preserve"> </w:t>
      </w:r>
      <w:r w:rsidR="00103848">
        <w:rPr>
          <w:lang w:val="en-US"/>
        </w:rPr>
        <w:t>of Lawton and Broady (</w:t>
      </w:r>
      <w:r w:rsidR="00D777B3">
        <w:rPr>
          <w:lang w:val="en-US"/>
        </w:rPr>
        <w:t>1969)</w:t>
      </w:r>
      <w:r w:rsidR="00BD7CA4">
        <w:rPr>
          <w:lang w:val="en-US"/>
        </w:rPr>
        <w:t>. These correlations</w:t>
      </w:r>
      <w:r w:rsidR="00A60469">
        <w:rPr>
          <w:lang w:val="en-US"/>
        </w:rPr>
        <w:t xml:space="preserve"> were highlighted as </w:t>
      </w:r>
      <w:r w:rsidR="00B15BD9">
        <w:rPr>
          <w:lang w:val="en-US"/>
        </w:rPr>
        <w:t xml:space="preserve">a typical pattern of </w:t>
      </w:r>
      <w:r w:rsidR="00103848">
        <w:rPr>
          <w:lang w:val="en-US"/>
        </w:rPr>
        <w:t>contingency</w:t>
      </w:r>
      <w:r w:rsidR="00722E4A">
        <w:rPr>
          <w:lang w:val="en-US"/>
        </w:rPr>
        <w:t xml:space="preserve"> (</w:t>
      </w:r>
      <w:r w:rsidR="00A74F1A">
        <w:rPr>
          <w:lang w:val="en-US"/>
        </w:rPr>
        <w:t xml:space="preserve">i.e., regarded as a </w:t>
      </w:r>
      <w:r w:rsidR="00722E4A">
        <w:rPr>
          <w:lang w:val="en-US"/>
        </w:rPr>
        <w:t>criterion related validity)</w:t>
      </w:r>
      <w:r w:rsidR="00A60469">
        <w:rPr>
          <w:lang w:val="en-US"/>
        </w:rPr>
        <w:t xml:space="preserve"> seen in the discourse </w:t>
      </w:r>
      <w:r w:rsidR="00655594">
        <w:rPr>
          <w:lang w:val="en-US"/>
        </w:rPr>
        <w:t>of cognitive ageing (Diehl et al., 2005)</w:t>
      </w:r>
      <w:r w:rsidR="003E7208">
        <w:rPr>
          <w:lang w:val="en-US"/>
        </w:rPr>
        <w:t xml:space="preserve">. </w:t>
      </w:r>
      <w:r w:rsidR="009F1610">
        <w:t>As a</w:t>
      </w:r>
      <w:r w:rsidR="006D39F4">
        <w:t>n</w:t>
      </w:r>
      <w:r w:rsidR="009F1610">
        <w:t xml:space="preserve"> uni-dimensional measure, the OTDL-R exhibited a satisfactory internal consistency </w:t>
      </w:r>
      <w:r w:rsidR="009F1610" w:rsidRPr="00655594">
        <w:rPr>
          <w:i/>
        </w:rPr>
        <w:t>a</w:t>
      </w:r>
      <w:r w:rsidR="009F1610">
        <w:rPr>
          <w:vertAlign w:val="superscript"/>
        </w:rPr>
        <w:t xml:space="preserve"> </w:t>
      </w:r>
      <w:r w:rsidR="009F1610">
        <w:t>= .82</w:t>
      </w:r>
      <w:r w:rsidR="009F1610">
        <w:rPr>
          <w:lang w:val="en-US"/>
        </w:rPr>
        <w:t>, however, no test-re</w:t>
      </w:r>
      <w:r w:rsidR="00892A70">
        <w:rPr>
          <w:lang w:val="en-US"/>
        </w:rPr>
        <w:t>te</w:t>
      </w:r>
      <w:r w:rsidR="009F1610">
        <w:rPr>
          <w:lang w:val="en-US"/>
        </w:rPr>
        <w:t xml:space="preserve">st reliability was reported for the revised version (Diehl et al., 2005), nor for the initial OTDL measure (Diehl et al., 1995), </w:t>
      </w:r>
      <w:r w:rsidR="00BD7CA4">
        <w:rPr>
          <w:lang w:val="en-US"/>
        </w:rPr>
        <w:t xml:space="preserve">nor </w:t>
      </w:r>
      <w:r w:rsidR="009F1610">
        <w:rPr>
          <w:lang w:val="en-US"/>
        </w:rPr>
        <w:t>in the articles that used this instrument thereafter (e.g., Ball et al., 2002; Willis et al., 2006)</w:t>
      </w:r>
      <w:r w:rsidR="00103848">
        <w:rPr>
          <w:lang w:val="en-US"/>
        </w:rPr>
        <w:t xml:space="preserve"> in the context of the ACTIVE study</w:t>
      </w:r>
      <w:r w:rsidR="009F1610">
        <w:rPr>
          <w:lang w:val="en-US"/>
        </w:rPr>
        <w:t xml:space="preserve">. </w:t>
      </w:r>
    </w:p>
    <w:p w:rsidR="00CA18E4" w:rsidRDefault="00647651" w:rsidP="005C41B7">
      <w:pPr>
        <w:pStyle w:val="APAPar"/>
      </w:pPr>
      <w:r w:rsidRPr="007A15F6">
        <w:t xml:space="preserve">The EPT is a paper-and-pencil test that measures adults’ ability to solve everyday tasks </w:t>
      </w:r>
      <w:r w:rsidR="0079563C" w:rsidRPr="007A15F6">
        <w:t xml:space="preserve">in a paper-and-pencil form </w:t>
      </w:r>
      <w:r w:rsidRPr="007A15F6">
        <w:t xml:space="preserve">(Marsiske &amp; Willis, 1995; Willis, 1990). </w:t>
      </w:r>
      <w:r w:rsidR="00A74F1A">
        <w:t>Participants are expected to react to</w:t>
      </w:r>
      <w:r w:rsidR="007F72A9">
        <w:t xml:space="preserve"> everyday tasks </w:t>
      </w:r>
      <w:r w:rsidR="00A74F1A">
        <w:t>of</w:t>
      </w:r>
      <w:r w:rsidR="007F72A9">
        <w:t xml:space="preserve"> shopping, telephone use, driving, medication handling, finance handling, </w:t>
      </w:r>
      <w:r w:rsidR="005146FC">
        <w:t>nutrition, and commuting.</w:t>
      </w:r>
      <w:r w:rsidR="00435736">
        <w:t xml:space="preserve"> </w:t>
      </w:r>
      <w:r w:rsidRPr="007A15F6">
        <w:t xml:space="preserve">Over the years, the test </w:t>
      </w:r>
      <w:r w:rsidR="00A25698">
        <w:t xml:space="preserve">was </w:t>
      </w:r>
      <w:r w:rsidRPr="007A15F6">
        <w:t>developed in four versions; the 84-item and the 48-item (Willis, 1990), the 32-item (Willis, 1993), and the 28-item version (Willis</w:t>
      </w:r>
      <w:r w:rsidR="00D31552" w:rsidRPr="007A15F6">
        <w:t xml:space="preserve"> et al.</w:t>
      </w:r>
      <w:r w:rsidRPr="007A15F6">
        <w:t>, 2006).</w:t>
      </w:r>
      <w:r w:rsidR="00CD774A">
        <w:t xml:space="preserve"> </w:t>
      </w:r>
      <w:r w:rsidR="00E81AB5">
        <w:t>The last version was developed in t</w:t>
      </w:r>
      <w:r w:rsidR="001928DA">
        <w:t>he context of the ACTIVE study</w:t>
      </w:r>
      <w:r w:rsidR="001B364D">
        <w:t xml:space="preserve"> in order to shorten the administration time needed</w:t>
      </w:r>
      <w:r w:rsidR="00FF648C">
        <w:t xml:space="preserve"> (Klimber, 2013)</w:t>
      </w:r>
      <w:r w:rsidR="001B364D">
        <w:t xml:space="preserve">. </w:t>
      </w:r>
      <w:r w:rsidR="0040216E">
        <w:t>The EPT 28-items was used in this thesis because i</w:t>
      </w:r>
      <w:r w:rsidR="005146FC">
        <w:t>s cost-free to use, along with</w:t>
      </w:r>
      <w:r w:rsidR="0040216E">
        <w:t xml:space="preserve"> </w:t>
      </w:r>
      <w:r w:rsidR="00D650AD">
        <w:t xml:space="preserve">the availability of a </w:t>
      </w:r>
      <w:r w:rsidR="0040216E">
        <w:t>detailed sco</w:t>
      </w:r>
      <w:r w:rsidR="00435736">
        <w:t xml:space="preserve">ring and training manual online </w:t>
      </w:r>
      <w:r w:rsidR="00435736" w:rsidRPr="007A15F6">
        <w:t>(</w:t>
      </w:r>
      <w:r w:rsidR="00435736" w:rsidRPr="00435736">
        <w:t>https://sharepoint.washington.edu/uwsom/sls/</w:t>
      </w:r>
      <w:r w:rsidR="00435736">
        <w:t xml:space="preserve"> </w:t>
      </w:r>
      <w:r w:rsidR="00435736" w:rsidRPr="007A15F6">
        <w:t>Documents/Manual%20EPT%20Cg</w:t>
      </w:r>
      <w:r w:rsidR="00435736">
        <w:t>n%20 Chal%20Elderly%20copy.pdf).</w:t>
      </w:r>
      <w:r w:rsidR="00B14077">
        <w:t xml:space="preserve"> Appendix III contains</w:t>
      </w:r>
      <w:r w:rsidR="00435736" w:rsidRPr="00CC43D5">
        <w:t xml:space="preserve"> the testing booklet of the EPT-G.</w:t>
      </w:r>
      <w:r w:rsidR="00435736" w:rsidRPr="007A15F6">
        <w:t xml:space="preserve"> </w:t>
      </w:r>
    </w:p>
    <w:p w:rsidR="00647651" w:rsidRPr="00CA18E4" w:rsidRDefault="002C3F15" w:rsidP="005C41B7">
      <w:pPr>
        <w:pStyle w:val="APAPar"/>
      </w:pPr>
      <w:r>
        <w:t xml:space="preserve">Performance in </w:t>
      </w:r>
      <w:r w:rsidR="00D650AD">
        <w:t xml:space="preserve">the </w:t>
      </w:r>
      <w:r>
        <w:t>EPT</w:t>
      </w:r>
      <w:r w:rsidR="00F5165A">
        <w:t xml:space="preserve"> 28-items</w:t>
      </w:r>
      <w:r>
        <w:t xml:space="preserve"> </w:t>
      </w:r>
      <w:r w:rsidR="009E75B8">
        <w:t>has been</w:t>
      </w:r>
      <w:r w:rsidR="0067358F">
        <w:t xml:space="preserve"> correlated </w:t>
      </w:r>
      <w:r w:rsidR="00D13B17">
        <w:t xml:space="preserve">weakly </w:t>
      </w:r>
      <w:r w:rsidR="0067358F">
        <w:t>with scores in the IADL measure of Lawton and Broady (1969),</w:t>
      </w:r>
      <w:r w:rsidR="00E244F5">
        <w:t xml:space="preserve"> and </w:t>
      </w:r>
      <w:r w:rsidR="00C87997">
        <w:t xml:space="preserve">strongly with performance in </w:t>
      </w:r>
      <w:r w:rsidR="004769EB">
        <w:t>the OTDL-R. It provided moderate correlations</w:t>
      </w:r>
      <w:r w:rsidR="00E244F5">
        <w:t xml:space="preserve"> with </w:t>
      </w:r>
      <w:r w:rsidR="00C87997">
        <w:t>neuropsychological asse</w:t>
      </w:r>
      <w:r w:rsidR="00B35922">
        <w:t>ssments of inductive reasoning</w:t>
      </w:r>
      <w:r w:rsidR="004769EB">
        <w:t xml:space="preserve"> and</w:t>
      </w:r>
      <w:r w:rsidR="00B35922">
        <w:t xml:space="preserve"> </w:t>
      </w:r>
      <w:r w:rsidR="00976FD9">
        <w:t xml:space="preserve">with age </w:t>
      </w:r>
      <w:r w:rsidR="004428A9">
        <w:t>(Klimber, 2013).</w:t>
      </w:r>
      <w:r w:rsidR="00F5165A">
        <w:t xml:space="preserve"> No test-retest reliability </w:t>
      </w:r>
      <w:r w:rsidR="00410824">
        <w:t>and</w:t>
      </w:r>
      <w:r w:rsidR="00F5165A">
        <w:t xml:space="preserve"> internal consistency was reported</w:t>
      </w:r>
      <w:r w:rsidR="00CD4373">
        <w:t xml:space="preserve"> for this instrument</w:t>
      </w:r>
      <w:r w:rsidR="00410824">
        <w:t xml:space="preserve">, </w:t>
      </w:r>
      <w:r w:rsidR="00E01A2D">
        <w:t>nor</w:t>
      </w:r>
      <w:r w:rsidR="00410824">
        <w:t xml:space="preserve"> </w:t>
      </w:r>
      <w:r w:rsidR="00A74F1A">
        <w:t>was a correlation analysis with education</w:t>
      </w:r>
      <w:r w:rsidR="00E01A2D">
        <w:t xml:space="preserve"> performed</w:t>
      </w:r>
      <w:r w:rsidR="004769EB">
        <w:t xml:space="preserve"> in the study of Klimber (2013)</w:t>
      </w:r>
      <w:r w:rsidR="00410824">
        <w:t>. P</w:t>
      </w:r>
      <w:r w:rsidR="00CD4373">
        <w:t>revious publications for the 32 items version</w:t>
      </w:r>
      <w:r w:rsidR="004769EB">
        <w:t xml:space="preserve"> of the EPT</w:t>
      </w:r>
      <w:r w:rsidR="00410824">
        <w:t xml:space="preserve"> </w:t>
      </w:r>
      <w:r w:rsidR="00CD4373">
        <w:t>reported</w:t>
      </w:r>
      <w:r w:rsidR="00410824">
        <w:t xml:space="preserve"> a t</w:t>
      </w:r>
      <w:r w:rsidR="00EB523D">
        <w:t>w</w:t>
      </w:r>
      <w:r w:rsidR="00410824">
        <w:t>o</w:t>
      </w:r>
      <w:r w:rsidR="00EB523D">
        <w:t xml:space="preserve"> months test-retest reliability index of </w:t>
      </w:r>
      <w:r w:rsidR="00EB523D" w:rsidRPr="00EB523D">
        <w:rPr>
          <w:i/>
        </w:rPr>
        <w:t>r</w:t>
      </w:r>
      <w:r w:rsidR="00E01A2D">
        <w:t xml:space="preserve"> = .94</w:t>
      </w:r>
      <w:r w:rsidR="001C3A87">
        <w:t xml:space="preserve">, an internal consistency of </w:t>
      </w:r>
      <w:r w:rsidR="001C3A87" w:rsidRPr="001C3A87">
        <w:rPr>
          <w:i/>
        </w:rPr>
        <w:t>a</w:t>
      </w:r>
      <w:r w:rsidR="001C3A87">
        <w:t xml:space="preserve"> = .84</w:t>
      </w:r>
      <w:r w:rsidR="00E01A2D">
        <w:t xml:space="preserve"> and a moderate statistically significant correlation</w:t>
      </w:r>
      <w:r w:rsidR="001C3A87">
        <w:t xml:space="preserve"> (</w:t>
      </w:r>
      <w:r w:rsidR="001C3A87" w:rsidRPr="001C3A87">
        <w:rPr>
          <w:i/>
        </w:rPr>
        <w:t xml:space="preserve">r </w:t>
      </w:r>
      <w:r w:rsidR="001C3A87">
        <w:t>= .49)</w:t>
      </w:r>
      <w:r w:rsidR="00E01A2D">
        <w:t xml:space="preserve"> with education </w:t>
      </w:r>
      <w:r w:rsidR="004B7090">
        <w:t xml:space="preserve">(Willis, 1993). </w:t>
      </w:r>
    </w:p>
    <w:p w:rsidR="00BD7A20" w:rsidRDefault="00BD7A20" w:rsidP="0091167E">
      <w:pPr>
        <w:pStyle w:val="Heading3"/>
      </w:pPr>
      <w:bookmarkStart w:id="120" w:name="_Toc521184207"/>
      <w:r>
        <w:t>Cultural adaptation and translation</w:t>
      </w:r>
      <w:r w:rsidR="00D5346A">
        <w:t xml:space="preserve"> of the OTDL-R and the EPT 28-items version</w:t>
      </w:r>
      <w:bookmarkEnd w:id="120"/>
      <w:r w:rsidR="00381F97">
        <w:t xml:space="preserve"> </w:t>
      </w:r>
    </w:p>
    <w:p w:rsidR="005010DF" w:rsidRDefault="00DF2F93" w:rsidP="005C41B7">
      <w:pPr>
        <w:pStyle w:val="APAPar"/>
      </w:pPr>
      <w:r>
        <w:t>The translation and cultural adaptation of an instrument is not a simple process (Nor</w:t>
      </w:r>
      <w:r w:rsidR="00435989">
        <w:t>din, Elf, McKee, &amp; Wijk, 2015). Still,</w:t>
      </w:r>
      <w:r>
        <w:t xml:space="preserve"> developing a new instrument requires a volume of work that exceeds the capacity of resources available for this thesis</w:t>
      </w:r>
      <w:r w:rsidR="00435989">
        <w:t>, and therefore, a</w:t>
      </w:r>
      <w:r w:rsidR="00FE1E7F" w:rsidRPr="007A15F6">
        <w:t xml:space="preserve"> translation and </w:t>
      </w:r>
      <w:r w:rsidR="006F1B18">
        <w:t>cultural adaptation</w:t>
      </w:r>
      <w:r w:rsidR="00FE1E7F" w:rsidRPr="007A15F6">
        <w:t xml:space="preserve"> of the OTDL-</w:t>
      </w:r>
      <w:r w:rsidR="006F1B18">
        <w:t>R and the EPT 28-items version</w:t>
      </w:r>
      <w:r w:rsidR="00435989">
        <w:t xml:space="preserve"> was preferred</w:t>
      </w:r>
      <w:r w:rsidR="00FE1E7F" w:rsidRPr="007A15F6">
        <w:t xml:space="preserve">. </w:t>
      </w:r>
      <w:r w:rsidR="00C9489F" w:rsidRPr="007A15F6">
        <w:t xml:space="preserve">As Cherner (2010) pointed out, the </w:t>
      </w:r>
      <w:r w:rsidR="00647651" w:rsidRPr="007A15F6">
        <w:t xml:space="preserve">suitability of </w:t>
      </w:r>
      <w:r w:rsidR="00F75387">
        <w:t>everyday functioning</w:t>
      </w:r>
      <w:r w:rsidR="00647651" w:rsidRPr="007A15F6">
        <w:t xml:space="preserve"> tools depends largely on </w:t>
      </w:r>
      <w:r w:rsidR="00F75387">
        <w:t>their cultural relevance</w:t>
      </w:r>
      <w:r w:rsidR="00632582">
        <w:t xml:space="preserve">. </w:t>
      </w:r>
      <w:r w:rsidR="005D01B3">
        <w:t>A</w:t>
      </w:r>
      <w:r w:rsidR="00065C01" w:rsidRPr="007A15F6">
        <w:t xml:space="preserve"> </w:t>
      </w:r>
      <w:r w:rsidR="00647651" w:rsidRPr="007A15F6">
        <w:t>visual inspection of the</w:t>
      </w:r>
      <w:r w:rsidR="00555E33">
        <w:t xml:space="preserve"> everyday tasks in the</w:t>
      </w:r>
      <w:r w:rsidR="00647651" w:rsidRPr="007A15F6">
        <w:t xml:space="preserve"> EPT</w:t>
      </w:r>
      <w:r w:rsidR="00632582">
        <w:t xml:space="preserve"> 28-items</w:t>
      </w:r>
      <w:r w:rsidR="00647651" w:rsidRPr="007A15F6">
        <w:t xml:space="preserve"> and </w:t>
      </w:r>
      <w:r w:rsidR="00632582">
        <w:t xml:space="preserve">the OTDL-R </w:t>
      </w:r>
      <w:r w:rsidR="002C1D07">
        <w:t xml:space="preserve">tools </w:t>
      </w:r>
      <w:r w:rsidR="00647651" w:rsidRPr="007A15F6">
        <w:t xml:space="preserve">reveals </w:t>
      </w:r>
      <w:r w:rsidR="00632582">
        <w:t>important</w:t>
      </w:r>
      <w:r w:rsidR="00065C01" w:rsidRPr="007A15F6">
        <w:t xml:space="preserve"> </w:t>
      </w:r>
      <w:r w:rsidR="00632582">
        <w:t xml:space="preserve">cultural </w:t>
      </w:r>
      <w:r w:rsidR="00480AF2">
        <w:t>discrepancies with Greece</w:t>
      </w:r>
      <w:r w:rsidR="002F70CC">
        <w:t xml:space="preserve">, </w:t>
      </w:r>
      <w:r w:rsidR="00F847EC">
        <w:t xml:space="preserve">namely </w:t>
      </w:r>
      <w:r w:rsidR="00480AF2">
        <w:t xml:space="preserve">some </w:t>
      </w:r>
      <w:r w:rsidR="00555E33">
        <w:t>everyday</w:t>
      </w:r>
      <w:r w:rsidR="006E3D8E">
        <w:t xml:space="preserve"> tasks</w:t>
      </w:r>
      <w:r w:rsidR="009D6639">
        <w:t xml:space="preserve"> </w:t>
      </w:r>
      <w:r w:rsidR="00480AF2">
        <w:t xml:space="preserve">not </w:t>
      </w:r>
      <w:r w:rsidR="006C69D6">
        <w:t>commonly</w:t>
      </w:r>
      <w:r w:rsidR="00F847EC" w:rsidRPr="00F847EC">
        <w:t xml:space="preserve"> </w:t>
      </w:r>
      <w:r w:rsidR="00F847EC">
        <w:t>conducted</w:t>
      </w:r>
      <w:r w:rsidR="006C69D6">
        <w:t xml:space="preserve"> </w:t>
      </w:r>
      <w:r w:rsidR="009D6639">
        <w:t xml:space="preserve">in </w:t>
      </w:r>
      <w:r w:rsidR="00F847EC">
        <w:t>Greece. Further discrepancies can be seen</w:t>
      </w:r>
      <w:r w:rsidR="006E3D8E">
        <w:t xml:space="preserve"> </w:t>
      </w:r>
      <w:r w:rsidR="00F847EC">
        <w:t>in</w:t>
      </w:r>
      <w:r w:rsidR="006E3D8E">
        <w:t xml:space="preserve"> the material </w:t>
      </w:r>
      <w:r w:rsidR="002C1D07">
        <w:t xml:space="preserve">and metrics </w:t>
      </w:r>
      <w:r w:rsidR="006E3D8E">
        <w:t>used. For example</w:t>
      </w:r>
      <w:r w:rsidR="006B61B7">
        <w:t xml:space="preserve">, balancing a check account or </w:t>
      </w:r>
      <w:r w:rsidR="00647651" w:rsidRPr="007A15F6">
        <w:t xml:space="preserve">preparing a check </w:t>
      </w:r>
      <w:r w:rsidR="00211F67" w:rsidRPr="007A15F6">
        <w:t>to pay</w:t>
      </w:r>
      <w:r w:rsidR="00647651" w:rsidRPr="007A15F6">
        <w:t xml:space="preserve"> an electricity bill</w:t>
      </w:r>
      <w:r w:rsidR="00211F67" w:rsidRPr="007A15F6">
        <w:t xml:space="preserve"> via the post</w:t>
      </w:r>
      <w:r w:rsidR="00647651" w:rsidRPr="007A15F6">
        <w:t xml:space="preserve"> </w:t>
      </w:r>
      <w:r w:rsidR="00D97441">
        <w:t xml:space="preserve">may be </w:t>
      </w:r>
      <w:r w:rsidR="00647651" w:rsidRPr="007A15F6">
        <w:t xml:space="preserve">common </w:t>
      </w:r>
      <w:r w:rsidR="00D97441">
        <w:t xml:space="preserve">everyday tasks </w:t>
      </w:r>
      <w:r w:rsidR="00647651" w:rsidRPr="007A15F6">
        <w:t>in the United S</w:t>
      </w:r>
      <w:r w:rsidR="002F2ADB" w:rsidRPr="007A15F6">
        <w:t>tates of America (USA)</w:t>
      </w:r>
      <w:r w:rsidR="00647651" w:rsidRPr="007A15F6">
        <w:t>, but are</w:t>
      </w:r>
      <w:r w:rsidR="00D97441">
        <w:t xml:space="preserve"> </w:t>
      </w:r>
      <w:r w:rsidR="00D97441" w:rsidRPr="00CC43D5">
        <w:t>unfamiliar</w:t>
      </w:r>
      <w:r w:rsidR="00435989" w:rsidRPr="00CC43D5">
        <w:t xml:space="preserve"> </w:t>
      </w:r>
      <w:r w:rsidR="009E75B8" w:rsidRPr="00CC43D5">
        <w:t>to Greek older adults</w:t>
      </w:r>
      <w:r w:rsidR="00647651" w:rsidRPr="007A15F6">
        <w:t>.</w:t>
      </w:r>
      <w:r w:rsidR="009D6639">
        <w:t xml:space="preserve"> In addition, the metrics used (i.e., dollars for currency, feet for distance) are distinct from those used in Greece (i.e., euros for currency, </w:t>
      </w:r>
      <w:r w:rsidR="006C69D6">
        <w:t>meters for distance).</w:t>
      </w:r>
      <w:r w:rsidR="00647651" w:rsidRPr="007A15F6">
        <w:t xml:space="preserve"> Given the fact that </w:t>
      </w:r>
      <w:r w:rsidR="00BB2219">
        <w:t xml:space="preserve">the effect of </w:t>
      </w:r>
      <w:r w:rsidR="00647651" w:rsidRPr="007A15F6">
        <w:t xml:space="preserve">such cultural </w:t>
      </w:r>
      <w:r w:rsidR="00BB2219">
        <w:t>discrepancie</w:t>
      </w:r>
      <w:r w:rsidR="00BB2219" w:rsidRPr="007A15F6">
        <w:t>s</w:t>
      </w:r>
      <w:r w:rsidR="00BB2219">
        <w:t xml:space="preserve"> on everyday </w:t>
      </w:r>
      <w:r w:rsidR="00F847EC">
        <w:t>functioning</w:t>
      </w:r>
      <w:r w:rsidR="005010DF">
        <w:t xml:space="preserve"> </w:t>
      </w:r>
      <w:r w:rsidR="005010DF" w:rsidRPr="007A15F6">
        <w:t>cannot</w:t>
      </w:r>
      <w:r w:rsidR="00647651" w:rsidRPr="007A15F6">
        <w:t xml:space="preserve"> be controlled with statistical means, the corresponding tools m</w:t>
      </w:r>
      <w:r w:rsidR="00435989">
        <w:t>ust be culturally adapted</w:t>
      </w:r>
      <w:r w:rsidR="00647651" w:rsidRPr="007A15F6">
        <w:t xml:space="preserve">. </w:t>
      </w:r>
    </w:p>
    <w:p w:rsidR="00423C82" w:rsidRDefault="00D76907" w:rsidP="005C41B7">
      <w:pPr>
        <w:pStyle w:val="APAPar"/>
        <w:rPr>
          <w:lang w:val="en-US"/>
        </w:rPr>
      </w:pPr>
      <w:r>
        <w:t xml:space="preserve">The approaches proposed for the </w:t>
      </w:r>
      <w:r w:rsidR="00255925">
        <w:t xml:space="preserve">translation and </w:t>
      </w:r>
      <w:r>
        <w:t xml:space="preserve">adaptation processes </w:t>
      </w:r>
      <w:r w:rsidR="00480AF2">
        <w:t>f</w:t>
      </w:r>
      <w:r w:rsidR="00DF2F93">
        <w:t>r</w:t>
      </w:r>
      <w:r w:rsidR="00480AF2">
        <w:t>om</w:t>
      </w:r>
      <w:r w:rsidR="00DF2F93">
        <w:t xml:space="preserve"> one language to another </w:t>
      </w:r>
      <w:r w:rsidR="00255925">
        <w:t>are many, each addressing</w:t>
      </w:r>
      <w:r w:rsidR="00480AF2">
        <w:t xml:space="preserve"> a specific area of interest. </w:t>
      </w:r>
      <w:r w:rsidR="00435989">
        <w:t xml:space="preserve">Proposed approaches </w:t>
      </w:r>
      <w:r w:rsidR="00480AF2">
        <w:t xml:space="preserve">exist for </w:t>
      </w:r>
      <w:r w:rsidR="00255925">
        <w:t xml:space="preserve">the assessment of nursing facilities (Nordin et al., 2015), </w:t>
      </w:r>
      <w:r w:rsidR="00480AF2">
        <w:t>questionnaires (</w:t>
      </w:r>
      <w:r w:rsidR="00DF2F93">
        <w:t xml:space="preserve">Hambelton, 2001), </w:t>
      </w:r>
      <w:r w:rsidR="002A67F6">
        <w:rPr>
          <w:lang w:val="en-US"/>
        </w:rPr>
        <w:t xml:space="preserve">self-report measures </w:t>
      </w:r>
      <w:r w:rsidR="00480AF2">
        <w:rPr>
          <w:lang w:val="en-US"/>
        </w:rPr>
        <w:t>(</w:t>
      </w:r>
      <w:r w:rsidR="002A67F6">
        <w:rPr>
          <w:lang w:val="en-US"/>
        </w:rPr>
        <w:t>Beaton, Bombardier, Gulliemin, &amp; Ferraz, 2000)</w:t>
      </w:r>
      <w:r w:rsidR="00007E96">
        <w:rPr>
          <w:lang w:val="en-US"/>
        </w:rPr>
        <w:t xml:space="preserve"> and many more. G</w:t>
      </w:r>
      <w:r w:rsidR="00CF2CD0">
        <w:rPr>
          <w:lang w:val="en-US"/>
        </w:rPr>
        <w:t>iven</w:t>
      </w:r>
      <w:r w:rsidR="00007E96">
        <w:rPr>
          <w:lang w:val="en-US"/>
        </w:rPr>
        <w:t xml:space="preserve"> that none of the available recommendation </w:t>
      </w:r>
      <w:r w:rsidR="00C343D0">
        <w:rPr>
          <w:lang w:val="en-US"/>
        </w:rPr>
        <w:t>address</w:t>
      </w:r>
      <w:r w:rsidR="00374AE5">
        <w:rPr>
          <w:lang w:val="en-US"/>
        </w:rPr>
        <w:t xml:space="preserve"> specifically</w:t>
      </w:r>
      <w:r w:rsidR="00C343D0">
        <w:rPr>
          <w:lang w:val="en-US"/>
        </w:rPr>
        <w:t xml:space="preserve"> </w:t>
      </w:r>
      <w:r w:rsidR="00374AE5">
        <w:rPr>
          <w:lang w:val="en-US"/>
        </w:rPr>
        <w:t xml:space="preserve">observation based or paper and pencil tests of everyday functioning, </w:t>
      </w:r>
      <w:r w:rsidR="00435989">
        <w:rPr>
          <w:lang w:val="en-US"/>
        </w:rPr>
        <w:t xml:space="preserve">a more general context of practice will be followed in this thesis, following </w:t>
      </w:r>
      <w:r w:rsidR="00374AE5">
        <w:rPr>
          <w:lang w:val="en-US"/>
        </w:rPr>
        <w:t xml:space="preserve">the recommendation of </w:t>
      </w:r>
      <w:r w:rsidR="00CF2CD0">
        <w:rPr>
          <w:lang w:val="en-US"/>
        </w:rPr>
        <w:t>Geisinger (1994</w:t>
      </w:r>
      <w:r w:rsidR="00435989">
        <w:rPr>
          <w:lang w:val="en-US"/>
        </w:rPr>
        <w:t>).</w:t>
      </w:r>
      <w:r w:rsidR="00CF2CD0">
        <w:rPr>
          <w:lang w:val="en-US"/>
        </w:rPr>
        <w:t xml:space="preserve"> </w:t>
      </w:r>
      <w:r w:rsidR="00A20AA9">
        <w:rPr>
          <w:lang w:val="en-US"/>
        </w:rPr>
        <w:t>As Geisinger (1994, p.305-306) argues:</w:t>
      </w:r>
    </w:p>
    <w:p w:rsidR="00A20AA9" w:rsidRPr="00053476" w:rsidRDefault="00663830" w:rsidP="00640C1B">
      <w:pPr>
        <w:pStyle w:val="APAPar"/>
        <w:widowControl w:val="0"/>
        <w:ind w:leftChars="400" w:left="960" w:rightChars="400" w:right="960" w:firstLine="0"/>
        <w:jc w:val="both"/>
        <w:rPr>
          <w:rStyle w:val="Emphasis"/>
        </w:rPr>
      </w:pPr>
      <w:r w:rsidRPr="00053476">
        <w:rPr>
          <w:rStyle w:val="Emphasis"/>
        </w:rPr>
        <w:t xml:space="preserve">The procedures provided later are intended to serve as general guidelines for adapting and assessment instrument and to a new culture and language population … In some case, all of the steps provided here will be required. In other situations, either additional steps will be recommended or some of the steps provided here will be not required. </w:t>
      </w:r>
    </w:p>
    <w:p w:rsidR="00422D6A" w:rsidRPr="00734BE5" w:rsidRDefault="00734BE5" w:rsidP="005C41B7">
      <w:pPr>
        <w:pStyle w:val="APAPar"/>
        <w:rPr>
          <w:lang w:val="en-US"/>
        </w:rPr>
      </w:pPr>
      <w:bookmarkStart w:id="121" w:name="_Toc373425969"/>
      <w:r w:rsidRPr="00734BE5">
        <w:rPr>
          <w:lang w:val="en-US"/>
        </w:rPr>
        <w:t>Such flexibility was rendered as necessary for the cultural and linguistic adaptation of the OTDL-R and the EPT 28-items, as described in detail below.</w:t>
      </w:r>
    </w:p>
    <w:p w:rsidR="00734BE5" w:rsidRPr="00734BE5" w:rsidRDefault="00734BE5" w:rsidP="005C41B7">
      <w:pPr>
        <w:pStyle w:val="APAPar"/>
        <w:rPr>
          <w:lang w:val="en-US"/>
        </w:rPr>
      </w:pPr>
    </w:p>
    <w:p w:rsidR="008C41B9" w:rsidRPr="00D73DD1" w:rsidRDefault="008C41B9" w:rsidP="00FE028D">
      <w:pPr>
        <w:pStyle w:val="Heading2"/>
      </w:pPr>
      <w:bookmarkStart w:id="122" w:name="_Toc521184208"/>
      <w:r w:rsidRPr="00D73DD1">
        <w:t>Method</w:t>
      </w:r>
      <w:bookmarkEnd w:id="121"/>
      <w:bookmarkEnd w:id="122"/>
    </w:p>
    <w:p w:rsidR="00BE322F" w:rsidRDefault="00EA42B3" w:rsidP="005C41B7">
      <w:pPr>
        <w:pStyle w:val="APAPar"/>
        <w:rPr>
          <w:bCs/>
          <w:iCs/>
          <w:lang w:val="en-US"/>
        </w:rPr>
      </w:pPr>
      <w:bookmarkStart w:id="123" w:name="_Toc373425970"/>
      <w:r>
        <w:t>The adaptation and translation phase used a mixed-</w:t>
      </w:r>
      <w:r w:rsidR="008045FE">
        <w:t>method design following 7</w:t>
      </w:r>
      <w:r w:rsidR="00054AC5">
        <w:t xml:space="preserve"> steps</w:t>
      </w:r>
      <w:r w:rsidR="00435989">
        <w:t>, as proposed from Geisinger (1994)</w:t>
      </w:r>
      <w:r w:rsidR="00054AC5">
        <w:t>;</w:t>
      </w:r>
      <w:r>
        <w:t xml:space="preserve"> </w:t>
      </w:r>
      <w:r w:rsidR="00054AC5">
        <w:t>adapt</w:t>
      </w:r>
      <w:r w:rsidR="007F72A9">
        <w:t xml:space="preserve"> and translate</w:t>
      </w:r>
      <w:r w:rsidR="00054AC5">
        <w:t xml:space="preserve"> the measure, </w:t>
      </w:r>
      <w:r w:rsidR="008A26DD">
        <w:t>review the translated and adapt</w:t>
      </w:r>
      <w:r w:rsidR="008045FE">
        <w:t xml:space="preserve">ed versions of the instruments </w:t>
      </w:r>
      <w:r w:rsidR="00435989">
        <w:t xml:space="preserve">– </w:t>
      </w:r>
      <w:r w:rsidR="00E642C3">
        <w:rPr>
          <w:bCs/>
          <w:iCs/>
          <w:lang w:val="en-US"/>
        </w:rPr>
        <w:t>a</w:t>
      </w:r>
      <w:r w:rsidR="00636420" w:rsidRPr="00E642C3">
        <w:rPr>
          <w:bCs/>
          <w:iCs/>
          <w:lang w:val="en-US"/>
        </w:rPr>
        <w:t xml:space="preserve">dapt the </w:t>
      </w:r>
      <w:r w:rsidR="00E642C3" w:rsidRPr="00E642C3">
        <w:rPr>
          <w:bCs/>
          <w:iCs/>
          <w:lang w:val="en-US"/>
        </w:rPr>
        <w:t>draft instrument</w:t>
      </w:r>
      <w:r w:rsidR="001C6E3F">
        <w:rPr>
          <w:bCs/>
          <w:iCs/>
          <w:lang w:val="en-US"/>
        </w:rPr>
        <w:t>s</w:t>
      </w:r>
      <w:r w:rsidR="00E642C3" w:rsidRPr="00E642C3">
        <w:rPr>
          <w:bCs/>
          <w:iCs/>
          <w:lang w:val="en-US"/>
        </w:rPr>
        <w:t xml:space="preserve"> on the basis of the comments of the reviewers</w:t>
      </w:r>
      <w:r w:rsidR="001C6E3F">
        <w:rPr>
          <w:bCs/>
          <w:iCs/>
          <w:lang w:val="en-US"/>
        </w:rPr>
        <w:t>, pil</w:t>
      </w:r>
      <w:r w:rsidR="002C6C82">
        <w:rPr>
          <w:bCs/>
          <w:iCs/>
          <w:lang w:val="en-US"/>
        </w:rPr>
        <w:t xml:space="preserve">ot testing of the instruments, field testing of the instrument, </w:t>
      </w:r>
      <w:r w:rsidR="004418E1" w:rsidRPr="004418E1">
        <w:rPr>
          <w:bCs/>
          <w:iCs/>
          <w:lang w:val="en-US"/>
        </w:rPr>
        <w:t xml:space="preserve">validation </w:t>
      </w:r>
      <w:r w:rsidR="004418E1">
        <w:rPr>
          <w:bCs/>
          <w:iCs/>
          <w:lang w:val="en-US"/>
        </w:rPr>
        <w:t>research</w:t>
      </w:r>
      <w:r w:rsidR="00796C7D">
        <w:rPr>
          <w:bCs/>
          <w:iCs/>
          <w:lang w:val="en-US"/>
        </w:rPr>
        <w:t>,</w:t>
      </w:r>
      <w:r w:rsidR="00DC156A">
        <w:rPr>
          <w:bCs/>
          <w:iCs/>
          <w:lang w:val="en-US"/>
        </w:rPr>
        <w:t xml:space="preserve"> develop </w:t>
      </w:r>
      <w:r w:rsidR="008045FE">
        <w:rPr>
          <w:bCs/>
          <w:iCs/>
          <w:lang w:val="en-US"/>
        </w:rPr>
        <w:t>manual</w:t>
      </w:r>
      <w:r w:rsidR="0083760D">
        <w:rPr>
          <w:bCs/>
          <w:iCs/>
          <w:lang w:val="en-US"/>
        </w:rPr>
        <w:t>s</w:t>
      </w:r>
      <w:r w:rsidR="008045FE">
        <w:rPr>
          <w:bCs/>
          <w:iCs/>
          <w:lang w:val="en-US"/>
        </w:rPr>
        <w:t xml:space="preserve"> and other documents</w:t>
      </w:r>
      <w:r w:rsidR="00DC156A">
        <w:rPr>
          <w:bCs/>
          <w:iCs/>
          <w:lang w:val="en-US"/>
        </w:rPr>
        <w:t xml:space="preserve"> for the users of the assessment device, </w:t>
      </w:r>
      <w:r w:rsidR="0083760D">
        <w:rPr>
          <w:bCs/>
          <w:iCs/>
          <w:lang w:val="en-US"/>
        </w:rPr>
        <w:t>and train users</w:t>
      </w:r>
      <w:r w:rsidR="00435989">
        <w:rPr>
          <w:bCs/>
          <w:iCs/>
          <w:lang w:val="en-US"/>
        </w:rPr>
        <w:t xml:space="preserve"> </w:t>
      </w:r>
      <w:r w:rsidR="0083760D">
        <w:rPr>
          <w:bCs/>
          <w:iCs/>
          <w:lang w:val="en-US"/>
        </w:rPr>
        <w:t>-</w:t>
      </w:r>
      <w:r w:rsidR="00435989">
        <w:rPr>
          <w:bCs/>
          <w:iCs/>
          <w:lang w:val="en-US"/>
        </w:rPr>
        <w:t xml:space="preserve"> </w:t>
      </w:r>
      <w:r w:rsidR="008045FE">
        <w:rPr>
          <w:bCs/>
          <w:iCs/>
          <w:lang w:val="en-US"/>
        </w:rPr>
        <w:t>collect reactions from users.</w:t>
      </w:r>
    </w:p>
    <w:p w:rsidR="008045FE" w:rsidRPr="008045FE" w:rsidRDefault="008045FE" w:rsidP="005C41B7">
      <w:pPr>
        <w:pStyle w:val="APAPar"/>
      </w:pPr>
      <w:r>
        <w:t xml:space="preserve">As the </w:t>
      </w:r>
      <w:r w:rsidR="0083760D">
        <w:t xml:space="preserve">use </w:t>
      </w:r>
      <w:r>
        <w:t xml:space="preserve">of the original instruments OTDL-R and EPT 28-items is for research purposes, no cut-off scores </w:t>
      </w:r>
      <w:r w:rsidR="0083760D">
        <w:t xml:space="preserve">are </w:t>
      </w:r>
      <w:r>
        <w:t xml:space="preserve">provided. Cut off scores are typically used in clinical practise in order to identify the existence (or not) of an abnormality (e.g., the MMSE test for </w:t>
      </w:r>
      <w:r w:rsidR="00435989">
        <w:t xml:space="preserve">dementia </w:t>
      </w:r>
      <w:r>
        <w:t>screening). The OTDL-R a</w:t>
      </w:r>
      <w:r w:rsidR="004F507F">
        <w:t>n</w:t>
      </w:r>
      <w:r>
        <w:t xml:space="preserve">d the EPT 28-items were proposed to be used only for research purposes (Moore et al., 2007), with their value in clinical practise to remain unexamined to date (Diehl et al., 2005). Therefore, the standardization process that is proposed from Geisinger (1994) was not performed in the adaptation process of this instrument. </w:t>
      </w:r>
    </w:p>
    <w:p w:rsidR="0041202D" w:rsidRDefault="009E75B8" w:rsidP="0091167E">
      <w:pPr>
        <w:pStyle w:val="Heading3"/>
      </w:pPr>
      <w:bookmarkStart w:id="124" w:name="_Toc521184209"/>
      <w:r>
        <w:t xml:space="preserve">Step1: </w:t>
      </w:r>
      <w:r w:rsidRPr="00CC43D5">
        <w:t>Adaptation</w:t>
      </w:r>
      <w:r w:rsidR="0041202D" w:rsidRPr="00CC43D5">
        <w:t xml:space="preserve"> and </w:t>
      </w:r>
      <w:r w:rsidRPr="00CC43D5">
        <w:t>translation</w:t>
      </w:r>
      <w:r w:rsidR="0041202D" w:rsidRPr="00CC43D5">
        <w:t xml:space="preserve"> </w:t>
      </w:r>
      <w:r w:rsidRPr="00CC43D5">
        <w:t>of</w:t>
      </w:r>
      <w:r w:rsidR="0041202D" w:rsidRPr="00CC43D5">
        <w:t xml:space="preserve"> measure</w:t>
      </w:r>
      <w:r w:rsidRPr="00CC43D5">
        <w:t>s</w:t>
      </w:r>
      <w:bookmarkEnd w:id="124"/>
      <w:r w:rsidR="0041202D" w:rsidRPr="0041202D">
        <w:t xml:space="preserve"> </w:t>
      </w:r>
    </w:p>
    <w:p w:rsidR="0041202D" w:rsidRPr="009E75B8" w:rsidRDefault="00211856" w:rsidP="005C41B7">
      <w:pPr>
        <w:pStyle w:val="APAPar"/>
        <w:rPr>
          <w:lang w:val="en-US"/>
        </w:rPr>
      </w:pPr>
      <w:r w:rsidRPr="00211856">
        <w:rPr>
          <w:b/>
          <w:i/>
        </w:rPr>
        <w:t>OTDL-R:</w:t>
      </w:r>
      <w:r>
        <w:t xml:space="preserve"> </w:t>
      </w:r>
      <w:r w:rsidR="0041202D" w:rsidRPr="007A15F6">
        <w:t>The first set of tasks</w:t>
      </w:r>
      <w:r w:rsidR="00435989">
        <w:t xml:space="preserve"> in the original OTDL-R includes</w:t>
      </w:r>
      <w:r w:rsidR="0041202D" w:rsidRPr="007A15F6">
        <w:t xml:space="preserve"> the use of bottles containing particular pharmaceuticals.</w:t>
      </w:r>
      <w:r w:rsidR="00B272F2">
        <w:t xml:space="preserve"> The commercial names of this medication and the use of bottles to dispense medication is not a common practise in Greece. </w:t>
      </w:r>
      <w:r w:rsidR="0041202D" w:rsidRPr="007A15F6">
        <w:t xml:space="preserve">These were substituted with medication </w:t>
      </w:r>
      <w:r w:rsidR="00435989" w:rsidRPr="007A15F6">
        <w:t>pack</w:t>
      </w:r>
      <w:r w:rsidR="00435989">
        <w:t xml:space="preserve">aging having </w:t>
      </w:r>
      <w:r w:rsidR="0041202D" w:rsidRPr="007A15F6">
        <w:t>hand-written administration guidelines from a pharmacist, as it is common practise in Greece. The third set of tasks</w:t>
      </w:r>
      <w:r w:rsidR="00435989">
        <w:t xml:space="preserve"> in the original OTDL-R includes</w:t>
      </w:r>
      <w:r w:rsidR="0041202D" w:rsidRPr="007A15F6">
        <w:t xml:space="preserve"> the balance sheet of a </w:t>
      </w:r>
      <w:r w:rsidR="008D3515" w:rsidRPr="007A15F6">
        <w:t>check book</w:t>
      </w:r>
      <w:r w:rsidR="0041202D" w:rsidRPr="007A15F6">
        <w:t>, asking from the participants to balance it, using certain information. The use of checks is not a common practise in Greece, and therefore, it was substituted with a bank account sheet. There, the participants were asked to balance it using certain information. Lastly, the ori</w:t>
      </w:r>
      <w:r w:rsidR="00B272F2">
        <w:t>ginal OTDL-R asks</w:t>
      </w:r>
      <w:r w:rsidR="0041202D" w:rsidRPr="007A15F6">
        <w:t xml:space="preserve"> from participants to mail a check in order to pay an electricity bill, using materials provided from the researcher. This task is completely unfamiliar to Greek adults and therefore, it was substituted with an application form for the automatic payment of electricity bills from a bank account, using copies of the original materials provided by a local bank.</w:t>
      </w:r>
      <w:r w:rsidR="008535C4">
        <w:t xml:space="preserve"> </w:t>
      </w:r>
      <w:r w:rsidR="008535C4" w:rsidRPr="00CC43D5">
        <w:t>The</w:t>
      </w:r>
      <w:r w:rsidR="009E75B8" w:rsidRPr="00CC43D5">
        <w:t xml:space="preserve"> adapted instrument was named</w:t>
      </w:r>
      <w:r w:rsidR="00B272F2" w:rsidRPr="00CC43D5">
        <w:t xml:space="preserve"> OTDL-G</w:t>
      </w:r>
      <w:r w:rsidR="009E75B8" w:rsidRPr="00CC43D5">
        <w:t>, which</w:t>
      </w:r>
      <w:r w:rsidR="00B272F2" w:rsidRPr="00CC43D5">
        <w:t xml:space="preserve"> is</w:t>
      </w:r>
      <w:r w:rsidR="0083760D" w:rsidRPr="00CC43D5">
        <w:t xml:space="preserve"> presente</w:t>
      </w:r>
      <w:r w:rsidR="008535C4" w:rsidRPr="00CC43D5">
        <w:t>d</w:t>
      </w:r>
      <w:r w:rsidR="0083760D" w:rsidRPr="00CC43D5">
        <w:t xml:space="preserve"> </w:t>
      </w:r>
      <w:r w:rsidR="008535C4" w:rsidRPr="00CC43D5">
        <w:t>in Appendix IV.</w:t>
      </w:r>
    </w:p>
    <w:p w:rsidR="00FB7A4E" w:rsidRDefault="00211856" w:rsidP="005C41B7">
      <w:pPr>
        <w:pStyle w:val="APAPar"/>
      </w:pPr>
      <w:r w:rsidRPr="00211856">
        <w:rPr>
          <w:b/>
          <w:i/>
        </w:rPr>
        <w:t>EPT-28 items:</w:t>
      </w:r>
      <w:r>
        <w:t xml:space="preserve"> </w:t>
      </w:r>
      <w:r w:rsidR="0041202D" w:rsidRPr="007A15F6">
        <w:t xml:space="preserve">The metrics </w:t>
      </w:r>
      <w:r w:rsidR="0041202D">
        <w:t xml:space="preserve">of this test </w:t>
      </w:r>
      <w:r w:rsidR="0041202D" w:rsidRPr="007A15F6">
        <w:t>were substituted in meters for distance and euro for currency. Names, telephone numbers, cities, and telecommunication providers, were substituted with Greek ones. The 8</w:t>
      </w:r>
      <w:r w:rsidR="0041202D" w:rsidRPr="007A15F6">
        <w:rPr>
          <w:vertAlign w:val="superscript"/>
        </w:rPr>
        <w:t>th</w:t>
      </w:r>
      <w:r w:rsidR="0041202D" w:rsidRPr="007A15F6">
        <w:t xml:space="preserve"> item in EPT was modified to represent taxi rates when travelling in a foreign country (i.e., in a hypothetical travel abroad).</w:t>
      </w:r>
      <w:r w:rsidR="0098144F">
        <w:t xml:space="preserve"> </w:t>
      </w:r>
      <w:r w:rsidR="00FB7A4E">
        <w:t xml:space="preserve">The resulting instrument is presented in Appendix V. </w:t>
      </w:r>
    </w:p>
    <w:p w:rsidR="00054AC5" w:rsidRDefault="00054AC5" w:rsidP="005C41B7">
      <w:pPr>
        <w:pStyle w:val="APAPar"/>
      </w:pPr>
      <w:r>
        <w:t xml:space="preserve">The items not </w:t>
      </w:r>
      <w:r w:rsidR="00B272F2">
        <w:t>adapted</w:t>
      </w:r>
      <w:r>
        <w:t xml:space="preserve"> in both tests</w:t>
      </w:r>
      <w:r w:rsidRPr="007A15F6">
        <w:t xml:space="preserve"> were translated-back translated by two independent bilingual neuropsychologists, as recommended by Hambleton (2001)</w:t>
      </w:r>
      <w:r w:rsidR="0098144F">
        <w:t xml:space="preserve">, after the author of this thesis </w:t>
      </w:r>
      <w:r w:rsidR="0098144F" w:rsidRPr="0098144F">
        <w:t>explained and clarified the concepts and meanings of the items to reduc</w:t>
      </w:r>
      <w:r w:rsidR="0098144F">
        <w:t>e the risk of misinterpretation</w:t>
      </w:r>
      <w:r w:rsidR="00B272F2">
        <w:t>, as recommended by Nordin et al.</w:t>
      </w:r>
      <w:r w:rsidR="0098144F">
        <w:t xml:space="preserve"> </w:t>
      </w:r>
      <w:r w:rsidR="00B272F2">
        <w:t>(</w:t>
      </w:r>
      <w:r w:rsidR="0098144F">
        <w:t xml:space="preserve">2015). </w:t>
      </w:r>
    </w:p>
    <w:p w:rsidR="008A26DD" w:rsidRDefault="00435736" w:rsidP="0091167E">
      <w:pPr>
        <w:pStyle w:val="Heading3"/>
        <w:ind w:left="720" w:right="0" w:hanging="720"/>
      </w:pPr>
      <w:bookmarkStart w:id="125" w:name="_Toc521184210"/>
      <w:r>
        <w:t>Step 2</w:t>
      </w:r>
      <w:r w:rsidRPr="00CC43D5">
        <w:t xml:space="preserve">. </w:t>
      </w:r>
      <w:r w:rsidR="008D3515" w:rsidRPr="00CC43D5">
        <w:t>Revi</w:t>
      </w:r>
      <w:r w:rsidRPr="00CC43D5">
        <w:t>sion of</w:t>
      </w:r>
      <w:r w:rsidR="008D3515" w:rsidRPr="00CC43D5">
        <w:t xml:space="preserve"> the translated and adapted versions of the instrument</w:t>
      </w:r>
      <w:r w:rsidRPr="00CC43D5">
        <w:t>s</w:t>
      </w:r>
      <w:r w:rsidR="008D3515" w:rsidRPr="00CC43D5">
        <w:t xml:space="preserve"> </w:t>
      </w:r>
      <w:r w:rsidRPr="00CC43D5">
        <w:t>–</w:t>
      </w:r>
      <w:r w:rsidR="008D3515" w:rsidRPr="00CC43D5">
        <w:t xml:space="preserve"> </w:t>
      </w:r>
      <w:r w:rsidR="00636420" w:rsidRPr="00CC43D5">
        <w:t>Adapt</w:t>
      </w:r>
      <w:r w:rsidRPr="00CC43D5">
        <w:t>ation of</w:t>
      </w:r>
      <w:r w:rsidR="00636420" w:rsidRPr="00CC43D5">
        <w:t xml:space="preserve"> the draft instrument on the basis of the comments of reviewers</w:t>
      </w:r>
      <w:bookmarkEnd w:id="125"/>
      <w:r w:rsidR="00636420">
        <w:t xml:space="preserve"> </w:t>
      </w:r>
    </w:p>
    <w:p w:rsidR="008A26DD" w:rsidRDefault="00BD6209" w:rsidP="005C41B7">
      <w:pPr>
        <w:pStyle w:val="APAPar"/>
      </w:pPr>
      <w:r w:rsidRPr="007A15F6">
        <w:t>Two independent neuro</w:t>
      </w:r>
      <w:r>
        <w:t xml:space="preserve">psychologist, researchers and lecturers in a British institution </w:t>
      </w:r>
      <w:r w:rsidR="00B272F2">
        <w:t>with</w:t>
      </w:r>
      <w:r>
        <w:t xml:space="preserve"> experience in European research project, as well as</w:t>
      </w:r>
      <w:r w:rsidRPr="007A15F6">
        <w:t xml:space="preserve"> a British bilingual sociologist</w:t>
      </w:r>
      <w:r>
        <w:t xml:space="preserve"> living in Greece for over 2 decades,</w:t>
      </w:r>
      <w:r w:rsidRPr="007A15F6">
        <w:t xml:space="preserve"> </w:t>
      </w:r>
      <w:r>
        <w:t xml:space="preserve">with expertise in social gerontology and active participation in European projects related to ageing </w:t>
      </w:r>
      <w:r w:rsidRPr="007A15F6">
        <w:t>checked for the conceptual equivalence of the adjusted items</w:t>
      </w:r>
      <w:r>
        <w:t xml:space="preserve"> and the quality of the translation</w:t>
      </w:r>
      <w:r w:rsidRPr="007A15F6">
        <w:t xml:space="preserve">. </w:t>
      </w:r>
      <w:r w:rsidR="008D3515">
        <w:t xml:space="preserve">The panel </w:t>
      </w:r>
      <w:r w:rsidR="00B272F2">
        <w:t>tr</w:t>
      </w:r>
      <w:r w:rsidR="006D39F4">
        <w:t>a</w:t>
      </w:r>
      <w:r w:rsidR="00B272F2">
        <w:t>nslating</w:t>
      </w:r>
      <w:r w:rsidR="008D3515">
        <w:t xml:space="preserve"> the OTDL-R and EPT 28-items version shared their comments </w:t>
      </w:r>
      <w:r w:rsidR="00B272F2">
        <w:t>between them</w:t>
      </w:r>
      <w:r w:rsidR="008D3515">
        <w:t xml:space="preserve">, as well as with the author of this thesis. No issues emerged from this discursive process. </w:t>
      </w:r>
      <w:r w:rsidR="00636420">
        <w:t>Given that</w:t>
      </w:r>
      <w:r w:rsidR="0083760D">
        <w:t xml:space="preserve"> the</w:t>
      </w:r>
      <w:r w:rsidR="00636420">
        <w:t xml:space="preserve"> review panel did not raise any issues for the </w:t>
      </w:r>
      <w:r w:rsidR="00E642C3">
        <w:t xml:space="preserve">translation and the adaptation of the </w:t>
      </w:r>
      <w:r w:rsidR="00636420">
        <w:t>instrument</w:t>
      </w:r>
      <w:r w:rsidR="00E642C3">
        <w:t>s</w:t>
      </w:r>
      <w:r w:rsidR="00636420">
        <w:t xml:space="preserve">, </w:t>
      </w:r>
      <w:r w:rsidR="00E642C3">
        <w:t>not further adaptation</w:t>
      </w:r>
      <w:r w:rsidR="0083760D">
        <w:t>s</w:t>
      </w:r>
      <w:r w:rsidR="00E642C3">
        <w:t xml:space="preserve"> </w:t>
      </w:r>
      <w:r w:rsidR="0083760D">
        <w:t>were</w:t>
      </w:r>
      <w:r w:rsidR="009525E4">
        <w:t xml:space="preserve"> made</w:t>
      </w:r>
      <w:r w:rsidR="00E642C3">
        <w:t>. A</w:t>
      </w:r>
      <w:r w:rsidR="00636420" w:rsidRPr="007A15F6">
        <w:t xml:space="preserve"> Greek bilingual philologist</w:t>
      </w:r>
      <w:r w:rsidR="00636420">
        <w:t xml:space="preserve"> of English literature and the aforementioned</w:t>
      </w:r>
      <w:r w:rsidR="00636420" w:rsidRPr="007A15F6">
        <w:t xml:space="preserve"> British bilingual sociologist checked </w:t>
      </w:r>
      <w:r w:rsidR="009525E4">
        <w:t>independently</w:t>
      </w:r>
      <w:r w:rsidR="001C6E3F">
        <w:t>,</w:t>
      </w:r>
      <w:r w:rsidR="00636420">
        <w:t xml:space="preserve"> </w:t>
      </w:r>
      <w:r w:rsidR="00636420" w:rsidRPr="007A15F6">
        <w:t xml:space="preserve">for the linguistic appropriateness of the items and the materials used in the EPT-G </w:t>
      </w:r>
      <w:r w:rsidR="00636420">
        <w:t xml:space="preserve">and OTDL-G instruments. This panel </w:t>
      </w:r>
      <w:r w:rsidR="00636420" w:rsidRPr="007A15F6">
        <w:t xml:space="preserve">examined </w:t>
      </w:r>
      <w:r w:rsidR="00636420">
        <w:t xml:space="preserve">also </w:t>
      </w:r>
      <w:r w:rsidR="00636420" w:rsidRPr="007A15F6">
        <w:t xml:space="preserve">for </w:t>
      </w:r>
      <w:r w:rsidR="00636420">
        <w:t xml:space="preserve">any potential </w:t>
      </w:r>
      <w:r w:rsidR="00E642C3">
        <w:t xml:space="preserve">linguistic </w:t>
      </w:r>
      <w:r w:rsidR="00636420" w:rsidRPr="007A15F6">
        <w:t>inconsistencies</w:t>
      </w:r>
      <w:r w:rsidR="00E642C3">
        <w:t xml:space="preserve"> or abnormalities</w:t>
      </w:r>
      <w:r w:rsidR="00636420" w:rsidRPr="007A15F6">
        <w:t>.</w:t>
      </w:r>
      <w:r w:rsidR="00636420">
        <w:t xml:space="preserve"> They concluded that the final instrument</w:t>
      </w:r>
      <w:r w:rsidR="0083760D">
        <w:t>s</w:t>
      </w:r>
      <w:r w:rsidR="00636420">
        <w:t xml:space="preserve"> </w:t>
      </w:r>
      <w:r w:rsidR="0083760D">
        <w:t>reflect</w:t>
      </w:r>
      <w:r w:rsidR="00636420">
        <w:t xml:space="preserve"> to their</w:t>
      </w:r>
      <w:r w:rsidR="00E642C3">
        <w:t xml:space="preserve"> best judgment </w:t>
      </w:r>
      <w:r w:rsidR="0083760D">
        <w:t>everyday tasks in Greece</w:t>
      </w:r>
      <w:r w:rsidR="00E642C3">
        <w:t>.</w:t>
      </w:r>
    </w:p>
    <w:p w:rsidR="001C6E3F" w:rsidRPr="001C6E3F" w:rsidRDefault="00435736" w:rsidP="0091167E">
      <w:pPr>
        <w:pStyle w:val="Heading3"/>
      </w:pPr>
      <w:bookmarkStart w:id="126" w:name="_Toc521184211"/>
      <w:r>
        <w:t xml:space="preserve">Step 3. </w:t>
      </w:r>
      <w:r w:rsidR="001C6E3F" w:rsidRPr="001C6E3F">
        <w:t>Pilot testing of the instrument</w:t>
      </w:r>
      <w:r w:rsidR="001C6E3F">
        <w:t>s</w:t>
      </w:r>
      <w:bookmarkEnd w:id="126"/>
    </w:p>
    <w:p w:rsidR="001C6E3F" w:rsidRDefault="001C6E3F" w:rsidP="005C41B7">
      <w:pPr>
        <w:pStyle w:val="APAPar"/>
        <w:rPr>
          <w:lang w:val="en-US"/>
        </w:rPr>
      </w:pPr>
      <w:r>
        <w:rPr>
          <w:lang w:val="en-US"/>
        </w:rPr>
        <w:t xml:space="preserve">Both tests were administered initially to an </w:t>
      </w:r>
      <w:r w:rsidR="0083760D">
        <w:rPr>
          <w:lang w:val="en-US"/>
        </w:rPr>
        <w:t>independent neuropsychologist, i</w:t>
      </w:r>
      <w:r>
        <w:rPr>
          <w:lang w:val="en-US"/>
        </w:rPr>
        <w:t xml:space="preserve">n order to check for potential problems faced by responding to the assessment instrument, </w:t>
      </w:r>
      <w:r w:rsidRPr="00ED126B">
        <w:rPr>
          <w:lang w:val="en-US"/>
        </w:rPr>
        <w:t>such as the understandability of the instructions, acceptability of the time limits, and wording of the items.</w:t>
      </w:r>
      <w:r>
        <w:rPr>
          <w:lang w:val="en-US"/>
        </w:rPr>
        <w:t xml:space="preserve"> No issues emerged during this process, and </w:t>
      </w:r>
      <w:r w:rsidR="0083760D">
        <w:rPr>
          <w:lang w:val="en-US"/>
        </w:rPr>
        <w:t>therefore</w:t>
      </w:r>
      <w:r>
        <w:rPr>
          <w:lang w:val="en-US"/>
        </w:rPr>
        <w:t xml:space="preserve"> no changes </w:t>
      </w:r>
      <w:r w:rsidR="006D39F4">
        <w:rPr>
          <w:lang w:val="en-US"/>
        </w:rPr>
        <w:t>were</w:t>
      </w:r>
      <w:r>
        <w:rPr>
          <w:lang w:val="en-US"/>
        </w:rPr>
        <w:t xml:space="preserve"> made.</w:t>
      </w:r>
    </w:p>
    <w:p w:rsidR="00ED126B" w:rsidRDefault="00ED126B" w:rsidP="005C41B7">
      <w:pPr>
        <w:pStyle w:val="APAPar"/>
        <w:rPr>
          <w:lang w:val="en-US"/>
        </w:rPr>
      </w:pPr>
      <w:r>
        <w:rPr>
          <w:lang w:val="en-US"/>
        </w:rPr>
        <w:t xml:space="preserve">The instruments were also administered to </w:t>
      </w:r>
      <w:r w:rsidR="002C6C82">
        <w:rPr>
          <w:lang w:val="en-US"/>
        </w:rPr>
        <w:t>10</w:t>
      </w:r>
      <w:r>
        <w:rPr>
          <w:lang w:val="en-US"/>
        </w:rPr>
        <w:t xml:space="preserve"> older individuals in order to examine the </w:t>
      </w:r>
      <w:r w:rsidRPr="00ED126B">
        <w:rPr>
          <w:lang w:val="en-US"/>
        </w:rPr>
        <w:t>understandability of the instructions, acceptability of the time limits, and wording of the items.</w:t>
      </w:r>
      <w:r>
        <w:rPr>
          <w:lang w:val="en-US"/>
        </w:rPr>
        <w:t xml:space="preserve"> </w:t>
      </w:r>
      <w:r w:rsidR="00CF4BF7">
        <w:rPr>
          <w:lang w:val="en-US"/>
        </w:rPr>
        <w:t>These individuals were s</w:t>
      </w:r>
      <w:r w:rsidR="00B272F2">
        <w:rPr>
          <w:lang w:val="en-US"/>
        </w:rPr>
        <w:t>creened for their mental status</w:t>
      </w:r>
      <w:r w:rsidR="00CF4BF7">
        <w:rPr>
          <w:lang w:val="en-US"/>
        </w:rPr>
        <w:t xml:space="preserve"> using the MMSE (</w:t>
      </w:r>
      <w:r w:rsidR="00CF4BF7" w:rsidRPr="007A15F6">
        <w:t>Fountoulakis et al., 2000</w:t>
      </w:r>
      <w:r w:rsidR="00CF4BF7">
        <w:t>)</w:t>
      </w:r>
      <w:r w:rsidR="00CF4BF7">
        <w:rPr>
          <w:lang w:val="en-US"/>
        </w:rPr>
        <w:t xml:space="preserve"> and the Montreal Cognitive Assessment test </w:t>
      </w:r>
      <w:r w:rsidR="00CF4BF7" w:rsidRPr="007A15F6">
        <w:t>(Kounti et al., 2007)</w:t>
      </w:r>
      <w:r w:rsidR="00CF4BF7">
        <w:t>. None of the participants scored below 23 in the MMSE and 25 in the MoCA, indicating that</w:t>
      </w:r>
      <w:r w:rsidR="00B272F2">
        <w:t xml:space="preserve"> they</w:t>
      </w:r>
      <w:r w:rsidR="00CF4BF7">
        <w:t xml:space="preserve"> had no symptoms of dementia or MCI. The participants </w:t>
      </w:r>
      <w:r w:rsidR="00B272F2">
        <w:t xml:space="preserve">were </w:t>
      </w:r>
      <w:r>
        <w:rPr>
          <w:lang w:val="en-US"/>
        </w:rPr>
        <w:t>given the opportunity to comment on the items separately</w:t>
      </w:r>
      <w:r w:rsidR="008D3515">
        <w:rPr>
          <w:lang w:val="en-US"/>
        </w:rPr>
        <w:t xml:space="preserve">, as well as for </w:t>
      </w:r>
      <w:r>
        <w:rPr>
          <w:lang w:val="en-US"/>
        </w:rPr>
        <w:t xml:space="preserve">the instruments as a whole, with no issues emerging in this respect. The </w:t>
      </w:r>
      <w:r w:rsidR="00B272F2">
        <w:rPr>
          <w:lang w:val="en-US"/>
        </w:rPr>
        <w:t xml:space="preserve">only emerging </w:t>
      </w:r>
      <w:r w:rsidR="00DB1CD1">
        <w:rPr>
          <w:lang w:val="en-US"/>
        </w:rPr>
        <w:t>theme</w:t>
      </w:r>
      <w:r>
        <w:rPr>
          <w:lang w:val="en-US"/>
        </w:rPr>
        <w:t xml:space="preserve"> was that of familiarity</w:t>
      </w:r>
      <w:r w:rsidR="00147EA7">
        <w:rPr>
          <w:lang w:val="en-US"/>
        </w:rPr>
        <w:t xml:space="preserve"> for some items (proceed with financial affairs, nutrition and cooking issues</w:t>
      </w:r>
      <w:r w:rsidR="004F4C36">
        <w:rPr>
          <w:lang w:val="en-US"/>
        </w:rPr>
        <w:t xml:space="preserve">, </w:t>
      </w:r>
      <w:r w:rsidR="008D3515">
        <w:rPr>
          <w:lang w:val="en-US"/>
        </w:rPr>
        <w:t>driving), a topic that will be</w:t>
      </w:r>
      <w:r w:rsidR="004F4C36">
        <w:rPr>
          <w:lang w:val="en-US"/>
        </w:rPr>
        <w:t xml:space="preserve"> discussed in detail in </w:t>
      </w:r>
      <w:r w:rsidR="00B272F2">
        <w:rPr>
          <w:lang w:val="en-US"/>
        </w:rPr>
        <w:t>the results section</w:t>
      </w:r>
      <w:r w:rsidR="004F4C36">
        <w:rPr>
          <w:lang w:val="en-US"/>
        </w:rPr>
        <w:t>.</w:t>
      </w:r>
    </w:p>
    <w:p w:rsidR="008D3FD7" w:rsidRPr="00147EA7" w:rsidRDefault="00435736" w:rsidP="00147EA7">
      <w:pPr>
        <w:pStyle w:val="Heading4"/>
      </w:pPr>
      <w:r>
        <w:t xml:space="preserve">Step 4. </w:t>
      </w:r>
      <w:r w:rsidR="001C6E3F">
        <w:t>Field testing o</w:t>
      </w:r>
      <w:r w:rsidR="00B42425">
        <w:t>f the instrument</w:t>
      </w:r>
    </w:p>
    <w:p w:rsidR="00147EA7" w:rsidRDefault="00147EA7" w:rsidP="005C41B7">
      <w:pPr>
        <w:pStyle w:val="APAPar"/>
      </w:pPr>
      <w:r>
        <w:t xml:space="preserve">The field testing of the instrument is discussed in detail in </w:t>
      </w:r>
      <w:r w:rsidR="00FA06BD">
        <w:t>C</w:t>
      </w:r>
      <w:r w:rsidRPr="00B272F2">
        <w:t xml:space="preserve">hapter </w:t>
      </w:r>
      <w:r w:rsidR="00B272F2" w:rsidRPr="00B272F2">
        <w:t>7</w:t>
      </w:r>
      <w:r>
        <w:t xml:space="preserve">. </w:t>
      </w:r>
      <w:r w:rsidR="00CB4438">
        <w:t xml:space="preserve">The purpose of </w:t>
      </w:r>
      <w:r w:rsidR="00B272F2">
        <w:t xml:space="preserve">postponing </w:t>
      </w:r>
      <w:r w:rsidR="00CB4438">
        <w:t>this reporting</w:t>
      </w:r>
      <w:r w:rsidR="009562AA">
        <w:t xml:space="preserve"> </w:t>
      </w:r>
      <w:r w:rsidR="00CB4438">
        <w:t>is tha</w:t>
      </w:r>
      <w:r w:rsidR="009525E4">
        <w:t>t as a process, fi</w:t>
      </w:r>
      <w:r w:rsidR="008D3515">
        <w:t>e</w:t>
      </w:r>
      <w:r w:rsidR="009525E4">
        <w:t>l</w:t>
      </w:r>
      <w:r w:rsidR="008D3515">
        <w:t>d testing requires the production of</w:t>
      </w:r>
      <w:r w:rsidR="00CB4438">
        <w:t xml:space="preserve"> </w:t>
      </w:r>
      <w:r w:rsidR="009525E4">
        <w:t xml:space="preserve">quantitative </w:t>
      </w:r>
      <w:r w:rsidR="00CB4438">
        <w:t>indexes</w:t>
      </w:r>
      <w:r w:rsidR="008D3515">
        <w:t xml:space="preserve">, </w:t>
      </w:r>
      <w:r w:rsidR="009525E4">
        <w:t>necessitating</w:t>
      </w:r>
      <w:r w:rsidR="008D3515">
        <w:t xml:space="preserve"> a</w:t>
      </w:r>
      <w:r w:rsidR="00CB4438">
        <w:t xml:space="preserve"> larger sample</w:t>
      </w:r>
      <w:r w:rsidR="00D44AED">
        <w:t xml:space="preserve"> of the target population</w:t>
      </w:r>
      <w:r w:rsidR="008D3515">
        <w:t xml:space="preserve"> (people over the age of 50)</w:t>
      </w:r>
      <w:r w:rsidR="009525E4">
        <w:t>. This sample</w:t>
      </w:r>
      <w:r w:rsidR="00CB4438">
        <w:t xml:space="preserve"> was made available in the fieldwork </w:t>
      </w:r>
      <w:r w:rsidR="00D44AED">
        <w:t xml:space="preserve">(later stages) </w:t>
      </w:r>
      <w:r w:rsidR="00CB4438">
        <w:t xml:space="preserve">of this thesis. </w:t>
      </w:r>
      <w:r w:rsidR="00D17A90">
        <w:t xml:space="preserve">There, </w:t>
      </w:r>
      <w:r w:rsidR="008F2B2D">
        <w:t xml:space="preserve">the </w:t>
      </w:r>
      <w:r w:rsidR="00D17A90">
        <w:t xml:space="preserve">reliability </w:t>
      </w:r>
      <w:r w:rsidR="008F2B2D">
        <w:t xml:space="preserve">of the tools </w:t>
      </w:r>
      <w:r w:rsidR="009562AA">
        <w:t>was</w:t>
      </w:r>
      <w:r w:rsidR="00D17A90">
        <w:t xml:space="preserve"> assessed through internal consistency analysis and inter-rater reliability analysis. </w:t>
      </w:r>
      <w:r w:rsidR="008F2B2D">
        <w:t xml:space="preserve">A comparison with the results of the original instrument </w:t>
      </w:r>
      <w:r w:rsidR="009525E4">
        <w:t xml:space="preserve">was made </w:t>
      </w:r>
      <w:r w:rsidR="008F2B2D">
        <w:t xml:space="preserve">as suggested by Geisinger (1994). </w:t>
      </w:r>
      <w:r w:rsidR="00D44AED">
        <w:t>A</w:t>
      </w:r>
      <w:r w:rsidR="00CB4438">
        <w:t xml:space="preserve"> differential functioning analysis </w:t>
      </w:r>
      <w:r w:rsidR="009525E4">
        <w:t>was</w:t>
      </w:r>
      <w:r w:rsidR="00CB4438">
        <w:t xml:space="preserve"> realized</w:t>
      </w:r>
      <w:r w:rsidR="00E83CB1">
        <w:t xml:space="preserve"> (i.e.</w:t>
      </w:r>
      <w:r w:rsidR="00CB4438">
        <w:t>,</w:t>
      </w:r>
      <w:r w:rsidR="00E83CB1">
        <w:t xml:space="preserve"> correct versus incorrect responses)</w:t>
      </w:r>
      <w:r w:rsidR="00CB4438">
        <w:t xml:space="preserve"> examining if the items included in the translated and adapted measure</w:t>
      </w:r>
      <w:r w:rsidR="009525E4">
        <w:t>s</w:t>
      </w:r>
      <w:r w:rsidR="00CB4438">
        <w:t xml:space="preserve"> are disproportionally difficult than </w:t>
      </w:r>
      <w:r w:rsidR="008D3515">
        <w:t xml:space="preserve">those included in </w:t>
      </w:r>
      <w:r w:rsidR="00CB4438">
        <w:t xml:space="preserve">the original versions. </w:t>
      </w:r>
      <w:r w:rsidR="00D44AED">
        <w:t>Geisinger (1</w:t>
      </w:r>
      <w:r w:rsidR="00B272F2">
        <w:t>994, p.306) commented that</w:t>
      </w:r>
      <w:r w:rsidR="00D44AED">
        <w:t xml:space="preserve"> </w:t>
      </w:r>
      <w:r w:rsidR="004418E1">
        <w:t>‘</w:t>
      </w:r>
      <w:r w:rsidR="00D44AED">
        <w:t xml:space="preserve">test re-test reliability analysis should be included if possible, in this phase of </w:t>
      </w:r>
      <w:r w:rsidR="008D3515">
        <w:t>instrument’s</w:t>
      </w:r>
      <w:r w:rsidR="00D44AED">
        <w:t xml:space="preserve"> adaptation process’. </w:t>
      </w:r>
      <w:r w:rsidR="009562AA">
        <w:t>Test-retest reliability</w:t>
      </w:r>
      <w:r w:rsidR="00D44AED">
        <w:t xml:space="preserve"> however could not be realized in this thesis, due to time and resources constrictions that were posed in this study. This fact is noticed as a limitation of this study and as a recommendation for future research.</w:t>
      </w:r>
    </w:p>
    <w:p w:rsidR="00054AC5" w:rsidRDefault="00435736" w:rsidP="0091167E">
      <w:pPr>
        <w:pStyle w:val="Heading3"/>
      </w:pPr>
      <w:bookmarkStart w:id="127" w:name="_Toc521184212"/>
      <w:r>
        <w:t xml:space="preserve">Step 5. </w:t>
      </w:r>
      <w:r w:rsidR="004418E1">
        <w:t>Validation process</w:t>
      </w:r>
      <w:bookmarkEnd w:id="127"/>
    </w:p>
    <w:p w:rsidR="004418E1" w:rsidRDefault="008D3515" w:rsidP="005C41B7">
      <w:pPr>
        <w:pStyle w:val="APAPar"/>
      </w:pPr>
      <w:r>
        <w:t xml:space="preserve">As Geisinger (1994) proposes, a validation process in the adaptation phase of an instrument </w:t>
      </w:r>
      <w:r w:rsidR="003A6926">
        <w:t>can com</w:t>
      </w:r>
      <w:r w:rsidR="009562AA">
        <w:t>e from three sources: construct-related evidence, content</w:t>
      </w:r>
      <w:r w:rsidR="003A6926">
        <w:t xml:space="preserve">–related validation, and criterion-related </w:t>
      </w:r>
      <w:r w:rsidR="002A078B">
        <w:t>validation</w:t>
      </w:r>
      <w:r w:rsidR="003A6926">
        <w:t xml:space="preserve">. </w:t>
      </w:r>
      <w:r w:rsidR="002A078B">
        <w:t>He noted</w:t>
      </w:r>
      <w:r w:rsidR="00B272F2">
        <w:t xml:space="preserve"> however that criterion-related </w:t>
      </w:r>
      <w:r w:rsidR="002A078B">
        <w:t xml:space="preserve">validation (Geisinger 1994, p.310) ‘… will continue to serve as a primary technique for evaluating the usefulness of a measure within a given culture’. </w:t>
      </w:r>
      <w:r w:rsidR="00BA373F">
        <w:t xml:space="preserve">Criterion-related validity is perhaps the most frequently used type </w:t>
      </w:r>
      <w:r w:rsidR="002E2FD1">
        <w:t xml:space="preserve">of test validation, </w:t>
      </w:r>
      <w:r w:rsidR="009525E4">
        <w:t>assessed by</w:t>
      </w:r>
      <w:r w:rsidR="002E2FD1">
        <w:t xml:space="preserve"> </w:t>
      </w:r>
      <w:r w:rsidR="007204A5">
        <w:t xml:space="preserve">the </w:t>
      </w:r>
      <w:r w:rsidR="002E2FD1">
        <w:t>test’s score</w:t>
      </w:r>
      <w:r w:rsidR="009525E4">
        <w:t xml:space="preserve"> correlation</w:t>
      </w:r>
      <w:r w:rsidR="002E2FD1">
        <w:t xml:space="preserve"> </w:t>
      </w:r>
      <w:r w:rsidR="007204A5">
        <w:t xml:space="preserve">to some criterion. </w:t>
      </w:r>
      <w:r w:rsidR="002E2FD1">
        <w:t xml:space="preserve">It is usually </w:t>
      </w:r>
      <w:r w:rsidR="009525E4">
        <w:t>examined</w:t>
      </w:r>
      <w:r w:rsidR="002E2FD1">
        <w:t xml:space="preserve"> postdictive</w:t>
      </w:r>
      <w:r w:rsidR="00687C0C">
        <w:t>ly</w:t>
      </w:r>
      <w:r w:rsidR="002E2FD1">
        <w:t xml:space="preserve"> (</w:t>
      </w:r>
      <w:r w:rsidR="00687C0C">
        <w:t xml:space="preserve">i.e., </w:t>
      </w:r>
      <w:r w:rsidR="002E2FD1">
        <w:t>with a test administered in the past</w:t>
      </w:r>
      <w:r w:rsidR="009562AA">
        <w:t>)</w:t>
      </w:r>
      <w:r w:rsidR="002E2FD1">
        <w:t>, concurrent</w:t>
      </w:r>
      <w:r w:rsidR="00687C0C">
        <w:t>ly</w:t>
      </w:r>
      <w:r w:rsidR="002E2FD1">
        <w:t xml:space="preserve"> (</w:t>
      </w:r>
      <w:r w:rsidR="00687C0C">
        <w:t xml:space="preserve">i.e., </w:t>
      </w:r>
      <w:r w:rsidR="002E2FD1">
        <w:t>with a test administered at the same time), or predictive</w:t>
      </w:r>
      <w:r w:rsidR="00687C0C">
        <w:t>ly</w:t>
      </w:r>
      <w:r w:rsidR="002E2FD1">
        <w:t xml:space="preserve"> (</w:t>
      </w:r>
      <w:r w:rsidR="00687C0C">
        <w:t xml:space="preserve">i.e., </w:t>
      </w:r>
      <w:r w:rsidR="002E2FD1">
        <w:t>with a test administered in the future (CPS, 2017). From the three types of criterion-related val</w:t>
      </w:r>
      <w:r w:rsidR="009562AA">
        <w:t>idity, the concurrent criterion-</w:t>
      </w:r>
      <w:r w:rsidR="002E2FD1">
        <w:t>related validation is the mo</w:t>
      </w:r>
      <w:r w:rsidR="00687C0C">
        <w:t xml:space="preserve">st frequently used in research </w:t>
      </w:r>
      <w:r w:rsidR="00730451">
        <w:t>(CPS, 2017)</w:t>
      </w:r>
      <w:r w:rsidR="002E2FD1">
        <w:t xml:space="preserve">. </w:t>
      </w:r>
    </w:p>
    <w:p w:rsidR="00687C0C" w:rsidRDefault="00687C0C" w:rsidP="005C41B7">
      <w:pPr>
        <w:pStyle w:val="APAPar"/>
      </w:pPr>
      <w:r>
        <w:t xml:space="preserve">The authors of the original OTDL-R and EPT 28-items instruments used as a criterion-related validity indexes their correlation (i.e., the correlation between OTDL-R and EPT), as well as each instruments’ correlation with age, education and basic cognitive abilities. They argued that this pattern of correlations is </w:t>
      </w:r>
      <w:r w:rsidRPr="00AB662A">
        <w:t xml:space="preserve">typical and representative of </w:t>
      </w:r>
      <w:r>
        <w:t xml:space="preserve">the </w:t>
      </w:r>
      <w:r w:rsidRPr="00AB662A">
        <w:t xml:space="preserve">relationships </w:t>
      </w:r>
      <w:r>
        <w:t>between cognitive performance and everyday functioning as widely</w:t>
      </w:r>
      <w:r w:rsidRPr="00AB662A">
        <w:t xml:space="preserve"> reported in the aging research literature</w:t>
      </w:r>
      <w:r>
        <w:t xml:space="preserve"> (Diehl et al., 2005)</w:t>
      </w:r>
      <w:r w:rsidRPr="00AB662A">
        <w:t>.</w:t>
      </w:r>
      <w:r>
        <w:t xml:space="preserve"> </w:t>
      </w:r>
    </w:p>
    <w:p w:rsidR="0041202D" w:rsidRDefault="00AB662A" w:rsidP="005C41B7">
      <w:pPr>
        <w:pStyle w:val="APAPar"/>
      </w:pPr>
      <w:r w:rsidRPr="00AB662A">
        <w:t xml:space="preserve"> </w:t>
      </w:r>
      <w:r w:rsidR="009562AA">
        <w:t>As the corresponding</w:t>
      </w:r>
      <w:r>
        <w:t xml:space="preserve"> </w:t>
      </w:r>
      <w:r w:rsidR="00687C0C">
        <w:t>analyses require</w:t>
      </w:r>
      <w:r>
        <w:t xml:space="preserve"> the production of quantitative indexes</w:t>
      </w:r>
      <w:r w:rsidR="009562AA">
        <w:t>,</w:t>
      </w:r>
      <w:r w:rsidR="00C27272">
        <w:t xml:space="preserve"> </w:t>
      </w:r>
      <w:r>
        <w:t>a larger sample of the target population</w:t>
      </w:r>
      <w:r w:rsidR="009562AA">
        <w:t xml:space="preserve"> is necessary. Therefore,</w:t>
      </w:r>
      <w:r w:rsidR="00807661">
        <w:t xml:space="preserve"> the validation process </w:t>
      </w:r>
      <w:r w:rsidR="009562AA">
        <w:t xml:space="preserve">for the OTDL-G and EPT-G </w:t>
      </w:r>
      <w:r w:rsidR="00807661">
        <w:t xml:space="preserve">using criterion-related indexes is discussed in detail in </w:t>
      </w:r>
      <w:r w:rsidR="00FA06BD">
        <w:t>C</w:t>
      </w:r>
      <w:r w:rsidR="00807661" w:rsidRPr="00442079">
        <w:t xml:space="preserve">hapter </w:t>
      </w:r>
      <w:r w:rsidR="00442079" w:rsidRPr="00442079">
        <w:t>7</w:t>
      </w:r>
      <w:r w:rsidR="00BD0188" w:rsidRPr="00442079">
        <w:t>.</w:t>
      </w:r>
      <w:r w:rsidR="00442079">
        <w:t xml:space="preserve"> </w:t>
      </w:r>
      <w:r w:rsidR="00796C7D" w:rsidRPr="007A15F6">
        <w:t xml:space="preserve">The scoring range, as well as the calculation principles of the OTDL-G </w:t>
      </w:r>
      <w:r w:rsidR="00BD0188">
        <w:t xml:space="preserve">and the EPT-G </w:t>
      </w:r>
      <w:r w:rsidR="00796C7D" w:rsidRPr="007A15F6">
        <w:t>re</w:t>
      </w:r>
      <w:r w:rsidR="00CC43D5">
        <w:t>mained unchanged, in order to preserve</w:t>
      </w:r>
      <w:r w:rsidR="00796C7D" w:rsidRPr="007A15F6">
        <w:t xml:space="preserve"> the equivalence with the original measure</w:t>
      </w:r>
      <w:r w:rsidR="00BD0188">
        <w:t>s</w:t>
      </w:r>
      <w:r w:rsidR="00796C7D" w:rsidRPr="007A15F6">
        <w:t xml:space="preserve"> (i.e., the OTDL-R</w:t>
      </w:r>
      <w:r w:rsidR="00BD0188">
        <w:t xml:space="preserve"> and the EPT-G</w:t>
      </w:r>
      <w:r w:rsidR="00796C7D" w:rsidRPr="007A15F6">
        <w:t xml:space="preserve">). </w:t>
      </w:r>
    </w:p>
    <w:p w:rsidR="00BD0188" w:rsidRDefault="00435736" w:rsidP="0091167E">
      <w:pPr>
        <w:pStyle w:val="Heading3"/>
        <w:ind w:left="1138" w:right="0" w:hanging="1138"/>
      </w:pPr>
      <w:bookmarkStart w:id="128" w:name="_Toc521184213"/>
      <w:r>
        <w:t xml:space="preserve">Step 6. </w:t>
      </w:r>
      <w:r w:rsidR="007B63BB">
        <w:t>Developing a manual and other document for the users of the assessment devices</w:t>
      </w:r>
      <w:bookmarkEnd w:id="128"/>
    </w:p>
    <w:p w:rsidR="007B63BB" w:rsidRDefault="00687C0C" w:rsidP="005C41B7">
      <w:pPr>
        <w:pStyle w:val="APAPar"/>
        <w:rPr>
          <w:lang w:val="en-US"/>
        </w:rPr>
      </w:pPr>
      <w:r>
        <w:rPr>
          <w:lang w:val="en-US"/>
        </w:rPr>
        <w:t>Documents describing the appropriate use of the adapted instruments are</w:t>
      </w:r>
      <w:r w:rsidR="00D32366">
        <w:rPr>
          <w:lang w:val="en-US"/>
        </w:rPr>
        <w:t xml:space="preserve"> an important part of an adaptation phase (Geisinger, 1994). </w:t>
      </w:r>
      <w:r w:rsidR="00D00E71">
        <w:rPr>
          <w:lang w:val="en-US"/>
        </w:rPr>
        <w:t xml:space="preserve">Both the OTDL-R </w:t>
      </w:r>
      <w:r w:rsidR="0044534A">
        <w:rPr>
          <w:lang w:val="en-US"/>
        </w:rPr>
        <w:t xml:space="preserve">(Appendix II) </w:t>
      </w:r>
      <w:r w:rsidR="00D00E71">
        <w:rPr>
          <w:lang w:val="en-US"/>
        </w:rPr>
        <w:t xml:space="preserve">and EPT 28-items </w:t>
      </w:r>
      <w:r w:rsidR="0044534A">
        <w:rPr>
          <w:lang w:val="en-US"/>
        </w:rPr>
        <w:t xml:space="preserve">(Appendix III) </w:t>
      </w:r>
      <w:r w:rsidR="00D00E71">
        <w:rPr>
          <w:lang w:val="en-US"/>
        </w:rPr>
        <w:t xml:space="preserve">are accompanied from </w:t>
      </w:r>
      <w:r w:rsidR="004A0AE2">
        <w:rPr>
          <w:lang w:val="en-US"/>
        </w:rPr>
        <w:t xml:space="preserve">a scoring manual and administration </w:t>
      </w:r>
      <w:r w:rsidR="0044534A">
        <w:rPr>
          <w:lang w:val="en-US"/>
        </w:rPr>
        <w:t>guide, produced for the purposes of the ACTIVE stu</w:t>
      </w:r>
      <w:r w:rsidR="00020E1F">
        <w:rPr>
          <w:lang w:val="en-US"/>
        </w:rPr>
        <w:t>dy. These guides were translated</w:t>
      </w:r>
      <w:r w:rsidR="0044534A">
        <w:rPr>
          <w:lang w:val="en-US"/>
        </w:rPr>
        <w:t xml:space="preserve"> and adapted for the Greek versions OTDL-G and EPT-G</w:t>
      </w:r>
      <w:r w:rsidR="007E7DD1">
        <w:rPr>
          <w:lang w:val="en-US"/>
        </w:rPr>
        <w:t xml:space="preserve">, </w:t>
      </w:r>
      <w:r w:rsidR="009562AA">
        <w:rPr>
          <w:lang w:val="en-US"/>
        </w:rPr>
        <w:t xml:space="preserve">and are </w:t>
      </w:r>
      <w:r w:rsidR="007E7DD1">
        <w:rPr>
          <w:lang w:val="en-US"/>
        </w:rPr>
        <w:t xml:space="preserve">available in Appendix </w:t>
      </w:r>
      <w:r w:rsidR="00020E1F">
        <w:rPr>
          <w:lang w:val="en-US"/>
        </w:rPr>
        <w:t>V</w:t>
      </w:r>
      <w:r w:rsidR="007E7DD1">
        <w:rPr>
          <w:lang w:val="en-US"/>
        </w:rPr>
        <w:t>I and VII</w:t>
      </w:r>
      <w:r w:rsidR="0044534A">
        <w:rPr>
          <w:lang w:val="en-US"/>
        </w:rPr>
        <w:t xml:space="preserve">. </w:t>
      </w:r>
    </w:p>
    <w:p w:rsidR="00372966" w:rsidRPr="00FC5092" w:rsidRDefault="00435736" w:rsidP="0091167E">
      <w:pPr>
        <w:pStyle w:val="Heading3"/>
      </w:pPr>
      <w:bookmarkStart w:id="129" w:name="_Toc521184214"/>
      <w:r>
        <w:t xml:space="preserve">Step 7. </w:t>
      </w:r>
      <w:r w:rsidR="00FE6BFF" w:rsidRPr="00FC5092">
        <w:t>Train users</w:t>
      </w:r>
      <w:r w:rsidR="00FC5092" w:rsidRPr="00FC5092">
        <w:t xml:space="preserve"> – Collect reactions from users</w:t>
      </w:r>
      <w:bookmarkEnd w:id="129"/>
    </w:p>
    <w:p w:rsidR="00FE6BFF" w:rsidRDefault="00FC5092" w:rsidP="005C41B7">
      <w:pPr>
        <w:pStyle w:val="APAPar"/>
        <w:rPr>
          <w:lang w:val="en-US"/>
        </w:rPr>
      </w:pPr>
      <w:r>
        <w:rPr>
          <w:lang w:val="en-US"/>
        </w:rPr>
        <w:t xml:space="preserve">Geisinger (1994) stated that </w:t>
      </w:r>
      <w:r w:rsidR="00C5717D">
        <w:rPr>
          <w:lang w:val="en-US"/>
        </w:rPr>
        <w:t xml:space="preserve">it is important for </w:t>
      </w:r>
      <w:r w:rsidR="003B73AA">
        <w:rPr>
          <w:lang w:val="en-US"/>
        </w:rPr>
        <w:t>new users of</w:t>
      </w:r>
      <w:r w:rsidR="009562AA">
        <w:rPr>
          <w:lang w:val="en-US"/>
        </w:rPr>
        <w:t xml:space="preserve"> </w:t>
      </w:r>
      <w:r w:rsidR="003B73AA">
        <w:rPr>
          <w:lang w:val="en-US"/>
        </w:rPr>
        <w:t xml:space="preserve">revised </w:t>
      </w:r>
      <w:r w:rsidR="009562AA">
        <w:rPr>
          <w:lang w:val="en-US"/>
        </w:rPr>
        <w:t>assessments</w:t>
      </w:r>
      <w:r w:rsidR="003B73AA">
        <w:rPr>
          <w:lang w:val="en-US"/>
        </w:rPr>
        <w:t xml:space="preserve"> to be trained</w:t>
      </w:r>
      <w:r w:rsidR="00687C0C">
        <w:rPr>
          <w:lang w:val="en-US"/>
        </w:rPr>
        <w:t xml:space="preserve"> on them</w:t>
      </w:r>
      <w:r w:rsidR="003B73AA">
        <w:rPr>
          <w:lang w:val="en-US"/>
        </w:rPr>
        <w:t>. This help</w:t>
      </w:r>
      <w:r w:rsidR="00687C0C">
        <w:rPr>
          <w:lang w:val="en-US"/>
        </w:rPr>
        <w:t>s</w:t>
      </w:r>
      <w:r w:rsidR="003B73AA">
        <w:rPr>
          <w:lang w:val="en-US"/>
        </w:rPr>
        <w:t xml:space="preserve"> avoiding misinterpretation of the scores and add</w:t>
      </w:r>
      <w:r w:rsidR="00687C0C">
        <w:rPr>
          <w:lang w:val="en-US"/>
        </w:rPr>
        <w:t>s</w:t>
      </w:r>
      <w:r w:rsidR="003B73AA">
        <w:rPr>
          <w:lang w:val="en-US"/>
        </w:rPr>
        <w:t xml:space="preserve"> to the validity, reliability, interpretation and</w:t>
      </w:r>
      <w:r w:rsidR="00687C0C">
        <w:rPr>
          <w:lang w:val="en-US"/>
        </w:rPr>
        <w:t xml:space="preserve"> scoring consistency. </w:t>
      </w:r>
      <w:r w:rsidR="006D39F4">
        <w:rPr>
          <w:lang w:val="en-US"/>
        </w:rPr>
        <w:t>Enabling</w:t>
      </w:r>
      <w:r w:rsidR="003656AD">
        <w:rPr>
          <w:lang w:val="en-US"/>
        </w:rPr>
        <w:t xml:space="preserve"> users to comment </w:t>
      </w:r>
      <w:r w:rsidR="006068CE">
        <w:rPr>
          <w:lang w:val="en-US"/>
        </w:rPr>
        <w:t>on the instruments</w:t>
      </w:r>
      <w:r w:rsidR="003656AD">
        <w:rPr>
          <w:lang w:val="en-US"/>
        </w:rPr>
        <w:t>’ use</w:t>
      </w:r>
      <w:r w:rsidR="003B73AA">
        <w:rPr>
          <w:lang w:val="en-US"/>
        </w:rPr>
        <w:t xml:space="preserve"> </w:t>
      </w:r>
      <w:r w:rsidR="00687C0C">
        <w:rPr>
          <w:lang w:val="en-US"/>
        </w:rPr>
        <w:t>leads</w:t>
      </w:r>
      <w:r w:rsidR="003B73AA">
        <w:rPr>
          <w:lang w:val="en-US"/>
        </w:rPr>
        <w:t xml:space="preserve"> to clarification</w:t>
      </w:r>
      <w:r w:rsidR="006068CE">
        <w:rPr>
          <w:lang w:val="en-US"/>
        </w:rPr>
        <w:t>s</w:t>
      </w:r>
      <w:r w:rsidR="003656AD">
        <w:rPr>
          <w:lang w:val="en-US"/>
        </w:rPr>
        <w:t xml:space="preserve"> and</w:t>
      </w:r>
      <w:r w:rsidR="003B73AA">
        <w:rPr>
          <w:lang w:val="en-US"/>
        </w:rPr>
        <w:t xml:space="preserve"> suggest</w:t>
      </w:r>
      <w:r w:rsidR="003656AD">
        <w:rPr>
          <w:lang w:val="en-US"/>
        </w:rPr>
        <w:t>ions for future changes</w:t>
      </w:r>
      <w:r w:rsidR="003B73AA">
        <w:rPr>
          <w:lang w:val="en-US"/>
        </w:rPr>
        <w:t>.</w:t>
      </w:r>
    </w:p>
    <w:p w:rsidR="002F4218" w:rsidRDefault="003B73AA" w:rsidP="005C41B7">
      <w:pPr>
        <w:pStyle w:val="APAPar"/>
        <w:rPr>
          <w:lang w:val="en-US"/>
        </w:rPr>
      </w:pPr>
      <w:r>
        <w:rPr>
          <w:lang w:val="en-US"/>
        </w:rPr>
        <w:t xml:space="preserve">The author engaged in </w:t>
      </w:r>
      <w:r w:rsidR="00FA06BD">
        <w:rPr>
          <w:lang w:val="en-US"/>
        </w:rPr>
        <w:t xml:space="preserve">a </w:t>
      </w:r>
      <w:r w:rsidR="003656AD">
        <w:rPr>
          <w:lang w:val="en-US"/>
        </w:rPr>
        <w:t>training</w:t>
      </w:r>
      <w:r>
        <w:rPr>
          <w:lang w:val="en-US"/>
        </w:rPr>
        <w:t xml:space="preserve"> </w:t>
      </w:r>
      <w:r w:rsidR="003656AD">
        <w:rPr>
          <w:lang w:val="en-US"/>
        </w:rPr>
        <w:t xml:space="preserve">process </w:t>
      </w:r>
      <w:r>
        <w:rPr>
          <w:lang w:val="en-US"/>
        </w:rPr>
        <w:t>with 3 users</w:t>
      </w:r>
      <w:r w:rsidR="003656AD">
        <w:rPr>
          <w:lang w:val="en-US"/>
        </w:rPr>
        <w:t>.</w:t>
      </w:r>
      <w:r>
        <w:rPr>
          <w:lang w:val="en-US"/>
        </w:rPr>
        <w:t xml:space="preserve"> </w:t>
      </w:r>
      <w:r w:rsidR="003656AD">
        <w:rPr>
          <w:lang w:val="en-US"/>
        </w:rPr>
        <w:t>They</w:t>
      </w:r>
      <w:r>
        <w:rPr>
          <w:lang w:val="en-US"/>
        </w:rPr>
        <w:t xml:space="preserve"> were undergraduate students of psychology, two of them serving as research assistants for the </w:t>
      </w:r>
      <w:r w:rsidR="006068CE">
        <w:rPr>
          <w:lang w:val="en-US"/>
        </w:rPr>
        <w:t xml:space="preserve">fieldwork of this thesis. The </w:t>
      </w:r>
      <w:r w:rsidR="007B5AC9">
        <w:rPr>
          <w:lang w:val="en-US"/>
        </w:rPr>
        <w:t xml:space="preserve">training </w:t>
      </w:r>
      <w:r w:rsidR="006068CE">
        <w:rPr>
          <w:lang w:val="en-US"/>
        </w:rPr>
        <w:t>program consisted of i) a review of the literature for the original instruments, ii) a review of the training material available online for the original instruments, iii) undertaking the adapted instruments as participants, iv) administer the tests to the author, v) administer the tests to each other</w:t>
      </w:r>
      <w:r w:rsidR="007B5AC9">
        <w:rPr>
          <w:lang w:val="en-US"/>
        </w:rPr>
        <w:t xml:space="preserve"> with the supervision of the author</w:t>
      </w:r>
      <w:r w:rsidR="006068CE">
        <w:rPr>
          <w:lang w:val="en-US"/>
        </w:rPr>
        <w:t xml:space="preserve">, vi) administer the tests to one of their relatives unsupervised, vii) administer the </w:t>
      </w:r>
      <w:r w:rsidR="003656AD">
        <w:rPr>
          <w:lang w:val="en-US"/>
        </w:rPr>
        <w:t>tests to older individual</w:t>
      </w:r>
      <w:r w:rsidR="006068CE">
        <w:rPr>
          <w:lang w:val="en-US"/>
        </w:rPr>
        <w:t xml:space="preserve"> with the author being present, </w:t>
      </w:r>
      <w:r w:rsidR="003656AD">
        <w:rPr>
          <w:lang w:val="en-US"/>
        </w:rPr>
        <w:t xml:space="preserve">with the latter </w:t>
      </w:r>
      <w:r w:rsidR="006068CE">
        <w:rPr>
          <w:lang w:val="en-US"/>
        </w:rPr>
        <w:t>sitting in the examination table</w:t>
      </w:r>
      <w:r w:rsidR="007B5AC9">
        <w:rPr>
          <w:lang w:val="en-US"/>
        </w:rPr>
        <w:t xml:space="preserve"> and intervening when appropriate</w:t>
      </w:r>
      <w:r w:rsidR="006068CE">
        <w:rPr>
          <w:lang w:val="en-US"/>
        </w:rPr>
        <w:t xml:space="preserve"> , viii) administer the tests under supervision with the author being present in the room but not sitting in the examination table, ix) administering the test under supervision </w:t>
      </w:r>
      <w:r w:rsidR="007B5AC9">
        <w:rPr>
          <w:lang w:val="en-US"/>
        </w:rPr>
        <w:t>with the examiner not</w:t>
      </w:r>
      <w:r w:rsidR="002F4218">
        <w:rPr>
          <w:lang w:val="en-US"/>
        </w:rPr>
        <w:t xml:space="preserve"> being in the examination r</w:t>
      </w:r>
      <w:r w:rsidR="00CF4BF7">
        <w:rPr>
          <w:lang w:val="en-US"/>
        </w:rPr>
        <w:t>oom and x) scoring 3 tests, reviewed subsequently by the author.</w:t>
      </w:r>
      <w:r w:rsidR="003656AD" w:rsidRPr="003656AD">
        <w:rPr>
          <w:lang w:val="en-US"/>
        </w:rPr>
        <w:t xml:space="preserve"> </w:t>
      </w:r>
      <w:r w:rsidR="003656AD">
        <w:rPr>
          <w:lang w:val="en-US"/>
        </w:rPr>
        <w:t>All participants in the phase of the adaptation process were informed of the nature of the study, signed a consent form, and were debriefed that the OTDL-G and the EPT-G are not screening tools that can detect any abnormalities.</w:t>
      </w:r>
    </w:p>
    <w:p w:rsidR="002F4218" w:rsidRDefault="007B5AC9" w:rsidP="005C41B7">
      <w:pPr>
        <w:pStyle w:val="APAPar"/>
        <w:rPr>
          <w:lang w:val="en-US"/>
        </w:rPr>
      </w:pPr>
      <w:r>
        <w:rPr>
          <w:lang w:val="en-US"/>
        </w:rPr>
        <w:t xml:space="preserve">Depending on the level of confidence expressed by the author and the users for administering the tests, each user underwent a 20-30 hour of training. The users were able to comment on the instruments during the whole process of their training. These comments were taking into account in order to modify the administration process, to collect information about the instruments and to guide suggestions for future modification and research. </w:t>
      </w:r>
    </w:p>
    <w:p w:rsidR="008045FE" w:rsidRDefault="008045FE" w:rsidP="00FE028D">
      <w:pPr>
        <w:pStyle w:val="Heading2"/>
      </w:pPr>
      <w:bookmarkStart w:id="130" w:name="_Toc521184215"/>
      <w:r>
        <w:t>Results</w:t>
      </w:r>
      <w:bookmarkEnd w:id="130"/>
    </w:p>
    <w:p w:rsidR="00CF4BF7" w:rsidRDefault="002F4218" w:rsidP="005C41B7">
      <w:pPr>
        <w:pStyle w:val="APAPar"/>
      </w:pPr>
      <w:r>
        <w:rPr>
          <w:lang w:val="en-US"/>
        </w:rPr>
        <w:t xml:space="preserve">The results follow the sequential order in which the translation and adaptation process was performed. The results </w:t>
      </w:r>
      <w:r w:rsidR="008B3B27">
        <w:rPr>
          <w:lang w:val="en-US"/>
        </w:rPr>
        <w:t>do</w:t>
      </w:r>
      <w:r>
        <w:rPr>
          <w:lang w:val="en-US"/>
        </w:rPr>
        <w:t xml:space="preserve"> not include the analysis of the quantitative data</w:t>
      </w:r>
      <w:r w:rsidR="003656AD">
        <w:rPr>
          <w:lang w:val="en-US"/>
        </w:rPr>
        <w:t xml:space="preserve"> generated during the fieldwork of this thesis</w:t>
      </w:r>
      <w:r>
        <w:rPr>
          <w:lang w:val="en-US"/>
        </w:rPr>
        <w:t xml:space="preserve">, which </w:t>
      </w:r>
      <w:r w:rsidR="003656AD">
        <w:rPr>
          <w:lang w:val="en-US"/>
        </w:rPr>
        <w:t>are</w:t>
      </w:r>
      <w:r>
        <w:rPr>
          <w:lang w:val="en-US"/>
        </w:rPr>
        <w:t xml:space="preserve"> presented in </w:t>
      </w:r>
      <w:r w:rsidR="00FA06BD">
        <w:rPr>
          <w:lang w:val="en-US"/>
        </w:rPr>
        <w:t>C</w:t>
      </w:r>
      <w:r w:rsidRPr="008B3B27">
        <w:rPr>
          <w:lang w:val="en-US"/>
        </w:rPr>
        <w:t>hapter</w:t>
      </w:r>
      <w:r w:rsidR="008B3B27" w:rsidRPr="008B3B27">
        <w:rPr>
          <w:lang w:val="en-US"/>
        </w:rPr>
        <w:t xml:space="preserve"> 7</w:t>
      </w:r>
      <w:r>
        <w:rPr>
          <w:lang w:val="en-US"/>
        </w:rPr>
        <w:t xml:space="preserve">. A flow chart describing the overall </w:t>
      </w:r>
      <w:r w:rsidR="003656AD">
        <w:rPr>
          <w:lang w:val="en-US"/>
        </w:rPr>
        <w:t xml:space="preserve">adaptation and translation </w:t>
      </w:r>
      <w:r>
        <w:rPr>
          <w:lang w:val="en-US"/>
        </w:rPr>
        <w:t xml:space="preserve">process is presented in Figure </w:t>
      </w:r>
      <w:r w:rsidR="006D6320">
        <w:rPr>
          <w:lang w:val="en-US"/>
        </w:rPr>
        <w:t>5.1</w:t>
      </w:r>
      <w:r>
        <w:rPr>
          <w:lang w:val="en-US"/>
        </w:rPr>
        <w:t>.</w:t>
      </w:r>
      <w:r w:rsidR="008B3B27">
        <w:rPr>
          <w:lang w:val="en-US"/>
        </w:rPr>
        <w:t xml:space="preserve"> </w:t>
      </w:r>
      <w:r w:rsidR="005E05BB">
        <w:rPr>
          <w:lang w:val="en-US"/>
        </w:rPr>
        <w:t>The modification</w:t>
      </w:r>
      <w:r w:rsidR="003656AD">
        <w:rPr>
          <w:lang w:val="en-US"/>
        </w:rPr>
        <w:t>s</w:t>
      </w:r>
      <w:r w:rsidR="005E05BB">
        <w:rPr>
          <w:lang w:val="en-US"/>
        </w:rPr>
        <w:t xml:space="preserve"> made by the authors in the OTDL-R and EPT 28-items in order to represent more accurately everyday tasks in Greece were well received from the panel of exper</w:t>
      </w:r>
      <w:r w:rsidR="003656AD">
        <w:rPr>
          <w:lang w:val="en-US"/>
        </w:rPr>
        <w:t>ts, the translators, the expert</w:t>
      </w:r>
      <w:r w:rsidR="005E05BB">
        <w:rPr>
          <w:lang w:val="en-US"/>
        </w:rPr>
        <w:t xml:space="preserve"> being administered the tests, the group of older individuals that were administered the tests, as well as the trained users. The translation-back translation process faced no issues and the unanimous acceptance of the </w:t>
      </w:r>
      <w:r w:rsidR="003656AD">
        <w:rPr>
          <w:lang w:val="en-US"/>
        </w:rPr>
        <w:t>final versions did not face any complications</w:t>
      </w:r>
      <w:r w:rsidR="005E05BB">
        <w:rPr>
          <w:lang w:val="en-US"/>
        </w:rPr>
        <w:t xml:space="preserve">. </w:t>
      </w:r>
      <w:r w:rsidR="00DF42CC">
        <w:rPr>
          <w:lang w:val="en-US"/>
        </w:rPr>
        <w:t>Almost all of the older users being administered the OTDL-G and the EPT-G, the expert being administered with the test, and the trained users of the test identified the EPT-G to have a greater level of difficulty</w:t>
      </w:r>
      <w:r w:rsidR="00435736">
        <w:rPr>
          <w:lang w:val="en-US"/>
        </w:rPr>
        <w:t xml:space="preserve"> </w:t>
      </w:r>
      <w:r w:rsidR="00435736" w:rsidRPr="006D43F2">
        <w:rPr>
          <w:lang w:val="en-US"/>
        </w:rPr>
        <w:t>than the OTDL-G</w:t>
      </w:r>
      <w:r w:rsidR="00DF42CC" w:rsidRPr="006D43F2">
        <w:rPr>
          <w:lang w:val="en-US"/>
        </w:rPr>
        <w:t>.</w:t>
      </w:r>
      <w:r w:rsidR="00DF42CC">
        <w:rPr>
          <w:lang w:val="en-US"/>
        </w:rPr>
        <w:t xml:space="preserve"> </w:t>
      </w:r>
      <w:r w:rsidR="003656AD">
        <w:rPr>
          <w:lang w:val="en-US"/>
        </w:rPr>
        <w:t xml:space="preserve">A minority of </w:t>
      </w:r>
      <w:r w:rsidR="00DF42CC">
        <w:rPr>
          <w:lang w:val="en-US"/>
        </w:rPr>
        <w:t xml:space="preserve">older women not driving in real life found the material for the driving </w:t>
      </w:r>
      <w:r w:rsidR="003656AD">
        <w:rPr>
          <w:lang w:val="en-US"/>
        </w:rPr>
        <w:t>tasks</w:t>
      </w:r>
      <w:r w:rsidR="00DF42CC">
        <w:rPr>
          <w:lang w:val="en-US"/>
        </w:rPr>
        <w:t xml:space="preserve"> in the EPT-G </w:t>
      </w:r>
      <w:r w:rsidR="003656AD">
        <w:rPr>
          <w:lang w:val="en-US"/>
        </w:rPr>
        <w:t xml:space="preserve">measure </w:t>
      </w:r>
      <w:r w:rsidR="00DF42CC">
        <w:rPr>
          <w:lang w:val="en-US"/>
        </w:rPr>
        <w:t xml:space="preserve">unfamiliar. The same claim was made from </w:t>
      </w:r>
      <w:r w:rsidR="003656AD">
        <w:rPr>
          <w:lang w:val="en-US"/>
        </w:rPr>
        <w:t xml:space="preserve"> a minority of </w:t>
      </w:r>
      <w:r w:rsidR="00DF42CC">
        <w:rPr>
          <w:lang w:val="en-US"/>
        </w:rPr>
        <w:t xml:space="preserve">older </w:t>
      </w:r>
      <w:r w:rsidR="00DF42CC" w:rsidRPr="006D43F2">
        <w:rPr>
          <w:lang w:val="en-US"/>
        </w:rPr>
        <w:t xml:space="preserve">women for </w:t>
      </w:r>
      <w:r w:rsidR="003656AD" w:rsidRPr="006D43F2">
        <w:rPr>
          <w:lang w:val="en-US"/>
        </w:rPr>
        <w:t xml:space="preserve">the </w:t>
      </w:r>
      <w:r w:rsidR="00435736" w:rsidRPr="006D43F2">
        <w:rPr>
          <w:lang w:val="en-US"/>
        </w:rPr>
        <w:t xml:space="preserve">financial issues </w:t>
      </w:r>
      <w:r w:rsidR="00DF42CC" w:rsidRPr="006D43F2">
        <w:rPr>
          <w:lang w:val="en-US"/>
        </w:rPr>
        <w:t>task</w:t>
      </w:r>
      <w:r w:rsidR="00435736" w:rsidRPr="006D43F2">
        <w:rPr>
          <w:lang w:val="en-US"/>
        </w:rPr>
        <w:t>s</w:t>
      </w:r>
      <w:r w:rsidR="00DF42CC">
        <w:rPr>
          <w:lang w:val="en-US"/>
        </w:rPr>
        <w:t xml:space="preserve"> (i.e., the preparation of </w:t>
      </w:r>
      <w:r w:rsidR="003656AD">
        <w:rPr>
          <w:lang w:val="en-US"/>
        </w:rPr>
        <w:t xml:space="preserve">the </w:t>
      </w:r>
      <w:r w:rsidR="00DF42CC">
        <w:rPr>
          <w:lang w:val="en-US"/>
        </w:rPr>
        <w:t xml:space="preserve">taxes sheet, balancing a bank account, applying for </w:t>
      </w:r>
      <w:r w:rsidR="00DF42CC" w:rsidRPr="007A15F6">
        <w:t>the automatic payment of electricity bills</w:t>
      </w:r>
      <w:r w:rsidR="00DF42CC">
        <w:t xml:space="preserve">) stating for example: “I have never done that. </w:t>
      </w:r>
      <w:r w:rsidR="00255816">
        <w:t xml:space="preserve">My husband takes care of such affairs”. </w:t>
      </w:r>
      <w:r w:rsidR="003656AD">
        <w:t xml:space="preserve">A minority of </w:t>
      </w:r>
      <w:r w:rsidR="00255816">
        <w:t>older men faced diffic</w:t>
      </w:r>
      <w:r w:rsidR="003656AD">
        <w:t>ulties with the cooking recipes</w:t>
      </w:r>
      <w:r w:rsidR="00255816">
        <w:t xml:space="preserve"> and nutritional guidelines</w:t>
      </w:r>
      <w:r w:rsidR="00435736">
        <w:t xml:space="preserve"> </w:t>
      </w:r>
      <w:r w:rsidR="00435736" w:rsidRPr="006D43F2">
        <w:t>tasks</w:t>
      </w:r>
      <w:r w:rsidR="00255816">
        <w:t xml:space="preserve">, stating: “My wife </w:t>
      </w:r>
      <w:r w:rsidR="003656AD">
        <w:t>does the</w:t>
      </w:r>
      <w:r w:rsidR="00255816">
        <w:t xml:space="preserve"> cooking usually”.</w:t>
      </w:r>
    </w:p>
    <w:p w:rsidR="003656AD" w:rsidRDefault="003656AD" w:rsidP="005C41B7">
      <w:pPr>
        <w:pStyle w:val="APAPar"/>
      </w:pPr>
      <w:r w:rsidRPr="00255816">
        <w:t xml:space="preserve">The administration manuals and the scoring guidelines for the OTDL-G and the EPT-G </w:t>
      </w:r>
      <w:r w:rsidR="006D6320">
        <w:t xml:space="preserve">did </w:t>
      </w:r>
      <w:r w:rsidR="006D6320" w:rsidRPr="00255816">
        <w:t>not</w:t>
      </w:r>
      <w:r w:rsidR="006D6320">
        <w:t xml:space="preserve"> produce any particular difficulties to the research assistants, as they were </w:t>
      </w:r>
      <w:r w:rsidRPr="00255816">
        <w:t xml:space="preserve">well received and comprehended by </w:t>
      </w:r>
      <w:r w:rsidR="006D6320">
        <w:t>them</w:t>
      </w:r>
      <w:r w:rsidRPr="00255816">
        <w:t xml:space="preserve">. The training protocol </w:t>
      </w:r>
      <w:r w:rsidR="006D6320">
        <w:t>seems to have provided</w:t>
      </w:r>
      <w:r w:rsidRPr="00255816">
        <w:t xml:space="preserve"> the </w:t>
      </w:r>
      <w:r w:rsidR="006D6320">
        <w:t xml:space="preserve">research assistants with the necessary confidence </w:t>
      </w:r>
      <w:r w:rsidRPr="00255816">
        <w:t xml:space="preserve">in delivering </w:t>
      </w:r>
      <w:r w:rsidR="006D6320">
        <w:t xml:space="preserve">and scoring </w:t>
      </w:r>
      <w:r w:rsidRPr="00255816">
        <w:t>the tests effectively</w:t>
      </w:r>
      <w:r>
        <w:t xml:space="preserve">. However, the </w:t>
      </w:r>
      <w:r w:rsidR="006D6320">
        <w:t>research assistants</w:t>
      </w:r>
      <w:r>
        <w:t xml:space="preserve"> had little confidence in delivering the scores to the participants even </w:t>
      </w:r>
      <w:r w:rsidR="006D6320">
        <w:t>after gaining some experience</w:t>
      </w:r>
      <w:r>
        <w:t xml:space="preserve"> in the fieldwork of this thesis.</w:t>
      </w:r>
    </w:p>
    <w:p w:rsidR="003656AD" w:rsidRPr="003656AD" w:rsidRDefault="003656AD" w:rsidP="005C41B7">
      <w:pPr>
        <w:pStyle w:val="APAPar"/>
      </w:pPr>
    </w:p>
    <w:p w:rsidR="00B5152C" w:rsidRPr="002F4218" w:rsidRDefault="00C4694A" w:rsidP="005C41B7">
      <w:pPr>
        <w:pStyle w:val="APAPar"/>
        <w:rPr>
          <w:lang w:val="en-US"/>
        </w:rPr>
      </w:pPr>
      <w:r>
        <w:rPr>
          <w:noProof/>
        </w:rPr>
        <w:pict>
          <v:group id="Group 175" o:spid="_x0000_s1116" style="position:absolute;left:0;text-align:left;margin-left:11.05pt;margin-top:126.2pt;width:444.35pt;height:415.2pt;z-index:251813888;mso-height-relative:margin" coordorigin=",-1091" coordsize="56435,52789" wrapcoords="-36 -39 -36 21561 7188 21561 21636 21561 21636 -39 5582 -39 -36 -39">
            <o:lock v:ext="edit" aspectratio="t"/>
            <v:rect id="Rectangle 146" o:spid="_x0000_s1117" style="position:absolute;top:-1091;width:14446;height:2773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&#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2F4218">
                    <w:pPr>
                      <w:jc w:val="center"/>
                    </w:pPr>
                  </w:p>
                  <w:p w:rsidR="00E87F3A" w:rsidRDefault="00E87F3A" w:rsidP="002F4218">
                    <w:pPr>
                      <w:jc w:val="center"/>
                      <w:rPr>
                        <w:b/>
                      </w:rPr>
                    </w:pPr>
                    <w:r w:rsidRPr="000C3B8A">
                      <w:rPr>
                        <w:b/>
                      </w:rPr>
                      <w:t>Step 1</w:t>
                    </w:r>
                  </w:p>
                  <w:p w:rsidR="00E87F3A" w:rsidRDefault="00E87F3A" w:rsidP="002F4218">
                    <w:pPr>
                      <w:jc w:val="center"/>
                    </w:pPr>
                    <w:r>
                      <w:t xml:space="preserve"> </w:t>
                    </w:r>
                  </w:p>
                  <w:p w:rsidR="00E87F3A" w:rsidRDefault="00E87F3A" w:rsidP="002F4218">
                    <w:pPr>
                      <w:pStyle w:val="ListParagraph"/>
                      <w:numPr>
                        <w:ilvl w:val="0"/>
                        <w:numId w:val="31"/>
                      </w:numPr>
                      <w:adjustRightInd w:val="0"/>
                      <w:spacing w:after="0" w:line="240" w:lineRule="auto"/>
                      <w:contextualSpacing w:val="0"/>
                    </w:pPr>
                    <w:r>
                      <w:t>Adaptation of items in the OTDL-R and EPT 28-items not representing everyday tasks in Greece</w:t>
                    </w:r>
                  </w:p>
                  <w:p w:rsidR="00E87F3A" w:rsidRDefault="00E87F3A" w:rsidP="002F4218">
                    <w:pPr>
                      <w:pStyle w:val="ListParagraph"/>
                      <w:numPr>
                        <w:ilvl w:val="0"/>
                        <w:numId w:val="31"/>
                      </w:numPr>
                      <w:adjustRightInd w:val="0"/>
                      <w:spacing w:after="0" w:line="240" w:lineRule="auto"/>
                      <w:contextualSpacing w:val="0"/>
                    </w:pPr>
                    <w:r>
                      <w:t>Translation to Greek for items not substituted</w:t>
                    </w:r>
                  </w:p>
                  <w:p w:rsidR="00E87F3A" w:rsidRPr="00BD6209" w:rsidRDefault="00E87F3A" w:rsidP="002F4218">
                    <w:pPr>
                      <w:jc w:val="center"/>
                      <w:rPr>
                        <w:lang w:val="en-US"/>
                      </w:rPr>
                    </w:pPr>
                  </w:p>
                  <w:p w:rsidR="00E87F3A" w:rsidRDefault="00E87F3A" w:rsidP="002F4218">
                    <w:pPr>
                      <w:jc w:val="center"/>
                    </w:pPr>
                  </w:p>
                  <w:p w:rsidR="00E87F3A" w:rsidRDefault="00E87F3A" w:rsidP="002F4218">
                    <w:pPr>
                      <w:jc w:val="center"/>
                    </w:pPr>
                  </w:p>
                  <w:p w:rsidR="00E87F3A" w:rsidRDefault="00E87F3A" w:rsidP="002F4218">
                    <w:pPr>
                      <w:jc w:val="center"/>
                    </w:pPr>
                  </w:p>
                  <w:p w:rsidR="00E87F3A" w:rsidRDefault="00E87F3A" w:rsidP="002F4218">
                    <w:pPr>
                      <w:jc w:val="cente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47" o:spid="_x0000_s1118" type="#_x0000_t13" style="position:absolute;left:15273;top:10651;width:3061;height:33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" adj="10800" fillcolor="#a7c0de" strokecolor="#457ab9">
              <v:fill color2="#4f81bd" rotate="t" focus="100%" type="gradient">
                <o:fill v:ext="view" type="gradientUnscaled"/>
              </v:fill>
              <v:shadow on="t" opacity="22936f" origin=",.5" offset="0,.63889mm"/>
              <o:lock v:ext="edit" aspectratio="t" verticies="t" text="t" shapetype="t"/>
            </v:shape>
            <v:rect id="Rectangle 148" o:spid="_x0000_s1119" style="position:absolute;left:19100;top:-1041;width:16009;height:2754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&#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2F4218">
                    <w:pPr>
                      <w:jc w:val="center"/>
                      <w:rPr>
                        <w:b/>
                      </w:rPr>
                    </w:pPr>
                  </w:p>
                  <w:p w:rsidR="00E87F3A" w:rsidRDefault="00E87F3A" w:rsidP="002F4218">
                    <w:pPr>
                      <w:jc w:val="center"/>
                      <w:rPr>
                        <w:b/>
                      </w:rPr>
                    </w:pPr>
                    <w:r>
                      <w:rPr>
                        <w:b/>
                      </w:rPr>
                      <w:t xml:space="preserve">Process </w:t>
                    </w:r>
                  </w:p>
                  <w:p w:rsidR="00E87F3A" w:rsidRPr="00BD6209" w:rsidRDefault="00E87F3A" w:rsidP="002F4218">
                    <w:pPr>
                      <w:jc w:val="center"/>
                      <w:rPr>
                        <w:b/>
                      </w:rPr>
                    </w:pPr>
                  </w:p>
                  <w:p w:rsidR="00E87F3A" w:rsidRDefault="00E87F3A" w:rsidP="002F4218">
                    <w:pPr>
                      <w:pStyle w:val="ListParagraph"/>
                      <w:numPr>
                        <w:ilvl w:val="0"/>
                        <w:numId w:val="32"/>
                      </w:numPr>
                    </w:pPr>
                    <w:r>
                      <w:t>Substitution of items from the original instruments with similar items representing everyday tasks in Greece</w:t>
                    </w:r>
                  </w:p>
                  <w:p w:rsidR="00E87F3A" w:rsidRDefault="00E87F3A" w:rsidP="002F4218">
                    <w:pPr>
                      <w:pStyle w:val="ListParagraph"/>
                      <w:numPr>
                        <w:ilvl w:val="0"/>
                        <w:numId w:val="32"/>
                      </w:numPr>
                    </w:pPr>
                    <w:r>
                      <w:t xml:space="preserve">Translation to Greek– back translation  from Greek to English </w:t>
                    </w:r>
                  </w:p>
                  <w:p w:rsidR="00E87F3A" w:rsidRDefault="00E87F3A" w:rsidP="002F4218">
                    <w:pPr>
                      <w:jc w:val="center"/>
                    </w:pPr>
                  </w:p>
                  <w:p w:rsidR="00E87F3A" w:rsidRDefault="00E87F3A" w:rsidP="002F4218">
                    <w:pPr>
                      <w:jc w:val="center"/>
                    </w:pPr>
                  </w:p>
                </w:txbxContent>
              </v:textbox>
            </v:rect>
            <v:shape id="Right Arrow 149" o:spid="_x0000_s1120" type="#_x0000_t13" style="position:absolute;left:35872;top:10651;width:3042;height:33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" adj="10800" fillcolor="#a7c0de" strokecolor="#457ab9">
              <v:fill color2="#4f81bd" rotate="t" focus="100%" type="gradient">
                <o:fill v:ext="view" type="gradientUnscaled"/>
              </v:fill>
              <v:shadow on="t" opacity="22936f" origin=",.5" offset="0,.63889mm"/>
              <o:lock v:ext="edit" aspectratio="t" verticies="t" text="t" shapetype="t"/>
            </v:shape>
            <v:rect id="Rectangle 150" o:spid="_x0000_s1121" style="position:absolute;left:39690;top:-991;width:16745;height:2762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&#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2F4218">
                    <w:pPr>
                      <w:jc w:val="center"/>
                      <w:rPr>
                        <w:b/>
                      </w:rPr>
                    </w:pPr>
                    <w:r w:rsidRPr="000C3B8A">
                      <w:rPr>
                        <w:b/>
                      </w:rPr>
                      <w:t>O</w:t>
                    </w:r>
                    <w:r>
                      <w:rPr>
                        <w:b/>
                      </w:rPr>
                      <w:t>utcome</w:t>
                    </w:r>
                  </w:p>
                  <w:p w:rsidR="00E87F3A" w:rsidRDefault="00E87F3A" w:rsidP="002F4218">
                    <w:pPr>
                      <w:pStyle w:val="ListParagraph"/>
                      <w:numPr>
                        <w:ilvl w:val="0"/>
                        <w:numId w:val="42"/>
                      </w:numPr>
                    </w:pPr>
                    <w:r>
                      <w:t>OTDL-G: 3 tasks for medication handling, 3 tasks for telephone handling, 3 tasks for finance handling</w:t>
                    </w:r>
                  </w:p>
                  <w:p w:rsidR="00E87F3A" w:rsidRDefault="00E87F3A" w:rsidP="002F4218">
                    <w:pPr>
                      <w:pStyle w:val="ListParagraph"/>
                      <w:numPr>
                        <w:ilvl w:val="0"/>
                        <w:numId w:val="42"/>
                      </w:numPr>
                    </w:pPr>
                    <w:r>
                      <w:t>EPT-G: 28-items for shopping, telephone use, driving, medication handling, finance handling, nutrition, using home appliances and commuting.</w:t>
                    </w:r>
                  </w:p>
                  <w:p w:rsidR="00E87F3A" w:rsidRDefault="00E87F3A" w:rsidP="002F4218">
                    <w:pPr>
                      <w:jc w:val="center"/>
                    </w:pPr>
                  </w:p>
                  <w:p w:rsidR="00E87F3A" w:rsidRDefault="00E87F3A" w:rsidP="002F4218">
                    <w:pPr>
                      <w:jc w:val="center"/>
                    </w:pPr>
                  </w:p>
                  <w:p w:rsidR="00E87F3A" w:rsidRDefault="00E87F3A" w:rsidP="002F4218">
                    <w:pPr>
                      <w:jc w:val="center"/>
                    </w:pPr>
                  </w:p>
                  <w:p w:rsidR="00E87F3A" w:rsidRDefault="00E87F3A" w:rsidP="002F4218">
                    <w:pPr>
                      <w:jc w:val="center"/>
                    </w:pPr>
                  </w:p>
                  <w:p w:rsidR="00E87F3A" w:rsidRDefault="00E87F3A" w:rsidP="002F4218">
                    <w:pPr>
                      <w:jc w:val="center"/>
                    </w:pPr>
                  </w:p>
                  <w:p w:rsidR="00E87F3A" w:rsidRDefault="00E87F3A" w:rsidP="002F4218">
                    <w:pPr>
                      <w:jc w:val="center"/>
                    </w:pPr>
                  </w:p>
                  <w:p w:rsidR="00E87F3A" w:rsidRDefault="00E87F3A" w:rsidP="002F4218">
                    <w:pPr>
                      <w:jc w:val="center"/>
                    </w:pPr>
                  </w:p>
                </w:txbxContent>
              </v:textbox>
            </v:rect>
            <v:rect id="Rectangle 151" o:spid="_x0000_s1122" style="position:absolute;left:49;top:27697;width:14446;height:23863;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2F4218">
                    <w:pPr>
                      <w:jc w:val="center"/>
                      <w:rPr>
                        <w:b/>
                      </w:rPr>
                    </w:pPr>
                    <w:r w:rsidRPr="000C3B8A">
                      <w:rPr>
                        <w:b/>
                      </w:rPr>
                      <w:t xml:space="preserve">Step </w:t>
                    </w:r>
                    <w:r>
                      <w:rPr>
                        <w:b/>
                      </w:rPr>
                      <w:t>2</w:t>
                    </w:r>
                  </w:p>
                  <w:p w:rsidR="00E87F3A" w:rsidRDefault="00E87F3A" w:rsidP="002F4218">
                    <w:pPr>
                      <w:jc w:val="center"/>
                    </w:pPr>
                    <w:r>
                      <w:t xml:space="preserve"> </w:t>
                    </w:r>
                  </w:p>
                  <w:p w:rsidR="00E87F3A" w:rsidRDefault="00E87F3A" w:rsidP="002F4218">
                    <w:pPr>
                      <w:pStyle w:val="ListParagraph"/>
                      <w:numPr>
                        <w:ilvl w:val="0"/>
                        <w:numId w:val="33"/>
                      </w:numPr>
                    </w:pPr>
                    <w:r>
                      <w:t>Review OTDL-G and EPT-G</w:t>
                    </w:r>
                  </w:p>
                  <w:p w:rsidR="00E87F3A" w:rsidRDefault="00E87F3A" w:rsidP="002F4218">
                    <w:pPr>
                      <w:pStyle w:val="ListParagraph"/>
                      <w:numPr>
                        <w:ilvl w:val="0"/>
                        <w:numId w:val="33"/>
                      </w:numPr>
                    </w:pPr>
                    <w:r>
                      <w:t>Adapt the measures on the basis of the comments of reviewers</w:t>
                    </w:r>
                  </w:p>
                  <w:p w:rsidR="00E87F3A" w:rsidRPr="00BD6209" w:rsidRDefault="00E87F3A" w:rsidP="002F4218">
                    <w:pPr>
                      <w:jc w:val="center"/>
                      <w:rPr>
                        <w:lang w:val="en-US"/>
                      </w:rPr>
                    </w:pPr>
                  </w:p>
                </w:txbxContent>
              </v:textbox>
            </v:rect>
            <v:shape id="Right Arrow 152" o:spid="_x0000_s1123" type="#_x0000_t13" style="position:absolute;left:15273;top:33461;width:3061;height:33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" adj="10800" fillcolor="#a7c0de" strokecolor="#457ab9">
              <v:fill color2="#4f81bd" rotate="t" focus="100%" type="gradient">
                <o:fill v:ext="view" type="gradientUnscaled"/>
              </v:fill>
              <v:shadow on="t" opacity="22936f" origin=",.5" offset="0,.63889mm"/>
              <o:lock v:ext="edit" aspectratio="t" verticies="t" text="t" shapetype="t"/>
            </v:shape>
            <v:rect id="Rectangle 153" o:spid="_x0000_s1124" style="position:absolute;left:19091;top:27733;width:16009;height:23965;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2F4218">
                    <w:pPr>
                      <w:jc w:val="center"/>
                    </w:pPr>
                    <w:r w:rsidRPr="000C3B8A">
                      <w:rPr>
                        <w:b/>
                      </w:rPr>
                      <w:t xml:space="preserve">Process </w:t>
                    </w:r>
                  </w:p>
                  <w:p w:rsidR="00E87F3A" w:rsidRDefault="00E87F3A" w:rsidP="002F4218">
                    <w:pPr>
                      <w:pStyle w:val="ListParagraph"/>
                      <w:numPr>
                        <w:ilvl w:val="0"/>
                        <w:numId w:val="34"/>
                      </w:numPr>
                    </w:pPr>
                    <w:r>
                      <w:t>Check</w:t>
                    </w:r>
                    <w:r w:rsidRPr="007A15F6">
                      <w:t xml:space="preserve"> for the conceptual equivalence of the adjusted items</w:t>
                    </w:r>
                    <w:r>
                      <w:t xml:space="preserve"> and the quality of the translation</w:t>
                    </w:r>
                    <w:r w:rsidRPr="007A15F6">
                      <w:t>.</w:t>
                    </w:r>
                  </w:p>
                  <w:p w:rsidR="00E87F3A" w:rsidRDefault="00E87F3A" w:rsidP="002F4218">
                    <w:pPr>
                      <w:pStyle w:val="ListParagraph"/>
                      <w:numPr>
                        <w:ilvl w:val="0"/>
                        <w:numId w:val="34"/>
                      </w:numPr>
                    </w:pPr>
                    <w:r>
                      <w:t>Panel discussion on the items</w:t>
                    </w:r>
                  </w:p>
                  <w:p w:rsidR="00E87F3A" w:rsidRDefault="00E87F3A" w:rsidP="002F4218">
                    <w:pPr>
                      <w:pStyle w:val="ListParagraph"/>
                      <w:numPr>
                        <w:ilvl w:val="0"/>
                        <w:numId w:val="34"/>
                      </w:numPr>
                    </w:pPr>
                    <w:r>
                      <w:t>Check</w:t>
                    </w:r>
                    <w:r w:rsidRPr="007A15F6">
                      <w:t xml:space="preserve"> the linguistic appropriateness</w:t>
                    </w:r>
                  </w:p>
                  <w:p w:rsidR="00E87F3A" w:rsidRDefault="00E87F3A" w:rsidP="002F4218"/>
                </w:txbxContent>
              </v:textbox>
            </v:rect>
            <v:shape id="Right Arrow 154" o:spid="_x0000_s1125" type="#_x0000_t13" style="position:absolute;left:35872;top:33461;width:3061;height:33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" adj="10800" fillcolor="#a7c0de" strokecolor="#457ab9">
              <v:fill color2="#4f81bd" rotate="t" focus="100%" type="gradient">
                <o:fill v:ext="view" type="gradientUnscaled"/>
              </v:fill>
              <v:shadow on="t" opacity="22936f" origin=",.5" offset="0,.63889mm"/>
              <o:lock v:ext="edit" aspectratio="t" verticies="t" text="t" shapetype="t"/>
            </v:shape>
            <v:rect id="Rectangle 155" o:spid="_x0000_s1126" style="position:absolute;left:39690;top:27733;width:16726;height:23965;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2F4218">
                    <w:pPr>
                      <w:jc w:val="center"/>
                    </w:pPr>
                    <w:r>
                      <w:rPr>
                        <w:b/>
                      </w:rPr>
                      <w:t>Outcome</w:t>
                    </w:r>
                  </w:p>
                  <w:p w:rsidR="00E87F3A" w:rsidRDefault="00E87F3A" w:rsidP="002F4218">
                    <w:pPr>
                      <w:pStyle w:val="ListParagraph"/>
                      <w:numPr>
                        <w:ilvl w:val="0"/>
                        <w:numId w:val="35"/>
                      </w:numPr>
                    </w:pPr>
                    <w:r>
                      <w:t>C</w:t>
                    </w:r>
                    <w:r w:rsidRPr="007A15F6">
                      <w:t>onceptual equivalence</w:t>
                    </w:r>
                    <w:r>
                      <w:t xml:space="preserve"> and quality of translation verified</w:t>
                    </w:r>
                  </w:p>
                  <w:p w:rsidR="00E87F3A" w:rsidRDefault="00E87F3A" w:rsidP="002F4218">
                    <w:pPr>
                      <w:pStyle w:val="ListParagraph"/>
                      <w:numPr>
                        <w:ilvl w:val="0"/>
                        <w:numId w:val="35"/>
                      </w:numPr>
                    </w:pPr>
                    <w:r>
                      <w:t>No further modifications proposed from the panel</w:t>
                    </w:r>
                  </w:p>
                  <w:p w:rsidR="00E87F3A" w:rsidRDefault="00E87F3A" w:rsidP="002F4218">
                    <w:pPr>
                      <w:pStyle w:val="ListParagraph"/>
                      <w:numPr>
                        <w:ilvl w:val="0"/>
                        <w:numId w:val="35"/>
                      </w:numPr>
                    </w:pPr>
                    <w:r>
                      <w:t>Linguistic appropriateness verified</w:t>
                    </w:r>
                  </w:p>
                  <w:p w:rsidR="00E87F3A" w:rsidRDefault="00E87F3A" w:rsidP="002F4218"/>
                </w:txbxContent>
              </v:textbox>
            </v:rect>
            <v:rect id="Rectangle 207" o:spid="_x0000_s1127" style="position:absolute;left:19100;top:27697;width:16009;height:23965;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2F4218">
                    <w:pPr>
                      <w:jc w:val="center"/>
                    </w:pPr>
                    <w:r w:rsidRPr="000C3B8A">
                      <w:rPr>
                        <w:b/>
                      </w:rPr>
                      <w:t xml:space="preserve">Process </w:t>
                    </w:r>
                  </w:p>
                  <w:p w:rsidR="00E87F3A" w:rsidRDefault="00E87F3A" w:rsidP="002F4218">
                    <w:pPr>
                      <w:pStyle w:val="ListParagraph"/>
                      <w:numPr>
                        <w:ilvl w:val="0"/>
                        <w:numId w:val="34"/>
                      </w:numPr>
                    </w:pPr>
                    <w:r>
                      <w:t>Check</w:t>
                    </w:r>
                    <w:r w:rsidRPr="007A15F6">
                      <w:t xml:space="preserve"> for the conceptual equivalence of the adjusted items</w:t>
                    </w:r>
                    <w:r>
                      <w:t xml:space="preserve"> and the quality of the translation</w:t>
                    </w:r>
                    <w:r w:rsidRPr="007A15F6">
                      <w:t>.</w:t>
                    </w:r>
                  </w:p>
                  <w:p w:rsidR="00E87F3A" w:rsidRDefault="00E87F3A" w:rsidP="002F4218">
                    <w:pPr>
                      <w:pStyle w:val="ListParagraph"/>
                      <w:numPr>
                        <w:ilvl w:val="0"/>
                        <w:numId w:val="34"/>
                      </w:numPr>
                    </w:pPr>
                    <w:r>
                      <w:t>Panel discussion on the items</w:t>
                    </w:r>
                  </w:p>
                  <w:p w:rsidR="00E87F3A" w:rsidRDefault="00E87F3A" w:rsidP="002F4218">
                    <w:pPr>
                      <w:pStyle w:val="ListParagraph"/>
                      <w:numPr>
                        <w:ilvl w:val="0"/>
                        <w:numId w:val="34"/>
                      </w:numPr>
                    </w:pPr>
                    <w:r>
                      <w:t>Check</w:t>
                    </w:r>
                    <w:r w:rsidRPr="007A15F6">
                      <w:t xml:space="preserve"> the linguistic appropriateness</w:t>
                    </w:r>
                  </w:p>
                  <w:p w:rsidR="00E87F3A" w:rsidRDefault="00E87F3A" w:rsidP="002F4218"/>
                </w:txbxContent>
              </v:textbox>
            </v:rect>
            <w10:wrap type="through"/>
          </v:group>
        </w:pict>
      </w:r>
      <w:r>
        <w:rPr>
          <w:noProof/>
          <w:lang w:eastAsia="en-GB"/>
        </w:rPr>
        <w:pict>
          <v:shape id="Text Box 145" o:spid="_x0000_s1115" type="#_x0000_t202" alt="" style="position:absolute;left:0;text-align:left;margin-left:-.8pt;margin-top:90.2pt;width:463.05pt;height:453.55pt;flip:y;z-index:251812864;visibility:visible;mso-wrap-edited:f;mso-width-relative:margin;mso-height-relative:margin" filled="f" strokecolor="#4f81bd [3204]">
            <v:path arrowok="t"/>
            <v:textbox style="mso-next-textbox:#Text Box 145">
              <w:txbxContent>
                <w:p w:rsidR="00E87F3A" w:rsidRDefault="00E87F3A" w:rsidP="005C41B7">
                  <w:pPr>
                    <w:pStyle w:val="APAPar"/>
                    <w:rPr>
                      <w:lang w:val="en-US"/>
                    </w:rPr>
                  </w:pPr>
                </w:p>
                <w:p w:rsidR="00E87F3A" w:rsidRPr="000C24F7" w:rsidRDefault="00E87F3A" w:rsidP="005C41B7">
                  <w:pPr>
                    <w:pStyle w:val="APAPar"/>
                    <w:rPr>
                      <w:lang w:val="en-US"/>
                    </w:rPr>
                  </w:pPr>
                </w:p>
              </w:txbxContent>
            </v:textbox>
            <w10:wrap type="square"/>
          </v:shape>
        </w:pict>
      </w:r>
    </w:p>
    <w:p w:rsidR="00026E51" w:rsidRDefault="00C4694A" w:rsidP="005C41B7">
      <w:pPr>
        <w:pStyle w:val="APAPar"/>
      </w:pPr>
      <w:r>
        <w:rPr>
          <w:noProof/>
        </w:rPr>
        <w:pict>
          <v:group id="Group 174" o:spid="_x0000_s1100" style="position:absolute;left:0;text-align:left;margin-left:13pt;margin-top:17.75pt;width:438.9pt;height:621.5pt;z-index:251807744" coordsize="55744,78936" wrapcoords="-37 -26 -37 8129 10818 8312 -37 8390 -37 21574 13625 21574 21637 21574 21637 8390 16578 8312 21637 8129 21637 -26 -37 -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">
            <o:lock v:ext="edit" aspectratio="t"/>
            <v:rect id="Rectangle 158" o:spid="_x0000_s1101" style="position:absolute;width:14446;height:2971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&#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026E51">
                    <w:pPr>
                      <w:jc w:val="center"/>
                    </w:pPr>
                  </w:p>
                  <w:p w:rsidR="00E87F3A" w:rsidRDefault="00E87F3A" w:rsidP="00026E51">
                    <w:pPr>
                      <w:jc w:val="center"/>
                    </w:pPr>
                  </w:p>
                  <w:p w:rsidR="00E87F3A" w:rsidRDefault="00E87F3A" w:rsidP="00026E51">
                    <w:pPr>
                      <w:jc w:val="center"/>
                    </w:pPr>
                    <w:r w:rsidRPr="000C3B8A">
                      <w:rPr>
                        <w:b/>
                      </w:rPr>
                      <w:t xml:space="preserve">Step </w:t>
                    </w:r>
                    <w:r>
                      <w:rPr>
                        <w:b/>
                      </w:rPr>
                      <w:t>3</w:t>
                    </w:r>
                    <w:r>
                      <w:t xml:space="preserve"> </w:t>
                    </w:r>
                  </w:p>
                  <w:p w:rsidR="00E87F3A" w:rsidRDefault="00E87F3A" w:rsidP="00026E51">
                    <w:pPr>
                      <w:jc w:val="center"/>
                    </w:pPr>
                  </w:p>
                  <w:p w:rsidR="00E87F3A" w:rsidRPr="00026E51" w:rsidRDefault="00E87F3A" w:rsidP="000A7A85">
                    <w:pPr>
                      <w:jc w:val="center"/>
                      <w:rPr>
                        <w:lang w:val="en-US"/>
                      </w:rPr>
                    </w:pPr>
                    <w:r>
                      <w:t>Pilot testing of the instruments</w:t>
                    </w:r>
                  </w:p>
                  <w:p w:rsidR="00E87F3A" w:rsidRDefault="00E87F3A" w:rsidP="00026E51">
                    <w:pPr>
                      <w:jc w:val="center"/>
                    </w:pPr>
                  </w:p>
                  <w:p w:rsidR="00E87F3A" w:rsidRDefault="00E87F3A" w:rsidP="00026E51">
                    <w:pPr>
                      <w:jc w:val="center"/>
                    </w:pPr>
                  </w:p>
                  <w:p w:rsidR="00E87F3A" w:rsidRDefault="00E87F3A" w:rsidP="00026E51">
                    <w:pPr>
                      <w:jc w:val="center"/>
                    </w:pPr>
                  </w:p>
                  <w:p w:rsidR="00E87F3A" w:rsidRDefault="00E87F3A" w:rsidP="00026E51">
                    <w:pPr>
                      <w:jc w:val="center"/>
                    </w:pPr>
                  </w:p>
                </w:txbxContent>
              </v:textbox>
            </v:rect>
            <v:rect id="Rectangle 159" o:spid="_x0000_s1102" style="position:absolute;left:20699;width:14446;height:29718;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0A7A85">
                    <w:pPr>
                      <w:jc w:val="center"/>
                    </w:pPr>
                    <w:r>
                      <w:rPr>
                        <w:b/>
                      </w:rPr>
                      <w:t>Process</w:t>
                    </w:r>
                  </w:p>
                  <w:p w:rsidR="00E87F3A" w:rsidRDefault="00E87F3A" w:rsidP="000A7A85">
                    <w:pPr>
                      <w:pStyle w:val="ListParagraph"/>
                      <w:numPr>
                        <w:ilvl w:val="0"/>
                        <w:numId w:val="37"/>
                      </w:numPr>
                    </w:pPr>
                    <w:r>
                      <w:t>Administering the test to an expert</w:t>
                    </w:r>
                  </w:p>
                  <w:p w:rsidR="00E87F3A" w:rsidRDefault="00E87F3A" w:rsidP="000A7A85">
                    <w:pPr>
                      <w:pStyle w:val="ListParagraph"/>
                      <w:numPr>
                        <w:ilvl w:val="0"/>
                        <w:numId w:val="37"/>
                      </w:numPr>
                    </w:pPr>
                    <w:r>
                      <w:t>Administering the test to 10 older individuals</w:t>
                    </w:r>
                  </w:p>
                  <w:p w:rsidR="00E87F3A" w:rsidRPr="00026E51" w:rsidRDefault="00E87F3A" w:rsidP="000A7A85">
                    <w:pPr>
                      <w:pStyle w:val="ListParagraph"/>
                      <w:numPr>
                        <w:ilvl w:val="0"/>
                        <w:numId w:val="37"/>
                      </w:numPr>
                    </w:pPr>
                    <w:r>
                      <w:t xml:space="preserve">Examining the </w:t>
                    </w:r>
                    <w:r w:rsidRPr="00ED126B">
                      <w:t>understandability of the instructions, acceptability of the time limits, and wording of the items</w:t>
                    </w:r>
                  </w:p>
                  <w:p w:rsidR="00E87F3A" w:rsidRDefault="00E87F3A" w:rsidP="00026E51">
                    <w:pPr>
                      <w:jc w:val="center"/>
                    </w:pPr>
                  </w:p>
                  <w:p w:rsidR="00E87F3A" w:rsidRDefault="00E87F3A" w:rsidP="00026E51">
                    <w:pPr>
                      <w:jc w:val="center"/>
                    </w:pPr>
                  </w:p>
                  <w:p w:rsidR="00E87F3A" w:rsidRDefault="00E87F3A" w:rsidP="00026E51">
                    <w:pPr>
                      <w:jc w:val="center"/>
                    </w:pPr>
                  </w:p>
                  <w:p w:rsidR="00E87F3A" w:rsidRDefault="00E87F3A" w:rsidP="00026E51">
                    <w:pPr>
                      <w:jc w:val="center"/>
                    </w:pPr>
                  </w:p>
                </w:txbxContent>
              </v:textbox>
            </v:rect>
            <v:shape id="Right Arrow 160" o:spid="_x0000_s1103" type="#_x0000_t13" style="position:absolute;left:16077;top:12560;width:3061;height:33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" adj="10800" fillcolor="#a7c0de" strokecolor="#457ab9">
              <v:fill color2="#4f81bd" rotate="t" focus="100%" type="gradient">
                <o:fill v:ext="view" type="gradientUnscaled"/>
              </v:fill>
              <v:shadow on="t" opacity="22936f" origin=",.5" offset="0,.63889mm"/>
              <o:lock v:ext="edit" aspectratio="t" verticies="t" text="t" shapetype="t"/>
            </v:shape>
            <v:rect id="Rectangle 162" o:spid="_x0000_s1104" style="position:absolute;left:41298;width:14446;height:29718;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0A7A85">
                    <w:pPr>
                      <w:jc w:val="center"/>
                    </w:pPr>
                  </w:p>
                  <w:p w:rsidR="00E87F3A" w:rsidRDefault="00E87F3A" w:rsidP="000A7A85">
                    <w:pPr>
                      <w:jc w:val="center"/>
                    </w:pPr>
                  </w:p>
                  <w:p w:rsidR="00E87F3A" w:rsidRDefault="00E87F3A" w:rsidP="000A7A85">
                    <w:pPr>
                      <w:jc w:val="center"/>
                    </w:pPr>
                    <w:r>
                      <w:rPr>
                        <w:b/>
                      </w:rPr>
                      <w:t>Outcome</w:t>
                    </w:r>
                  </w:p>
                  <w:p w:rsidR="00E87F3A" w:rsidRDefault="00E87F3A" w:rsidP="000A7A85">
                    <w:pPr>
                      <w:jc w:val="center"/>
                    </w:pPr>
                  </w:p>
                  <w:p w:rsidR="00E87F3A" w:rsidRDefault="00E87F3A" w:rsidP="000A7A85">
                    <w:pPr>
                      <w:pStyle w:val="ListParagraph"/>
                      <w:numPr>
                        <w:ilvl w:val="0"/>
                        <w:numId w:val="38"/>
                      </w:numPr>
                    </w:pPr>
                    <w:r>
                      <w:t>The tests were well received and comprehended</w:t>
                    </w:r>
                  </w:p>
                  <w:p w:rsidR="00E87F3A" w:rsidRDefault="00E87F3A" w:rsidP="000A7A85">
                    <w:pPr>
                      <w:pStyle w:val="ListParagraph"/>
                      <w:numPr>
                        <w:ilvl w:val="0"/>
                        <w:numId w:val="38"/>
                      </w:numPr>
                    </w:pPr>
                    <w:r>
                      <w:t>No changes were proposed</w:t>
                    </w:r>
                  </w:p>
                  <w:p w:rsidR="00E87F3A" w:rsidRDefault="00E87F3A" w:rsidP="000A7A85">
                    <w:pPr>
                      <w:pStyle w:val="ListParagraph"/>
                      <w:numPr>
                        <w:ilvl w:val="0"/>
                        <w:numId w:val="38"/>
                      </w:numPr>
                    </w:pPr>
                    <w:r>
                      <w:t>Comments from the users were collected</w:t>
                    </w:r>
                  </w:p>
                  <w:p w:rsidR="00E87F3A" w:rsidRDefault="00E87F3A" w:rsidP="000A7A85">
                    <w:pPr>
                      <w:jc w:val="center"/>
                    </w:pPr>
                  </w:p>
                  <w:p w:rsidR="00E87F3A" w:rsidRDefault="00E87F3A" w:rsidP="000A7A85">
                    <w:pPr>
                      <w:jc w:val="center"/>
                    </w:pPr>
                  </w:p>
                  <w:p w:rsidR="00E87F3A" w:rsidRDefault="00E87F3A" w:rsidP="000A7A85">
                    <w:pPr>
                      <w:jc w:val="center"/>
                    </w:pPr>
                  </w:p>
                </w:txbxContent>
              </v:textbox>
            </v:rect>
            <v:rect id="Rectangle 163" o:spid="_x0000_s1105" style="position:absolute;left:100;top:30848;width:14446;height:240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&#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0A7A85">
                    <w:pPr>
                      <w:jc w:val="center"/>
                    </w:pPr>
                  </w:p>
                  <w:p w:rsidR="00E87F3A" w:rsidRDefault="00E87F3A" w:rsidP="000A7A85">
                    <w:pPr>
                      <w:jc w:val="center"/>
                    </w:pPr>
                  </w:p>
                  <w:p w:rsidR="00E87F3A" w:rsidRDefault="00E87F3A" w:rsidP="000A7A85">
                    <w:pPr>
                      <w:jc w:val="center"/>
                    </w:pPr>
                    <w:r w:rsidRPr="000C3B8A">
                      <w:rPr>
                        <w:b/>
                      </w:rPr>
                      <w:t xml:space="preserve">Step </w:t>
                    </w:r>
                    <w:r>
                      <w:rPr>
                        <w:b/>
                      </w:rPr>
                      <w:t>4</w:t>
                    </w:r>
                    <w:r>
                      <w:t xml:space="preserve"> </w:t>
                    </w:r>
                  </w:p>
                  <w:p w:rsidR="00E87F3A" w:rsidRDefault="00E87F3A" w:rsidP="000A7A85">
                    <w:pPr>
                      <w:jc w:val="center"/>
                    </w:pPr>
                  </w:p>
                  <w:p w:rsidR="00E87F3A" w:rsidRPr="00026E51" w:rsidRDefault="00E87F3A" w:rsidP="000A7A85">
                    <w:pPr>
                      <w:jc w:val="center"/>
                      <w:rPr>
                        <w:lang w:val="en-US"/>
                      </w:rPr>
                    </w:pPr>
                    <w:r>
                      <w:t>Field testing</w:t>
                    </w:r>
                  </w:p>
                  <w:p w:rsidR="00E87F3A" w:rsidRDefault="00E87F3A" w:rsidP="000A7A85">
                    <w:pPr>
                      <w:jc w:val="center"/>
                    </w:pPr>
                  </w:p>
                  <w:p w:rsidR="00E87F3A" w:rsidRDefault="00E87F3A" w:rsidP="000A7A85">
                    <w:pPr>
                      <w:jc w:val="center"/>
                    </w:pPr>
                  </w:p>
                  <w:p w:rsidR="00E87F3A" w:rsidRDefault="00E87F3A" w:rsidP="000A7A85">
                    <w:pPr>
                      <w:jc w:val="center"/>
                    </w:pPr>
                  </w:p>
                  <w:p w:rsidR="00E87F3A" w:rsidRDefault="00E87F3A" w:rsidP="000A7A85">
                    <w:pPr>
                      <w:jc w:val="center"/>
                    </w:pPr>
                  </w:p>
                </w:txbxContent>
              </v:textbox>
            </v:rect>
            <v:shape id="Right Arrow 165" o:spid="_x0000_s1106" type="#_x0000_t13" style="position:absolute;left:16177;top:39992;width:3061;height:33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" adj="10800" fillcolor="#a7c0de" strokecolor="#457ab9">
              <v:fill color2="#4f81bd" rotate="t" focus="100%" type="gradient">
                <o:fill v:ext="view" type="gradientUnscaled"/>
              </v:fill>
              <v:shadow on="t" opacity="22936f" origin=",.5" offset="0,.63889mm"/>
              <o:lock v:ext="edit" aspectratio="t" verticies="t" text="t" shapetype="t"/>
            </v:shape>
            <v:rect id="Rectangle 166" o:spid="_x0000_s1107" style="position:absolute;left:20699;top:30948;width:14446;height:23915;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0A7A85">
                    <w:pPr>
                      <w:jc w:val="center"/>
                      <w:rPr>
                        <w:b/>
                      </w:rPr>
                    </w:pPr>
                    <w:r>
                      <w:rPr>
                        <w:b/>
                      </w:rPr>
                      <w:t>Process</w:t>
                    </w:r>
                  </w:p>
                  <w:p w:rsidR="00E87F3A" w:rsidRDefault="00E87F3A" w:rsidP="000A7A85">
                    <w:pPr>
                      <w:pStyle w:val="ListParagraph"/>
                      <w:numPr>
                        <w:ilvl w:val="0"/>
                        <w:numId w:val="39"/>
                      </w:numPr>
                    </w:pPr>
                    <w:r>
                      <w:t>Internal consistency analysis</w:t>
                    </w:r>
                  </w:p>
                  <w:p w:rsidR="00E87F3A" w:rsidRDefault="00E87F3A" w:rsidP="000A7A85">
                    <w:pPr>
                      <w:pStyle w:val="ListParagraph"/>
                      <w:numPr>
                        <w:ilvl w:val="0"/>
                        <w:numId w:val="39"/>
                      </w:numPr>
                    </w:pPr>
                    <w:r>
                      <w:t>Inter-rater reliability analysis</w:t>
                    </w:r>
                  </w:p>
                  <w:p w:rsidR="00E87F3A" w:rsidRDefault="00E87F3A" w:rsidP="000A7A85">
                    <w:pPr>
                      <w:pStyle w:val="ListParagraph"/>
                      <w:numPr>
                        <w:ilvl w:val="0"/>
                        <w:numId w:val="39"/>
                      </w:numPr>
                    </w:pPr>
                    <w:r>
                      <w:t>Differential functioning analysis (correct vs incorrect responses)</w:t>
                    </w:r>
                  </w:p>
                  <w:p w:rsidR="00E87F3A" w:rsidRDefault="00E87F3A" w:rsidP="000A7A85">
                    <w:pPr>
                      <w:jc w:val="center"/>
                    </w:pPr>
                  </w:p>
                  <w:p w:rsidR="00E87F3A" w:rsidRDefault="00E87F3A" w:rsidP="000A7A85">
                    <w:pPr>
                      <w:jc w:val="center"/>
                    </w:pPr>
                  </w:p>
                  <w:p w:rsidR="00E87F3A" w:rsidRDefault="00E87F3A" w:rsidP="000A7A85">
                    <w:pPr>
                      <w:jc w:val="center"/>
                    </w:pPr>
                  </w:p>
                  <w:p w:rsidR="00E87F3A" w:rsidRDefault="00E87F3A" w:rsidP="000A7A85">
                    <w:pPr>
                      <w:jc w:val="center"/>
                    </w:pPr>
                  </w:p>
                </w:txbxContent>
              </v:textbox>
            </v:rect>
            <v:shape id="Right Arrow 167" o:spid="_x0000_s1108" type="#_x0000_t13" style="position:absolute;left:36776;top:39992;width:3061;height:33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" adj="10800" fillcolor="#a7c0de" strokecolor="#457ab9">
              <v:fill color2="#4f81bd" rotate="t" focus="100%" type="gradient">
                <o:fill v:ext="view" type="gradientUnscaled"/>
              </v:fill>
              <v:shadow on="t" opacity="22936f" origin=",.5" offset="0,.63889mm"/>
              <o:lock v:ext="edit" aspectratio="t" verticies="t" text="t" shapetype="t"/>
            </v:shape>
            <v:rect id="Rectangle 168" o:spid="_x0000_s1109" style="position:absolute;left:41298;top:30848;width:14446;height:24016;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0A7A85">
                    <w:pPr>
                      <w:jc w:val="center"/>
                      <w:rPr>
                        <w:b/>
                      </w:rPr>
                    </w:pPr>
                    <w:r>
                      <w:rPr>
                        <w:b/>
                      </w:rPr>
                      <w:t>Outcome</w:t>
                    </w:r>
                  </w:p>
                  <w:p w:rsidR="00E87F3A" w:rsidRDefault="00E87F3A" w:rsidP="000A7A85">
                    <w:pPr>
                      <w:jc w:val="center"/>
                      <w:rPr>
                        <w:b/>
                      </w:rPr>
                    </w:pPr>
                  </w:p>
                  <w:p w:rsidR="00E87F3A" w:rsidRDefault="00E87F3A" w:rsidP="000A7A85">
                    <w:pPr>
                      <w:jc w:val="center"/>
                      <w:rPr>
                        <w:b/>
                      </w:rPr>
                    </w:pPr>
                  </w:p>
                  <w:p w:rsidR="00E87F3A" w:rsidRDefault="00E87F3A" w:rsidP="000A7A85">
                    <w:pPr>
                      <w:jc w:val="center"/>
                      <w:rPr>
                        <w:b/>
                      </w:rPr>
                    </w:pPr>
                    <w:r>
                      <w:t>Field testing was made available and reported in the fieldwork (7</w:t>
                    </w:r>
                    <w:r w:rsidRPr="006D6320">
                      <w:rPr>
                        <w:vertAlign w:val="superscript"/>
                      </w:rPr>
                      <w:t>th</w:t>
                    </w:r>
                    <w:r>
                      <w:t xml:space="preserve"> chapter) of this thesis.</w:t>
                    </w:r>
                  </w:p>
                  <w:p w:rsidR="00E87F3A" w:rsidRDefault="00E87F3A" w:rsidP="000A7A85">
                    <w:pPr>
                      <w:jc w:val="center"/>
                    </w:pPr>
                  </w:p>
                  <w:p w:rsidR="00E87F3A" w:rsidRDefault="00E87F3A" w:rsidP="000A7A85">
                    <w:pPr>
                      <w:jc w:val="center"/>
                    </w:pPr>
                  </w:p>
                  <w:p w:rsidR="00E87F3A" w:rsidRDefault="00E87F3A" w:rsidP="000A7A85">
                    <w:pPr>
                      <w:jc w:val="center"/>
                    </w:pPr>
                  </w:p>
                  <w:p w:rsidR="00E87F3A" w:rsidRDefault="00E87F3A" w:rsidP="000A7A85">
                    <w:pPr>
                      <w:jc w:val="center"/>
                    </w:pPr>
                  </w:p>
                  <w:p w:rsidR="00E87F3A" w:rsidRDefault="00E87F3A" w:rsidP="000A7A85">
                    <w:pPr>
                      <w:jc w:val="center"/>
                    </w:pPr>
                  </w:p>
                  <w:p w:rsidR="00E87F3A" w:rsidRDefault="00E87F3A" w:rsidP="000A7A85">
                    <w:pPr>
                      <w:jc w:val="center"/>
                    </w:pPr>
                  </w:p>
                </w:txbxContent>
              </v:textbox>
            </v:rect>
            <v:rect id="Rectangle 169" o:spid="_x0000_s1110" style="position:absolute;left:100;top:56069;width:14446;height:22867;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1B273B">
                    <w:pPr>
                      <w:jc w:val="center"/>
                    </w:pPr>
                  </w:p>
                  <w:p w:rsidR="00E87F3A" w:rsidRDefault="00E87F3A" w:rsidP="001B273B">
                    <w:pPr>
                      <w:jc w:val="center"/>
                    </w:pPr>
                  </w:p>
                  <w:p w:rsidR="00E87F3A" w:rsidRDefault="00E87F3A" w:rsidP="001B273B">
                    <w:pPr>
                      <w:jc w:val="center"/>
                    </w:pPr>
                    <w:r w:rsidRPr="000C3B8A">
                      <w:rPr>
                        <w:b/>
                      </w:rPr>
                      <w:t xml:space="preserve">Step </w:t>
                    </w:r>
                    <w:r>
                      <w:rPr>
                        <w:b/>
                      </w:rPr>
                      <w:t>5</w:t>
                    </w:r>
                    <w:r>
                      <w:t xml:space="preserve"> </w:t>
                    </w:r>
                  </w:p>
                  <w:p w:rsidR="00E87F3A" w:rsidRDefault="00E87F3A" w:rsidP="001B273B">
                    <w:pPr>
                      <w:jc w:val="center"/>
                    </w:pPr>
                  </w:p>
                  <w:p w:rsidR="00E87F3A" w:rsidRPr="00026E51" w:rsidRDefault="00E87F3A" w:rsidP="001B273B">
                    <w:pPr>
                      <w:jc w:val="center"/>
                      <w:rPr>
                        <w:lang w:val="en-US"/>
                      </w:rPr>
                    </w:pPr>
                    <w:r>
                      <w:t xml:space="preserve">Validation </w:t>
                    </w:r>
                  </w:p>
                  <w:p w:rsidR="00E87F3A" w:rsidRDefault="00E87F3A" w:rsidP="001B273B">
                    <w:pPr>
                      <w:jc w:val="center"/>
                    </w:pPr>
                  </w:p>
                  <w:p w:rsidR="00E87F3A" w:rsidRDefault="00E87F3A" w:rsidP="001B273B">
                    <w:pPr>
                      <w:jc w:val="center"/>
                    </w:pPr>
                  </w:p>
                  <w:p w:rsidR="00E87F3A" w:rsidRDefault="00E87F3A" w:rsidP="001B273B">
                    <w:pPr>
                      <w:jc w:val="center"/>
                    </w:pPr>
                  </w:p>
                  <w:p w:rsidR="00E87F3A" w:rsidRDefault="00E87F3A" w:rsidP="001B273B">
                    <w:pPr>
                      <w:jc w:val="center"/>
                    </w:pPr>
                  </w:p>
                </w:txbxContent>
              </v:textbox>
            </v:rect>
            <v:shape id="Right Arrow 170" o:spid="_x0000_s1111" type="#_x0000_t13" style="position:absolute;left:16881;top:66319;width:3060;height:33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" adj="10800" fillcolor="#a7c0de" strokecolor="#457ab9">
              <v:fill color2="#4f81bd" rotate="t" focus="100%" type="gradient">
                <o:fill v:ext="view" type="gradientUnscaled"/>
              </v:fill>
              <v:shadow on="t" opacity="22936f" origin=",.5" offset="0,.63889mm"/>
              <o:lock v:ext="edit" aspectratio="t" verticies="t" text="t" shapetype="t"/>
            </v:shape>
            <v:rect id="Rectangle 171" o:spid="_x0000_s1112" style="position:absolute;left:20599;top:56069;width:14446;height:2285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&#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65548B">
                    <w:pPr>
                      <w:jc w:val="center"/>
                    </w:pPr>
                    <w:r>
                      <w:rPr>
                        <w:b/>
                      </w:rPr>
                      <w:t>Process</w:t>
                    </w:r>
                    <w:r>
                      <w:t xml:space="preserve"> </w:t>
                    </w:r>
                  </w:p>
                  <w:p w:rsidR="00E87F3A" w:rsidRDefault="00E87F3A" w:rsidP="0065548B">
                    <w:pPr>
                      <w:jc w:val="center"/>
                    </w:pPr>
                  </w:p>
                  <w:p w:rsidR="00E87F3A" w:rsidRPr="0065548B" w:rsidRDefault="00E87F3A" w:rsidP="001B273B">
                    <w:pPr>
                      <w:jc w:val="center"/>
                      <w:rPr>
                        <w:sz w:val="22"/>
                      </w:rPr>
                    </w:pPr>
                    <w:r w:rsidRPr="0065548B">
                      <w:rPr>
                        <w:sz w:val="22"/>
                      </w:rPr>
                      <w:t>Criterion-related validity based on concurrent criterion validity coefficient with</w:t>
                    </w:r>
                    <w:r>
                      <w:rPr>
                        <w:sz w:val="22"/>
                      </w:rPr>
                      <w:t>:</w:t>
                    </w:r>
                  </w:p>
                  <w:p w:rsidR="00E87F3A" w:rsidRDefault="00E87F3A" w:rsidP="0065548B">
                    <w:pPr>
                      <w:pStyle w:val="ListParagraph"/>
                      <w:numPr>
                        <w:ilvl w:val="0"/>
                        <w:numId w:val="43"/>
                      </w:numPr>
                    </w:pPr>
                    <w:r>
                      <w:t>Age</w:t>
                    </w:r>
                  </w:p>
                  <w:p w:rsidR="00E87F3A" w:rsidRDefault="00E87F3A" w:rsidP="0065548B">
                    <w:pPr>
                      <w:pStyle w:val="ListParagraph"/>
                      <w:numPr>
                        <w:ilvl w:val="0"/>
                        <w:numId w:val="43"/>
                      </w:numPr>
                    </w:pPr>
                    <w:r>
                      <w:t>Cognitive ability</w:t>
                    </w:r>
                  </w:p>
                  <w:p w:rsidR="00E87F3A" w:rsidRPr="0065548B" w:rsidRDefault="00E87F3A" w:rsidP="0065548B">
                    <w:pPr>
                      <w:pStyle w:val="ListParagraph"/>
                      <w:numPr>
                        <w:ilvl w:val="0"/>
                        <w:numId w:val="43"/>
                      </w:numPr>
                    </w:pPr>
                    <w:r>
                      <w:t xml:space="preserve"> Other everyday functioning measure</w:t>
                    </w:r>
                  </w:p>
                  <w:p w:rsidR="00E87F3A" w:rsidRDefault="00E87F3A" w:rsidP="001B273B">
                    <w:pPr>
                      <w:jc w:val="center"/>
                    </w:pPr>
                  </w:p>
                  <w:p w:rsidR="00E87F3A" w:rsidRDefault="00E87F3A" w:rsidP="001B273B">
                    <w:pPr>
                      <w:jc w:val="center"/>
                    </w:pPr>
                  </w:p>
                  <w:p w:rsidR="00E87F3A" w:rsidRDefault="00E87F3A" w:rsidP="001B273B">
                    <w:pPr>
                      <w:jc w:val="center"/>
                    </w:pPr>
                  </w:p>
                  <w:p w:rsidR="00E87F3A" w:rsidRDefault="00E87F3A" w:rsidP="001B273B">
                    <w:pPr>
                      <w:jc w:val="center"/>
                    </w:pPr>
                  </w:p>
                </w:txbxContent>
              </v:textbox>
            </v:rect>
            <v:shape id="Right Arrow 172" o:spid="_x0000_s1113" type="#_x0000_t13" style="position:absolute;left:36676;top:66319;width:3061;height:33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" adj="10800" fillcolor="#a7c0de" strokecolor="#457ab9">
              <v:fill color2="#4f81bd" rotate="t" focus="100%" type="gradient">
                <o:fill v:ext="view" type="gradientUnscaled"/>
              </v:fill>
              <v:shadow on="t" opacity="22936f" origin=",.5" offset="0,.63889mm"/>
              <o:lock v:ext="edit" aspectratio="t" verticies="t" text="t" shapetype="t"/>
            </v:shape>
            <v:rect id="Rectangle 173" o:spid="_x0000_s1114" style="position:absolute;left:41198;top:55868;width:14446;height:2301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&#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1B273B">
                    <w:pPr>
                      <w:jc w:val="center"/>
                    </w:pPr>
                  </w:p>
                  <w:p w:rsidR="00E87F3A" w:rsidRDefault="00E87F3A" w:rsidP="001B273B">
                    <w:pPr>
                      <w:jc w:val="center"/>
                    </w:pPr>
                  </w:p>
                  <w:p w:rsidR="00E87F3A" w:rsidRDefault="00E87F3A" w:rsidP="001B273B">
                    <w:pPr>
                      <w:jc w:val="center"/>
                    </w:pPr>
                    <w:r>
                      <w:rPr>
                        <w:b/>
                      </w:rPr>
                      <w:t>Outcome</w:t>
                    </w:r>
                  </w:p>
                  <w:p w:rsidR="00E87F3A" w:rsidRDefault="00E87F3A" w:rsidP="001B273B">
                    <w:pPr>
                      <w:jc w:val="center"/>
                    </w:pPr>
                  </w:p>
                  <w:p w:rsidR="00E87F3A" w:rsidRDefault="00E87F3A" w:rsidP="001B273B">
                    <w:pPr>
                      <w:jc w:val="center"/>
                      <w:rPr>
                        <w:b/>
                      </w:rPr>
                    </w:pPr>
                    <w:r>
                      <w:t>Criterion-related validity was made available and reported in the fieldwork (7</w:t>
                    </w:r>
                    <w:r w:rsidRPr="006D6320">
                      <w:rPr>
                        <w:vertAlign w:val="superscript"/>
                      </w:rPr>
                      <w:t>th</w:t>
                    </w:r>
                    <w:r>
                      <w:t xml:space="preserve"> chapter) of this thesis.</w:t>
                    </w:r>
                  </w:p>
                  <w:p w:rsidR="00E87F3A" w:rsidRDefault="00E87F3A" w:rsidP="001B273B">
                    <w:pPr>
                      <w:jc w:val="center"/>
                    </w:pPr>
                  </w:p>
                  <w:p w:rsidR="00E87F3A" w:rsidRDefault="00E87F3A" w:rsidP="001B273B">
                    <w:pPr>
                      <w:jc w:val="center"/>
                    </w:pPr>
                  </w:p>
                  <w:p w:rsidR="00E87F3A" w:rsidRDefault="00E87F3A" w:rsidP="001B273B">
                    <w:pPr>
                      <w:jc w:val="center"/>
                    </w:pPr>
                  </w:p>
                  <w:p w:rsidR="00E87F3A" w:rsidRDefault="00E87F3A" w:rsidP="001B273B">
                    <w:pPr>
                      <w:jc w:val="center"/>
                    </w:pPr>
                  </w:p>
                </w:txbxContent>
              </v:textbox>
            </v:rect>
            <w10:wrap type="through"/>
          </v:group>
        </w:pict>
      </w:r>
      <w:r>
        <w:rPr>
          <w:noProof/>
          <w:lang w:eastAsia="en-GB"/>
        </w:rPr>
        <w:pict>
          <v:shape id="Text Box 156" o:spid="_x0000_s1099" type="#_x0000_t202" alt="" style="position:absolute;left:0;text-align:left;margin-left:.8pt;margin-top:.05pt;width:474pt;height:647.7pt;z-index:251776000;visibility:visible;mso-wrap-edited:f;mso-height-relative:margin" filled="f" strokecolor="#4579b8 [3044]">
            <v:path arrowok="t"/>
            <v:textbox style="mso-next-textbox:#Text Box 156">
              <w:txbxContent>
                <w:p w:rsidR="00E87F3A" w:rsidRDefault="00E87F3A" w:rsidP="005C41B7">
                  <w:pPr>
                    <w:pStyle w:val="APAPar"/>
                  </w:pPr>
                </w:p>
              </w:txbxContent>
            </v:textbox>
            <w10:wrap type="square"/>
          </v:shape>
        </w:pict>
      </w:r>
      <w:r>
        <w:rPr>
          <w:noProof/>
          <w:lang w:eastAsia="en-GB"/>
        </w:rPr>
        <w:pict>
          <v:shape id="Right Arrow 161" o:spid="_x0000_s1098" type="#_x0000_t13" alt="" style="position:absolute;left:0;text-align:left;margin-left:301.3pt;margin-top:117.3pt;width:24.1pt;height:26.4pt;z-index:251784192;visibility:visible;mso-wrap-edited:f;mso-width-relative:margin;mso-height-relative:margin;v-text-anchor:middle" wrapcoords="8775 0 -675 4937 -675 16663 8775 19749 8775 20983 12150 20983 14175 19749 22275 9874 12150 0 8775 0" adj="10800" fillcolor="#a7bfde [1620]" strokecolor="#4579b8 [3044]">
            <v:fill color2="#4f81bd [3204]" rotate="t" focus="100%" type="gradient">
              <o:fill v:ext="view" type="gradientUnscaled"/>
            </v:fill>
            <v:shadow on="t" opacity="22936f" origin=",.5" offset="0,.63889mm"/>
            <v:path arrowok="t"/>
            <w10:wrap type="through"/>
          </v:shape>
        </w:pict>
      </w:r>
    </w:p>
    <w:p w:rsidR="006C7EC8" w:rsidRPr="006C7EC8" w:rsidRDefault="00C4694A" w:rsidP="005C41B7">
      <w:pPr>
        <w:pStyle w:val="APAPar"/>
      </w:pPr>
      <w:r>
        <w:rPr>
          <w:rStyle w:val="IntenseEmphasis"/>
          <w:b/>
        </w:rPr>
        <w:pict>
          <v:shape id="Text Box 176" o:spid="_x0000_s1097" type="#_x0000_t202" alt="" style="position:absolute;left:0;text-align:left;margin-left:0;margin-top:27.65pt;width:474.25pt;height:369pt;z-index:251809792;visibility:visible;mso-wrap-edited:f;mso-width-relative:margin;mso-height-relative:margin" filled="f" strokecolor="#4579b8 [3044]">
            <v:path arrowok="t"/>
            <v:textbox style="mso-next-textbox:#Text Box 176">
              <w:txbxContent>
                <w:p w:rsidR="00E87F3A" w:rsidRDefault="00E87F3A" w:rsidP="006C7EC8"/>
              </w:txbxContent>
            </v:textbox>
            <w10:wrap type="square"/>
          </v:shape>
        </w:pict>
      </w:r>
      <w:r>
        <w:rPr>
          <w:noProof/>
        </w:rPr>
        <w:pict>
          <v:group id="Group 209" o:spid="_x0000_s1085" style="position:absolute;left:0;text-align:left;margin-left:10.85pt;margin-top:41.3pt;width:438.1pt;height:323.95pt;z-index:251810816;mso-height-relative:margin" coordsize="55638,42011" wrapcoords="-37 -50 -37 11150 10800 11150 10800 11950 -37 12100 -37 21000 8174 21550 13944 21550 16126 21550 21637 21000 21637 12100 10800 11950 10800 11150 21637 11150 21637 -50 -37 -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">
            <o:lock v:ext="edit" aspectratio="t"/>
            <v:group id="Group 177" o:spid="_x0000_s1086" style="position:absolute;width:55638;height:42011" coordorigin="99,-1254" coordsize="55651,4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">
              <o:lock v:ext="edit" aspectratio="t"/>
              <v:rect id="Rectangle 178" o:spid="_x0000_s1087" style="position:absolute;left:150;top:-1254;width:14446;height:2171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&#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6C7EC8">
                      <w:pPr>
                        <w:jc w:val="center"/>
                      </w:pPr>
                    </w:p>
                    <w:p w:rsidR="00E87F3A" w:rsidRDefault="00E87F3A" w:rsidP="006C7EC8">
                      <w:pPr>
                        <w:jc w:val="center"/>
                      </w:pPr>
                    </w:p>
                    <w:p w:rsidR="00E87F3A" w:rsidRDefault="00E87F3A" w:rsidP="006C7EC8">
                      <w:pPr>
                        <w:jc w:val="center"/>
                      </w:pPr>
                      <w:r w:rsidRPr="000C3B8A">
                        <w:rPr>
                          <w:b/>
                        </w:rPr>
                        <w:t xml:space="preserve">Step </w:t>
                      </w:r>
                      <w:r>
                        <w:rPr>
                          <w:b/>
                        </w:rPr>
                        <w:t>6</w:t>
                      </w:r>
                    </w:p>
                    <w:p w:rsidR="00E87F3A" w:rsidRDefault="00E87F3A" w:rsidP="006C7EC8">
                      <w:pPr>
                        <w:jc w:val="center"/>
                      </w:pPr>
                    </w:p>
                    <w:p w:rsidR="00E87F3A" w:rsidRPr="00B57D09" w:rsidRDefault="00E87F3A" w:rsidP="006C7EC8">
                      <w:pPr>
                        <w:jc w:val="center"/>
                        <w:rPr>
                          <w:lang w:val="en-US"/>
                        </w:rPr>
                      </w:pPr>
                      <w:r w:rsidRPr="00B57D09">
                        <w:rPr>
                          <w:lang w:val="en-US"/>
                        </w:rPr>
                        <w:t>Developing a manual and other document for the users of the assessment devices</w:t>
                      </w:r>
                    </w:p>
                    <w:p w:rsidR="00E87F3A" w:rsidRPr="001B273B" w:rsidRDefault="00E87F3A" w:rsidP="006C7EC8">
                      <w:pPr>
                        <w:jc w:val="center"/>
                        <w:rPr>
                          <w:lang w:val="en-US"/>
                        </w:rPr>
                      </w:pPr>
                    </w:p>
                    <w:p w:rsidR="00E87F3A" w:rsidRDefault="00E87F3A" w:rsidP="006C7EC8">
                      <w:pPr>
                        <w:jc w:val="center"/>
                      </w:pPr>
                    </w:p>
                    <w:p w:rsidR="00E87F3A" w:rsidRDefault="00E87F3A" w:rsidP="006C7EC8">
                      <w:pPr>
                        <w:jc w:val="center"/>
                      </w:pPr>
                    </w:p>
                    <w:p w:rsidR="00E87F3A" w:rsidRDefault="00E87F3A" w:rsidP="006C7EC8">
                      <w:pPr>
                        <w:jc w:val="center"/>
                      </w:pPr>
                    </w:p>
                  </w:txbxContent>
                </v:textbox>
              </v:rect>
              <v:rect id="Rectangle 179" o:spid="_x0000_s1088" style="position:absolute;left:21487;top:-1142;width:14447;height:216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&#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6C7EC8">
                      <w:pPr>
                        <w:jc w:val="center"/>
                        <w:rPr>
                          <w:b/>
                        </w:rPr>
                      </w:pPr>
                      <w:r>
                        <w:rPr>
                          <w:b/>
                        </w:rPr>
                        <w:t>Process</w:t>
                      </w:r>
                    </w:p>
                    <w:p w:rsidR="00E87F3A" w:rsidRDefault="00E87F3A" w:rsidP="006C7EC8">
                      <w:pPr>
                        <w:pStyle w:val="ListParagraph"/>
                        <w:numPr>
                          <w:ilvl w:val="0"/>
                          <w:numId w:val="40"/>
                        </w:numPr>
                      </w:pPr>
                      <w:r w:rsidRPr="00B57D09">
                        <w:t xml:space="preserve">Translating the scoring guide and administration manual of the </w:t>
                      </w:r>
                      <w:r>
                        <w:t xml:space="preserve">original </w:t>
                      </w:r>
                      <w:r w:rsidRPr="00B57D09">
                        <w:t>OTDL-R and EPT 28-items</w:t>
                      </w:r>
                    </w:p>
                    <w:p w:rsidR="00E87F3A" w:rsidRPr="00B57D09" w:rsidRDefault="00E87F3A" w:rsidP="006C7EC8">
                      <w:pPr>
                        <w:pStyle w:val="ListParagraph"/>
                        <w:numPr>
                          <w:ilvl w:val="0"/>
                          <w:numId w:val="40"/>
                        </w:numPr>
                      </w:pPr>
                      <w:r>
                        <w:t>Adapting the manuals according to the modified items</w:t>
                      </w:r>
                    </w:p>
                    <w:p w:rsidR="00E87F3A" w:rsidRDefault="00E87F3A" w:rsidP="006C7EC8">
                      <w:pPr>
                        <w:jc w:val="center"/>
                      </w:pPr>
                    </w:p>
                    <w:p w:rsidR="00E87F3A" w:rsidRDefault="00E87F3A" w:rsidP="006C7EC8">
                      <w:pPr>
                        <w:jc w:val="center"/>
                      </w:pPr>
                    </w:p>
                    <w:p w:rsidR="00E87F3A" w:rsidRDefault="00E87F3A" w:rsidP="006C7EC8">
                      <w:pPr>
                        <w:jc w:val="center"/>
                      </w:pPr>
                    </w:p>
                    <w:p w:rsidR="00E87F3A" w:rsidRDefault="00E87F3A" w:rsidP="006C7EC8">
                      <w:pPr>
                        <w:jc w:val="center"/>
                      </w:pPr>
                    </w:p>
                  </w:txbxContent>
                </v:textbox>
              </v:rect>
              <v:shape id="Right Arrow 180" o:spid="_x0000_s1089" type="#_x0000_t13" style="position:absolute;left:16154;top:10186;width:3061;height:33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" adj="10800" fillcolor="#a7c0de" strokecolor="#457ab9">
                <v:fill color2="#4f81bd" rotate="t" focus="100%" type="gradient">
                  <o:fill v:ext="view" type="gradientUnscaled"/>
                </v:fill>
                <v:shadow on="t" opacity="22936f" origin=",.5" offset="0,.63889mm"/>
                <o:lock v:ext="edit" aspectratio="t" verticies="t" text="t" shapetype="t"/>
              </v:shape>
              <v:rect id="Rectangle 181" o:spid="_x0000_s1090" style="position:absolute;left:41302;top:-1217;width:14446;height:2167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&#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6C7EC8">
                      <w:pPr>
                        <w:jc w:val="center"/>
                      </w:pPr>
                      <w:r>
                        <w:rPr>
                          <w:b/>
                        </w:rPr>
                        <w:t>Outcome</w:t>
                      </w:r>
                    </w:p>
                    <w:p w:rsidR="00E87F3A" w:rsidRDefault="00E87F3A" w:rsidP="006C7EC8">
                      <w:pPr>
                        <w:jc w:val="center"/>
                      </w:pPr>
                    </w:p>
                    <w:p w:rsidR="00E87F3A" w:rsidRDefault="00E87F3A" w:rsidP="006C7EC8">
                      <w:pPr>
                        <w:pStyle w:val="ListParagraph"/>
                        <w:numPr>
                          <w:ilvl w:val="0"/>
                          <w:numId w:val="41"/>
                        </w:numPr>
                      </w:pPr>
                      <w:r>
                        <w:t>Scoring guide and administration manual for the OTDL-G</w:t>
                      </w:r>
                    </w:p>
                    <w:p w:rsidR="00E87F3A" w:rsidRDefault="00E87F3A" w:rsidP="006C7EC8">
                      <w:pPr>
                        <w:pStyle w:val="ListParagraph"/>
                        <w:numPr>
                          <w:ilvl w:val="0"/>
                          <w:numId w:val="41"/>
                        </w:numPr>
                      </w:pPr>
                      <w:r>
                        <w:t>Administration guide and scoring manual for the EPT-G</w:t>
                      </w:r>
                    </w:p>
                    <w:p w:rsidR="00E87F3A" w:rsidRDefault="00E87F3A" w:rsidP="006C7EC8">
                      <w:pPr>
                        <w:jc w:val="center"/>
                      </w:pPr>
                    </w:p>
                    <w:p w:rsidR="00E87F3A" w:rsidRDefault="00E87F3A" w:rsidP="006C7EC8">
                      <w:pPr>
                        <w:jc w:val="center"/>
                      </w:pPr>
                    </w:p>
                    <w:p w:rsidR="00E87F3A" w:rsidRDefault="00E87F3A" w:rsidP="006C7EC8">
                      <w:pPr>
                        <w:jc w:val="center"/>
                      </w:pPr>
                    </w:p>
                  </w:txbxContent>
                </v:textbox>
              </v:rect>
              <v:rect id="Rectangle 182" o:spid="_x0000_s1091" style="position:absolute;left:99;top:22506;width:14446;height:1717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&#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6C7EC8">
                      <w:pPr>
                        <w:jc w:val="center"/>
                      </w:pPr>
                    </w:p>
                    <w:p w:rsidR="00E87F3A" w:rsidRDefault="00E87F3A" w:rsidP="006C7EC8">
                      <w:pPr>
                        <w:jc w:val="center"/>
                      </w:pPr>
                    </w:p>
                    <w:p w:rsidR="00E87F3A" w:rsidRDefault="00E87F3A" w:rsidP="006C7EC8">
                      <w:pPr>
                        <w:jc w:val="center"/>
                      </w:pPr>
                      <w:r w:rsidRPr="000C3B8A">
                        <w:rPr>
                          <w:b/>
                        </w:rPr>
                        <w:t xml:space="preserve">Step </w:t>
                      </w:r>
                      <w:r>
                        <w:rPr>
                          <w:b/>
                        </w:rPr>
                        <w:t>7</w:t>
                      </w:r>
                      <w:r>
                        <w:t xml:space="preserve"> </w:t>
                      </w:r>
                    </w:p>
                    <w:p w:rsidR="00E87F3A" w:rsidRDefault="00E87F3A" w:rsidP="006C7EC8">
                      <w:pPr>
                        <w:jc w:val="center"/>
                      </w:pPr>
                    </w:p>
                    <w:p w:rsidR="00E87F3A" w:rsidRPr="0065548B" w:rsidRDefault="00E87F3A" w:rsidP="006C7EC8">
                      <w:pPr>
                        <w:jc w:val="center"/>
                        <w:rPr>
                          <w:lang w:val="en-US"/>
                        </w:rPr>
                      </w:pPr>
                      <w:r w:rsidRPr="0065548B">
                        <w:rPr>
                          <w:lang w:val="en-US"/>
                        </w:rPr>
                        <w:t>Train users – Collect reactions from users</w:t>
                      </w:r>
                    </w:p>
                    <w:p w:rsidR="00E87F3A" w:rsidRPr="0065548B" w:rsidRDefault="00E87F3A" w:rsidP="006C7EC8">
                      <w:pPr>
                        <w:jc w:val="center"/>
                        <w:rPr>
                          <w:lang w:val="en-US"/>
                        </w:rPr>
                      </w:pPr>
                    </w:p>
                    <w:p w:rsidR="00E87F3A" w:rsidRDefault="00E87F3A" w:rsidP="006C7EC8">
                      <w:pPr>
                        <w:jc w:val="center"/>
                      </w:pPr>
                    </w:p>
                    <w:p w:rsidR="00E87F3A" w:rsidRDefault="00E87F3A" w:rsidP="006C7EC8">
                      <w:pPr>
                        <w:jc w:val="center"/>
                      </w:pPr>
                    </w:p>
                    <w:p w:rsidR="00E87F3A" w:rsidRDefault="00E87F3A" w:rsidP="006C7EC8">
                      <w:pPr>
                        <w:jc w:val="center"/>
                      </w:pPr>
                    </w:p>
                  </w:txbxContent>
                </v:textbox>
              </v:rect>
              <v:shape id="Right Arrow 183" o:spid="_x0000_s1092" type="#_x0000_t13" style="position:absolute;left:16153;top:28230;width:3061;height:33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" adj="10800" fillcolor="#a7c0de" strokecolor="#457ab9">
                <v:fill color2="#4f81bd" rotate="t" focus="100%" type="gradient">
                  <o:fill v:ext="view" type="gradientUnscaled"/>
                </v:fill>
                <v:shadow on="t" opacity="22936f" origin=",.5" offset="0,.63889mm"/>
                <o:lock v:ext="edit" aspectratio="t" verticies="t" text="t" shapetype="t"/>
              </v:shape>
              <v:rect id="Rectangle 184" o:spid="_x0000_s1093" style="position:absolute;left:21488;top:22506;width:14447;height:183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"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6C7EC8">
                      <w:pPr>
                        <w:jc w:val="center"/>
                        <w:rPr>
                          <w:b/>
                        </w:rPr>
                      </w:pPr>
                      <w:r>
                        <w:rPr>
                          <w:b/>
                        </w:rPr>
                        <w:t>Process</w:t>
                      </w:r>
                    </w:p>
                    <w:p w:rsidR="00E87F3A" w:rsidRDefault="00E87F3A" w:rsidP="006C7EC8">
                      <w:pPr>
                        <w:pStyle w:val="ListParagraph"/>
                        <w:numPr>
                          <w:ilvl w:val="0"/>
                          <w:numId w:val="44"/>
                        </w:numPr>
                      </w:pPr>
                      <w:r>
                        <w:t>Training protocol created</w:t>
                      </w:r>
                    </w:p>
                    <w:p w:rsidR="00E87F3A" w:rsidRDefault="00E87F3A" w:rsidP="006C7EC8">
                      <w:pPr>
                        <w:pStyle w:val="ListParagraph"/>
                        <w:numPr>
                          <w:ilvl w:val="0"/>
                          <w:numId w:val="44"/>
                        </w:numPr>
                      </w:pPr>
                      <w:r>
                        <w:t>Training 3 users for 20-30 hours</w:t>
                      </w:r>
                    </w:p>
                    <w:p w:rsidR="00E87F3A" w:rsidRDefault="00E87F3A" w:rsidP="006C7EC8">
                      <w:pPr>
                        <w:pStyle w:val="ListParagraph"/>
                        <w:numPr>
                          <w:ilvl w:val="0"/>
                          <w:numId w:val="44"/>
                        </w:numPr>
                      </w:pPr>
                      <w:r>
                        <w:t>Collect comments from users after administration of the tests</w:t>
                      </w:r>
                    </w:p>
                    <w:p w:rsidR="00E87F3A" w:rsidRDefault="00E87F3A" w:rsidP="006C7EC8">
                      <w:pPr>
                        <w:jc w:val="center"/>
                      </w:pPr>
                    </w:p>
                    <w:p w:rsidR="00E87F3A" w:rsidRDefault="00E87F3A" w:rsidP="006C7EC8">
                      <w:pPr>
                        <w:jc w:val="center"/>
                      </w:pPr>
                    </w:p>
                    <w:p w:rsidR="00E87F3A" w:rsidRDefault="00E87F3A" w:rsidP="006C7EC8">
                      <w:pPr>
                        <w:jc w:val="center"/>
                      </w:pPr>
                    </w:p>
                  </w:txbxContent>
                </v:textbox>
              </v:rect>
              <v:shape id="Right Arrow 185" o:spid="_x0000_s1094" type="#_x0000_t13" style="position:absolute;left:36731;top:29374;width:3061;height:335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" adj="10800" fillcolor="#a7c0de" strokecolor="#457ab9">
                <v:fill color2="#4f81bd" rotate="t" focus="100%" type="gradient">
                  <o:fill v:ext="view" type="gradientUnscaled"/>
                </v:fill>
                <v:shadow on="t" opacity="22936f" origin=",.5" offset="0,.63889mm"/>
                <o:lock v:ext="edit" aspectratio="t" verticies="t" text="t" shapetype="t"/>
              </v:shape>
              <v:rect id="Rectangle 186" o:spid="_x0000_s1095" style="position:absolute;left:41304;top:22506;width:14447;height:17171;visibility:visible;v-text-anchor:middle" fillcolor="#a7c0de" strokecolor="#457ab9">
                <v:fill color2="#4f81bd" rotate="t" focus="100%" type="gradient">
                  <o:fill v:ext="view" type="gradientUnscaled"/>
                </v:fill>
                <v:shadow on="t" opacity="22936f" origin=",.5" offset="0,.63889mm"/>
                <o:lock v:ext="edit" aspectratio="t" verticies="t" text="t" shapetype="t"/>
                <v:textbox>
                  <w:txbxContent>
                    <w:p w:rsidR="00E87F3A" w:rsidRDefault="00E87F3A" w:rsidP="006C7EC8">
                      <w:pPr>
                        <w:jc w:val="center"/>
                        <w:rPr>
                          <w:b/>
                        </w:rPr>
                      </w:pPr>
                      <w:r>
                        <w:rPr>
                          <w:b/>
                        </w:rPr>
                        <w:t>Outcome</w:t>
                      </w:r>
                    </w:p>
                    <w:p w:rsidR="00E87F3A" w:rsidRDefault="00E87F3A" w:rsidP="006C7EC8">
                      <w:pPr>
                        <w:jc w:val="center"/>
                        <w:rPr>
                          <w:b/>
                        </w:rPr>
                      </w:pPr>
                    </w:p>
                    <w:p w:rsidR="00E87F3A" w:rsidRDefault="00E87F3A" w:rsidP="006C7EC8">
                      <w:pPr>
                        <w:pStyle w:val="ListParagraph"/>
                        <w:numPr>
                          <w:ilvl w:val="0"/>
                          <w:numId w:val="45"/>
                        </w:numPr>
                      </w:pPr>
                      <w:r>
                        <w:t>3 users trained</w:t>
                      </w:r>
                    </w:p>
                    <w:p w:rsidR="00E87F3A" w:rsidRDefault="00E87F3A" w:rsidP="006C7EC8">
                      <w:pPr>
                        <w:pStyle w:val="ListParagraph"/>
                        <w:numPr>
                          <w:ilvl w:val="0"/>
                          <w:numId w:val="45"/>
                        </w:numPr>
                      </w:pPr>
                      <w:r>
                        <w:t>Comments collected</w:t>
                      </w:r>
                    </w:p>
                    <w:p w:rsidR="00E87F3A" w:rsidRDefault="00E87F3A" w:rsidP="006C7EC8">
                      <w:pPr>
                        <w:jc w:val="center"/>
                      </w:pPr>
                    </w:p>
                    <w:p w:rsidR="00E87F3A" w:rsidRDefault="00E87F3A" w:rsidP="006C7EC8">
                      <w:pPr>
                        <w:jc w:val="center"/>
                      </w:pPr>
                    </w:p>
                    <w:p w:rsidR="00E87F3A" w:rsidRDefault="00E87F3A" w:rsidP="006C7EC8">
                      <w:pPr>
                        <w:jc w:val="center"/>
                      </w:pPr>
                    </w:p>
                    <w:p w:rsidR="00E87F3A" w:rsidRDefault="00E87F3A" w:rsidP="006C7EC8">
                      <w:pPr>
                        <w:jc w:val="center"/>
                      </w:pPr>
                    </w:p>
                    <w:p w:rsidR="00E87F3A" w:rsidRDefault="00E87F3A" w:rsidP="006C7EC8">
                      <w:pPr>
                        <w:jc w:val="center"/>
                      </w:pPr>
                    </w:p>
                  </w:txbxContent>
                </v:textbox>
              </v:rect>
            </v:group>
            <v:shape id="Right Arrow 180" o:spid="_x0000_s1096" type="#_x0000_t13" style="position:absolute;left:37379;top:12359;width:3061;height:334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" adj="10800" fillcolor="#a7c0de" strokecolor="#457ab9">
              <v:fill color2="#4f81bd" rotate="t" focus="100%" type="gradient">
                <o:fill v:ext="view" type="gradientUnscaled"/>
              </v:fill>
              <v:shadow on="t" opacity="22936f" origin=",.5" offset="0,.63889mm"/>
              <o:lock v:ext="edit" aspectratio="t" verticies="t" text="t" shapetype="t"/>
            </v:shape>
            <w10:wrap type="through"/>
          </v:group>
        </w:pict>
      </w:r>
    </w:p>
    <w:p w:rsidR="00D1111F" w:rsidRDefault="00950721" w:rsidP="0091167E">
      <w:pPr>
        <w:pStyle w:val="APAPar"/>
        <w:ind w:left="1109" w:right="0" w:hanging="1109"/>
      </w:pPr>
      <w:r w:rsidRPr="00950721">
        <w:rPr>
          <w:rStyle w:val="IntenseEmphasis"/>
        </w:rPr>
        <w:t xml:space="preserve">Figure </w:t>
      </w:r>
      <w:r w:rsidR="006D6320">
        <w:rPr>
          <w:rStyle w:val="IntenseEmphasis"/>
        </w:rPr>
        <w:t>5.1</w:t>
      </w:r>
      <w:r w:rsidRPr="00950721">
        <w:rPr>
          <w:rStyle w:val="IntenseEmphasis"/>
        </w:rPr>
        <w:t xml:space="preserve">. </w:t>
      </w:r>
      <w:r w:rsidRPr="00C32116">
        <w:rPr>
          <w:rStyle w:val="IntenseEmphasis"/>
          <w:i/>
        </w:rPr>
        <w:t>Flow chart of the translation and adaptation process of the Observed Tasks of Daily Living – Revised and the Everyday Problem Tests 28-items</w:t>
      </w:r>
    </w:p>
    <w:p w:rsidR="002F4218" w:rsidRDefault="00384C5B" w:rsidP="00FE028D">
      <w:pPr>
        <w:pStyle w:val="Heading2"/>
      </w:pPr>
      <w:bookmarkStart w:id="131" w:name="_Toc521184216"/>
      <w:r>
        <w:t>Discussion</w:t>
      </w:r>
      <w:bookmarkEnd w:id="131"/>
    </w:p>
    <w:p w:rsidR="002F4218" w:rsidRDefault="002F4218" w:rsidP="005C41B7">
      <w:pPr>
        <w:pStyle w:val="APAPar"/>
        <w:rPr>
          <w:lang w:val="en-US"/>
        </w:rPr>
      </w:pPr>
      <w:r>
        <w:rPr>
          <w:lang w:val="en-US"/>
        </w:rPr>
        <w:t xml:space="preserve">Although the author was the </w:t>
      </w:r>
      <w:r w:rsidR="006D6320">
        <w:rPr>
          <w:lang w:val="en-US"/>
        </w:rPr>
        <w:t xml:space="preserve">only </w:t>
      </w:r>
      <w:r>
        <w:rPr>
          <w:lang w:val="en-US"/>
        </w:rPr>
        <w:t>one modifying the material used in the OTDL-R and EPT 28-items</w:t>
      </w:r>
      <w:r w:rsidR="005E05BB">
        <w:rPr>
          <w:lang w:val="en-US"/>
        </w:rPr>
        <w:t>, the</w:t>
      </w:r>
      <w:r>
        <w:rPr>
          <w:lang w:val="en-US"/>
        </w:rPr>
        <w:t xml:space="preserve"> </w:t>
      </w:r>
      <w:r w:rsidR="005E05BB">
        <w:rPr>
          <w:lang w:val="en-US"/>
        </w:rPr>
        <w:t>adjustments</w:t>
      </w:r>
      <w:r>
        <w:rPr>
          <w:lang w:val="en-US"/>
        </w:rPr>
        <w:t xml:space="preserve"> were well received from the panel of exper</w:t>
      </w:r>
      <w:r w:rsidR="003C7D6D">
        <w:rPr>
          <w:lang w:val="en-US"/>
        </w:rPr>
        <w:t>ts, the translators, the expert</w:t>
      </w:r>
      <w:r>
        <w:rPr>
          <w:lang w:val="en-US"/>
        </w:rPr>
        <w:t xml:space="preserve"> being administered </w:t>
      </w:r>
      <w:r w:rsidR="003C7D6D">
        <w:rPr>
          <w:lang w:val="en-US"/>
        </w:rPr>
        <w:t>the test in the pilot phase</w:t>
      </w:r>
      <w:r>
        <w:rPr>
          <w:lang w:val="en-US"/>
        </w:rPr>
        <w:t xml:space="preserve">, the group of older individuals that were administered the tests, as well as the trained </w:t>
      </w:r>
      <w:r w:rsidR="00411836">
        <w:rPr>
          <w:lang w:val="en-US"/>
        </w:rPr>
        <w:t xml:space="preserve">users. </w:t>
      </w:r>
      <w:r w:rsidR="005E05BB">
        <w:rPr>
          <w:lang w:val="en-US"/>
        </w:rPr>
        <w:t xml:space="preserve">Notably, the OTDL-G and the EPT-G were not created anew from a fieldwork </w:t>
      </w:r>
      <w:r w:rsidR="003C7D6D">
        <w:rPr>
          <w:lang w:val="en-US"/>
        </w:rPr>
        <w:t>undertaken</w:t>
      </w:r>
      <w:r w:rsidR="005E05BB">
        <w:rPr>
          <w:lang w:val="en-US"/>
        </w:rPr>
        <w:t xml:space="preserve"> for this purpose, rather than that, the origi</w:t>
      </w:r>
      <w:r w:rsidR="003C7D6D">
        <w:rPr>
          <w:lang w:val="en-US"/>
        </w:rPr>
        <w:t>nal instruments OTDL-R and EPT 28-items</w:t>
      </w:r>
      <w:r w:rsidR="005E05BB">
        <w:rPr>
          <w:lang w:val="en-US"/>
        </w:rPr>
        <w:t xml:space="preserve"> were translat</w:t>
      </w:r>
      <w:r w:rsidR="00523E3A">
        <w:rPr>
          <w:lang w:val="en-US"/>
        </w:rPr>
        <w:t>ed</w:t>
      </w:r>
      <w:r w:rsidR="005E05BB">
        <w:rPr>
          <w:lang w:val="en-US"/>
        </w:rPr>
        <w:t xml:space="preserve"> and </w:t>
      </w:r>
      <w:r w:rsidR="006D39F4">
        <w:rPr>
          <w:lang w:val="en-US"/>
        </w:rPr>
        <w:t>culturally adapted</w:t>
      </w:r>
      <w:r w:rsidR="003C7D6D">
        <w:rPr>
          <w:lang w:val="en-US"/>
        </w:rPr>
        <w:t xml:space="preserve"> </w:t>
      </w:r>
      <w:r w:rsidR="00523E3A">
        <w:rPr>
          <w:lang w:val="en-US"/>
        </w:rPr>
        <w:t>in order to make the corresponding</w:t>
      </w:r>
      <w:r w:rsidR="003C7D6D">
        <w:rPr>
          <w:lang w:val="en-US"/>
        </w:rPr>
        <w:t xml:space="preserve"> instruments</w:t>
      </w:r>
      <w:r w:rsidR="00523E3A">
        <w:rPr>
          <w:lang w:val="en-US"/>
        </w:rPr>
        <w:t xml:space="preserve"> available</w:t>
      </w:r>
      <w:r w:rsidR="005E05BB">
        <w:rPr>
          <w:lang w:val="en-US"/>
        </w:rPr>
        <w:t xml:space="preserve">. </w:t>
      </w:r>
      <w:r w:rsidR="00523E3A">
        <w:rPr>
          <w:lang w:val="en-US"/>
        </w:rPr>
        <w:t>This was made possible u</w:t>
      </w:r>
      <w:r w:rsidR="005E05BB">
        <w:rPr>
          <w:lang w:val="en-US"/>
        </w:rPr>
        <w:t xml:space="preserve">sing the approach of Geisinger (1994), </w:t>
      </w:r>
      <w:r w:rsidR="00523E3A">
        <w:rPr>
          <w:lang w:val="en-US"/>
        </w:rPr>
        <w:t xml:space="preserve">by following </w:t>
      </w:r>
      <w:r w:rsidR="005E05BB">
        <w:rPr>
          <w:lang w:val="en-US"/>
        </w:rPr>
        <w:t>multiple steps</w:t>
      </w:r>
      <w:r w:rsidR="00523E3A">
        <w:rPr>
          <w:lang w:val="en-US"/>
        </w:rPr>
        <w:t xml:space="preserve"> of translation and adaptations.</w:t>
      </w:r>
    </w:p>
    <w:p w:rsidR="0013634F" w:rsidRPr="007A15F6" w:rsidRDefault="0013634F" w:rsidP="005C41B7">
      <w:pPr>
        <w:pStyle w:val="APAPar"/>
      </w:pPr>
      <w:r>
        <w:rPr>
          <w:lang w:val="en-US"/>
        </w:rPr>
        <w:t xml:space="preserve">The emergent issue of unfamiliarity is some of the instruments’ tasks </w:t>
      </w:r>
      <w:r w:rsidR="00523E3A">
        <w:rPr>
          <w:lang w:val="en-US"/>
        </w:rPr>
        <w:t>may reflect</w:t>
      </w:r>
      <w:r>
        <w:rPr>
          <w:lang w:val="en-US"/>
        </w:rPr>
        <w:t xml:space="preserve"> the manifestation of deficiencies in performing everyday tasks that are not closely bounded to cognitive aptitude, rather than to conditions created by </w:t>
      </w:r>
      <w:r w:rsidRPr="007A15F6">
        <w:t xml:space="preserve">cultural </w:t>
      </w:r>
      <w:r>
        <w:t xml:space="preserve">and societal </w:t>
      </w:r>
      <w:r w:rsidRPr="007A15F6">
        <w:t>factors. Hsu (2015) argued that older women tend to be less financially literate, because they relied more on their spouses for these affairs</w:t>
      </w:r>
      <w:r w:rsidR="00523E3A">
        <w:t xml:space="preserve"> in their lives</w:t>
      </w:r>
      <w:r w:rsidRPr="007A15F6">
        <w:t>. This resulted from a stronger gender division in labour in the 20</w:t>
      </w:r>
      <w:r w:rsidRPr="007A15F6">
        <w:rPr>
          <w:vertAlign w:val="superscript"/>
        </w:rPr>
        <w:t>th</w:t>
      </w:r>
      <w:r w:rsidRPr="007A15F6">
        <w:t xml:space="preserve"> century, leading to a stronger gender division in the household organization</w:t>
      </w:r>
      <w:r w:rsidR="00AF3ADD">
        <w:t xml:space="preserve"> as well</w:t>
      </w:r>
      <w:r w:rsidRPr="007A15F6">
        <w:t xml:space="preserve">. As a consequence, the development of certain skills over the life span tended to become </w:t>
      </w:r>
      <w:r w:rsidR="00AF3ADD">
        <w:t xml:space="preserve">more </w:t>
      </w:r>
      <w:r w:rsidRPr="007A15F6">
        <w:t>gender-specific</w:t>
      </w:r>
      <w:r>
        <w:t>, with women being</w:t>
      </w:r>
      <w:r w:rsidRPr="007A15F6">
        <w:t xml:space="preserve"> poorer </w:t>
      </w:r>
      <w:r>
        <w:t xml:space="preserve">in </w:t>
      </w:r>
      <w:r w:rsidRPr="007A15F6">
        <w:t>financial literacy</w:t>
      </w:r>
      <w:r>
        <w:t xml:space="preserve"> and men</w:t>
      </w:r>
      <w:r w:rsidRPr="007A15F6">
        <w:t xml:space="preserve"> poorer </w:t>
      </w:r>
      <w:r>
        <w:t xml:space="preserve">in </w:t>
      </w:r>
      <w:r w:rsidRPr="007A15F6">
        <w:t xml:space="preserve">household skills. </w:t>
      </w:r>
    </w:p>
    <w:p w:rsidR="00411836" w:rsidRDefault="0013634F" w:rsidP="005C41B7">
      <w:pPr>
        <w:pStyle w:val="APAPar"/>
      </w:pPr>
      <w:r w:rsidRPr="007A15F6">
        <w:t xml:space="preserve">Such gender differences </w:t>
      </w:r>
      <w:r w:rsidR="00523E3A">
        <w:t>have been</w:t>
      </w:r>
      <w:r w:rsidRPr="007A15F6">
        <w:t xml:space="preserve"> evident in studies on driving, where older women used to be underrepresented and therefore became less skilful in some respects (Bauer, Adler, Kuskowski, &amp; Rottunda, 2003)</w:t>
      </w:r>
      <w:r>
        <w:t xml:space="preserve">. Similarly, studies on male widowers </w:t>
      </w:r>
      <w:r w:rsidR="00523E3A">
        <w:t xml:space="preserve">have </w:t>
      </w:r>
      <w:r>
        <w:t>illustrate</w:t>
      </w:r>
      <w:r w:rsidR="00523E3A">
        <w:t>d that a significant proportion of them</w:t>
      </w:r>
      <w:r>
        <w:t xml:space="preserve"> </w:t>
      </w:r>
      <w:r w:rsidR="00523E3A">
        <w:t>have poor</w:t>
      </w:r>
      <w:r w:rsidRPr="007A15F6">
        <w:t xml:space="preserve"> diets and a preference to ready-made meals (Hughes, Bennet, &amp; Hetherington, 2004).</w:t>
      </w:r>
      <w:r w:rsidR="00AF3ADD">
        <w:t xml:space="preserve"> </w:t>
      </w:r>
      <w:r w:rsidRPr="007A15F6">
        <w:t xml:space="preserve">These </w:t>
      </w:r>
      <w:r>
        <w:t>everyday functioning</w:t>
      </w:r>
      <w:r w:rsidRPr="007A15F6">
        <w:t xml:space="preserve"> deficits </w:t>
      </w:r>
      <w:r w:rsidR="00AF3ADD">
        <w:t>may have been</w:t>
      </w:r>
      <w:r w:rsidRPr="007A15F6">
        <w:t xml:space="preserve"> reflected in some tasks of </w:t>
      </w:r>
      <w:r>
        <w:t>the OTDL-G and EPT-G</w:t>
      </w:r>
      <w:r w:rsidR="00523E3A">
        <w:t xml:space="preserve"> as well</w:t>
      </w:r>
      <w:r>
        <w:t xml:space="preserve">, </w:t>
      </w:r>
      <w:r w:rsidR="00523E3A">
        <w:t xml:space="preserve">noting that they may be a confounding factor in examining the relationship between everyday functioning and cognitive performance. </w:t>
      </w:r>
      <w:r w:rsidRPr="007A15F6">
        <w:t xml:space="preserve">Poor performance in this respect </w:t>
      </w:r>
      <w:r w:rsidR="00523E3A" w:rsidRPr="007A15F6">
        <w:t>is</w:t>
      </w:r>
      <w:r w:rsidRPr="007A15F6">
        <w:t xml:space="preserve"> regarded as an outcome of poorer </w:t>
      </w:r>
      <w:r w:rsidR="00AF3ADD">
        <w:t>cognitive performance</w:t>
      </w:r>
      <w:r w:rsidRPr="007A15F6">
        <w:t xml:space="preserve">, </w:t>
      </w:r>
      <w:r w:rsidR="00523E3A">
        <w:t xml:space="preserve">yet </w:t>
      </w:r>
      <w:r w:rsidRPr="007A15F6">
        <w:t xml:space="preserve">may moderate and weaken the relation between </w:t>
      </w:r>
      <w:r w:rsidR="00AF3ADD">
        <w:t>cognitive performance and everyday tasks</w:t>
      </w:r>
      <w:r w:rsidRPr="007A15F6">
        <w:t xml:space="preserve"> </w:t>
      </w:r>
      <w:r w:rsidR="00AF3ADD">
        <w:t xml:space="preserve">in </w:t>
      </w:r>
      <w:r w:rsidRPr="007A15F6">
        <w:t>empirical research.</w:t>
      </w:r>
      <w:r w:rsidR="00523E3A" w:rsidRPr="00523E3A">
        <w:t xml:space="preserve"> </w:t>
      </w:r>
      <w:r w:rsidR="00523E3A">
        <w:t>This adds another explanation why performance in neuropsychological assessments and everyday functioning tests appears to be less powerful than expected (Royall et al., 2007).</w:t>
      </w:r>
    </w:p>
    <w:p w:rsidR="008B3B27" w:rsidRDefault="00AF3ADD" w:rsidP="005C41B7">
      <w:pPr>
        <w:pStyle w:val="APAPar"/>
      </w:pPr>
      <w:r w:rsidRPr="007A15F6">
        <w:t xml:space="preserve">As a conclusion, the ODTL-G and the EPT-G seem to be </w:t>
      </w:r>
      <w:r>
        <w:t>valuable</w:t>
      </w:r>
      <w:r w:rsidRPr="007A15F6">
        <w:t xml:space="preserve"> measures to assess </w:t>
      </w:r>
      <w:r>
        <w:t xml:space="preserve">everyday functioning </w:t>
      </w:r>
      <w:r w:rsidRPr="007A15F6">
        <w:t xml:space="preserve">in Greek seniors </w:t>
      </w:r>
      <w:r>
        <w:t>that lie</w:t>
      </w:r>
      <w:r w:rsidR="00523E3A">
        <w:t xml:space="preserve"> in the</w:t>
      </w:r>
      <w:r w:rsidRPr="007A15F6">
        <w:t xml:space="preserve"> healthy spectrum of cognitive </w:t>
      </w:r>
      <w:r>
        <w:t>performance. The tests have been well received from a panel of reviewers, participants and users</w:t>
      </w:r>
      <w:r w:rsidR="00523E3A">
        <w:t xml:space="preserve"> in this study</w:t>
      </w:r>
      <w:r>
        <w:t xml:space="preserve">. The validity and the reliability of </w:t>
      </w:r>
      <w:r w:rsidR="00523E3A" w:rsidRPr="007A15F6">
        <w:t xml:space="preserve">ODTL-G and the EPT-G </w:t>
      </w:r>
      <w:r w:rsidR="006C7774">
        <w:t>are</w:t>
      </w:r>
      <w:r w:rsidR="00523E3A">
        <w:t xml:space="preserve"> reported</w:t>
      </w:r>
      <w:r>
        <w:t xml:space="preserve"> </w:t>
      </w:r>
      <w:r w:rsidRPr="007A15F6">
        <w:t>in</w:t>
      </w:r>
      <w:r>
        <w:t xml:space="preserve"> </w:t>
      </w:r>
      <w:r w:rsidR="00FA06BD">
        <w:t>Chapter 7</w:t>
      </w:r>
      <w:r>
        <w:t xml:space="preserve">. </w:t>
      </w:r>
      <w:r w:rsidR="006C7774">
        <w:t>T</w:t>
      </w:r>
      <w:r w:rsidRPr="007A15F6">
        <w:t>he</w:t>
      </w:r>
      <w:r w:rsidR="006C7774">
        <w:t>re, the</w:t>
      </w:r>
      <w:r w:rsidRPr="007A15F6">
        <w:t xml:space="preserve"> ODTL-G and the EPT-G </w:t>
      </w:r>
      <w:r w:rsidR="006C7774">
        <w:t xml:space="preserve">are used </w:t>
      </w:r>
      <w:r>
        <w:t xml:space="preserve">in assessing MCI among the participants in the thesis’s fieldwork. </w:t>
      </w:r>
      <w:r w:rsidRPr="007A15F6">
        <w:t xml:space="preserve">The detection of MCI is a difficult task, since it requires a detailed examination of both </w:t>
      </w:r>
      <w:r>
        <w:t xml:space="preserve">cognitive performance </w:t>
      </w:r>
      <w:r w:rsidRPr="007A15F6">
        <w:t xml:space="preserve">and </w:t>
      </w:r>
      <w:r>
        <w:t>everyday functioning</w:t>
      </w:r>
      <w:r w:rsidR="006C7774">
        <w:t xml:space="preserve">, detecting evident but subtle decrements in both areas </w:t>
      </w:r>
      <w:r>
        <w:t>(Petersen, 2004)</w:t>
      </w:r>
      <w:r w:rsidRPr="007A15F6">
        <w:t xml:space="preserve">. </w:t>
      </w:r>
      <w:r w:rsidR="006C7774">
        <w:t>I</w:t>
      </w:r>
      <w:r w:rsidRPr="007A15F6">
        <w:t>n this thesis, the identification and exclusions of those</w:t>
      </w:r>
      <w:r w:rsidR="00B00FD7">
        <w:t xml:space="preserve"> who</w:t>
      </w:r>
      <w:r w:rsidRPr="007A15F6">
        <w:t xml:space="preserve"> may suffer from MCI</w:t>
      </w:r>
      <w:r w:rsidR="006C7774">
        <w:t xml:space="preserve"> is possible, by detecting those who display evident decrements in cognitive performance and everyday functioning. The exclusion of the relevant participants from the final analysis</w:t>
      </w:r>
      <w:r w:rsidRPr="007A15F6">
        <w:t xml:space="preserve"> will increase the confidence that the sample </w:t>
      </w:r>
      <w:r>
        <w:t xml:space="preserve">of the target population </w:t>
      </w:r>
      <w:r w:rsidR="006C7774">
        <w:t>is</w:t>
      </w:r>
      <w:r w:rsidRPr="007A15F6">
        <w:t xml:space="preserve"> limited to those </w:t>
      </w:r>
      <w:r w:rsidR="00B00FD7">
        <w:t>who</w:t>
      </w:r>
      <w:r w:rsidRPr="007A15F6">
        <w:t xml:space="preserve"> are cognitively intact. </w:t>
      </w:r>
      <w:r w:rsidR="006C7774">
        <w:t>The nex</w:t>
      </w:r>
      <w:r w:rsidR="00FA06BD">
        <w:t>t C</w:t>
      </w:r>
      <w:r w:rsidR="006C7774">
        <w:t xml:space="preserve">hapter describes the methodology followed in the fieldwork of this thesis. </w:t>
      </w:r>
    </w:p>
    <w:p w:rsidR="008B3B27" w:rsidRDefault="008B3B27">
      <w:pPr>
        <w:rPr>
          <w:rFonts w:ascii="Times New Roman" w:eastAsia="Calibri" w:hAnsi="Times New Roman" w:cs="Times New Roman"/>
          <w:color w:val="000000"/>
          <w:szCs w:val="20"/>
        </w:rPr>
      </w:pPr>
      <w:r>
        <w:br w:type="page"/>
      </w:r>
    </w:p>
    <w:p w:rsidR="00AF3ADD" w:rsidRPr="005B7B0F" w:rsidRDefault="00B73E0C" w:rsidP="008B3B27">
      <w:pPr>
        <w:pStyle w:val="Heading1"/>
        <w:ind w:left="0" w:firstLine="0"/>
      </w:pPr>
      <w:bookmarkStart w:id="132" w:name="_Toc373425975"/>
      <w:bookmarkStart w:id="133" w:name="_Toc521184217"/>
      <w:r w:rsidRPr="005B7B0F">
        <w:t xml:space="preserve">CHAPTER </w:t>
      </w:r>
      <w:r w:rsidR="00A829CB">
        <w:t xml:space="preserve"> </w:t>
      </w:r>
      <w:r w:rsidRPr="005B7B0F">
        <w:t xml:space="preserve">6 </w:t>
      </w:r>
      <w:bookmarkEnd w:id="132"/>
      <w:r>
        <w:t xml:space="preserve"> </w:t>
      </w:r>
      <w:r w:rsidRPr="005B7B0F">
        <w:t>METHODOLOGY</w:t>
      </w:r>
      <w:bookmarkEnd w:id="133"/>
    </w:p>
    <w:p w:rsidR="00124C02" w:rsidRPr="005B7B0F" w:rsidRDefault="00124C02" w:rsidP="00FE028D">
      <w:pPr>
        <w:pStyle w:val="Heading2"/>
      </w:pPr>
      <w:bookmarkStart w:id="134" w:name="_Toc521184218"/>
      <w:r w:rsidRPr="005B7B0F">
        <w:t>Introduction</w:t>
      </w:r>
      <w:bookmarkEnd w:id="134"/>
    </w:p>
    <w:p w:rsidR="00124C02" w:rsidRPr="005B7B0F" w:rsidRDefault="00FA06BD" w:rsidP="005C41B7">
      <w:pPr>
        <w:pStyle w:val="APAPar"/>
      </w:pPr>
      <w:r w:rsidRPr="005B7B0F">
        <w:t>C</w:t>
      </w:r>
      <w:r w:rsidR="002F332F" w:rsidRPr="005B7B0F">
        <w:t>hapter</w:t>
      </w:r>
      <w:r w:rsidR="00124C02" w:rsidRPr="005B7B0F">
        <w:t xml:space="preserve"> 3</w:t>
      </w:r>
      <w:r w:rsidR="002F332F" w:rsidRPr="005B7B0F">
        <w:t xml:space="preserve"> ex</w:t>
      </w:r>
      <w:r w:rsidR="0002066B" w:rsidRPr="005B7B0F">
        <w:t>amined how social participation,</w:t>
      </w:r>
      <w:r w:rsidR="002F332F" w:rsidRPr="005B7B0F">
        <w:t xml:space="preserve"> SES, physical and </w:t>
      </w:r>
      <w:r w:rsidR="008147CD" w:rsidRPr="005B7B0F">
        <w:t>Internet use</w:t>
      </w:r>
      <w:r w:rsidR="002F332F" w:rsidRPr="005B7B0F">
        <w:t xml:space="preserve"> may have </w:t>
      </w:r>
      <w:r w:rsidR="00A76A5E" w:rsidRPr="005B7B0F">
        <w:t xml:space="preserve">beneficial effects </w:t>
      </w:r>
      <w:r w:rsidR="002F332F" w:rsidRPr="005B7B0F">
        <w:t xml:space="preserve">on cognitive performance. It was also argued that these beneficial effects should be examined in the healthy spectrum of cognitive performance, as this </w:t>
      </w:r>
      <w:r w:rsidR="00387335" w:rsidRPr="005B7B0F">
        <w:rPr>
          <w:lang w:val="en-US"/>
        </w:rPr>
        <w:t>represents</w:t>
      </w:r>
      <w:r w:rsidR="002F332F" w:rsidRPr="005B7B0F">
        <w:t xml:space="preserve"> a notable gap in</w:t>
      </w:r>
      <w:r w:rsidRPr="005B7B0F">
        <w:t xml:space="preserve"> the research literature. This C</w:t>
      </w:r>
      <w:r w:rsidR="002F332F" w:rsidRPr="005B7B0F">
        <w:t xml:space="preserve">hapter </w:t>
      </w:r>
      <w:r w:rsidR="009C5FEF" w:rsidRPr="005B7B0F">
        <w:t>explores</w:t>
      </w:r>
      <w:r w:rsidR="00124C02" w:rsidRPr="005B7B0F">
        <w:t xml:space="preserve"> how these effects c</w:t>
      </w:r>
      <w:r w:rsidR="002F332F" w:rsidRPr="005B7B0F">
        <w:t xml:space="preserve">ould be examined in a holistic manner, taking into account </w:t>
      </w:r>
      <w:r w:rsidR="00124C02" w:rsidRPr="005B7B0F">
        <w:t xml:space="preserve">the </w:t>
      </w:r>
      <w:r w:rsidR="002F332F" w:rsidRPr="005B7B0F">
        <w:t>social factors that influence older adults’ par</w:t>
      </w:r>
      <w:r w:rsidR="00124C02" w:rsidRPr="005B7B0F">
        <w:t xml:space="preserve">ticipation in </w:t>
      </w:r>
      <w:r w:rsidR="0002066B" w:rsidRPr="005B7B0F">
        <w:t>the relevant</w:t>
      </w:r>
      <w:r w:rsidR="00124C02" w:rsidRPr="005B7B0F">
        <w:t xml:space="preserve"> activities. It was advocated in this thesis that </w:t>
      </w:r>
      <w:r w:rsidR="002F332F" w:rsidRPr="005B7B0F">
        <w:t xml:space="preserve">the effects </w:t>
      </w:r>
      <w:r w:rsidR="00A76A5E" w:rsidRPr="005B7B0F">
        <w:t xml:space="preserve">of exercise and social participation on </w:t>
      </w:r>
      <w:r w:rsidR="002F332F" w:rsidRPr="005B7B0F">
        <w:t xml:space="preserve">cognitive </w:t>
      </w:r>
      <w:r w:rsidR="00A76A5E" w:rsidRPr="005B7B0F">
        <w:t xml:space="preserve">health are well established, </w:t>
      </w:r>
      <w:r w:rsidR="00124C02" w:rsidRPr="005B7B0F">
        <w:t xml:space="preserve">yet </w:t>
      </w:r>
      <w:r w:rsidR="00A76A5E" w:rsidRPr="005B7B0F">
        <w:t xml:space="preserve">the corresponding adoption of healthy lifestyles cannot be considered only </w:t>
      </w:r>
      <w:r w:rsidR="00124C02" w:rsidRPr="005B7B0F">
        <w:t>a matt</w:t>
      </w:r>
      <w:r w:rsidR="00A76A5E" w:rsidRPr="005B7B0F">
        <w:t>er of personal choice. This is because certain social conditions exert a significant effect on the motivation and the opportunities created to adopt healthy lifestyles.</w:t>
      </w:r>
    </w:p>
    <w:p w:rsidR="009C5FEF" w:rsidRPr="005B7B0F" w:rsidRDefault="00A76A5E" w:rsidP="005C41B7">
      <w:pPr>
        <w:pStyle w:val="APAPar"/>
      </w:pPr>
      <w:r w:rsidRPr="005B7B0F">
        <w:t xml:space="preserve"> For example, Lindstorm, Hanson, and Ostergren (2001) illustrated that among the Swedish, those of lower SES had a higher risk of being inactive. Estabrooks, Lee, and Gyurcsik (2003) findings support that those who reside in lower SES neighbourhoods may have limited ability to participate in physical activity due to inaccessible exercise environments. Their study included pay-for-use and free-for-use facilities, where neighbourhoods of lower SES had the least availability in both categories. Similar results were yield in the Gordon-Larsen, Nelson, Page and Popkin (2006) study, illustrating that lower SES and high minority block groups experience reduced access to physical activity facilities, which in turn may be associated with lower exercise and increased rates of surplus weight. Booth, Owen, Bauman, Clavitsi, and Leslie (2000) argued that those reporting greater physical activity have a greater accessibility to public spaces and facilities, allowing them to exercise more (e.g., cycle paths, parks, golf course, and swimming pool).</w:t>
      </w:r>
    </w:p>
    <w:p w:rsidR="00A76A5E" w:rsidRPr="005B7B0F" w:rsidRDefault="00A76A5E" w:rsidP="005C41B7">
      <w:pPr>
        <w:pStyle w:val="APAPar"/>
      </w:pPr>
      <w:r w:rsidRPr="005B7B0F">
        <w:t xml:space="preserve"> Sharf et al. (2004) argued that neighbourhoods of lower SES have poorer availability in social and public resources, discouraging this way an active lifestyle in older age. Magai et al. (2001), as well as Stalker (2011) added that social withdrawal in older age relates to economic hardship, especially if one is member of an ethnic minority group. In general, the </w:t>
      </w:r>
      <w:r w:rsidR="00FA06BD" w:rsidRPr="005B7B0F">
        <w:t>research evidence presented in C</w:t>
      </w:r>
      <w:r w:rsidRPr="005B7B0F">
        <w:t>hapter</w:t>
      </w:r>
      <w:r w:rsidR="002F332F" w:rsidRPr="005B7B0F">
        <w:t xml:space="preserve"> 3</w:t>
      </w:r>
      <w:r w:rsidRPr="005B7B0F">
        <w:t xml:space="preserve"> can be summarized graphically in the </w:t>
      </w:r>
      <w:r w:rsidR="002F332F" w:rsidRPr="005B7B0F">
        <w:t>model depicted below</w:t>
      </w:r>
      <w:r w:rsidRPr="005B7B0F">
        <w:t xml:space="preserve">. </w:t>
      </w:r>
    </w:p>
    <w:p w:rsidR="00A76A5E" w:rsidRPr="005B7B0F" w:rsidRDefault="00387335" w:rsidP="005C41B7">
      <w:pPr>
        <w:pStyle w:val="APAPar"/>
      </w:pPr>
      <w:r w:rsidRPr="005B7B0F">
        <w:rPr>
          <w:noProof/>
          <w:lang w:eastAsia="zh-CN"/>
        </w:rPr>
        <w:drawing>
          <wp:inline distT="0" distB="0" distL="0" distR="0">
            <wp:extent cx="5727700" cy="1917700"/>
            <wp:effectExtent l="19050" t="0" r="6350" b="0"/>
            <wp:docPr id="2" name="Picture 1" descr="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JPG"/>
                    <pic:cNvPicPr/>
                  </pic:nvPicPr>
                  <pic:blipFill>
                    <a:blip r:embed="rId25"/>
                    <a:stretch>
                      <a:fillRect/>
                    </a:stretch>
                  </pic:blipFill>
                  <pic:spPr>
                    <a:xfrm>
                      <a:off x="0" y="0"/>
                      <a:ext cx="5727700" cy="1917700"/>
                    </a:xfrm>
                    <a:prstGeom prst="rect">
                      <a:avLst/>
                    </a:prstGeom>
                  </pic:spPr>
                </pic:pic>
              </a:graphicData>
            </a:graphic>
          </wp:inline>
        </w:drawing>
      </w:r>
    </w:p>
    <w:p w:rsidR="00A76A5E" w:rsidRPr="005B7B0F" w:rsidRDefault="005B3939" w:rsidP="0091167E">
      <w:pPr>
        <w:pStyle w:val="APAPar"/>
        <w:ind w:left="1080" w:right="0" w:hanging="1080"/>
        <w:rPr>
          <w:rStyle w:val="IntenseEmphasis"/>
          <w:i/>
        </w:rPr>
      </w:pPr>
      <w:r w:rsidRPr="005B7B0F">
        <w:rPr>
          <w:rStyle w:val="IntenseEmphasis"/>
        </w:rPr>
        <w:t>Figure 6.1</w:t>
      </w:r>
      <w:r w:rsidR="00A76A5E" w:rsidRPr="005B7B0F">
        <w:rPr>
          <w:rStyle w:val="IntenseEmphasis"/>
        </w:rPr>
        <w:t xml:space="preserve"> Visual </w:t>
      </w:r>
      <w:r w:rsidR="00DD6380" w:rsidRPr="005B7B0F">
        <w:rPr>
          <w:rStyle w:val="IntenseEmphasis"/>
        </w:rPr>
        <w:t>representations</w:t>
      </w:r>
      <w:r w:rsidR="00A76A5E" w:rsidRPr="005B7B0F">
        <w:rPr>
          <w:rStyle w:val="IntenseEmphasis"/>
        </w:rPr>
        <w:t xml:space="preserve"> of the direct and indirect relations</w:t>
      </w:r>
      <w:r w:rsidR="0002066B" w:rsidRPr="005B7B0F">
        <w:rPr>
          <w:rStyle w:val="IntenseEmphasis"/>
        </w:rPr>
        <w:t>hips</w:t>
      </w:r>
      <w:r w:rsidR="00A76A5E" w:rsidRPr="005B7B0F">
        <w:rPr>
          <w:rStyle w:val="IntenseEmphasis"/>
        </w:rPr>
        <w:t xml:space="preserve"> that social factors, social participation, </w:t>
      </w:r>
      <w:r w:rsidR="008147CD" w:rsidRPr="005B7B0F">
        <w:rPr>
          <w:rStyle w:val="IntenseEmphasis"/>
        </w:rPr>
        <w:t xml:space="preserve">exercise </w:t>
      </w:r>
      <w:r w:rsidR="007C750B" w:rsidRPr="005B7B0F">
        <w:rPr>
          <w:rStyle w:val="IntenseEmphasis"/>
        </w:rPr>
        <w:t>and</w:t>
      </w:r>
      <w:r w:rsidR="00A76A5E" w:rsidRPr="005B7B0F">
        <w:rPr>
          <w:rStyle w:val="IntenseEmphasis"/>
        </w:rPr>
        <w:t xml:space="preserve"> </w:t>
      </w:r>
      <w:r w:rsidR="008147CD" w:rsidRPr="005B7B0F">
        <w:rPr>
          <w:rStyle w:val="IntenseEmphasis"/>
        </w:rPr>
        <w:t>Internet use</w:t>
      </w:r>
      <w:r w:rsidR="00A76A5E" w:rsidRPr="005B7B0F">
        <w:rPr>
          <w:rStyle w:val="IntenseEmphasis"/>
        </w:rPr>
        <w:t xml:space="preserve">, as well as cognitive and functional performance have among older adults. </w:t>
      </w:r>
    </w:p>
    <w:p w:rsidR="00A76A5E" w:rsidRPr="005B7B0F" w:rsidRDefault="00A76A5E" w:rsidP="005C41B7">
      <w:pPr>
        <w:pStyle w:val="APAPar"/>
      </w:pPr>
      <w:r w:rsidRPr="005B7B0F">
        <w:t>This figure captures only a fragment of the existing complexity in the relations</w:t>
      </w:r>
      <w:r w:rsidR="0002066B" w:rsidRPr="005B7B0F">
        <w:t>hips</w:t>
      </w:r>
      <w:r w:rsidRPr="005B7B0F">
        <w:t xml:space="preserve"> between the social factors that influence directly or indirectly cognitive </w:t>
      </w:r>
      <w:r w:rsidR="002F332F" w:rsidRPr="005B7B0F">
        <w:t>performance</w:t>
      </w:r>
      <w:r w:rsidRPr="005B7B0F">
        <w:t xml:space="preserve"> and as a consequence everyday functioning in older age. The</w:t>
      </w:r>
      <w:r w:rsidR="0002066B" w:rsidRPr="005B7B0F">
        <w:t xml:space="preserve"> </w:t>
      </w:r>
      <w:r w:rsidR="00BD18C3" w:rsidRPr="005B7B0F">
        <w:t>examination</w:t>
      </w:r>
      <w:r w:rsidRPr="005B7B0F">
        <w:t xml:space="preserve"> model proposed here is based on main arguments </w:t>
      </w:r>
      <w:r w:rsidR="00124C02" w:rsidRPr="005B7B0F">
        <w:t>found in</w:t>
      </w:r>
      <w:r w:rsidRPr="005B7B0F">
        <w:t xml:space="preserve"> the scientific discou</w:t>
      </w:r>
      <w:r w:rsidR="00124C02" w:rsidRPr="005B7B0F">
        <w:t>rse of</w:t>
      </w:r>
      <w:r w:rsidRPr="005B7B0F">
        <w:t xml:space="preserve"> cognitive ageing and the dialogues created in policy-ma</w:t>
      </w:r>
      <w:r w:rsidR="0002066B" w:rsidRPr="005B7B0F">
        <w:t xml:space="preserve">king, as </w:t>
      </w:r>
      <w:r w:rsidR="00124C02" w:rsidRPr="005B7B0F">
        <w:t>presented in the 1</w:t>
      </w:r>
      <w:r w:rsidR="00124C02" w:rsidRPr="005B7B0F">
        <w:rPr>
          <w:vertAlign w:val="superscript"/>
        </w:rPr>
        <w:t>st</w:t>
      </w:r>
      <w:r w:rsidR="009C5FEF" w:rsidRPr="005B7B0F">
        <w:t>, 2</w:t>
      </w:r>
      <w:r w:rsidR="009C5FEF" w:rsidRPr="005B7B0F">
        <w:rPr>
          <w:vertAlign w:val="superscript"/>
        </w:rPr>
        <w:t>nd</w:t>
      </w:r>
      <w:r w:rsidR="009C5FEF" w:rsidRPr="005B7B0F">
        <w:t xml:space="preserve"> and 3</w:t>
      </w:r>
      <w:r w:rsidR="009C5FEF" w:rsidRPr="005B7B0F">
        <w:rPr>
          <w:vertAlign w:val="superscript"/>
        </w:rPr>
        <w:t>rd</w:t>
      </w:r>
      <w:r w:rsidR="00FA06BD" w:rsidRPr="005B7B0F">
        <w:t xml:space="preserve"> C</w:t>
      </w:r>
      <w:r w:rsidRPr="005B7B0F">
        <w:t xml:space="preserve">hapter. As a model, it denotes the need to examine cognitive performance in a more holistic context, including factors that derive from the physical, social and psychological sphere, as discussed in the </w:t>
      </w:r>
      <w:r w:rsidR="009C5FEF" w:rsidRPr="005B7B0F">
        <w:t>2</w:t>
      </w:r>
      <w:r w:rsidR="009C5FEF" w:rsidRPr="005B7B0F">
        <w:rPr>
          <w:vertAlign w:val="superscript"/>
        </w:rPr>
        <w:t>nd</w:t>
      </w:r>
      <w:r w:rsidR="00FA06BD" w:rsidRPr="005B7B0F">
        <w:t xml:space="preserve"> C</w:t>
      </w:r>
      <w:r w:rsidRPr="005B7B0F">
        <w:t xml:space="preserve">hapter of this thesis. Finally, it is aligned with the postulation of Diehl et al. (2005) about the ability to examine </w:t>
      </w:r>
      <w:r w:rsidR="0002066B" w:rsidRPr="005B7B0F">
        <w:t>the relation of cognitive performance and everyday functioning using complex</w:t>
      </w:r>
      <w:r w:rsidRPr="005B7B0F">
        <w:t xml:space="preserve"> models, denoting that: </w:t>
      </w:r>
    </w:p>
    <w:p w:rsidR="00A76A5E" w:rsidRPr="005B7B0F" w:rsidRDefault="00A76A5E" w:rsidP="00B73E0C">
      <w:pPr>
        <w:pStyle w:val="APAPar"/>
        <w:widowControl w:val="0"/>
        <w:ind w:leftChars="400" w:left="960" w:rightChars="400" w:right="960" w:firstLine="0"/>
        <w:jc w:val="both"/>
        <w:rPr>
          <w:rStyle w:val="Emphasis"/>
        </w:rPr>
      </w:pPr>
      <w:r w:rsidRPr="005B7B0F">
        <w:rPr>
          <w:rStyle w:val="Emphasis"/>
        </w:rPr>
        <w:t xml:space="preserve">In general, a growing body of empirical studies supports the notion that cognition is an important component of older adults’ everyday functioning and provides support for a hierarchical model of everyday cognition. The core premise of this model is that cognition in everyday contexts is likely to be related to basic or laboratory-based measures of psychometric intelligence and cognition. In this framework, basic or academic intelligence is seen as a resource set that is drawn on in the management of everyday challenges. Moreover, because everyday problems are likely to be complex and multidimensional, the model also hypothesizes that broad measures of everyday problem solving will be related to multiple intellectual abilities. </w:t>
      </w:r>
    </w:p>
    <w:p w:rsidR="002B6871" w:rsidRPr="005B7B0F" w:rsidRDefault="00A76A5E" w:rsidP="005C41B7">
      <w:pPr>
        <w:pStyle w:val="APAPar"/>
      </w:pPr>
      <w:r w:rsidRPr="005B7B0F">
        <w:t xml:space="preserve">Therefore, it is argued </w:t>
      </w:r>
      <w:r w:rsidR="0002066B" w:rsidRPr="005B7B0F">
        <w:t xml:space="preserve">here </w:t>
      </w:r>
      <w:r w:rsidRPr="005B7B0F">
        <w:t>that</w:t>
      </w:r>
      <w:r w:rsidR="00AC602D" w:rsidRPr="005B7B0F">
        <w:t xml:space="preserve"> </w:t>
      </w:r>
      <w:r w:rsidR="00BF64AF" w:rsidRPr="005B7B0F">
        <w:t xml:space="preserve">the model described in Figure </w:t>
      </w:r>
      <w:r w:rsidR="00124C02" w:rsidRPr="005B7B0F">
        <w:t>6.1</w:t>
      </w:r>
      <w:r w:rsidRPr="005B7B0F">
        <w:t xml:space="preserve"> may serve as a basis to form testable hypothesis </w:t>
      </w:r>
      <w:r w:rsidR="0002066B" w:rsidRPr="005B7B0F">
        <w:t xml:space="preserve">and </w:t>
      </w:r>
      <w:r w:rsidRPr="005B7B0F">
        <w:t xml:space="preserve">examine the relation between </w:t>
      </w:r>
      <w:r w:rsidR="00880063" w:rsidRPr="005B7B0F">
        <w:t xml:space="preserve">social factors, behaviour, </w:t>
      </w:r>
      <w:r w:rsidRPr="005B7B0F">
        <w:t>cognitive performance and e</w:t>
      </w:r>
      <w:r w:rsidR="0002066B" w:rsidRPr="005B7B0F">
        <w:t>veryday functioning (as the main outcome</w:t>
      </w:r>
      <w:r w:rsidRPr="005B7B0F">
        <w:t>) restrictively in the</w:t>
      </w:r>
      <w:r w:rsidR="0002066B" w:rsidRPr="005B7B0F">
        <w:t xml:space="preserve"> </w:t>
      </w:r>
      <w:r w:rsidRPr="005B7B0F">
        <w:t xml:space="preserve">healthy, non-pathological </w:t>
      </w:r>
      <w:r w:rsidR="00AC602D" w:rsidRPr="005B7B0F">
        <w:t>spectrum</w:t>
      </w:r>
      <w:r w:rsidR="0002066B" w:rsidRPr="005B7B0F">
        <w:t xml:space="preserve"> of cognitive performance</w:t>
      </w:r>
      <w:r w:rsidR="00AC602D" w:rsidRPr="005B7B0F">
        <w:t>.</w:t>
      </w:r>
      <w:r w:rsidR="00A531EC" w:rsidRPr="005B7B0F">
        <w:t xml:space="preserve"> </w:t>
      </w:r>
    </w:p>
    <w:p w:rsidR="002B6871" w:rsidRPr="005B7B0F" w:rsidRDefault="002B6871" w:rsidP="00FE028D">
      <w:pPr>
        <w:pStyle w:val="Heading2"/>
      </w:pPr>
      <w:bookmarkStart w:id="135" w:name="_Toc521184219"/>
      <w:r w:rsidRPr="005B7B0F">
        <w:t>Proposed Examination and Analysis</w:t>
      </w:r>
      <w:bookmarkEnd w:id="135"/>
    </w:p>
    <w:p w:rsidR="000B161A" w:rsidRPr="005B7B0F" w:rsidRDefault="00A531EC" w:rsidP="005C41B7">
      <w:pPr>
        <w:pStyle w:val="APAPar"/>
      </w:pPr>
      <w:r w:rsidRPr="005B7B0F">
        <w:t xml:space="preserve">Given the complexity </w:t>
      </w:r>
      <w:r w:rsidR="002B6871" w:rsidRPr="005B7B0F">
        <w:t>of the aforementioned</w:t>
      </w:r>
      <w:r w:rsidRPr="005B7B0F">
        <w:t xml:space="preserve"> </w:t>
      </w:r>
      <w:r w:rsidR="002B6871" w:rsidRPr="005B7B0F">
        <w:t>examination,</w:t>
      </w:r>
      <w:r w:rsidR="00DB2121" w:rsidRPr="005B7B0F">
        <w:t xml:space="preserve"> the underlying </w:t>
      </w:r>
      <w:r w:rsidR="005723F4" w:rsidRPr="005B7B0F">
        <w:t>research questions and hypothese</w:t>
      </w:r>
      <w:r w:rsidR="00DB2121" w:rsidRPr="005B7B0F">
        <w:t xml:space="preserve">s will be </w:t>
      </w:r>
      <w:r w:rsidR="00124C02" w:rsidRPr="005B7B0F">
        <w:t>conducted</w:t>
      </w:r>
      <w:r w:rsidR="00DB2121" w:rsidRPr="005B7B0F">
        <w:t xml:space="preserve"> in a stepwise fashion, including 5 </w:t>
      </w:r>
      <w:r w:rsidR="00741F0B" w:rsidRPr="005B7B0F">
        <w:t xml:space="preserve">separate </w:t>
      </w:r>
      <w:r w:rsidR="000A5D06" w:rsidRPr="005B7B0F">
        <w:t>sets of analysis</w:t>
      </w:r>
      <w:r w:rsidR="0014303D" w:rsidRPr="005B7B0F">
        <w:t xml:space="preserve">. </w:t>
      </w:r>
      <w:r w:rsidR="000A5D06" w:rsidRPr="005B7B0F">
        <w:t>This</w:t>
      </w:r>
      <w:r w:rsidR="0014303D" w:rsidRPr="005B7B0F">
        <w:t xml:space="preserve"> does not </w:t>
      </w:r>
      <w:r w:rsidR="00880063" w:rsidRPr="005B7B0F">
        <w:t>signify</w:t>
      </w:r>
      <w:r w:rsidR="0014303D" w:rsidRPr="005B7B0F">
        <w:t xml:space="preserve"> that the corresponding examinati</w:t>
      </w:r>
      <w:r w:rsidR="000A5D06" w:rsidRPr="005B7B0F">
        <w:t>on relies in separate samples, but that</w:t>
      </w:r>
      <w:r w:rsidR="002B6871" w:rsidRPr="005B7B0F">
        <w:t xml:space="preserve"> the</w:t>
      </w:r>
      <w:r w:rsidR="0014303D" w:rsidRPr="005B7B0F">
        <w:t xml:space="preserve"> differential </w:t>
      </w:r>
      <w:r w:rsidR="000A5D06" w:rsidRPr="005B7B0F">
        <w:t xml:space="preserve">sets </w:t>
      </w:r>
      <w:r w:rsidR="0014303D" w:rsidRPr="005B7B0F">
        <w:t xml:space="preserve">of </w:t>
      </w:r>
      <w:r w:rsidR="000A5D06" w:rsidRPr="005B7B0F">
        <w:t xml:space="preserve">analysis address distinct </w:t>
      </w:r>
      <w:r w:rsidR="0014303D" w:rsidRPr="005B7B0F">
        <w:t>research question</w:t>
      </w:r>
      <w:r w:rsidR="000A5D06" w:rsidRPr="005B7B0F">
        <w:t>s, all feeding in</w:t>
      </w:r>
      <w:r w:rsidR="00B14077" w:rsidRPr="005B7B0F">
        <w:t>to</w:t>
      </w:r>
      <w:r w:rsidR="000A5D06" w:rsidRPr="005B7B0F">
        <w:t xml:space="preserve"> the  overarching research question and hypothesis. </w:t>
      </w:r>
      <w:r w:rsidR="005723F4" w:rsidRPr="005B7B0F">
        <w:t>The proposed examination and analysis contains a number of direct and indirect effects, having predictors and outcome variables in all occasions, but examining moderation effect</w:t>
      </w:r>
      <w:r w:rsidR="009C5FEF" w:rsidRPr="005B7B0F">
        <w:t>s</w:t>
      </w:r>
      <w:r w:rsidR="005723F4" w:rsidRPr="005B7B0F">
        <w:t xml:space="preserve"> in some instances (e.g., the moderation effect of </w:t>
      </w:r>
      <w:r w:rsidR="00BD18C3" w:rsidRPr="005B7B0F">
        <w:t>social participation</w:t>
      </w:r>
      <w:r w:rsidR="009C5FEF" w:rsidRPr="005B7B0F">
        <w:t xml:space="preserve">, </w:t>
      </w:r>
      <w:r w:rsidR="008147CD" w:rsidRPr="005B7B0F">
        <w:t>Internet use,</w:t>
      </w:r>
      <w:r w:rsidR="009C5FEF" w:rsidRPr="005B7B0F">
        <w:t xml:space="preserve"> exercise, and education</w:t>
      </w:r>
      <w:r w:rsidR="00BD18C3" w:rsidRPr="005B7B0F">
        <w:t xml:space="preserve"> </w:t>
      </w:r>
      <w:r w:rsidR="005723F4" w:rsidRPr="005B7B0F">
        <w:t xml:space="preserve">in the relation between </w:t>
      </w:r>
      <w:r w:rsidR="00BD18C3" w:rsidRPr="005B7B0F">
        <w:t xml:space="preserve">age and </w:t>
      </w:r>
      <w:r w:rsidR="005723F4" w:rsidRPr="005B7B0F">
        <w:t xml:space="preserve">cognitive performance) and mediation effects in others (e.g., the relation between </w:t>
      </w:r>
      <w:r w:rsidR="009C5FEF" w:rsidRPr="005B7B0F">
        <w:t>age</w:t>
      </w:r>
      <w:r w:rsidR="00BD18C3" w:rsidRPr="005B7B0F">
        <w:t xml:space="preserve"> with everyday functioning, </w:t>
      </w:r>
      <w:r w:rsidR="005723F4" w:rsidRPr="005B7B0F">
        <w:t xml:space="preserve">mediated by cognitive performance). </w:t>
      </w:r>
    </w:p>
    <w:p w:rsidR="00124C02" w:rsidRPr="005B7B0F" w:rsidRDefault="005723F4" w:rsidP="005C41B7">
      <w:pPr>
        <w:pStyle w:val="APAPar"/>
      </w:pPr>
      <w:r w:rsidRPr="005B7B0F">
        <w:t>Predictors and moderation effects will be examined using</w:t>
      </w:r>
      <w:r w:rsidR="00880063" w:rsidRPr="005B7B0F">
        <w:t xml:space="preserve"> </w:t>
      </w:r>
      <w:r w:rsidR="00BD18C3" w:rsidRPr="005B7B0F">
        <w:t>multiple regression analyse</w:t>
      </w:r>
      <w:r w:rsidRPr="005B7B0F">
        <w:t>s, and mediation effects wil</w:t>
      </w:r>
      <w:r w:rsidR="00880063" w:rsidRPr="005B7B0F">
        <w:t>l be</w:t>
      </w:r>
      <w:r w:rsidR="00DD55EB" w:rsidRPr="005B7B0F">
        <w:t xml:space="preserve"> examined</w:t>
      </w:r>
      <w:r w:rsidR="00880063" w:rsidRPr="005B7B0F">
        <w:t xml:space="preserve"> using Structural Equation M</w:t>
      </w:r>
      <w:r w:rsidRPr="005B7B0F">
        <w:t>odelling</w:t>
      </w:r>
      <w:r w:rsidR="00880063" w:rsidRPr="005B7B0F">
        <w:t xml:space="preserve"> (SEM)</w:t>
      </w:r>
      <w:r w:rsidR="00182A98" w:rsidRPr="005B7B0F">
        <w:t>, as</w:t>
      </w:r>
      <w:r w:rsidR="00B81073" w:rsidRPr="005B7B0F">
        <w:t xml:space="preserve"> proposed by Frazier et al. </w:t>
      </w:r>
      <w:r w:rsidRPr="005B7B0F">
        <w:t xml:space="preserve">(2004). </w:t>
      </w:r>
      <w:r w:rsidR="00182A98" w:rsidRPr="005B7B0F">
        <w:t xml:space="preserve">The precondition for a variable to serve as a predictor is to </w:t>
      </w:r>
      <w:r w:rsidR="00880063" w:rsidRPr="005B7B0F">
        <w:t>cor</w:t>
      </w:r>
      <w:r w:rsidR="00182A98" w:rsidRPr="005B7B0F">
        <w:t>relate statistically significant with the outcome variable (</w:t>
      </w:r>
      <w:r w:rsidR="00182A98" w:rsidRPr="005B7B0F">
        <w:rPr>
          <w:lang w:val="en-US"/>
        </w:rPr>
        <w:t xml:space="preserve">Salthouse &amp; Pink, 2008). In order for a variable to serve as a </w:t>
      </w:r>
      <w:r w:rsidR="00182A98" w:rsidRPr="005B7B0F">
        <w:t>mediator, the precondition is for this variable to relate statistically significantly with both the predictor and the outcome variable</w:t>
      </w:r>
      <w:r w:rsidR="0002066B" w:rsidRPr="005B7B0F">
        <w:t xml:space="preserve"> (Frazier et al., 2004)</w:t>
      </w:r>
      <w:r w:rsidR="00182A98" w:rsidRPr="005B7B0F">
        <w:t xml:space="preserve">. </w:t>
      </w:r>
      <w:r w:rsidR="00B622A1" w:rsidRPr="005B7B0F">
        <w:t xml:space="preserve">As Frazier et al. (2004) stated, both continuous and categorical variables can be examined in a multiple regression model. </w:t>
      </w:r>
    </w:p>
    <w:p w:rsidR="00AC602D" w:rsidRPr="005B7B0F" w:rsidRDefault="000A5D06" w:rsidP="0091167E">
      <w:pPr>
        <w:pStyle w:val="Heading3"/>
      </w:pPr>
      <w:bookmarkStart w:id="136" w:name="_Toc521184220"/>
      <w:r w:rsidRPr="005B7B0F">
        <w:t xml:space="preserve">Analysis </w:t>
      </w:r>
      <w:r w:rsidR="00AC602D" w:rsidRPr="005B7B0F">
        <w:t>1</w:t>
      </w:r>
      <w:r w:rsidR="005122F6" w:rsidRPr="005B7B0F">
        <w:t xml:space="preserve"> Validation of the OTDL-G and EPT-G</w:t>
      </w:r>
      <w:bookmarkEnd w:id="136"/>
    </w:p>
    <w:p w:rsidR="00AC602D" w:rsidRDefault="009C5FEF" w:rsidP="005C41B7">
      <w:pPr>
        <w:pStyle w:val="APAPar"/>
      </w:pPr>
      <w:r w:rsidRPr="005B7B0F">
        <w:t>The</w:t>
      </w:r>
      <w:r w:rsidR="00AC602D" w:rsidRPr="005B7B0F">
        <w:t xml:space="preserve"> first examination and analysis </w:t>
      </w:r>
      <w:r w:rsidR="0096769A" w:rsidRPr="005B7B0F">
        <w:t>address</w:t>
      </w:r>
      <w:r w:rsidR="0002066B" w:rsidRPr="005B7B0F">
        <w:t>es</w:t>
      </w:r>
      <w:r w:rsidR="00AC602D" w:rsidRPr="005B7B0F">
        <w:t xml:space="preserve"> the psychometric properties of the everyday functioning tools OTDL-G and EPT-G. This analysis is necessary as to examine the</w:t>
      </w:r>
      <w:r w:rsidR="00B442C3" w:rsidRPr="005B7B0F">
        <w:t>ir</w:t>
      </w:r>
      <w:r w:rsidR="00AC602D" w:rsidRPr="005B7B0F">
        <w:t xml:space="preserve"> reliability and validity, </w:t>
      </w:r>
      <w:r w:rsidR="00B442C3" w:rsidRPr="005B7B0F">
        <w:t xml:space="preserve">by </w:t>
      </w:r>
      <w:r w:rsidR="00F373E4" w:rsidRPr="005B7B0F">
        <w:t>performing a</w:t>
      </w:r>
      <w:r w:rsidR="005122F6" w:rsidRPr="005B7B0F">
        <w:t>n</w:t>
      </w:r>
      <w:r w:rsidR="00AC602D" w:rsidRPr="005B7B0F">
        <w:t xml:space="preserve"> interrater reliability analysis, internal consistency analysis, criterion-related validity</w:t>
      </w:r>
      <w:r w:rsidR="00F373E4" w:rsidRPr="005B7B0F">
        <w:t xml:space="preserve"> analysis</w:t>
      </w:r>
      <w:r w:rsidR="00AC602D" w:rsidRPr="005B7B0F">
        <w:t xml:space="preserve"> and differential item difficulty </w:t>
      </w:r>
      <w:r w:rsidR="00B442C3" w:rsidRPr="005B7B0F">
        <w:t xml:space="preserve">analysis </w:t>
      </w:r>
      <w:r w:rsidR="00AC602D" w:rsidRPr="005B7B0F">
        <w:t xml:space="preserve">(correct vs incorrect responses). Following the recommendations of Geisinger (1994), the indexes resulting from this analysis will be compared with those of the original instruments in order to assess their equivalence, </w:t>
      </w:r>
      <w:r w:rsidR="00070D47" w:rsidRPr="005B7B0F">
        <w:rPr>
          <w:lang w:val="en-US"/>
        </w:rPr>
        <w:t xml:space="preserve">and as </w:t>
      </w:r>
      <w:r w:rsidR="00081793" w:rsidRPr="005B7B0F">
        <w:t>indication of the</w:t>
      </w:r>
      <w:r w:rsidR="00BD18C3" w:rsidRPr="005B7B0F">
        <w:t>ir</w:t>
      </w:r>
      <w:r w:rsidR="00AC602D" w:rsidRPr="005B7B0F">
        <w:t xml:space="preserve"> </w:t>
      </w:r>
      <w:r w:rsidR="00D81502" w:rsidRPr="005B7B0F">
        <w:t>s</w:t>
      </w:r>
      <w:r w:rsidR="00AC602D" w:rsidRPr="005B7B0F">
        <w:t xml:space="preserve">uccessful adaptation in the Greek context. </w:t>
      </w:r>
      <w:r w:rsidR="005122F6" w:rsidRPr="005B7B0F">
        <w:t xml:space="preserve">These types of analyses necessitate a larger sample of participants, and therefore </w:t>
      </w:r>
      <w:r w:rsidR="00070D47" w:rsidRPr="005B7B0F">
        <w:t>could not</w:t>
      </w:r>
      <w:r w:rsidR="005122F6" w:rsidRPr="005B7B0F">
        <w:t xml:space="preserve"> be </w:t>
      </w:r>
      <w:r w:rsidR="00BD18C3" w:rsidRPr="005B7B0F">
        <w:t>conducted</w:t>
      </w:r>
      <w:r w:rsidR="005122F6" w:rsidRPr="005B7B0F">
        <w:t xml:space="preserve"> </w:t>
      </w:r>
      <w:r w:rsidR="00070D47" w:rsidRPr="005B7B0F">
        <w:t xml:space="preserve">on the pilot study described in the previous </w:t>
      </w:r>
      <w:r w:rsidR="00FA06BD" w:rsidRPr="005B7B0F">
        <w:t>C</w:t>
      </w:r>
      <w:r w:rsidR="005723F4" w:rsidRPr="005B7B0F">
        <w:t>hapter</w:t>
      </w:r>
      <w:r w:rsidR="00B442C3" w:rsidRPr="005B7B0F">
        <w:t>.</w:t>
      </w:r>
    </w:p>
    <w:p w:rsidR="00B73E0C" w:rsidRPr="005B7B0F" w:rsidRDefault="00B73E0C" w:rsidP="005C41B7">
      <w:pPr>
        <w:pStyle w:val="APAPar"/>
      </w:pPr>
    </w:p>
    <w:p w:rsidR="00AC602D" w:rsidRPr="005B7B0F" w:rsidRDefault="00070D47" w:rsidP="0091167E">
      <w:pPr>
        <w:pStyle w:val="Heading3"/>
        <w:ind w:left="1138" w:right="0" w:hanging="1138"/>
      </w:pPr>
      <w:bookmarkStart w:id="137" w:name="_Toc521184221"/>
      <w:r w:rsidRPr="005B7B0F">
        <w:t>Analysis</w:t>
      </w:r>
      <w:r w:rsidR="00F373E4" w:rsidRPr="005B7B0F">
        <w:t xml:space="preserve"> 2</w:t>
      </w:r>
      <w:r w:rsidR="00E22C39" w:rsidRPr="005B7B0F">
        <w:t xml:space="preserve"> The Relation B</w:t>
      </w:r>
      <w:r w:rsidR="00732024" w:rsidRPr="005B7B0F">
        <w:t xml:space="preserve">etween </w:t>
      </w:r>
      <w:r w:rsidR="00E22C39" w:rsidRPr="005B7B0F">
        <w:t>C</w:t>
      </w:r>
      <w:r w:rsidR="00732024" w:rsidRPr="005B7B0F">
        <w:t xml:space="preserve">ognitive </w:t>
      </w:r>
      <w:r w:rsidR="00E22C39" w:rsidRPr="005B7B0F">
        <w:t>P</w:t>
      </w:r>
      <w:r w:rsidR="00732024" w:rsidRPr="005B7B0F">
        <w:t>erformance</w:t>
      </w:r>
      <w:r w:rsidR="00E22C39" w:rsidRPr="005B7B0F">
        <w:t xml:space="preserve"> and Everyday F</w:t>
      </w:r>
      <w:r w:rsidR="00732024" w:rsidRPr="005B7B0F">
        <w:t>unctioning</w:t>
      </w:r>
      <w:bookmarkEnd w:id="137"/>
    </w:p>
    <w:p w:rsidR="00F373E4" w:rsidRPr="005B7B0F" w:rsidRDefault="00CA3471" w:rsidP="005C41B7">
      <w:pPr>
        <w:pStyle w:val="APAPar"/>
        <w:rPr>
          <w:lang w:val="en-US"/>
        </w:rPr>
      </w:pPr>
      <w:r w:rsidRPr="005B7B0F">
        <w:rPr>
          <w:lang w:val="en-US"/>
        </w:rPr>
        <w:t>The second examination in the fieldwork of this thesis will be the relation</w:t>
      </w:r>
      <w:r w:rsidR="0002066B" w:rsidRPr="005B7B0F">
        <w:rPr>
          <w:lang w:val="en-US"/>
        </w:rPr>
        <w:t>ship</w:t>
      </w:r>
      <w:r w:rsidRPr="005B7B0F">
        <w:rPr>
          <w:lang w:val="en-US"/>
        </w:rPr>
        <w:t xml:space="preserve"> between cognitive performance and everyday functioning. </w:t>
      </w:r>
      <w:r w:rsidR="00FA06BD" w:rsidRPr="005B7B0F">
        <w:rPr>
          <w:lang w:val="en-US"/>
        </w:rPr>
        <w:t>In C</w:t>
      </w:r>
      <w:r w:rsidR="00DB3CF1" w:rsidRPr="005B7B0F">
        <w:rPr>
          <w:lang w:val="en-US"/>
        </w:rPr>
        <w:t>hapter 3, it was discussed that cognition is not a single entity and is usually measured via neuropsychological assessments in multiple domains. The r</w:t>
      </w:r>
      <w:r w:rsidR="00FA06BD" w:rsidRPr="005B7B0F">
        <w:rPr>
          <w:lang w:val="en-US"/>
        </w:rPr>
        <w:t>esults of the meta-analysis in C</w:t>
      </w:r>
      <w:r w:rsidR="00DB3CF1" w:rsidRPr="005B7B0F">
        <w:rPr>
          <w:lang w:val="en-US"/>
        </w:rPr>
        <w:t>hapter 4 w</w:t>
      </w:r>
      <w:r w:rsidR="00522E26" w:rsidRPr="005B7B0F">
        <w:rPr>
          <w:lang w:val="en-US"/>
        </w:rPr>
        <w:t>ere</w:t>
      </w:r>
      <w:r w:rsidR="00DB3CF1" w:rsidRPr="005B7B0F">
        <w:rPr>
          <w:lang w:val="en-US"/>
        </w:rPr>
        <w:t xml:space="preserve"> informative </w:t>
      </w:r>
      <w:r w:rsidR="000D4EA7" w:rsidRPr="005B7B0F">
        <w:rPr>
          <w:lang w:val="en-US"/>
        </w:rPr>
        <w:t>to</w:t>
      </w:r>
      <w:r w:rsidR="00DB3CF1" w:rsidRPr="005B7B0F">
        <w:rPr>
          <w:lang w:val="en-US"/>
        </w:rPr>
        <w:t xml:space="preserve"> which cognitive domains are correlated with functional performance in the healthy spectrum of c</w:t>
      </w:r>
      <w:r w:rsidR="00081793" w:rsidRPr="005B7B0F">
        <w:rPr>
          <w:lang w:val="en-US"/>
        </w:rPr>
        <w:t xml:space="preserve">ognitive performance. Although multiple testing of cognitive performance </w:t>
      </w:r>
      <w:r w:rsidR="00DB3CF1" w:rsidRPr="005B7B0F">
        <w:rPr>
          <w:lang w:val="en-US"/>
        </w:rPr>
        <w:t>adds a considerable complexity in the analysis needed, the model propose</w:t>
      </w:r>
      <w:r w:rsidR="00FA06BD" w:rsidRPr="005B7B0F">
        <w:rPr>
          <w:lang w:val="en-US"/>
        </w:rPr>
        <w:t>d in this C</w:t>
      </w:r>
      <w:r w:rsidR="00DB3CF1" w:rsidRPr="005B7B0F">
        <w:rPr>
          <w:lang w:val="en-US"/>
        </w:rPr>
        <w:t>hapter allows this examination</w:t>
      </w:r>
      <w:r w:rsidR="004D5A7F" w:rsidRPr="005B7B0F">
        <w:rPr>
          <w:lang w:val="en-US"/>
        </w:rPr>
        <w:t>.</w:t>
      </w:r>
      <w:r w:rsidR="00DB3CF1" w:rsidRPr="005B7B0F">
        <w:rPr>
          <w:lang w:val="en-US"/>
        </w:rPr>
        <w:t xml:space="preserve"> </w:t>
      </w:r>
      <w:r w:rsidR="004D5A7F" w:rsidRPr="005B7B0F">
        <w:rPr>
          <w:lang w:val="en-US"/>
        </w:rPr>
        <w:t>As</w:t>
      </w:r>
      <w:r w:rsidR="00DB3CF1" w:rsidRPr="005B7B0F">
        <w:rPr>
          <w:lang w:val="en-US"/>
        </w:rPr>
        <w:t xml:space="preserve"> Salthouse and Pink (2008, p. 2) argued:</w:t>
      </w:r>
    </w:p>
    <w:p w:rsidR="00DB3CF1" w:rsidRPr="005B7B0F" w:rsidRDefault="00DB3CF1" w:rsidP="00B73E0C">
      <w:pPr>
        <w:pStyle w:val="APAPar"/>
        <w:widowControl w:val="0"/>
        <w:ind w:leftChars="400" w:left="960" w:rightChars="400" w:right="960" w:firstLine="0"/>
        <w:jc w:val="both"/>
        <w:rPr>
          <w:rStyle w:val="Emphasis"/>
        </w:rPr>
      </w:pPr>
      <w:r w:rsidRPr="005B7B0F">
        <w:rPr>
          <w:rStyle w:val="Emphasis"/>
        </w:rPr>
        <w:t>Although the preceding possibilities can be examined with simple bivariate correlations, …, more informative analyses can also be carried out. For example, several cognitive abilities can be examined simultaneously to determine the unique influences of each. When only a single predictor is examined, as with simple correlations, that variable absorbs all of the variance it shares with other variables that are not included in the analyses, and therefore the results could be misleading with respect to the unique contribution of</w:t>
      </w:r>
      <w:r w:rsidR="000C7996" w:rsidRPr="005B7B0F">
        <w:rPr>
          <w:rStyle w:val="Emphasis"/>
        </w:rPr>
        <w:t xml:space="preserve"> the variable that is included … </w:t>
      </w:r>
      <w:r w:rsidRPr="005B7B0F">
        <w:rPr>
          <w:rStyle w:val="Emphasis"/>
        </w:rPr>
        <w:t xml:space="preserve">This problem of omitted predictors can be minimized by using </w:t>
      </w:r>
      <w:r w:rsidR="000C7996" w:rsidRPr="005B7B0F">
        <w:rPr>
          <w:rStyle w:val="Emphasis"/>
        </w:rPr>
        <w:t xml:space="preserve">a contextual analysis procedure, </w:t>
      </w:r>
      <w:r w:rsidRPr="005B7B0F">
        <w:rPr>
          <w:rStyle w:val="Emphasis"/>
        </w:rPr>
        <w:t>in which multiple cognitive abilities are included in the same analysis. That is, when several cognitive abilities are examined simultaneously</w:t>
      </w:r>
      <w:r w:rsidR="000C7996" w:rsidRPr="005B7B0F">
        <w:rPr>
          <w:rStyle w:val="Emphasis"/>
        </w:rPr>
        <w:t xml:space="preserve">, the influence of one ability …, </w:t>
      </w:r>
      <w:r w:rsidRPr="005B7B0F">
        <w:rPr>
          <w:rStyle w:val="Emphasis"/>
        </w:rPr>
        <w:t xml:space="preserve">can be determined after controlling for influences of other abilities, such as perceptual speed, episodic memory, and vocabulary. </w:t>
      </w:r>
    </w:p>
    <w:p w:rsidR="000C7996" w:rsidRPr="005B7B0F" w:rsidRDefault="00070D47" w:rsidP="005C41B7">
      <w:pPr>
        <w:pStyle w:val="APAPar"/>
      </w:pPr>
      <w:r w:rsidRPr="005B7B0F">
        <w:t>To address this research question</w:t>
      </w:r>
      <w:r w:rsidR="00FA06BD" w:rsidRPr="005B7B0F">
        <w:t>, and based on the results of C</w:t>
      </w:r>
      <w:r w:rsidR="000C7996" w:rsidRPr="005B7B0F">
        <w:t xml:space="preserve">hapter 4, the cognitive domains that will be examined simultaneously in a regression model are those of executive function, speed of processing, memory, </w:t>
      </w:r>
      <w:r w:rsidR="00732024" w:rsidRPr="005B7B0F">
        <w:t xml:space="preserve">and </w:t>
      </w:r>
      <w:r w:rsidR="000C7996" w:rsidRPr="005B7B0F">
        <w:t>verbal fluency</w:t>
      </w:r>
      <w:r w:rsidR="009C3D9F" w:rsidRPr="005B7B0F">
        <w:t xml:space="preserve">. The </w:t>
      </w:r>
      <w:r w:rsidR="00BD18C3" w:rsidRPr="005B7B0F">
        <w:t>preliminary</w:t>
      </w:r>
      <w:r w:rsidR="009C3D9F" w:rsidRPr="005B7B0F">
        <w:t xml:space="preserve"> </w:t>
      </w:r>
      <w:r w:rsidR="004D5A7F" w:rsidRPr="005B7B0F">
        <w:t xml:space="preserve">analysis </w:t>
      </w:r>
      <w:r w:rsidR="009C3D9F" w:rsidRPr="005B7B0F">
        <w:t xml:space="preserve">will examine the potential correlations between the several cognitive domains with everyday functioning. Subsequently, the domains that correlate statistically significant with everyday functioning measures will be included in a regression model, to examine their shared variance, as well as their independent predictive </w:t>
      </w:r>
      <w:r w:rsidR="000D4EA7" w:rsidRPr="005B7B0F">
        <w:t>ability</w:t>
      </w:r>
      <w:r w:rsidR="009C3D9F" w:rsidRPr="005B7B0F">
        <w:t xml:space="preserve">. </w:t>
      </w:r>
      <w:r w:rsidR="00732024" w:rsidRPr="005B7B0F">
        <w:t xml:space="preserve">Everyday functioning will be examined using the OTDL-G and EPT-G instruments in two </w:t>
      </w:r>
      <w:r w:rsidR="000D4EA7" w:rsidRPr="005B7B0F">
        <w:t>independent</w:t>
      </w:r>
      <w:r w:rsidR="00732024" w:rsidRPr="005B7B0F">
        <w:t xml:space="preserve"> regression analyses. The reason for this is the</w:t>
      </w:r>
      <w:r w:rsidR="009C3D9F" w:rsidRPr="005B7B0F">
        <w:t>ir</w:t>
      </w:r>
      <w:r w:rsidR="00732024" w:rsidRPr="005B7B0F">
        <w:t xml:space="preserve"> differential nature in terms of difficulty </w:t>
      </w:r>
      <w:r w:rsidR="00FA06BD" w:rsidRPr="005B7B0F">
        <w:t>(as identified in the previous C</w:t>
      </w:r>
      <w:r w:rsidR="00732024" w:rsidRPr="005B7B0F">
        <w:t>hapter)</w:t>
      </w:r>
      <w:r w:rsidR="00BD18C3" w:rsidRPr="005B7B0F">
        <w:t>,</w:t>
      </w:r>
      <w:r w:rsidR="00732024" w:rsidRPr="005B7B0F">
        <w:t xml:space="preserve"> </w:t>
      </w:r>
      <w:r w:rsidR="009C3D9F" w:rsidRPr="005B7B0F">
        <w:t>administration type</w:t>
      </w:r>
      <w:r w:rsidR="000D4EA7" w:rsidRPr="005B7B0F">
        <w:t xml:space="preserve"> (i.e., observation-based vs.</w:t>
      </w:r>
      <w:r w:rsidR="00BD18C3" w:rsidRPr="005B7B0F">
        <w:t xml:space="preserve"> paper and pencil test), and because regression models allow </w:t>
      </w:r>
      <w:r w:rsidR="004D5A7F" w:rsidRPr="005B7B0F">
        <w:t>the examination of one dependent</w:t>
      </w:r>
      <w:r w:rsidR="00BD18C3" w:rsidRPr="005B7B0F">
        <w:t xml:space="preserve"> variable each time. </w:t>
      </w:r>
      <w:r w:rsidR="00732024" w:rsidRPr="005B7B0F">
        <w:t xml:space="preserve"> </w:t>
      </w:r>
    </w:p>
    <w:p w:rsidR="005E0740" w:rsidRDefault="00732024" w:rsidP="005E0740">
      <w:pPr>
        <w:pStyle w:val="APAPar"/>
      </w:pPr>
      <w:r w:rsidRPr="005B7B0F">
        <w:t>An addition</w:t>
      </w:r>
      <w:r w:rsidR="009C3D9F" w:rsidRPr="005B7B0F">
        <w:t>al</w:t>
      </w:r>
      <w:r w:rsidRPr="005B7B0F">
        <w:t xml:space="preserve"> factor that will be taken into account is </w:t>
      </w:r>
      <w:r w:rsidR="00081793" w:rsidRPr="005B7B0F">
        <w:t xml:space="preserve">the moderation effect of </w:t>
      </w:r>
      <w:r w:rsidRPr="005B7B0F">
        <w:t xml:space="preserve">education. The </w:t>
      </w:r>
      <w:r w:rsidR="00070D47" w:rsidRPr="005B7B0F">
        <w:t>results of Chapter 4 indicate</w:t>
      </w:r>
      <w:r w:rsidRPr="005B7B0F">
        <w:t xml:space="preserve"> that education may moderate the relation between cognitive perfor</w:t>
      </w:r>
      <w:r w:rsidR="00643C2D" w:rsidRPr="005B7B0F">
        <w:t xml:space="preserve">mance and everyday functioning. </w:t>
      </w:r>
      <w:r w:rsidRPr="005B7B0F">
        <w:t>The direction of education’s moderation effect directs to more years of formal education producing weaker correlations between cognitive performance and everyday functioning.</w:t>
      </w:r>
      <w:r w:rsidR="00643C2D" w:rsidRPr="005B7B0F">
        <w:t xml:space="preserve"> This effect was explained by the fact that</w:t>
      </w:r>
      <w:r w:rsidRPr="005B7B0F">
        <w:t xml:space="preserve"> most neuropsychological and everyday functioning assessments follow a structure and procedure that assimilate those of the class-based tests (Marcotte et al., 2010). The weaker relation among more educated older adults </w:t>
      </w:r>
      <w:r w:rsidR="00081793" w:rsidRPr="005B7B0F">
        <w:t xml:space="preserve">with everyday functioning measures </w:t>
      </w:r>
      <w:r w:rsidRPr="005B7B0F">
        <w:t xml:space="preserve">may indicate that test-familiarity mask the effect that cognitive decrements have on everyday functioning. </w:t>
      </w:r>
      <w:r w:rsidR="00643C2D" w:rsidRPr="005B7B0F">
        <w:t xml:space="preserve">Therefore, </w:t>
      </w:r>
      <w:r w:rsidR="009C3D9F" w:rsidRPr="005B7B0F">
        <w:t xml:space="preserve">a </w:t>
      </w:r>
      <w:r w:rsidR="000D4EA7" w:rsidRPr="005B7B0F">
        <w:t>stepwise regression analysis</w:t>
      </w:r>
      <w:r w:rsidR="00081793" w:rsidRPr="005B7B0F">
        <w:t xml:space="preserve"> including the interaction terms of education with each neuropsychological assessment</w:t>
      </w:r>
      <w:r w:rsidR="000D4EA7" w:rsidRPr="005B7B0F">
        <w:t xml:space="preserve"> added in a separate step will be conducted in order to examine the potential moderation effect of education in the relation between the scores in neuropsychological assessments and those in everyday functioning</w:t>
      </w:r>
      <w:r w:rsidR="00081793" w:rsidRPr="005B7B0F">
        <w:t>, as pro</w:t>
      </w:r>
      <w:r w:rsidR="000D4EA7" w:rsidRPr="005B7B0F">
        <w:t xml:space="preserve">posed by Frazier et al. (2004). </w:t>
      </w:r>
    </w:p>
    <w:p w:rsidR="004D2A27" w:rsidRPr="005B7B0F" w:rsidRDefault="008147CD" w:rsidP="0091167E">
      <w:pPr>
        <w:pStyle w:val="Heading3"/>
        <w:ind w:left="1138" w:right="0" w:hanging="1138"/>
      </w:pPr>
      <w:bookmarkStart w:id="138" w:name="_Toc521184222"/>
      <w:r w:rsidRPr="005B7B0F">
        <w:t>Analysis</w:t>
      </w:r>
      <w:r w:rsidR="004D2A27" w:rsidRPr="005B7B0F">
        <w:t xml:space="preserve"> 3</w:t>
      </w:r>
      <w:r w:rsidR="00A86766" w:rsidRPr="005B7B0F">
        <w:t xml:space="preserve"> Social participation, Exercise, </w:t>
      </w:r>
      <w:r w:rsidR="00070D47" w:rsidRPr="005B7B0F">
        <w:t>Internet use</w:t>
      </w:r>
      <w:r w:rsidR="005E0740">
        <w:t xml:space="preserve">, SES, and Cognitive </w:t>
      </w:r>
      <w:r w:rsidR="00CA47C6" w:rsidRPr="005B7B0F">
        <w:t>P</w:t>
      </w:r>
      <w:r w:rsidR="00A86766" w:rsidRPr="005B7B0F">
        <w:t>erformance</w:t>
      </w:r>
      <w:bookmarkEnd w:id="138"/>
    </w:p>
    <w:p w:rsidR="00732024" w:rsidRPr="005B7B0F" w:rsidRDefault="008C408E" w:rsidP="005C41B7">
      <w:pPr>
        <w:pStyle w:val="APAPar"/>
      </w:pPr>
      <w:r w:rsidRPr="005B7B0F">
        <w:t>The 3</w:t>
      </w:r>
      <w:r w:rsidRPr="005B7B0F">
        <w:rPr>
          <w:vertAlign w:val="superscript"/>
        </w:rPr>
        <w:t>rd</w:t>
      </w:r>
      <w:r w:rsidR="00070D47" w:rsidRPr="005B7B0F">
        <w:t xml:space="preserve"> analysis</w:t>
      </w:r>
      <w:r w:rsidRPr="005B7B0F">
        <w:t xml:space="preserve"> will examine the </w:t>
      </w:r>
      <w:r w:rsidR="00A86766" w:rsidRPr="005B7B0F">
        <w:t xml:space="preserve">beneficial effect that </w:t>
      </w:r>
      <w:r w:rsidRPr="005B7B0F">
        <w:t xml:space="preserve">social participation, exercise, </w:t>
      </w:r>
      <w:r w:rsidR="008147CD" w:rsidRPr="005B7B0F">
        <w:t>Internet use</w:t>
      </w:r>
      <w:r w:rsidRPr="005B7B0F">
        <w:t xml:space="preserve"> and </w:t>
      </w:r>
      <w:r w:rsidR="00C40620" w:rsidRPr="005B7B0F">
        <w:t xml:space="preserve">education </w:t>
      </w:r>
      <w:r w:rsidR="00A86766" w:rsidRPr="005B7B0F">
        <w:t xml:space="preserve">may have </w:t>
      </w:r>
      <w:r w:rsidR="004E4158" w:rsidRPr="005B7B0F">
        <w:t>on cognitive performance</w:t>
      </w:r>
      <w:r w:rsidR="00CA47C6" w:rsidRPr="005B7B0F">
        <w:t xml:space="preserve"> among cognitively intact older adults</w:t>
      </w:r>
      <w:r w:rsidR="00081793" w:rsidRPr="005B7B0F">
        <w:t>, over and above age</w:t>
      </w:r>
      <w:r w:rsidR="004E4158" w:rsidRPr="005B7B0F">
        <w:t>. The literature depicting these i</w:t>
      </w:r>
      <w:r w:rsidR="00FA06BD" w:rsidRPr="005B7B0F">
        <w:t>nterrelations was presented in C</w:t>
      </w:r>
      <w:r w:rsidR="004E4158" w:rsidRPr="005B7B0F">
        <w:t xml:space="preserve">hapter 3, along with the </w:t>
      </w:r>
      <w:r w:rsidR="005F4B76" w:rsidRPr="005B7B0F">
        <w:t xml:space="preserve">emerging </w:t>
      </w:r>
      <w:r w:rsidR="004E4158" w:rsidRPr="005B7B0F">
        <w:t xml:space="preserve">methodological and theoretical considerations. </w:t>
      </w:r>
      <w:r w:rsidR="005F4B76" w:rsidRPr="005B7B0F">
        <w:t>The</w:t>
      </w:r>
      <w:r w:rsidR="003714C1" w:rsidRPr="005B7B0F">
        <w:t xml:space="preserve"> beneficial effect of social participation, exercise and </w:t>
      </w:r>
      <w:r w:rsidR="008147CD" w:rsidRPr="005B7B0F">
        <w:t>Internet use</w:t>
      </w:r>
      <w:r w:rsidR="003714C1" w:rsidRPr="005B7B0F">
        <w:t xml:space="preserve"> on cognitive vitality remains a strong statement in policy making, health prev</w:t>
      </w:r>
      <w:r w:rsidR="00B14077" w:rsidRPr="005B7B0F">
        <w:t>ention strategies, intervention</w:t>
      </w:r>
      <w:r w:rsidR="003714C1" w:rsidRPr="005B7B0F">
        <w:t xml:space="preserve"> </w:t>
      </w:r>
      <w:r w:rsidR="00070D47" w:rsidRPr="005B7B0F">
        <w:t>studies</w:t>
      </w:r>
      <w:r w:rsidR="00B14077" w:rsidRPr="005B7B0F">
        <w:t xml:space="preserve"> to foster independence</w:t>
      </w:r>
      <w:r w:rsidR="003714C1" w:rsidRPr="005B7B0F">
        <w:t xml:space="preserve"> with ageing, a</w:t>
      </w:r>
      <w:r w:rsidR="00070D47" w:rsidRPr="005B7B0F">
        <w:t>nd ageing research overall</w:t>
      </w:r>
      <w:r w:rsidR="00312157" w:rsidRPr="005B7B0F">
        <w:t xml:space="preserve"> (Bamidis et al., 2015</w:t>
      </w:r>
      <w:r w:rsidR="003714C1" w:rsidRPr="005B7B0F">
        <w:t>; Hertzog et al., 2009; Salthouse, 2006). As</w:t>
      </w:r>
      <w:r w:rsidR="008672D0" w:rsidRPr="005B7B0F">
        <w:t xml:space="preserve"> </w:t>
      </w:r>
      <w:r w:rsidR="003714C1" w:rsidRPr="005B7B0F">
        <w:t>Hertzog et al (2009</w:t>
      </w:r>
      <w:r w:rsidR="00437C45" w:rsidRPr="005B7B0F">
        <w:t>, p. 47</w:t>
      </w:r>
      <w:r w:rsidR="003714C1" w:rsidRPr="005B7B0F">
        <w:t xml:space="preserve">) </w:t>
      </w:r>
      <w:r w:rsidR="00437C45" w:rsidRPr="005B7B0F">
        <w:t>argued</w:t>
      </w:r>
      <w:r w:rsidR="00312157" w:rsidRPr="005B7B0F">
        <w:t>:</w:t>
      </w:r>
    </w:p>
    <w:p w:rsidR="00437C45" w:rsidRPr="005B7B0F" w:rsidRDefault="00437C45" w:rsidP="00B73E0C">
      <w:pPr>
        <w:pStyle w:val="APAPar"/>
        <w:widowControl w:val="0"/>
        <w:ind w:leftChars="400" w:left="960" w:rightChars="400" w:right="960" w:firstLine="0"/>
        <w:jc w:val="both"/>
        <w:rPr>
          <w:rStyle w:val="Emphasis"/>
        </w:rPr>
      </w:pPr>
      <w:r w:rsidRPr="005B7B0F">
        <w:rPr>
          <w:rStyle w:val="Emphasis"/>
        </w:rPr>
        <w:t xml:space="preserve">Taken together, the available evidence from animal models, aerobic-fitness interventions, some of the cognitive interventions, and epidemiological studies lends support to the hypothesis that a cognitively enriched lifestyle can influence the course of intellectual development in late adulthood and old age. Specifically, such a lifestyle may attenuate cognitive decline in late adulthood and old age, extend the ability to lead an independent life, and postpone the onset of a dementing illness. </w:t>
      </w:r>
    </w:p>
    <w:p w:rsidR="004D5A7F" w:rsidRPr="005B7B0F" w:rsidRDefault="00312157" w:rsidP="005C41B7">
      <w:pPr>
        <w:pStyle w:val="APAPar"/>
      </w:pPr>
      <w:r w:rsidRPr="005B7B0F">
        <w:t>The</w:t>
      </w:r>
      <w:r w:rsidR="005F4B76" w:rsidRPr="005B7B0F">
        <w:t xml:space="preserve"> assumptions </w:t>
      </w:r>
      <w:r w:rsidR="004D5A7F" w:rsidRPr="005B7B0F">
        <w:t xml:space="preserve">relating to the beneficial effects evident in the healthy spectrum of cognitive performance </w:t>
      </w:r>
      <w:r w:rsidRPr="005B7B0F">
        <w:t xml:space="preserve">will be examined </w:t>
      </w:r>
      <w:r w:rsidR="005F4B76" w:rsidRPr="005B7B0F">
        <w:t>in the healthy spectrum of cognitive ageing</w:t>
      </w:r>
      <w:r w:rsidR="00CA47C6" w:rsidRPr="005B7B0F">
        <w:t xml:space="preserve"> </w:t>
      </w:r>
      <w:r w:rsidR="005E4EF0" w:rsidRPr="005B7B0F">
        <w:t>using a moderation analysis</w:t>
      </w:r>
      <w:r w:rsidR="004D5A7F" w:rsidRPr="005B7B0F">
        <w:t xml:space="preserve">, as suggested by </w:t>
      </w:r>
      <w:r w:rsidR="004D5A7F" w:rsidRPr="005B7B0F">
        <w:rPr>
          <w:lang w:val="en-US"/>
        </w:rPr>
        <w:t xml:space="preserve">Cohen et al. (2003) and </w:t>
      </w:r>
      <w:r w:rsidR="004D5A7F" w:rsidRPr="005B7B0F">
        <w:t>Salthouse (2006)</w:t>
      </w:r>
      <w:r w:rsidR="005F4B76" w:rsidRPr="005B7B0F">
        <w:t xml:space="preserve">. Although the relevant discussion </w:t>
      </w:r>
      <w:r w:rsidR="000D4EA7" w:rsidRPr="005B7B0F">
        <w:t xml:space="preserve">may point </w:t>
      </w:r>
      <w:r w:rsidR="004D5A7F" w:rsidRPr="005B7B0F">
        <w:t>to</w:t>
      </w:r>
      <w:r w:rsidR="000D4EA7" w:rsidRPr="005B7B0F">
        <w:t xml:space="preserve"> </w:t>
      </w:r>
      <w:r w:rsidR="005F4B76" w:rsidRPr="005B7B0F">
        <w:t>developmental issues, the current examination will be performed using a cross-sectional design. The ability of cross-sectional studies to illustrate developmental process</w:t>
      </w:r>
      <w:r w:rsidRPr="005B7B0F">
        <w:t>es</w:t>
      </w:r>
      <w:r w:rsidR="00FA06BD" w:rsidRPr="005B7B0F">
        <w:t xml:space="preserve"> was discussed in C</w:t>
      </w:r>
      <w:r w:rsidR="005F4B76" w:rsidRPr="005B7B0F">
        <w:t>hapter 3</w:t>
      </w:r>
      <w:r w:rsidRPr="005B7B0F">
        <w:t>, noting several strengths and limitations compared to longitudinal studies</w:t>
      </w:r>
      <w:r w:rsidR="004D5A7F" w:rsidRPr="005B7B0F">
        <w:t xml:space="preserve">. </w:t>
      </w:r>
    </w:p>
    <w:p w:rsidR="00965396" w:rsidRPr="005B7B0F" w:rsidRDefault="004D5A7F" w:rsidP="005C41B7">
      <w:pPr>
        <w:pStyle w:val="APAPar"/>
      </w:pPr>
      <w:r w:rsidRPr="005B7B0F">
        <w:t>This examination will adopt the approach of Frazier et al.</w:t>
      </w:r>
      <w:r w:rsidR="00312157" w:rsidRPr="005B7B0F">
        <w:rPr>
          <w:lang w:val="en-US"/>
        </w:rPr>
        <w:t xml:space="preserve">, </w:t>
      </w:r>
      <w:r w:rsidRPr="005B7B0F">
        <w:rPr>
          <w:lang w:val="en-US"/>
        </w:rPr>
        <w:t xml:space="preserve">(2004) </w:t>
      </w:r>
      <w:r w:rsidR="00312157" w:rsidRPr="005B7B0F">
        <w:rPr>
          <w:lang w:val="en-US"/>
        </w:rPr>
        <w:t xml:space="preserve">using a regression model, </w:t>
      </w:r>
      <w:r w:rsidR="008672D0" w:rsidRPr="005B7B0F">
        <w:rPr>
          <w:lang w:val="en-US"/>
        </w:rPr>
        <w:t>to identify the potential</w:t>
      </w:r>
      <w:r w:rsidR="00312157" w:rsidRPr="005B7B0F">
        <w:rPr>
          <w:lang w:val="en-US"/>
        </w:rPr>
        <w:t xml:space="preserve"> moderation effect that social participation, </w:t>
      </w:r>
      <w:r w:rsidR="00C40620" w:rsidRPr="005B7B0F">
        <w:rPr>
          <w:lang w:val="en-US"/>
        </w:rPr>
        <w:t>education</w:t>
      </w:r>
      <w:r w:rsidR="00312157" w:rsidRPr="005B7B0F">
        <w:rPr>
          <w:lang w:val="en-US"/>
        </w:rPr>
        <w:t xml:space="preserve">, exercise and </w:t>
      </w:r>
      <w:r w:rsidR="008147CD" w:rsidRPr="005B7B0F">
        <w:rPr>
          <w:lang w:val="en-US"/>
        </w:rPr>
        <w:t>Internet use</w:t>
      </w:r>
      <w:r w:rsidR="00312157" w:rsidRPr="005B7B0F">
        <w:rPr>
          <w:lang w:val="en-US"/>
        </w:rPr>
        <w:t xml:space="preserve"> have in the relation between age (the independent variable) with each of the cognitive domains under examination (i.e. </w:t>
      </w:r>
      <w:r w:rsidR="00312157" w:rsidRPr="005B7B0F">
        <w:t xml:space="preserve">executive function, speed of processing, </w:t>
      </w:r>
      <w:r w:rsidR="00CA47C6" w:rsidRPr="005B7B0F">
        <w:t>memory, and verbal fluency).</w:t>
      </w:r>
      <w:r w:rsidRPr="005B7B0F">
        <w:t xml:space="preserve"> More precise</w:t>
      </w:r>
      <w:r w:rsidR="00B14077" w:rsidRPr="005B7B0F">
        <w:t>ly</w:t>
      </w:r>
      <w:r w:rsidRPr="005B7B0F">
        <w:t>, s</w:t>
      </w:r>
      <w:r w:rsidR="000D4EA7" w:rsidRPr="005B7B0F">
        <w:t xml:space="preserve">everal </w:t>
      </w:r>
      <w:r w:rsidR="00965396" w:rsidRPr="005B7B0F">
        <w:t>regression model</w:t>
      </w:r>
      <w:r w:rsidR="000D4EA7" w:rsidRPr="005B7B0F">
        <w:t>s</w:t>
      </w:r>
      <w:r w:rsidR="008672D0" w:rsidRPr="005B7B0F">
        <w:t xml:space="preserve"> </w:t>
      </w:r>
      <w:r w:rsidR="00965396" w:rsidRPr="005B7B0F">
        <w:t xml:space="preserve">will include age in the first step, </w:t>
      </w:r>
      <w:r w:rsidR="008672D0" w:rsidRPr="005B7B0F">
        <w:t>introducing in the second step</w:t>
      </w:r>
      <w:r w:rsidR="00965396" w:rsidRPr="005B7B0F">
        <w:t xml:space="preserve"> </w:t>
      </w:r>
      <w:r w:rsidR="008672D0" w:rsidRPr="005B7B0F">
        <w:t xml:space="preserve">the interaction variables produced by multiplying age with </w:t>
      </w:r>
      <w:r w:rsidR="00965396" w:rsidRPr="005B7B0F">
        <w:t xml:space="preserve">social participation, </w:t>
      </w:r>
      <w:r w:rsidR="00C40620" w:rsidRPr="005B7B0F">
        <w:t>education</w:t>
      </w:r>
      <w:r w:rsidR="00965396" w:rsidRPr="005B7B0F">
        <w:t xml:space="preserve">, exercise and </w:t>
      </w:r>
      <w:r w:rsidR="00522E26" w:rsidRPr="005B7B0F">
        <w:t>Internet use</w:t>
      </w:r>
      <w:r w:rsidR="00965396" w:rsidRPr="005B7B0F">
        <w:t xml:space="preserve">. Each cognitive domain </w:t>
      </w:r>
      <w:r w:rsidR="008672D0" w:rsidRPr="005B7B0F">
        <w:t>will be the outcome variable in</w:t>
      </w:r>
      <w:r w:rsidR="00CA47C6" w:rsidRPr="005B7B0F">
        <w:t xml:space="preserve"> </w:t>
      </w:r>
      <w:r w:rsidR="000D4EA7" w:rsidRPr="005B7B0F">
        <w:t>independent</w:t>
      </w:r>
      <w:r w:rsidR="008672D0" w:rsidRPr="005B7B0F">
        <w:t xml:space="preserve"> regression analyse</w:t>
      </w:r>
      <w:r w:rsidR="00EC4D62">
        <w:t>s</w:t>
      </w:r>
      <w:r w:rsidR="0084352F" w:rsidRPr="005B7B0F">
        <w:t>.</w:t>
      </w:r>
      <w:r w:rsidR="00965396" w:rsidRPr="005B7B0F">
        <w:t xml:space="preserve"> </w:t>
      </w:r>
    </w:p>
    <w:p w:rsidR="00965396" w:rsidRPr="005B7B0F" w:rsidRDefault="00CA47C6" w:rsidP="005C41B7">
      <w:pPr>
        <w:pStyle w:val="APAPar"/>
      </w:pPr>
      <w:r w:rsidRPr="005B7B0F">
        <w:t>T</w:t>
      </w:r>
      <w:r w:rsidR="00965396" w:rsidRPr="005B7B0F">
        <w:t>he</w:t>
      </w:r>
      <w:r w:rsidR="008672D0" w:rsidRPr="005B7B0F">
        <w:t xml:space="preserve"> </w:t>
      </w:r>
      <w:r w:rsidR="00965396" w:rsidRPr="005B7B0F">
        <w:t xml:space="preserve">effect of education </w:t>
      </w:r>
      <w:r w:rsidR="0084352F" w:rsidRPr="005B7B0F">
        <w:t xml:space="preserve">on performance in neuropsychological assessments </w:t>
      </w:r>
      <w:r w:rsidR="00965396" w:rsidRPr="005B7B0F">
        <w:t xml:space="preserve">will be taken into account in this </w:t>
      </w:r>
      <w:r w:rsidRPr="005B7B0F">
        <w:t>examination</w:t>
      </w:r>
      <w:r w:rsidR="000D4EA7" w:rsidRPr="005B7B0F">
        <w:t xml:space="preserve"> as a</w:t>
      </w:r>
      <w:r w:rsidR="00882176" w:rsidRPr="005B7B0F">
        <w:t xml:space="preserve"> </w:t>
      </w:r>
      <w:r w:rsidR="004D5A7F" w:rsidRPr="005B7B0F">
        <w:t xml:space="preserve">potential </w:t>
      </w:r>
      <w:r w:rsidR="00882176" w:rsidRPr="005B7B0F">
        <w:t>moderator</w:t>
      </w:r>
      <w:r w:rsidR="00965396" w:rsidRPr="005B7B0F">
        <w:t xml:space="preserve">. The </w:t>
      </w:r>
      <w:r w:rsidR="0084352F" w:rsidRPr="005B7B0F">
        <w:t xml:space="preserve">effect of education of cognitive performance has been </w:t>
      </w:r>
      <w:r w:rsidRPr="005B7B0F">
        <w:t>explained</w:t>
      </w:r>
      <w:r w:rsidR="0084352F" w:rsidRPr="005B7B0F">
        <w:t xml:space="preserve"> in the context of the cognitive reserve hypothesis</w:t>
      </w:r>
      <w:r w:rsidR="00A86766" w:rsidRPr="005B7B0F">
        <w:t xml:space="preserve">, which postulates that individuals of higher education build a cognitive reserve through neuronal plasticity that can effectively bear age-related neuronal degeneration (Mortiner, 1988). As such, education can be included in </w:t>
      </w:r>
      <w:r w:rsidR="008672D0" w:rsidRPr="005B7B0F">
        <w:t>the first step</w:t>
      </w:r>
      <w:r w:rsidR="00A86766" w:rsidRPr="005B7B0F">
        <w:t xml:space="preserve"> of the reg</w:t>
      </w:r>
      <w:r w:rsidR="00882176" w:rsidRPr="005B7B0F">
        <w:t>ression model</w:t>
      </w:r>
      <w:r w:rsidR="00A86766" w:rsidRPr="005B7B0F">
        <w:t>, a</w:t>
      </w:r>
      <w:r w:rsidR="00C40620" w:rsidRPr="005B7B0F">
        <w:t xml:space="preserve">long with </w:t>
      </w:r>
      <w:r w:rsidR="008672D0" w:rsidRPr="005B7B0F">
        <w:t>age</w:t>
      </w:r>
      <w:r w:rsidR="00A86766" w:rsidRPr="005B7B0F">
        <w:t xml:space="preserve">, as a potential </w:t>
      </w:r>
      <w:r w:rsidR="004D5A7F" w:rsidRPr="005B7B0F">
        <w:t>moderator</w:t>
      </w:r>
      <w:r w:rsidR="008672D0" w:rsidRPr="005B7B0F">
        <w:t xml:space="preserve"> </w:t>
      </w:r>
      <w:r w:rsidR="00A86766" w:rsidRPr="005B7B0F">
        <w:t>of cognitive performance</w:t>
      </w:r>
      <w:r w:rsidR="004D5A7F" w:rsidRPr="005B7B0F">
        <w:t xml:space="preserve"> with ageing</w:t>
      </w:r>
      <w:r w:rsidR="00C40620" w:rsidRPr="005B7B0F">
        <w:t>.</w:t>
      </w:r>
    </w:p>
    <w:p w:rsidR="00CA47C6" w:rsidRPr="005B7B0F" w:rsidRDefault="00070D47" w:rsidP="0091167E">
      <w:pPr>
        <w:pStyle w:val="Heading3"/>
        <w:ind w:left="1138" w:right="0" w:hanging="1138"/>
      </w:pPr>
      <w:bookmarkStart w:id="139" w:name="_Toc521184223"/>
      <w:r w:rsidRPr="005B7B0F">
        <w:t>Analysis</w:t>
      </w:r>
      <w:r w:rsidR="00CA47C6" w:rsidRPr="005B7B0F">
        <w:t xml:space="preserve"> 4 Social Factors that </w:t>
      </w:r>
      <w:r w:rsidR="00B14077" w:rsidRPr="005B7B0F">
        <w:t>Influence Older Adults’ Social P</w:t>
      </w:r>
      <w:r w:rsidR="00CA47C6" w:rsidRPr="005B7B0F">
        <w:t xml:space="preserve">articipation, Exercise, and </w:t>
      </w:r>
      <w:r w:rsidR="005E0740">
        <w:t xml:space="preserve">  </w:t>
      </w:r>
      <w:r w:rsidR="008147CD" w:rsidRPr="005B7B0F">
        <w:t>Internet use</w:t>
      </w:r>
      <w:bookmarkEnd w:id="139"/>
    </w:p>
    <w:p w:rsidR="005273D5" w:rsidRPr="005B7B0F" w:rsidRDefault="00FA06BD" w:rsidP="005C41B7">
      <w:pPr>
        <w:pStyle w:val="APAPar"/>
      </w:pPr>
      <w:r w:rsidRPr="005B7B0F">
        <w:t>Earlier in this C</w:t>
      </w:r>
      <w:r w:rsidR="0073484B" w:rsidRPr="005B7B0F">
        <w:t>hapter, it was described how participation in activities that benefit cognitive performance cannot be considered solely a personal choice for older adults. As Aichenb</w:t>
      </w:r>
      <w:r w:rsidR="00C52B6B" w:rsidRPr="005B7B0F">
        <w:t>aum and Brengston (1994) argued, major life events and SES can</w:t>
      </w:r>
      <w:r w:rsidR="0073484B" w:rsidRPr="005B7B0F">
        <w:t xml:space="preserve"> diversify developmental pathways </w:t>
      </w:r>
      <w:r w:rsidR="00040EBC" w:rsidRPr="005B7B0F">
        <w:t>within the ageing process. The 4</w:t>
      </w:r>
      <w:r w:rsidR="00040EBC" w:rsidRPr="005B7B0F">
        <w:rPr>
          <w:vertAlign w:val="superscript"/>
        </w:rPr>
        <w:t>rth</w:t>
      </w:r>
      <w:r w:rsidR="0073484B" w:rsidRPr="005B7B0F">
        <w:t xml:space="preserve"> </w:t>
      </w:r>
      <w:r w:rsidR="008147CD" w:rsidRPr="005B7B0F">
        <w:t>analysis</w:t>
      </w:r>
      <w:r w:rsidR="0073484B" w:rsidRPr="005B7B0F">
        <w:t xml:space="preserve"> will examine how various social factors (i.e., age, SES, gender, social network) may predict independently Greek older adults’ social participation, exercise, and </w:t>
      </w:r>
      <w:r w:rsidR="008147CD" w:rsidRPr="005B7B0F">
        <w:t>Internet use</w:t>
      </w:r>
      <w:r w:rsidR="0073484B" w:rsidRPr="005B7B0F">
        <w:t xml:space="preserve">. </w:t>
      </w:r>
    </w:p>
    <w:p w:rsidR="005273D5" w:rsidRPr="005B7B0F" w:rsidRDefault="005273D5" w:rsidP="005C41B7">
      <w:pPr>
        <w:pStyle w:val="APAPar"/>
      </w:pPr>
      <w:r w:rsidRPr="005B7B0F">
        <w:t xml:space="preserve">As with </w:t>
      </w:r>
      <w:r w:rsidR="00522E26" w:rsidRPr="005B7B0F">
        <w:t>analyses</w:t>
      </w:r>
      <w:r w:rsidR="001C7572" w:rsidRPr="005B7B0F">
        <w:t xml:space="preserve"> 2 and 3, this analysis will follow two steps</w:t>
      </w:r>
      <w:r w:rsidRPr="005B7B0F">
        <w:t xml:space="preserve"> following the suggestions of Salthouse and Pink (2008). The variables (predictors) </w:t>
      </w:r>
      <w:r w:rsidR="00C52B6B" w:rsidRPr="005B7B0F">
        <w:t>relating</w:t>
      </w:r>
      <w:r w:rsidRPr="005B7B0F">
        <w:t xml:space="preserve"> significantly with social participation, exercise and </w:t>
      </w:r>
      <w:r w:rsidR="008147CD" w:rsidRPr="005B7B0F">
        <w:t>Internet use</w:t>
      </w:r>
      <w:r w:rsidRPr="005B7B0F">
        <w:t xml:space="preserve"> will be introduced in a regression model, in order to identify their shared variance, as well as their predictive ability. For each of the social participation, exercise and </w:t>
      </w:r>
      <w:r w:rsidR="008147CD" w:rsidRPr="005B7B0F">
        <w:t>Internet use</w:t>
      </w:r>
      <w:r w:rsidRPr="005B7B0F">
        <w:t xml:space="preserve">, a separate regression analysis will be performed, as regression analyses allow the examination of only one dependent variable each time. </w:t>
      </w:r>
    </w:p>
    <w:p w:rsidR="003714C1" w:rsidRPr="005B7B0F" w:rsidRDefault="00522E26" w:rsidP="0091167E">
      <w:pPr>
        <w:pStyle w:val="Heading3"/>
      </w:pPr>
      <w:bookmarkStart w:id="140" w:name="_Toc521184224"/>
      <w:r w:rsidRPr="005B7B0F">
        <w:t>Analysis</w:t>
      </w:r>
      <w:r w:rsidR="005273D5" w:rsidRPr="005B7B0F">
        <w:t xml:space="preserve"> 5 </w:t>
      </w:r>
      <w:r w:rsidR="00C1326B" w:rsidRPr="005B7B0F">
        <w:t xml:space="preserve">Examining </w:t>
      </w:r>
      <w:r w:rsidR="005E4EF0" w:rsidRPr="005B7B0F">
        <w:t>the Mediation E</w:t>
      </w:r>
      <w:r w:rsidR="00C1326B" w:rsidRPr="005B7B0F">
        <w:t>ffects</w:t>
      </w:r>
      <w:r w:rsidR="00B04962" w:rsidRPr="005B7B0F">
        <w:t xml:space="preserve"> </w:t>
      </w:r>
      <w:r w:rsidR="005E4EF0" w:rsidRPr="005B7B0F">
        <w:t>of Cognitive Performance</w:t>
      </w:r>
      <w:bookmarkEnd w:id="140"/>
    </w:p>
    <w:p w:rsidR="00BF64AF" w:rsidRPr="005B7B0F" w:rsidRDefault="005273D5" w:rsidP="005C41B7">
      <w:pPr>
        <w:pStyle w:val="APAPar"/>
      </w:pPr>
      <w:r w:rsidRPr="005B7B0F">
        <w:rPr>
          <w:lang w:val="en-US"/>
        </w:rPr>
        <w:t xml:space="preserve">The final </w:t>
      </w:r>
      <w:r w:rsidR="008147CD" w:rsidRPr="005B7B0F">
        <w:rPr>
          <w:lang w:val="en-US"/>
        </w:rPr>
        <w:t>analysis</w:t>
      </w:r>
      <w:r w:rsidRPr="005B7B0F">
        <w:rPr>
          <w:lang w:val="en-US"/>
        </w:rPr>
        <w:t xml:space="preserve"> will </w:t>
      </w:r>
      <w:r w:rsidR="008672D0" w:rsidRPr="005B7B0F">
        <w:rPr>
          <w:lang w:val="en-US"/>
        </w:rPr>
        <w:t xml:space="preserve">take advantage of the evidence produces in the first 4 studies and </w:t>
      </w:r>
      <w:r w:rsidRPr="005B7B0F">
        <w:rPr>
          <w:lang w:val="en-US"/>
        </w:rPr>
        <w:t xml:space="preserve">examine </w:t>
      </w:r>
      <w:r w:rsidR="00BF64AF" w:rsidRPr="005B7B0F">
        <w:rPr>
          <w:lang w:val="en-US"/>
        </w:rPr>
        <w:t>whether</w:t>
      </w:r>
      <w:r w:rsidRPr="005B7B0F">
        <w:rPr>
          <w:lang w:val="en-US"/>
        </w:rPr>
        <w:t xml:space="preserve"> </w:t>
      </w:r>
      <w:r w:rsidR="005E4EF0" w:rsidRPr="005B7B0F">
        <w:rPr>
          <w:lang w:val="en-US"/>
        </w:rPr>
        <w:t xml:space="preserve">age </w:t>
      </w:r>
      <w:r w:rsidRPr="005B7B0F">
        <w:rPr>
          <w:lang w:val="en-US"/>
        </w:rPr>
        <w:t>influence</w:t>
      </w:r>
      <w:r w:rsidR="00C52B6B" w:rsidRPr="005B7B0F">
        <w:rPr>
          <w:lang w:val="en-US"/>
        </w:rPr>
        <w:t>s</w:t>
      </w:r>
      <w:r w:rsidRPr="005B7B0F">
        <w:rPr>
          <w:lang w:val="en-US"/>
        </w:rPr>
        <w:t xml:space="preserve"> Greek older adults </w:t>
      </w:r>
      <w:r w:rsidRPr="005B7B0F">
        <w:t>cognitive performance</w:t>
      </w:r>
      <w:r w:rsidR="005E4EF0" w:rsidRPr="005B7B0F">
        <w:t>, the latter mediating</w:t>
      </w:r>
      <w:r w:rsidR="00C1326B" w:rsidRPr="005B7B0F">
        <w:t xml:space="preserve"> </w:t>
      </w:r>
      <w:r w:rsidR="005E4EF0" w:rsidRPr="005B7B0F">
        <w:t xml:space="preserve">this </w:t>
      </w:r>
      <w:r w:rsidR="00C1326B" w:rsidRPr="005B7B0F">
        <w:t xml:space="preserve">effects </w:t>
      </w:r>
      <w:r w:rsidR="005E4EF0" w:rsidRPr="005B7B0F">
        <w:t xml:space="preserve">on </w:t>
      </w:r>
      <w:r w:rsidR="00C52B6B" w:rsidRPr="005B7B0F">
        <w:t>everyday functioning</w:t>
      </w:r>
      <w:r w:rsidR="005E4EF0" w:rsidRPr="005B7B0F">
        <w:t xml:space="preserve">. The mediation effect </w:t>
      </w:r>
      <w:r w:rsidR="00C1326B" w:rsidRPr="005B7B0F">
        <w:t xml:space="preserve">will be examined </w:t>
      </w:r>
      <w:r w:rsidR="00882176" w:rsidRPr="005B7B0F">
        <w:t xml:space="preserve">(i.e., path analysis) </w:t>
      </w:r>
      <w:r w:rsidR="007B61E7" w:rsidRPr="005B7B0F">
        <w:t xml:space="preserve">using Structural Equation Modelling, as </w:t>
      </w:r>
      <w:r w:rsidR="00BF64AF" w:rsidRPr="005B7B0F">
        <w:t xml:space="preserve">recommended </w:t>
      </w:r>
      <w:r w:rsidR="00882176" w:rsidRPr="005B7B0F">
        <w:t>from</w:t>
      </w:r>
      <w:r w:rsidR="00BF64AF" w:rsidRPr="005B7B0F">
        <w:t xml:space="preserve"> Frazier et al., </w:t>
      </w:r>
      <w:r w:rsidR="00882176" w:rsidRPr="005B7B0F">
        <w:t>(</w:t>
      </w:r>
      <w:r w:rsidR="00933343" w:rsidRPr="005B7B0F">
        <w:t>2004)</w:t>
      </w:r>
      <w:r w:rsidR="007B61E7" w:rsidRPr="005B7B0F">
        <w:t xml:space="preserve">. </w:t>
      </w:r>
      <w:r w:rsidR="00C1326B" w:rsidRPr="005B7B0F">
        <w:t>The</w:t>
      </w:r>
      <w:r w:rsidR="007B61E7" w:rsidRPr="005B7B0F">
        <w:t xml:space="preserve"> included factors in the </w:t>
      </w:r>
      <w:r w:rsidR="00BF64AF" w:rsidRPr="005B7B0F">
        <w:t xml:space="preserve">proposed </w:t>
      </w:r>
      <w:r w:rsidR="005E4EF0" w:rsidRPr="005B7B0F">
        <w:t>analysis</w:t>
      </w:r>
      <w:r w:rsidR="007B61E7" w:rsidRPr="005B7B0F">
        <w:t xml:space="preserve"> will </w:t>
      </w:r>
      <w:r w:rsidR="00C1326B" w:rsidRPr="005B7B0F">
        <w:t>be identified</w:t>
      </w:r>
      <w:r w:rsidR="00882176" w:rsidRPr="005B7B0F">
        <w:t xml:space="preserve"> </w:t>
      </w:r>
      <w:r w:rsidR="00C1326B" w:rsidRPr="005B7B0F">
        <w:t>from the results and conclusions of</w:t>
      </w:r>
      <w:r w:rsidR="007B61E7" w:rsidRPr="005B7B0F">
        <w:t xml:space="preserve"> the previous </w:t>
      </w:r>
      <w:r w:rsidR="00AE550F">
        <w:t>analyses</w:t>
      </w:r>
      <w:r w:rsidR="007B61E7" w:rsidRPr="005B7B0F">
        <w:t xml:space="preserve">. </w:t>
      </w:r>
    </w:p>
    <w:p w:rsidR="0084777F" w:rsidRPr="005B7B0F" w:rsidRDefault="0084777F" w:rsidP="00FE028D">
      <w:pPr>
        <w:pStyle w:val="Heading2"/>
      </w:pPr>
      <w:bookmarkStart w:id="141" w:name="_Toc521184225"/>
      <w:r w:rsidRPr="005B7B0F">
        <w:t>Required Sample Size</w:t>
      </w:r>
      <w:bookmarkEnd w:id="141"/>
    </w:p>
    <w:p w:rsidR="00FE6103" w:rsidRPr="005B7B0F" w:rsidRDefault="001841B0" w:rsidP="005C41B7">
      <w:pPr>
        <w:pStyle w:val="APAPar"/>
      </w:pPr>
      <w:r w:rsidRPr="005B7B0F">
        <w:t>The</w:t>
      </w:r>
      <w:r w:rsidR="007233D3" w:rsidRPr="005B7B0F">
        <w:t xml:space="preserve"> target</w:t>
      </w:r>
      <w:r w:rsidRPr="005B7B0F">
        <w:t xml:space="preserve"> sample size </w:t>
      </w:r>
      <w:r w:rsidR="00104C86" w:rsidRPr="005B7B0F">
        <w:t xml:space="preserve">required for the </w:t>
      </w:r>
      <w:r w:rsidRPr="005B7B0F">
        <w:t xml:space="preserve">aforementioned </w:t>
      </w:r>
      <w:r w:rsidR="00522E26" w:rsidRPr="005B7B0F">
        <w:t xml:space="preserve">analyses </w:t>
      </w:r>
      <w:r w:rsidR="00104C86" w:rsidRPr="005B7B0F">
        <w:t xml:space="preserve">is </w:t>
      </w:r>
      <w:r w:rsidR="00847A4F" w:rsidRPr="005B7B0F">
        <w:t>set to</w:t>
      </w:r>
      <w:r w:rsidR="00104C86" w:rsidRPr="005B7B0F">
        <w:t xml:space="preserve"> 100 participants</w:t>
      </w:r>
      <w:r w:rsidR="00522E26" w:rsidRPr="005B7B0F">
        <w:t xml:space="preserve"> according to three criteria</w:t>
      </w:r>
      <w:r w:rsidR="00104C86" w:rsidRPr="005B7B0F">
        <w:t xml:space="preserve">.. First, and according to </w:t>
      </w:r>
      <w:r w:rsidR="005051A6" w:rsidRPr="005B7B0F">
        <w:t xml:space="preserve">Lumley, Diehr, </w:t>
      </w:r>
      <w:r w:rsidR="007233D3" w:rsidRPr="005B7B0F">
        <w:t>Emerson and Chan (2002)</w:t>
      </w:r>
      <w:r w:rsidR="00430004" w:rsidRPr="005B7B0F">
        <w:t xml:space="preserve">, </w:t>
      </w:r>
      <w:r w:rsidR="00555074" w:rsidRPr="005B7B0F">
        <w:t>a sample size of 100 is sufficient</w:t>
      </w:r>
      <w:r w:rsidR="00464E20" w:rsidRPr="005B7B0F">
        <w:t>ly large in order for the normal distribution of the data to be</w:t>
      </w:r>
      <w:r w:rsidR="00882176" w:rsidRPr="005B7B0F">
        <w:t xml:space="preserve"> rendered as</w:t>
      </w:r>
      <w:r w:rsidR="00464E20" w:rsidRPr="005B7B0F">
        <w:t xml:space="preserve"> unimportant</w:t>
      </w:r>
      <w:r w:rsidR="00762030" w:rsidRPr="005B7B0F">
        <w:t xml:space="preserve">, when the level of confidence is set to </w:t>
      </w:r>
      <w:r w:rsidR="00762030" w:rsidRPr="005B7B0F">
        <w:rPr>
          <w:i/>
        </w:rPr>
        <w:t>p</w:t>
      </w:r>
      <w:r w:rsidR="00762030" w:rsidRPr="005B7B0F">
        <w:t xml:space="preserve"> =</w:t>
      </w:r>
      <w:r w:rsidR="00464E20" w:rsidRPr="005B7B0F">
        <w:t>.</w:t>
      </w:r>
      <w:r w:rsidR="00762030" w:rsidRPr="005B7B0F">
        <w:t>05</w:t>
      </w:r>
      <w:r w:rsidR="00BA29B7" w:rsidRPr="005B7B0F">
        <w:t>.</w:t>
      </w:r>
      <w:r w:rsidR="00464E20" w:rsidRPr="005B7B0F">
        <w:t xml:space="preserve"> </w:t>
      </w:r>
      <w:r w:rsidR="008F5872" w:rsidRPr="005B7B0F">
        <w:t>As Lumley et al. (2002</w:t>
      </w:r>
      <w:r w:rsidR="00430004" w:rsidRPr="005B7B0F">
        <w:t>, p.166</w:t>
      </w:r>
      <w:r w:rsidR="008F5872" w:rsidRPr="005B7B0F">
        <w:t>) argued:</w:t>
      </w:r>
    </w:p>
    <w:p w:rsidR="00430004" w:rsidRPr="005B7B0F" w:rsidRDefault="00430004" w:rsidP="00B73E0C">
      <w:pPr>
        <w:pStyle w:val="APAPar"/>
        <w:widowControl w:val="0"/>
        <w:ind w:leftChars="400" w:left="960" w:rightChars="400" w:right="960" w:firstLine="0"/>
        <w:jc w:val="both"/>
        <w:rPr>
          <w:rStyle w:val="Emphasis"/>
        </w:rPr>
      </w:pPr>
      <w:r w:rsidRPr="005B7B0F">
        <w:rPr>
          <w:rStyle w:val="Emphasis"/>
        </w:rPr>
        <w:t>The t-test and least-squares linear regression do not r</w:t>
      </w:r>
      <w:r w:rsidR="007233D3" w:rsidRPr="005B7B0F">
        <w:rPr>
          <w:rStyle w:val="Emphasis"/>
        </w:rPr>
        <w:t>equire any assumption of n</w:t>
      </w:r>
      <w:r w:rsidRPr="005B7B0F">
        <w:rPr>
          <w:rStyle w:val="Emphasis"/>
        </w:rPr>
        <w:t>ormal distribution in sufficiently large samples. Previous simulations studies show that “sufficiently large” is often unde</w:t>
      </w:r>
      <w:r w:rsidR="00C52B6B" w:rsidRPr="005B7B0F">
        <w:rPr>
          <w:rStyle w:val="Emphasis"/>
        </w:rPr>
        <w:t xml:space="preserve">r 100 … </w:t>
      </w:r>
      <w:r w:rsidRPr="005B7B0F">
        <w:rPr>
          <w:rStyle w:val="Emphasis"/>
        </w:rPr>
        <w:t>. This means that in public health research, where samples are often substantially larger than this, the t-test and the linear model are useful default tools for analyzing differences and trends in many types of data, not just those with normal distributions. Formal statistical tests for normality are especially undesirable as they will have low power in the small samples where the distribution matters and high power only in large samples where the distribution is unimportant</w:t>
      </w:r>
    </w:p>
    <w:p w:rsidR="00430004" w:rsidRPr="005B7B0F" w:rsidRDefault="00430004" w:rsidP="0091167E">
      <w:pPr>
        <w:pStyle w:val="APAPar"/>
        <w:ind w:firstLine="0"/>
      </w:pPr>
      <w:r w:rsidRPr="005B7B0F">
        <w:t>In their conclusi</w:t>
      </w:r>
      <w:r w:rsidR="00882176" w:rsidRPr="005B7B0F">
        <w:t>ons, Lumley et al. (2002, p.151</w:t>
      </w:r>
      <w:r w:rsidRPr="005B7B0F">
        <w:t>) argued:</w:t>
      </w:r>
    </w:p>
    <w:p w:rsidR="00430004" w:rsidRPr="005B7B0F" w:rsidRDefault="00430004" w:rsidP="00B73E0C">
      <w:pPr>
        <w:pStyle w:val="APAPar"/>
        <w:widowControl w:val="0"/>
        <w:ind w:leftChars="400" w:left="960" w:rightChars="400" w:right="960" w:firstLine="0"/>
        <w:jc w:val="both"/>
        <w:rPr>
          <w:rStyle w:val="Emphasis"/>
        </w:rPr>
      </w:pPr>
      <w:r w:rsidRPr="005B7B0F">
        <w:rPr>
          <w:rStyle w:val="Emphasis"/>
        </w:rPr>
        <w:t>The major limitation on the t-test and linear regression for inference about associations is not a distributional one, but whether detecting and estimating a difference in the mean of the outcome answers the scientific question at hand.</w:t>
      </w:r>
    </w:p>
    <w:p w:rsidR="003917B6" w:rsidRPr="005B7B0F" w:rsidRDefault="00430004" w:rsidP="005C41B7">
      <w:pPr>
        <w:pStyle w:val="APAPar"/>
      </w:pPr>
      <w:r w:rsidRPr="005B7B0F">
        <w:t xml:space="preserve">The second </w:t>
      </w:r>
      <w:r w:rsidR="00522E26" w:rsidRPr="005B7B0F">
        <w:t>criterion was</w:t>
      </w:r>
      <w:r w:rsidRPr="005B7B0F">
        <w:t xml:space="preserve"> to secure the sufficient statistical power </w:t>
      </w:r>
      <w:r w:rsidR="00325590" w:rsidRPr="005B7B0F">
        <w:t xml:space="preserve">for </w:t>
      </w:r>
      <w:r w:rsidRPr="005B7B0F">
        <w:t>the analysis</w:t>
      </w:r>
      <w:r w:rsidR="00325590" w:rsidRPr="005B7B0F">
        <w:t xml:space="preserve">. According to a number of studies, sufficient statistical power in a regression depends on the magnitude of the effect size expected (small, medium. large) and the number of predictors included in a regression model (Bujang, Sa’at, &amp; Sidik, 2017; Knofczynski &amp; Mundfrom, 2017). </w:t>
      </w:r>
      <w:r w:rsidR="00B44853" w:rsidRPr="005B7B0F">
        <w:t>A table with the corresponding recommendation</w:t>
      </w:r>
      <w:r w:rsidR="00762030" w:rsidRPr="005B7B0F">
        <w:t xml:space="preserve">, when the level of confidence is set to </w:t>
      </w:r>
      <w:r w:rsidR="00762030" w:rsidRPr="005B7B0F">
        <w:rPr>
          <w:i/>
        </w:rPr>
        <w:t>p</w:t>
      </w:r>
      <w:r w:rsidR="00762030" w:rsidRPr="005B7B0F">
        <w:t xml:space="preserve"> =.05</w:t>
      </w:r>
      <w:r w:rsidR="00B44853" w:rsidRPr="005B7B0F">
        <w:t xml:space="preserve"> is available below.</w:t>
      </w:r>
      <w:r w:rsidR="003917B6" w:rsidRPr="005B7B0F">
        <w:t xml:space="preserve"> </w:t>
      </w:r>
    </w:p>
    <w:p w:rsidR="00430004" w:rsidRPr="005B7B0F" w:rsidRDefault="003917B6" w:rsidP="005C41B7">
      <w:pPr>
        <w:pStyle w:val="APAPar"/>
      </w:pPr>
      <w:r w:rsidRPr="005B7B0F">
        <w:t xml:space="preserve">The primary research question set in each </w:t>
      </w:r>
      <w:r w:rsidR="008147CD" w:rsidRPr="005B7B0F">
        <w:t>analysis</w:t>
      </w:r>
      <w:r w:rsidRPr="005B7B0F">
        <w:t xml:space="preserve"> is whether an effect of SES, social participation, exercise and </w:t>
      </w:r>
      <w:r w:rsidR="008147CD" w:rsidRPr="005B7B0F">
        <w:t>Internet use</w:t>
      </w:r>
      <w:r w:rsidRPr="005B7B0F">
        <w:t xml:space="preserve"> is evident, and if these effects are as strong as assumed in the context of scientific enquiry and political dialogue. Given that a moderate relation between cognitive performance and everyday functioning is expected in each regression model, a sample of 100 participants would allow</w:t>
      </w:r>
      <w:r w:rsidR="00C52B6B" w:rsidRPr="005B7B0F">
        <w:t xml:space="preserve"> the concurrent examination of 7</w:t>
      </w:r>
      <w:r w:rsidRPr="005B7B0F">
        <w:t xml:space="preserve"> predictors</w:t>
      </w:r>
      <w:r w:rsidR="00C52B6B" w:rsidRPr="005B7B0F">
        <w:t xml:space="preserve"> by providing a good prediction level</w:t>
      </w:r>
      <w:r w:rsidRPr="005B7B0F">
        <w:t>, according to the recommendations of Knofczynski and Mundfrom (2017) and Lumley et al. (2002).</w:t>
      </w:r>
    </w:p>
    <w:p w:rsidR="001C7572" w:rsidRDefault="001C7572" w:rsidP="005C41B7">
      <w:pPr>
        <w:pStyle w:val="APAPar"/>
        <w:rPr>
          <w:rFonts w:eastAsia="Times New Roman"/>
          <w:shd w:val="clear" w:color="auto" w:fill="FFFFFF"/>
          <w:lang w:eastAsia="en-GB"/>
        </w:rPr>
      </w:pPr>
      <w:r w:rsidRPr="005B7B0F">
        <w:t>For the SEM required in the 5</w:t>
      </w:r>
      <w:r w:rsidRPr="005B7B0F">
        <w:rPr>
          <w:vertAlign w:val="superscript"/>
        </w:rPr>
        <w:t>th</w:t>
      </w:r>
      <w:r w:rsidRPr="005B7B0F">
        <w:t xml:space="preserve"> analysis (i.e., mediation analysis), the issue of sample size and </w:t>
      </w:r>
      <w:r w:rsidR="006D43F2" w:rsidRPr="005B7B0F">
        <w:t xml:space="preserve">statistical </w:t>
      </w:r>
      <w:r w:rsidRPr="005B7B0F">
        <w:t>power is less defined and more complicated. As Wolf, Harringhton, Clark and Miller (2013) argued, depending the n</w:t>
      </w:r>
      <w:r w:rsidRPr="005B7B0F">
        <w:rPr>
          <w:rFonts w:eastAsia="Times New Roman"/>
          <w:shd w:val="clear" w:color="auto" w:fill="FFFFFF"/>
          <w:lang w:eastAsia="en-GB"/>
        </w:rPr>
        <w:t xml:space="preserve">umber of indicators and factors, the magnitude of factor loadings and path coefficients, and the amount of missing data, the data set required can vary from 30 to 460 cases. A clear definition and stratification of the sample size requirements depending on the aforementioned elements in SEM was not made possible in the </w:t>
      </w:r>
      <w:r w:rsidRPr="005B7B0F">
        <w:t>Wolf et al. (2013) study</w:t>
      </w:r>
      <w:r w:rsidRPr="005B7B0F">
        <w:rPr>
          <w:rFonts w:eastAsia="Times New Roman"/>
          <w:shd w:val="clear" w:color="auto" w:fill="FFFFFF"/>
          <w:lang w:eastAsia="en-GB"/>
        </w:rPr>
        <w:t xml:space="preserve">. They concluded however that in terms of SEM and sample size, </w:t>
      </w:r>
      <w:r w:rsidRPr="00EC4D62">
        <w:rPr>
          <w:rFonts w:eastAsia="Times New Roman"/>
          <w:i/>
          <w:shd w:val="clear" w:color="auto" w:fill="FFFFFF"/>
          <w:lang w:eastAsia="en-GB"/>
        </w:rPr>
        <w:t>no one size fits all approaches</w:t>
      </w:r>
      <w:r w:rsidRPr="005B7B0F">
        <w:rPr>
          <w:rFonts w:eastAsia="Times New Roman"/>
          <w:shd w:val="clear" w:color="auto" w:fill="FFFFFF"/>
          <w:lang w:eastAsia="en-GB"/>
        </w:rPr>
        <w:t xml:space="preserve">, as sample size requirements may vary depending on the underlying research question. In addition, they concluded that more is not always better, as considering the missing data, biases and measurement error are or equal importance as power. Therefore, in this thesis, the estimation of the analysis’s power in the SEM will be performed post hoc, taking into account the </w:t>
      </w:r>
      <w:r w:rsidRPr="005B7B0F">
        <w:t>n</w:t>
      </w:r>
      <w:r w:rsidRPr="005B7B0F">
        <w:rPr>
          <w:rFonts w:eastAsia="Times New Roman"/>
          <w:shd w:val="clear" w:color="auto" w:fill="FFFFFF"/>
          <w:lang w:eastAsia="en-GB"/>
        </w:rPr>
        <w:t xml:space="preserve">umber of indicators and factors, magnitude of factor loadings and path coefficients, and using the information provided by </w:t>
      </w:r>
      <w:r w:rsidRPr="005B7B0F">
        <w:t>Wolf et al. (2013)</w:t>
      </w:r>
      <w:r w:rsidRPr="005B7B0F">
        <w:rPr>
          <w:rFonts w:eastAsia="Times New Roman"/>
          <w:shd w:val="clear" w:color="auto" w:fill="FFFFFF"/>
          <w:lang w:eastAsia="en-GB"/>
        </w:rPr>
        <w:t>.</w:t>
      </w:r>
    </w:p>
    <w:p w:rsidR="00B73E0C" w:rsidRPr="00B73E0C" w:rsidRDefault="00B73E0C" w:rsidP="00B73E0C">
      <w:pPr>
        <w:pStyle w:val="APAPar"/>
      </w:pPr>
      <w:r w:rsidRPr="005B7B0F">
        <w:t>The third criterion was the pragmatic considerations generated from the nature of then research questions’ examination. As it is described in this Chapter, and illustrated in Figure 6.1, the complexity of the underlying research questions of this thesis’s fieldwork is considerable, rendering a stepwise of examination as necessary. This examination requires the assessment of many variables in a single research protocol, translated in increased requirements in time and resources (i.e., 2 hours of examination for each participant). Given that a sample size of 100 ensures the power of the study in sufficient levels, the restriction of the target sample will also facilitate the successful sampling process for the fieldwork of this thesis</w:t>
      </w:r>
      <w:r w:rsidRPr="005B7B0F">
        <w:rPr>
          <w:lang w:val="en-US"/>
        </w:rPr>
        <w:t xml:space="preserve">. Taking all the aforementioned factors into account, </w:t>
      </w:r>
      <w:r w:rsidRPr="005B7B0F">
        <w:t xml:space="preserve">the sampling strategy, the description of the sample and the instruments used to measure the variables under examination in the fieldwork of this thesis are described below.  </w:t>
      </w:r>
    </w:p>
    <w:p w:rsidR="00C93C6B" w:rsidRPr="005B7B0F" w:rsidRDefault="00E101B8" w:rsidP="0091167E">
      <w:pPr>
        <w:pStyle w:val="APAPar"/>
        <w:ind w:left="965" w:right="0" w:hanging="965"/>
        <w:rPr>
          <w:rStyle w:val="IntenseEmphasis"/>
        </w:rPr>
      </w:pPr>
      <w:r w:rsidRPr="005B7B0F">
        <w:rPr>
          <w:rStyle w:val="IntenseEmphasis"/>
        </w:rPr>
        <w:t>Table 6.1</w:t>
      </w:r>
      <w:r w:rsidR="00C93C6B" w:rsidRPr="005B7B0F">
        <w:rPr>
          <w:rStyle w:val="IntenseEmphasis"/>
        </w:rPr>
        <w:t xml:space="preserve"> Sample </w:t>
      </w:r>
      <w:r w:rsidR="00FE028D" w:rsidRPr="005B7B0F">
        <w:rPr>
          <w:rStyle w:val="IntenseEmphasis"/>
        </w:rPr>
        <w:t xml:space="preserve">Size Recommendations At Selected Levels Of Squared Population Multiple Correlation Coefficients For Varying Numbers Of Predictor Variables. </w:t>
      </w:r>
    </w:p>
    <w:p w:rsidR="00B44853" w:rsidRPr="005B7B0F" w:rsidRDefault="00C93C6B" w:rsidP="005D6C71">
      <w:pPr>
        <w:pStyle w:val="APAPar"/>
        <w:ind w:firstLine="0"/>
      </w:pPr>
      <w:r w:rsidRPr="005B7B0F">
        <w:rPr>
          <w:noProof/>
          <w:lang w:eastAsia="zh-CN"/>
        </w:rPr>
        <w:drawing>
          <wp:inline distT="0" distB="0" distL="0" distR="0">
            <wp:extent cx="5943600" cy="4235450"/>
            <wp:effectExtent l="0" t="0" r="0" b="635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creen Shot 2018-01-05 at 08.45.55.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4235450"/>
                    </a:xfrm>
                    <a:prstGeom prst="rect">
                      <a:avLst/>
                    </a:prstGeom>
                  </pic:spPr>
                </pic:pic>
              </a:graphicData>
            </a:graphic>
          </wp:inline>
        </w:drawing>
      </w:r>
    </w:p>
    <w:p w:rsidR="00FE028D" w:rsidRPr="00E17A8A" w:rsidRDefault="00FE028D" w:rsidP="00FE028D">
      <w:pPr>
        <w:pStyle w:val="Heading2"/>
        <w:rPr>
          <w:b w:val="0"/>
          <w:sz w:val="20"/>
          <w:szCs w:val="20"/>
        </w:rPr>
      </w:pPr>
      <w:bookmarkStart w:id="142" w:name="_Toc521184226"/>
      <w:r w:rsidRPr="00E17A8A">
        <w:rPr>
          <w:rStyle w:val="IntenseEmphasis"/>
          <w:b w:val="0"/>
          <w:i/>
          <w:sz w:val="20"/>
        </w:rPr>
        <w:t>Note</w:t>
      </w:r>
      <w:r w:rsidRPr="00E17A8A">
        <w:rPr>
          <w:rStyle w:val="IntenseEmphasis"/>
          <w:b w:val="0"/>
          <w:sz w:val="20"/>
        </w:rPr>
        <w:t>:</w:t>
      </w:r>
      <w:r w:rsidR="00E17A8A" w:rsidRPr="00E17A8A">
        <w:rPr>
          <w:rStyle w:val="IntenseEmphasis"/>
          <w:b w:val="0"/>
          <w:sz w:val="20"/>
        </w:rPr>
        <w:t xml:space="preserve"> </w:t>
      </w:r>
      <w:r w:rsidRPr="00E17A8A">
        <w:rPr>
          <w:rStyle w:val="IntenseEmphasis"/>
          <w:b w:val="0"/>
          <w:sz w:val="20"/>
        </w:rPr>
        <w:t>Ad</w:t>
      </w:r>
      <w:r w:rsidR="00E17A8A" w:rsidRPr="00E17A8A">
        <w:rPr>
          <w:rStyle w:val="IntenseEmphasis"/>
          <w:b w:val="0"/>
          <w:sz w:val="20"/>
        </w:rPr>
        <w:t>apted</w:t>
      </w:r>
      <w:r w:rsidRPr="00E17A8A">
        <w:rPr>
          <w:rStyle w:val="IntenseEmphasis"/>
          <w:b w:val="0"/>
          <w:sz w:val="20"/>
        </w:rPr>
        <w:t xml:space="preserve"> From Knofczynski And Mundfrom (2017)</w:t>
      </w:r>
      <w:bookmarkEnd w:id="142"/>
    </w:p>
    <w:p w:rsidR="008C41B9" w:rsidRPr="005B7B0F" w:rsidRDefault="008C41B9" w:rsidP="00FE028D">
      <w:pPr>
        <w:pStyle w:val="Heading2"/>
      </w:pPr>
      <w:bookmarkStart w:id="143" w:name="_Toc521184227"/>
      <w:r w:rsidRPr="005B7B0F">
        <w:t>Participants</w:t>
      </w:r>
      <w:bookmarkEnd w:id="123"/>
      <w:bookmarkEnd w:id="143"/>
    </w:p>
    <w:p w:rsidR="00647651" w:rsidRPr="005B7B0F" w:rsidRDefault="008C41B9" w:rsidP="005C41B7">
      <w:pPr>
        <w:pStyle w:val="APAPar"/>
      </w:pPr>
      <w:r w:rsidRPr="005B7B0F">
        <w:t xml:space="preserve">A hundred and </w:t>
      </w:r>
      <w:r w:rsidR="00CF7468" w:rsidRPr="005B7B0F">
        <w:t>twenty-five</w:t>
      </w:r>
      <w:r w:rsidRPr="005B7B0F">
        <w:t xml:space="preserve"> (1</w:t>
      </w:r>
      <w:r w:rsidR="00CF7468" w:rsidRPr="005B7B0F">
        <w:t>25</w:t>
      </w:r>
      <w:r w:rsidRPr="005B7B0F">
        <w:t>) respondents of an open call via poster announcements at the premises of the University, and at three day-care centres in Thessaloniki (Greece), participated in the study. From the total, 5 were excluded because they were foreigners</w:t>
      </w:r>
      <w:r w:rsidR="00675210" w:rsidRPr="005B7B0F">
        <w:t xml:space="preserve"> (not able to be tested in Greek, as the testing procedure was prepared)</w:t>
      </w:r>
      <w:r w:rsidRPr="005B7B0F">
        <w:t xml:space="preserve">, 4 because they suffered </w:t>
      </w:r>
      <w:r w:rsidR="00647651" w:rsidRPr="005B7B0F">
        <w:t>from Parkinson’s disease, seizures, dyslexia, or they had a stroke in the past. T</w:t>
      </w:r>
      <w:r w:rsidR="00571DC3" w:rsidRPr="005B7B0F">
        <w:t>hree</w:t>
      </w:r>
      <w:r w:rsidR="00647651" w:rsidRPr="005B7B0F">
        <w:t xml:space="preserve"> </w:t>
      </w:r>
      <w:r w:rsidR="00802155" w:rsidRPr="005B7B0F">
        <w:t xml:space="preserve">(3) </w:t>
      </w:r>
      <w:r w:rsidR="00647651" w:rsidRPr="005B7B0F">
        <w:t>additional participants were excluded because they were taking sedative medications</w:t>
      </w:r>
      <w:r w:rsidR="00571DC3" w:rsidRPr="005B7B0F">
        <w:t xml:space="preserve"> or were drunk at the time of the examination</w:t>
      </w:r>
      <w:r w:rsidR="00647651" w:rsidRPr="005B7B0F">
        <w:t>,</w:t>
      </w:r>
      <w:r w:rsidR="00571DC3" w:rsidRPr="005B7B0F">
        <w:t xml:space="preserve"> and 2 because they were illiterate</w:t>
      </w:r>
      <w:r w:rsidR="00647651" w:rsidRPr="005B7B0F">
        <w:t xml:space="preserve">. </w:t>
      </w:r>
      <w:r w:rsidR="00CD4A7B" w:rsidRPr="005B7B0F">
        <w:t>A</w:t>
      </w:r>
      <w:r w:rsidR="0099793B" w:rsidRPr="005B7B0F">
        <w:t>no</w:t>
      </w:r>
      <w:r w:rsidR="00571DC3" w:rsidRPr="005B7B0F">
        <w:t>t</w:t>
      </w:r>
      <w:r w:rsidR="0099793B" w:rsidRPr="005B7B0F">
        <w:t>her</w:t>
      </w:r>
      <w:r w:rsidR="00647651" w:rsidRPr="005B7B0F">
        <w:t xml:space="preserve"> 8 participants that had a MMSE score below 23 were excluded, as they might </w:t>
      </w:r>
      <w:r w:rsidR="00571DC3" w:rsidRPr="005B7B0F">
        <w:t xml:space="preserve">have </w:t>
      </w:r>
      <w:r w:rsidR="00647651" w:rsidRPr="005B7B0F">
        <w:t>be</w:t>
      </w:r>
      <w:r w:rsidR="00571DC3" w:rsidRPr="005B7B0F">
        <w:t>en</w:t>
      </w:r>
      <w:r w:rsidR="00647651" w:rsidRPr="005B7B0F">
        <w:t xml:space="preserve"> challenged from </w:t>
      </w:r>
      <w:r w:rsidR="00571DC3" w:rsidRPr="005B7B0F">
        <w:t>dementia</w:t>
      </w:r>
      <w:r w:rsidR="00647651" w:rsidRPr="005B7B0F">
        <w:t xml:space="preserve"> (Fountoulakis</w:t>
      </w:r>
      <w:r w:rsidR="008422AD" w:rsidRPr="005B7B0F">
        <w:t xml:space="preserve"> et al.,</w:t>
      </w:r>
      <w:r w:rsidR="00647651" w:rsidRPr="005B7B0F">
        <w:t xml:space="preserve"> 2000). Applying the Petersen’s (2004) criteria, 11 participants</w:t>
      </w:r>
      <w:r w:rsidR="00C41A86" w:rsidRPr="005B7B0F">
        <w:t xml:space="preserve"> </w:t>
      </w:r>
      <w:r w:rsidR="008147CD" w:rsidRPr="005B7B0F">
        <w:t>t</w:t>
      </w:r>
      <w:r w:rsidR="00C41A86" w:rsidRPr="005B7B0F">
        <w:t>hat had acce</w:t>
      </w:r>
      <w:r w:rsidR="00CB3286" w:rsidRPr="005B7B0F">
        <w:t xml:space="preserve">ptable scores in MMSE and MoCA, </w:t>
      </w:r>
      <w:r w:rsidR="008147CD" w:rsidRPr="005B7B0F">
        <w:t xml:space="preserve">and </w:t>
      </w:r>
      <w:r w:rsidR="00647651" w:rsidRPr="005B7B0F">
        <w:t xml:space="preserve">were </w:t>
      </w:r>
      <w:r w:rsidR="00571DC3" w:rsidRPr="005B7B0F">
        <w:t xml:space="preserve">willing </w:t>
      </w:r>
      <w:r w:rsidR="00EC4D62" w:rsidRPr="005B7B0F">
        <w:t>but unable</w:t>
      </w:r>
      <w:r w:rsidR="00647651" w:rsidRPr="005B7B0F">
        <w:t xml:space="preserve"> to complete the EPT and OTDL</w:t>
      </w:r>
      <w:r w:rsidR="00C41A86" w:rsidRPr="005B7B0F">
        <w:t xml:space="preserve"> test</w:t>
      </w:r>
      <w:r w:rsidR="008147CD" w:rsidRPr="005B7B0F">
        <w:t xml:space="preserve"> were excluded.</w:t>
      </w:r>
      <w:r w:rsidR="00647651" w:rsidRPr="005B7B0F">
        <w:t xml:space="preserve"> </w:t>
      </w:r>
      <w:r w:rsidR="008147CD" w:rsidRPr="005B7B0F">
        <w:t xml:space="preserve">This </w:t>
      </w:r>
      <w:r w:rsidR="00647651" w:rsidRPr="005B7B0F">
        <w:t>indicated that they might have cognitive related everyday functionality shortcomings</w:t>
      </w:r>
      <w:r w:rsidR="00571DC3" w:rsidRPr="005B7B0F">
        <w:t>, consistent with an MCI diagnosis</w:t>
      </w:r>
      <w:r w:rsidR="00647651" w:rsidRPr="005B7B0F">
        <w:t>.</w:t>
      </w:r>
    </w:p>
    <w:p w:rsidR="00647651" w:rsidRPr="005B7B0F" w:rsidRDefault="00647651" w:rsidP="005C41B7">
      <w:pPr>
        <w:pStyle w:val="APAPar"/>
      </w:pPr>
      <w:r w:rsidRPr="005B7B0F">
        <w:t xml:space="preserve">The final sample of </w:t>
      </w:r>
      <w:r w:rsidR="00CF7468" w:rsidRPr="005B7B0F">
        <w:t xml:space="preserve">92 </w:t>
      </w:r>
      <w:r w:rsidRPr="005B7B0F">
        <w:t xml:space="preserve">participants belonged to the cognitively healthy spectrum of </w:t>
      </w:r>
      <w:r w:rsidR="008456BD" w:rsidRPr="005B7B0F">
        <w:t>ageing</w:t>
      </w:r>
      <w:r w:rsidRPr="005B7B0F">
        <w:t xml:space="preserve"> (</w:t>
      </w:r>
      <w:r w:rsidRPr="005B7B0F">
        <w:rPr>
          <w:i/>
        </w:rPr>
        <w:t>M</w:t>
      </w:r>
      <w:r w:rsidRPr="005B7B0F">
        <w:rPr>
          <w:i/>
          <w:vertAlign w:val="subscript"/>
        </w:rPr>
        <w:t>MMSE</w:t>
      </w:r>
      <w:r w:rsidR="00CF7468" w:rsidRPr="005B7B0F">
        <w:t xml:space="preserve"> = 28.44</w:t>
      </w:r>
      <w:r w:rsidRPr="005B7B0F">
        <w:t xml:space="preserve">, </w:t>
      </w:r>
      <w:r w:rsidRPr="005B7B0F">
        <w:rPr>
          <w:i/>
        </w:rPr>
        <w:t xml:space="preserve">SD </w:t>
      </w:r>
      <w:r w:rsidR="00CF7468" w:rsidRPr="005B7B0F">
        <w:t>= 1.21</w:t>
      </w:r>
      <w:r w:rsidRPr="005B7B0F">
        <w:t xml:space="preserve">, </w:t>
      </w:r>
      <w:r w:rsidRPr="005B7B0F">
        <w:rPr>
          <w:i/>
        </w:rPr>
        <w:t>Range</w:t>
      </w:r>
      <w:r w:rsidR="00CF7468" w:rsidRPr="005B7B0F">
        <w:t xml:space="preserve"> = 25</w:t>
      </w:r>
      <w:r w:rsidRPr="005B7B0F">
        <w:t>-30</w:t>
      </w:r>
      <w:r w:rsidR="00CF7468" w:rsidRPr="005B7B0F">
        <w:t xml:space="preserve">, </w:t>
      </w:r>
      <w:r w:rsidR="00CF7468" w:rsidRPr="005B7B0F">
        <w:rPr>
          <w:i/>
        </w:rPr>
        <w:t>M</w:t>
      </w:r>
      <w:r w:rsidR="00CF7468" w:rsidRPr="005B7B0F">
        <w:rPr>
          <w:i/>
          <w:vertAlign w:val="subscript"/>
        </w:rPr>
        <w:t>age</w:t>
      </w:r>
      <w:r w:rsidR="00CF7468" w:rsidRPr="005B7B0F">
        <w:t xml:space="preserve">= 62.64, </w:t>
      </w:r>
      <w:r w:rsidR="00CF7468" w:rsidRPr="005B7B0F">
        <w:rPr>
          <w:i/>
        </w:rPr>
        <w:t xml:space="preserve">SD </w:t>
      </w:r>
      <w:r w:rsidR="00CF7468" w:rsidRPr="005B7B0F">
        <w:t xml:space="preserve">= 7.19, </w:t>
      </w:r>
      <w:r w:rsidR="00CF7468" w:rsidRPr="005B7B0F">
        <w:rPr>
          <w:i/>
        </w:rPr>
        <w:t>Range</w:t>
      </w:r>
      <w:r w:rsidR="00743880" w:rsidRPr="005B7B0F">
        <w:t xml:space="preserve"> = 50-83)</w:t>
      </w:r>
      <w:r w:rsidR="00CF7468" w:rsidRPr="005B7B0F">
        <w:t xml:space="preserve">. </w:t>
      </w:r>
      <w:r w:rsidR="00CB3286" w:rsidRPr="005B7B0F">
        <w:t>From the</w:t>
      </w:r>
      <w:r w:rsidR="00CF7468" w:rsidRPr="005B7B0F">
        <w:t xml:space="preserve"> total, 61</w:t>
      </w:r>
      <w:r w:rsidRPr="005B7B0F">
        <w:t xml:space="preserve"> participants were married</w:t>
      </w:r>
      <w:r w:rsidR="00133DE5">
        <w:t xml:space="preserve">, 18 were single, </w:t>
      </w:r>
      <w:r w:rsidRPr="005B7B0F">
        <w:t xml:space="preserve"> and 13 were widowed. Although residing in the same city, </w:t>
      </w:r>
      <w:r w:rsidR="00CB3286" w:rsidRPr="005B7B0F">
        <w:t xml:space="preserve">51 </w:t>
      </w:r>
      <w:r w:rsidRPr="005B7B0F">
        <w:t>were examined in our lab in the ci</w:t>
      </w:r>
      <w:r w:rsidR="00CF7468" w:rsidRPr="005B7B0F">
        <w:t>ty-centre, and 36</w:t>
      </w:r>
      <w:r w:rsidRPr="005B7B0F">
        <w:t xml:space="preserve"> in the Neapel County</w:t>
      </w:r>
      <w:r w:rsidR="00CF7468" w:rsidRPr="005B7B0F">
        <w:t xml:space="preserve"> (5 missing data)</w:t>
      </w:r>
      <w:r w:rsidRPr="005B7B0F">
        <w:t xml:space="preserve">, two distinct neighbourhoods of Thessaloniki, Greece. Their educational level is presented in Table </w:t>
      </w:r>
      <w:r w:rsidR="00E101B8" w:rsidRPr="005B7B0F">
        <w:t>6.2</w:t>
      </w:r>
      <w:r w:rsidRPr="005B7B0F">
        <w:t xml:space="preserve">. </w:t>
      </w:r>
    </w:p>
    <w:p w:rsidR="009961C7" w:rsidRPr="005B7B0F" w:rsidRDefault="00E101B8" w:rsidP="00016784">
      <w:pPr>
        <w:spacing w:before="240" w:line="360" w:lineRule="auto"/>
        <w:rPr>
          <w:rFonts w:ascii="Times New Roman" w:hAnsi="Times New Roman" w:cs="Times New Roman"/>
        </w:rPr>
      </w:pPr>
      <w:r w:rsidRPr="005B7B0F">
        <w:rPr>
          <w:rFonts w:ascii="Times New Roman" w:hAnsi="Times New Roman" w:cs="Times New Roman"/>
        </w:rPr>
        <w:t xml:space="preserve">Table 6.2 </w:t>
      </w:r>
      <w:r w:rsidR="00E17A8A" w:rsidRPr="006B3C9D">
        <w:rPr>
          <w:rFonts w:ascii="Times New Roman" w:hAnsi="Times New Roman" w:cs="Times New Roman"/>
        </w:rPr>
        <w:t>Demographic Variables For The Final Sample</w:t>
      </w:r>
    </w:p>
    <w:tbl>
      <w:tblPr>
        <w:tblW w:w="5267" w:type="dxa"/>
        <w:jc w:val="center"/>
        <w:tblBorders>
          <w:insideH w:val="single" w:sz="4" w:space="0" w:color="auto"/>
        </w:tblBorders>
        <w:tblLook w:val="01E0" w:firstRow="1" w:lastRow="1" w:firstColumn="1" w:lastColumn="1" w:noHBand="0" w:noVBand="0"/>
      </w:tblPr>
      <w:tblGrid>
        <w:gridCol w:w="2722"/>
        <w:gridCol w:w="2545"/>
      </w:tblGrid>
      <w:tr w:rsidR="00F26EB5" w:rsidRPr="005B7B0F" w:rsidTr="00F26EB5">
        <w:trPr>
          <w:trHeight w:val="335"/>
          <w:jc w:val="center"/>
        </w:trPr>
        <w:tc>
          <w:tcPr>
            <w:tcW w:w="2722" w:type="dxa"/>
            <w:shd w:val="clear" w:color="auto" w:fill="auto"/>
            <w:vAlign w:val="center"/>
          </w:tcPr>
          <w:p w:rsidR="00F26EB5" w:rsidRPr="005B7B0F" w:rsidRDefault="00F26EB5" w:rsidP="00B73E0C">
            <w:pPr>
              <w:rPr>
                <w:rFonts w:ascii="Times New Roman" w:hAnsi="Times New Roman" w:cs="Times New Roman"/>
                <w:b/>
              </w:rPr>
            </w:pPr>
            <w:r w:rsidRPr="005B7B0F">
              <w:rPr>
                <w:rFonts w:ascii="Times New Roman" w:hAnsi="Times New Roman" w:cs="Times New Roman"/>
                <w:b/>
              </w:rPr>
              <w:t>Variable</w:t>
            </w:r>
          </w:p>
        </w:tc>
        <w:tc>
          <w:tcPr>
            <w:tcW w:w="2545" w:type="dxa"/>
            <w:shd w:val="clear" w:color="auto" w:fill="auto"/>
            <w:vAlign w:val="center"/>
          </w:tcPr>
          <w:p w:rsidR="00F26EB5" w:rsidRPr="005B7B0F" w:rsidRDefault="00F26EB5" w:rsidP="00B73E0C">
            <w:pPr>
              <w:jc w:val="center"/>
              <w:rPr>
                <w:rFonts w:ascii="Times New Roman" w:hAnsi="Times New Roman" w:cs="Times New Roman"/>
                <w:b/>
                <w:i/>
              </w:rPr>
            </w:pPr>
            <w:r w:rsidRPr="005B7B0F">
              <w:rPr>
                <w:rFonts w:ascii="Times New Roman" w:hAnsi="Times New Roman" w:cs="Times New Roman"/>
                <w:b/>
                <w:i/>
              </w:rPr>
              <w:t>N</w:t>
            </w:r>
          </w:p>
        </w:tc>
      </w:tr>
      <w:tr w:rsidR="00C41A86" w:rsidRPr="005B7B0F" w:rsidTr="009961C7">
        <w:trPr>
          <w:jc w:val="center"/>
        </w:trPr>
        <w:tc>
          <w:tcPr>
            <w:tcW w:w="2722" w:type="dxa"/>
            <w:shd w:val="clear" w:color="auto" w:fill="auto"/>
            <w:vAlign w:val="center"/>
          </w:tcPr>
          <w:p w:rsidR="00C41A86" w:rsidRPr="005B7B0F" w:rsidRDefault="00C41A86" w:rsidP="00B73E0C">
            <w:pPr>
              <w:rPr>
                <w:rFonts w:ascii="Times New Roman" w:hAnsi="Times New Roman" w:cs="Times New Roman"/>
                <w:b/>
                <w:i/>
              </w:rPr>
            </w:pPr>
            <w:r w:rsidRPr="005B7B0F">
              <w:rPr>
                <w:rFonts w:ascii="Times New Roman" w:hAnsi="Times New Roman" w:cs="Times New Roman"/>
                <w:b/>
                <w:i/>
              </w:rPr>
              <w:t>Gender</w:t>
            </w:r>
          </w:p>
        </w:tc>
        <w:tc>
          <w:tcPr>
            <w:tcW w:w="2545" w:type="dxa"/>
            <w:shd w:val="clear" w:color="auto" w:fill="auto"/>
            <w:vAlign w:val="center"/>
          </w:tcPr>
          <w:p w:rsidR="00C41A86" w:rsidRPr="005B7B0F" w:rsidRDefault="00C41A86" w:rsidP="00B73E0C">
            <w:pPr>
              <w:jc w:val="center"/>
              <w:rPr>
                <w:rFonts w:ascii="Times New Roman" w:hAnsi="Times New Roman" w:cs="Times New Roman"/>
              </w:rPr>
            </w:pPr>
          </w:p>
        </w:tc>
      </w:tr>
      <w:tr w:rsidR="009961C7" w:rsidRPr="005B7B0F" w:rsidTr="009961C7">
        <w:trPr>
          <w:jc w:val="center"/>
        </w:trPr>
        <w:tc>
          <w:tcPr>
            <w:tcW w:w="2722" w:type="dxa"/>
            <w:shd w:val="clear" w:color="auto" w:fill="auto"/>
            <w:vAlign w:val="center"/>
          </w:tcPr>
          <w:p w:rsidR="009961C7" w:rsidRPr="005B7B0F" w:rsidRDefault="00F26EB5" w:rsidP="00B73E0C">
            <w:pPr>
              <w:rPr>
                <w:rFonts w:ascii="Times New Roman" w:hAnsi="Times New Roman" w:cs="Times New Roman"/>
              </w:rPr>
            </w:pPr>
            <w:r w:rsidRPr="005B7B0F">
              <w:rPr>
                <w:rFonts w:ascii="Times New Roman" w:hAnsi="Times New Roman" w:cs="Times New Roman"/>
              </w:rPr>
              <w:t xml:space="preserve">Men </w:t>
            </w:r>
            <w:r w:rsidR="009961C7" w:rsidRPr="005B7B0F">
              <w:rPr>
                <w:rFonts w:ascii="Times New Roman" w:hAnsi="Times New Roman" w:cs="Times New Roman"/>
              </w:rPr>
              <w:t xml:space="preserve"> </w:t>
            </w:r>
          </w:p>
        </w:tc>
        <w:tc>
          <w:tcPr>
            <w:tcW w:w="2545" w:type="dxa"/>
            <w:shd w:val="clear" w:color="auto" w:fill="auto"/>
            <w:vAlign w:val="center"/>
          </w:tcPr>
          <w:p w:rsidR="009961C7" w:rsidRPr="005B7B0F" w:rsidRDefault="00CF7468" w:rsidP="00B73E0C">
            <w:pPr>
              <w:jc w:val="center"/>
              <w:rPr>
                <w:rFonts w:ascii="Times New Roman" w:hAnsi="Times New Roman" w:cs="Times New Roman"/>
              </w:rPr>
            </w:pPr>
            <w:r w:rsidRPr="005B7B0F">
              <w:rPr>
                <w:rFonts w:ascii="Times New Roman" w:hAnsi="Times New Roman" w:cs="Times New Roman"/>
              </w:rPr>
              <w:t>30</w:t>
            </w:r>
          </w:p>
        </w:tc>
      </w:tr>
      <w:tr w:rsidR="009961C7" w:rsidRPr="005B7B0F" w:rsidTr="009961C7">
        <w:trPr>
          <w:jc w:val="center"/>
        </w:trPr>
        <w:tc>
          <w:tcPr>
            <w:tcW w:w="2722" w:type="dxa"/>
            <w:shd w:val="clear" w:color="auto" w:fill="auto"/>
            <w:vAlign w:val="center"/>
          </w:tcPr>
          <w:p w:rsidR="009961C7" w:rsidRPr="005B7B0F" w:rsidRDefault="00F26EB5" w:rsidP="00B73E0C">
            <w:pPr>
              <w:rPr>
                <w:rFonts w:ascii="Times New Roman" w:hAnsi="Times New Roman" w:cs="Times New Roman"/>
              </w:rPr>
            </w:pPr>
            <w:r w:rsidRPr="005B7B0F">
              <w:rPr>
                <w:rFonts w:ascii="Times New Roman" w:hAnsi="Times New Roman" w:cs="Times New Roman"/>
              </w:rPr>
              <w:t xml:space="preserve">Women </w:t>
            </w:r>
          </w:p>
        </w:tc>
        <w:tc>
          <w:tcPr>
            <w:tcW w:w="2545" w:type="dxa"/>
            <w:shd w:val="clear" w:color="auto" w:fill="auto"/>
            <w:vAlign w:val="center"/>
          </w:tcPr>
          <w:p w:rsidR="009961C7" w:rsidRPr="005B7B0F" w:rsidRDefault="00CF7468" w:rsidP="00B73E0C">
            <w:pPr>
              <w:jc w:val="center"/>
              <w:rPr>
                <w:rFonts w:ascii="Times New Roman" w:hAnsi="Times New Roman" w:cs="Times New Roman"/>
              </w:rPr>
            </w:pPr>
            <w:r w:rsidRPr="005B7B0F">
              <w:rPr>
                <w:rFonts w:ascii="Times New Roman" w:hAnsi="Times New Roman" w:cs="Times New Roman"/>
              </w:rPr>
              <w:t>61</w:t>
            </w:r>
          </w:p>
        </w:tc>
      </w:tr>
      <w:tr w:rsidR="009961C7" w:rsidRPr="005B7B0F" w:rsidTr="009961C7">
        <w:trPr>
          <w:jc w:val="center"/>
        </w:trPr>
        <w:tc>
          <w:tcPr>
            <w:tcW w:w="2722" w:type="dxa"/>
            <w:shd w:val="clear" w:color="auto" w:fill="auto"/>
            <w:vAlign w:val="center"/>
          </w:tcPr>
          <w:p w:rsidR="009961C7" w:rsidRPr="005B7B0F" w:rsidRDefault="009961C7" w:rsidP="00B73E0C">
            <w:pPr>
              <w:rPr>
                <w:rFonts w:ascii="Times New Roman" w:hAnsi="Times New Roman" w:cs="Times New Roman"/>
                <w:b/>
                <w:i/>
              </w:rPr>
            </w:pPr>
            <w:r w:rsidRPr="005B7B0F">
              <w:rPr>
                <w:rFonts w:ascii="Times New Roman" w:hAnsi="Times New Roman" w:cs="Times New Roman"/>
                <w:b/>
                <w:i/>
              </w:rPr>
              <w:t>Education (</w:t>
            </w:r>
            <w:r w:rsidR="00B713E8" w:rsidRPr="005B7B0F">
              <w:rPr>
                <w:rFonts w:ascii="Times New Roman" w:hAnsi="Times New Roman" w:cs="Times New Roman"/>
                <w:b/>
                <w:i/>
              </w:rPr>
              <w:t>level</w:t>
            </w:r>
            <w:r w:rsidRPr="005B7B0F">
              <w:rPr>
                <w:rFonts w:ascii="Times New Roman" w:hAnsi="Times New Roman" w:cs="Times New Roman"/>
                <w:b/>
                <w:i/>
              </w:rPr>
              <w:t>)</w:t>
            </w:r>
          </w:p>
        </w:tc>
        <w:tc>
          <w:tcPr>
            <w:tcW w:w="2545" w:type="dxa"/>
            <w:shd w:val="clear" w:color="auto" w:fill="auto"/>
            <w:vAlign w:val="center"/>
          </w:tcPr>
          <w:p w:rsidR="009961C7" w:rsidRPr="005B7B0F" w:rsidRDefault="009961C7" w:rsidP="00B73E0C">
            <w:pPr>
              <w:jc w:val="center"/>
              <w:rPr>
                <w:rFonts w:ascii="Times New Roman" w:hAnsi="Times New Roman" w:cs="Times New Roman"/>
              </w:rPr>
            </w:pPr>
          </w:p>
        </w:tc>
      </w:tr>
      <w:tr w:rsidR="009961C7" w:rsidRPr="005B7B0F" w:rsidTr="009961C7">
        <w:trPr>
          <w:jc w:val="center"/>
        </w:trPr>
        <w:tc>
          <w:tcPr>
            <w:tcW w:w="2722" w:type="dxa"/>
            <w:shd w:val="clear" w:color="auto" w:fill="auto"/>
            <w:vAlign w:val="center"/>
          </w:tcPr>
          <w:p w:rsidR="009961C7" w:rsidRPr="005B7B0F" w:rsidRDefault="009961C7" w:rsidP="00B73E0C">
            <w:pPr>
              <w:rPr>
                <w:rFonts w:ascii="Times New Roman" w:hAnsi="Times New Roman" w:cs="Times New Roman"/>
              </w:rPr>
            </w:pPr>
            <w:r w:rsidRPr="005B7B0F">
              <w:rPr>
                <w:rFonts w:ascii="Times New Roman" w:hAnsi="Times New Roman" w:cs="Times New Roman"/>
              </w:rPr>
              <w:t xml:space="preserve">Primary </w:t>
            </w:r>
          </w:p>
        </w:tc>
        <w:tc>
          <w:tcPr>
            <w:tcW w:w="2545" w:type="dxa"/>
            <w:shd w:val="clear" w:color="auto" w:fill="auto"/>
            <w:vAlign w:val="center"/>
          </w:tcPr>
          <w:p w:rsidR="009961C7" w:rsidRPr="005B7B0F" w:rsidRDefault="009961C7" w:rsidP="00B73E0C">
            <w:pPr>
              <w:jc w:val="center"/>
              <w:rPr>
                <w:rFonts w:ascii="Times New Roman" w:hAnsi="Times New Roman" w:cs="Times New Roman"/>
              </w:rPr>
            </w:pPr>
            <w:r w:rsidRPr="005B7B0F">
              <w:rPr>
                <w:rFonts w:ascii="Times New Roman" w:hAnsi="Times New Roman" w:cs="Times New Roman"/>
              </w:rPr>
              <w:t>11</w:t>
            </w:r>
          </w:p>
        </w:tc>
      </w:tr>
      <w:tr w:rsidR="009961C7" w:rsidRPr="005B7B0F" w:rsidTr="009961C7">
        <w:trPr>
          <w:jc w:val="center"/>
        </w:trPr>
        <w:tc>
          <w:tcPr>
            <w:tcW w:w="2722" w:type="dxa"/>
            <w:shd w:val="clear" w:color="auto" w:fill="auto"/>
            <w:vAlign w:val="center"/>
          </w:tcPr>
          <w:p w:rsidR="009961C7" w:rsidRPr="005B7B0F" w:rsidRDefault="009961C7" w:rsidP="00B73E0C">
            <w:pPr>
              <w:rPr>
                <w:rFonts w:ascii="Times New Roman" w:hAnsi="Times New Roman" w:cs="Times New Roman"/>
              </w:rPr>
            </w:pPr>
            <w:r w:rsidRPr="005B7B0F">
              <w:rPr>
                <w:rFonts w:ascii="Times New Roman" w:hAnsi="Times New Roman" w:cs="Times New Roman"/>
              </w:rPr>
              <w:t xml:space="preserve">Gymnasium </w:t>
            </w:r>
          </w:p>
        </w:tc>
        <w:tc>
          <w:tcPr>
            <w:tcW w:w="2545" w:type="dxa"/>
            <w:shd w:val="clear" w:color="auto" w:fill="auto"/>
            <w:vAlign w:val="center"/>
          </w:tcPr>
          <w:p w:rsidR="009961C7" w:rsidRPr="005B7B0F" w:rsidRDefault="00B713E8" w:rsidP="00B73E0C">
            <w:pPr>
              <w:jc w:val="center"/>
              <w:rPr>
                <w:rFonts w:ascii="Times New Roman" w:hAnsi="Times New Roman" w:cs="Times New Roman"/>
              </w:rPr>
            </w:pPr>
            <w:r w:rsidRPr="005B7B0F">
              <w:rPr>
                <w:rFonts w:ascii="Times New Roman" w:hAnsi="Times New Roman" w:cs="Times New Roman"/>
              </w:rPr>
              <w:t>3</w:t>
            </w:r>
          </w:p>
        </w:tc>
      </w:tr>
      <w:tr w:rsidR="009961C7" w:rsidRPr="005B7B0F" w:rsidTr="009961C7">
        <w:trPr>
          <w:jc w:val="center"/>
        </w:trPr>
        <w:tc>
          <w:tcPr>
            <w:tcW w:w="2722" w:type="dxa"/>
            <w:shd w:val="clear" w:color="auto" w:fill="auto"/>
            <w:vAlign w:val="center"/>
          </w:tcPr>
          <w:p w:rsidR="009961C7" w:rsidRPr="005B7B0F" w:rsidRDefault="009961C7" w:rsidP="00B73E0C">
            <w:pPr>
              <w:rPr>
                <w:rFonts w:ascii="Times New Roman" w:hAnsi="Times New Roman" w:cs="Times New Roman"/>
              </w:rPr>
            </w:pPr>
            <w:r w:rsidRPr="005B7B0F">
              <w:rPr>
                <w:rFonts w:ascii="Times New Roman" w:hAnsi="Times New Roman" w:cs="Times New Roman"/>
              </w:rPr>
              <w:t xml:space="preserve">Lyceum </w:t>
            </w:r>
          </w:p>
        </w:tc>
        <w:tc>
          <w:tcPr>
            <w:tcW w:w="2545" w:type="dxa"/>
            <w:shd w:val="clear" w:color="auto" w:fill="auto"/>
            <w:vAlign w:val="center"/>
          </w:tcPr>
          <w:p w:rsidR="009961C7" w:rsidRPr="005B7B0F" w:rsidRDefault="00B713E8" w:rsidP="00B73E0C">
            <w:pPr>
              <w:jc w:val="center"/>
              <w:rPr>
                <w:rFonts w:ascii="Times New Roman" w:hAnsi="Times New Roman" w:cs="Times New Roman"/>
              </w:rPr>
            </w:pPr>
            <w:r w:rsidRPr="005B7B0F">
              <w:rPr>
                <w:rFonts w:ascii="Times New Roman" w:hAnsi="Times New Roman" w:cs="Times New Roman"/>
              </w:rPr>
              <w:t>37</w:t>
            </w:r>
          </w:p>
        </w:tc>
      </w:tr>
      <w:tr w:rsidR="009961C7" w:rsidRPr="005B7B0F" w:rsidTr="009961C7">
        <w:trPr>
          <w:jc w:val="center"/>
        </w:trPr>
        <w:tc>
          <w:tcPr>
            <w:tcW w:w="2722" w:type="dxa"/>
            <w:shd w:val="clear" w:color="auto" w:fill="auto"/>
            <w:vAlign w:val="center"/>
          </w:tcPr>
          <w:p w:rsidR="009961C7" w:rsidRPr="005B7B0F" w:rsidRDefault="009961C7" w:rsidP="00B73E0C">
            <w:pPr>
              <w:rPr>
                <w:rFonts w:ascii="Times New Roman" w:hAnsi="Times New Roman" w:cs="Times New Roman"/>
              </w:rPr>
            </w:pPr>
            <w:r w:rsidRPr="005B7B0F">
              <w:rPr>
                <w:rFonts w:ascii="Times New Roman" w:hAnsi="Times New Roman" w:cs="Times New Roman"/>
              </w:rPr>
              <w:t xml:space="preserve">Technical School </w:t>
            </w:r>
          </w:p>
        </w:tc>
        <w:tc>
          <w:tcPr>
            <w:tcW w:w="2545" w:type="dxa"/>
            <w:shd w:val="clear" w:color="auto" w:fill="auto"/>
            <w:vAlign w:val="center"/>
          </w:tcPr>
          <w:p w:rsidR="009961C7" w:rsidRPr="005B7B0F" w:rsidRDefault="00B713E8" w:rsidP="00B73E0C">
            <w:pPr>
              <w:jc w:val="center"/>
              <w:rPr>
                <w:rFonts w:ascii="Times New Roman" w:hAnsi="Times New Roman" w:cs="Times New Roman"/>
              </w:rPr>
            </w:pPr>
            <w:r w:rsidRPr="005B7B0F">
              <w:rPr>
                <w:rFonts w:ascii="Times New Roman" w:hAnsi="Times New Roman" w:cs="Times New Roman"/>
              </w:rPr>
              <w:t>14</w:t>
            </w:r>
          </w:p>
        </w:tc>
      </w:tr>
      <w:tr w:rsidR="009961C7" w:rsidRPr="005B7B0F" w:rsidTr="009961C7">
        <w:trPr>
          <w:jc w:val="center"/>
        </w:trPr>
        <w:tc>
          <w:tcPr>
            <w:tcW w:w="2722" w:type="dxa"/>
            <w:shd w:val="clear" w:color="auto" w:fill="auto"/>
            <w:vAlign w:val="center"/>
          </w:tcPr>
          <w:p w:rsidR="009961C7" w:rsidRPr="005B7B0F" w:rsidRDefault="009961C7" w:rsidP="00B73E0C">
            <w:pPr>
              <w:rPr>
                <w:rFonts w:ascii="Times New Roman" w:hAnsi="Times New Roman" w:cs="Times New Roman"/>
              </w:rPr>
            </w:pPr>
            <w:r w:rsidRPr="005B7B0F">
              <w:rPr>
                <w:rFonts w:ascii="Times New Roman" w:hAnsi="Times New Roman" w:cs="Times New Roman"/>
              </w:rPr>
              <w:t xml:space="preserve">University </w:t>
            </w:r>
          </w:p>
        </w:tc>
        <w:tc>
          <w:tcPr>
            <w:tcW w:w="2545" w:type="dxa"/>
            <w:shd w:val="clear" w:color="auto" w:fill="auto"/>
            <w:vAlign w:val="center"/>
          </w:tcPr>
          <w:p w:rsidR="009961C7" w:rsidRPr="005B7B0F" w:rsidRDefault="00B713E8" w:rsidP="00B73E0C">
            <w:pPr>
              <w:jc w:val="center"/>
              <w:rPr>
                <w:rFonts w:ascii="Times New Roman" w:hAnsi="Times New Roman" w:cs="Times New Roman"/>
              </w:rPr>
            </w:pPr>
            <w:r w:rsidRPr="005B7B0F">
              <w:rPr>
                <w:rFonts w:ascii="Times New Roman" w:hAnsi="Times New Roman" w:cs="Times New Roman"/>
              </w:rPr>
              <w:t>24</w:t>
            </w:r>
          </w:p>
        </w:tc>
      </w:tr>
      <w:tr w:rsidR="009961C7" w:rsidRPr="005B7B0F" w:rsidTr="009961C7">
        <w:trPr>
          <w:jc w:val="center"/>
        </w:trPr>
        <w:tc>
          <w:tcPr>
            <w:tcW w:w="2722" w:type="dxa"/>
            <w:shd w:val="clear" w:color="auto" w:fill="auto"/>
            <w:vAlign w:val="center"/>
          </w:tcPr>
          <w:p w:rsidR="009961C7" w:rsidRPr="005B7B0F" w:rsidRDefault="009961C7" w:rsidP="00B73E0C">
            <w:pPr>
              <w:rPr>
                <w:rFonts w:ascii="Times New Roman" w:hAnsi="Times New Roman" w:cs="Times New Roman"/>
              </w:rPr>
            </w:pPr>
            <w:r w:rsidRPr="005B7B0F">
              <w:rPr>
                <w:rFonts w:ascii="Times New Roman" w:hAnsi="Times New Roman" w:cs="Times New Roman"/>
              </w:rPr>
              <w:t xml:space="preserve">Masters </w:t>
            </w:r>
          </w:p>
        </w:tc>
        <w:tc>
          <w:tcPr>
            <w:tcW w:w="2545" w:type="dxa"/>
            <w:shd w:val="clear" w:color="auto" w:fill="auto"/>
            <w:vAlign w:val="center"/>
          </w:tcPr>
          <w:p w:rsidR="009961C7" w:rsidRPr="005B7B0F" w:rsidRDefault="00B713E8" w:rsidP="00B73E0C">
            <w:pPr>
              <w:jc w:val="center"/>
              <w:rPr>
                <w:rFonts w:ascii="Times New Roman" w:hAnsi="Times New Roman" w:cs="Times New Roman"/>
              </w:rPr>
            </w:pPr>
            <w:r w:rsidRPr="005B7B0F">
              <w:rPr>
                <w:rFonts w:ascii="Times New Roman" w:hAnsi="Times New Roman" w:cs="Times New Roman"/>
              </w:rPr>
              <w:t>2</w:t>
            </w:r>
          </w:p>
        </w:tc>
      </w:tr>
      <w:tr w:rsidR="009961C7" w:rsidRPr="005B7B0F" w:rsidTr="009961C7">
        <w:trPr>
          <w:trHeight w:val="63"/>
          <w:jc w:val="center"/>
        </w:trPr>
        <w:tc>
          <w:tcPr>
            <w:tcW w:w="2722" w:type="dxa"/>
            <w:shd w:val="clear" w:color="auto" w:fill="auto"/>
            <w:vAlign w:val="center"/>
          </w:tcPr>
          <w:p w:rsidR="009961C7" w:rsidRPr="005B7B0F" w:rsidRDefault="00F26EB5" w:rsidP="00B73E0C">
            <w:pPr>
              <w:rPr>
                <w:rFonts w:ascii="Times New Roman" w:hAnsi="Times New Roman" w:cs="Times New Roman"/>
              </w:rPr>
            </w:pPr>
            <w:r w:rsidRPr="005B7B0F">
              <w:rPr>
                <w:rFonts w:ascii="Times New Roman" w:hAnsi="Times New Roman" w:cs="Times New Roman"/>
              </w:rPr>
              <w:t>Doctoral</w:t>
            </w:r>
          </w:p>
        </w:tc>
        <w:tc>
          <w:tcPr>
            <w:tcW w:w="2545" w:type="dxa"/>
            <w:shd w:val="clear" w:color="auto" w:fill="auto"/>
            <w:vAlign w:val="center"/>
          </w:tcPr>
          <w:p w:rsidR="009961C7" w:rsidRPr="005B7B0F" w:rsidRDefault="009961C7" w:rsidP="00B73E0C">
            <w:pPr>
              <w:jc w:val="center"/>
              <w:rPr>
                <w:rFonts w:ascii="Times New Roman" w:hAnsi="Times New Roman" w:cs="Times New Roman"/>
              </w:rPr>
            </w:pPr>
            <w:r w:rsidRPr="005B7B0F">
              <w:rPr>
                <w:rFonts w:ascii="Times New Roman" w:hAnsi="Times New Roman" w:cs="Times New Roman"/>
              </w:rPr>
              <w:t>1</w:t>
            </w:r>
          </w:p>
        </w:tc>
      </w:tr>
      <w:tr w:rsidR="00F26EB5" w:rsidRPr="005B7B0F" w:rsidTr="00F26EB5">
        <w:trPr>
          <w:trHeight w:val="297"/>
          <w:jc w:val="center"/>
        </w:trPr>
        <w:tc>
          <w:tcPr>
            <w:tcW w:w="2722" w:type="dxa"/>
            <w:shd w:val="clear" w:color="auto" w:fill="auto"/>
            <w:vAlign w:val="center"/>
          </w:tcPr>
          <w:p w:rsidR="00F26EB5" w:rsidRPr="005B7B0F" w:rsidRDefault="00F26EB5" w:rsidP="00B73E0C">
            <w:pPr>
              <w:rPr>
                <w:rFonts w:ascii="Times New Roman" w:hAnsi="Times New Roman" w:cs="Times New Roman"/>
                <w:b/>
                <w:i/>
              </w:rPr>
            </w:pPr>
            <w:r w:rsidRPr="005B7B0F">
              <w:rPr>
                <w:rFonts w:ascii="Times New Roman" w:eastAsia="Times New Roman" w:hAnsi="Times New Roman" w:cs="Times New Roman"/>
                <w:b/>
                <w:i/>
                <w:color w:val="000000"/>
                <w:szCs w:val="20"/>
                <w:lang w:eastAsia="en-US"/>
              </w:rPr>
              <w:t>Health Status (level)</w:t>
            </w:r>
          </w:p>
        </w:tc>
        <w:tc>
          <w:tcPr>
            <w:tcW w:w="2545" w:type="dxa"/>
            <w:shd w:val="clear" w:color="auto" w:fill="auto"/>
            <w:vAlign w:val="center"/>
          </w:tcPr>
          <w:p w:rsidR="00F26EB5" w:rsidRPr="005B7B0F" w:rsidRDefault="00F26EB5" w:rsidP="00B73E0C">
            <w:pPr>
              <w:jc w:val="center"/>
              <w:rPr>
                <w:rFonts w:ascii="Times New Roman" w:hAnsi="Times New Roman" w:cs="Times New Roman"/>
              </w:rPr>
            </w:pPr>
          </w:p>
        </w:tc>
      </w:tr>
      <w:tr w:rsidR="00F26EB5" w:rsidRPr="005B7B0F" w:rsidTr="009961C7">
        <w:trPr>
          <w:trHeight w:val="63"/>
          <w:jc w:val="center"/>
        </w:trPr>
        <w:tc>
          <w:tcPr>
            <w:tcW w:w="2722" w:type="dxa"/>
            <w:shd w:val="clear" w:color="auto" w:fill="auto"/>
            <w:vAlign w:val="center"/>
          </w:tcPr>
          <w:p w:rsidR="00F26EB5" w:rsidRPr="005B7B0F" w:rsidRDefault="00F26EB5" w:rsidP="00B73E0C">
            <w:pPr>
              <w:rPr>
                <w:rFonts w:ascii="Times New Roman" w:hAnsi="Times New Roman" w:cs="Times New Roman"/>
              </w:rPr>
            </w:pPr>
            <w:r w:rsidRPr="005B7B0F">
              <w:rPr>
                <w:rFonts w:ascii="Times New Roman" w:eastAsia="Times New Roman" w:hAnsi="Times New Roman" w:cs="Times New Roman"/>
                <w:color w:val="000000"/>
                <w:szCs w:val="20"/>
                <w:lang w:eastAsia="en-US"/>
              </w:rPr>
              <w:t>Poor</w:t>
            </w:r>
          </w:p>
        </w:tc>
        <w:tc>
          <w:tcPr>
            <w:tcW w:w="2545" w:type="dxa"/>
            <w:shd w:val="clear" w:color="auto" w:fill="auto"/>
            <w:vAlign w:val="center"/>
          </w:tcPr>
          <w:p w:rsidR="00F26EB5" w:rsidRPr="005B7B0F" w:rsidRDefault="00F26EB5" w:rsidP="00B73E0C">
            <w:pPr>
              <w:jc w:val="center"/>
              <w:rPr>
                <w:rFonts w:ascii="Times New Roman" w:hAnsi="Times New Roman" w:cs="Times New Roman"/>
              </w:rPr>
            </w:pPr>
            <w:r w:rsidRPr="005B7B0F">
              <w:rPr>
                <w:rFonts w:ascii="Times New Roman" w:eastAsia="Times New Roman" w:hAnsi="Times New Roman" w:cs="Times New Roman"/>
                <w:color w:val="000000"/>
                <w:sz w:val="20"/>
                <w:szCs w:val="20"/>
                <w:lang w:eastAsia="en-US"/>
              </w:rPr>
              <w:t>2</w:t>
            </w:r>
          </w:p>
        </w:tc>
      </w:tr>
      <w:tr w:rsidR="00F26EB5" w:rsidRPr="005B7B0F" w:rsidTr="009961C7">
        <w:trPr>
          <w:trHeight w:val="63"/>
          <w:jc w:val="center"/>
        </w:trPr>
        <w:tc>
          <w:tcPr>
            <w:tcW w:w="2722" w:type="dxa"/>
            <w:shd w:val="clear" w:color="auto" w:fill="auto"/>
            <w:vAlign w:val="center"/>
          </w:tcPr>
          <w:p w:rsidR="00F26EB5" w:rsidRPr="005B7B0F" w:rsidRDefault="00F26EB5" w:rsidP="00B73E0C">
            <w:pPr>
              <w:rPr>
                <w:rFonts w:ascii="Times New Roman" w:hAnsi="Times New Roman" w:cs="Times New Roman"/>
              </w:rPr>
            </w:pPr>
            <w:r w:rsidRPr="005B7B0F">
              <w:rPr>
                <w:rFonts w:ascii="Times New Roman" w:eastAsia="Times New Roman" w:hAnsi="Times New Roman" w:cs="Times New Roman"/>
                <w:color w:val="000000"/>
                <w:szCs w:val="20"/>
                <w:lang w:eastAsia="en-US"/>
              </w:rPr>
              <w:t>Fair</w:t>
            </w:r>
          </w:p>
        </w:tc>
        <w:tc>
          <w:tcPr>
            <w:tcW w:w="2545" w:type="dxa"/>
            <w:shd w:val="clear" w:color="auto" w:fill="auto"/>
            <w:vAlign w:val="center"/>
          </w:tcPr>
          <w:p w:rsidR="00F26EB5" w:rsidRPr="005B7B0F" w:rsidRDefault="00F26EB5" w:rsidP="00B73E0C">
            <w:pPr>
              <w:jc w:val="center"/>
              <w:rPr>
                <w:rFonts w:ascii="Times New Roman" w:hAnsi="Times New Roman" w:cs="Times New Roman"/>
              </w:rPr>
            </w:pPr>
            <w:r w:rsidRPr="005B7B0F">
              <w:rPr>
                <w:rFonts w:ascii="Times New Roman" w:eastAsia="Times New Roman" w:hAnsi="Times New Roman" w:cs="Times New Roman"/>
                <w:color w:val="000000"/>
                <w:sz w:val="20"/>
                <w:szCs w:val="20"/>
                <w:lang w:eastAsia="en-US"/>
              </w:rPr>
              <w:t>23</w:t>
            </w:r>
          </w:p>
        </w:tc>
      </w:tr>
      <w:tr w:rsidR="00F26EB5" w:rsidRPr="005B7B0F" w:rsidTr="009961C7">
        <w:trPr>
          <w:trHeight w:val="63"/>
          <w:jc w:val="center"/>
        </w:trPr>
        <w:tc>
          <w:tcPr>
            <w:tcW w:w="2722" w:type="dxa"/>
            <w:shd w:val="clear" w:color="auto" w:fill="auto"/>
            <w:vAlign w:val="center"/>
          </w:tcPr>
          <w:p w:rsidR="00F26EB5" w:rsidRPr="005B7B0F" w:rsidRDefault="00F26EB5" w:rsidP="00B73E0C">
            <w:pPr>
              <w:rPr>
                <w:rFonts w:ascii="Times New Roman" w:hAnsi="Times New Roman" w:cs="Times New Roman"/>
              </w:rPr>
            </w:pPr>
            <w:r w:rsidRPr="005B7B0F">
              <w:rPr>
                <w:rFonts w:ascii="Times New Roman" w:eastAsia="Times New Roman" w:hAnsi="Times New Roman" w:cs="Times New Roman"/>
                <w:color w:val="000000"/>
                <w:szCs w:val="20"/>
                <w:lang w:eastAsia="en-US"/>
              </w:rPr>
              <w:t>Good</w:t>
            </w:r>
          </w:p>
        </w:tc>
        <w:tc>
          <w:tcPr>
            <w:tcW w:w="2545" w:type="dxa"/>
            <w:shd w:val="clear" w:color="auto" w:fill="auto"/>
            <w:vAlign w:val="center"/>
          </w:tcPr>
          <w:p w:rsidR="00F26EB5" w:rsidRPr="005B7B0F" w:rsidRDefault="00F26EB5" w:rsidP="00B73E0C">
            <w:pPr>
              <w:jc w:val="center"/>
              <w:rPr>
                <w:rFonts w:ascii="Times New Roman" w:hAnsi="Times New Roman" w:cs="Times New Roman"/>
              </w:rPr>
            </w:pPr>
            <w:r w:rsidRPr="005B7B0F">
              <w:rPr>
                <w:rFonts w:ascii="Times New Roman" w:eastAsia="Times New Roman" w:hAnsi="Times New Roman" w:cs="Times New Roman"/>
                <w:color w:val="000000"/>
                <w:sz w:val="20"/>
                <w:szCs w:val="20"/>
                <w:lang w:eastAsia="en-US"/>
              </w:rPr>
              <w:t>31</w:t>
            </w:r>
          </w:p>
        </w:tc>
      </w:tr>
      <w:tr w:rsidR="00F26EB5" w:rsidRPr="005B7B0F" w:rsidTr="009961C7">
        <w:trPr>
          <w:trHeight w:val="63"/>
          <w:jc w:val="center"/>
        </w:trPr>
        <w:tc>
          <w:tcPr>
            <w:tcW w:w="2722" w:type="dxa"/>
            <w:shd w:val="clear" w:color="auto" w:fill="auto"/>
            <w:vAlign w:val="center"/>
          </w:tcPr>
          <w:p w:rsidR="00F26EB5" w:rsidRPr="005B7B0F" w:rsidRDefault="00F26EB5" w:rsidP="00B73E0C">
            <w:pPr>
              <w:rPr>
                <w:rFonts w:ascii="Times New Roman" w:hAnsi="Times New Roman" w:cs="Times New Roman"/>
              </w:rPr>
            </w:pPr>
            <w:r w:rsidRPr="005B7B0F">
              <w:rPr>
                <w:rFonts w:ascii="Times New Roman" w:eastAsia="Times New Roman" w:hAnsi="Times New Roman" w:cs="Times New Roman"/>
                <w:color w:val="000000"/>
                <w:szCs w:val="20"/>
                <w:lang w:eastAsia="en-US"/>
              </w:rPr>
              <w:t>Very Good</w:t>
            </w:r>
          </w:p>
        </w:tc>
        <w:tc>
          <w:tcPr>
            <w:tcW w:w="2545" w:type="dxa"/>
            <w:shd w:val="clear" w:color="auto" w:fill="auto"/>
            <w:vAlign w:val="center"/>
          </w:tcPr>
          <w:p w:rsidR="00F26EB5" w:rsidRPr="005B7B0F" w:rsidRDefault="00F26EB5" w:rsidP="00B73E0C">
            <w:pPr>
              <w:jc w:val="center"/>
              <w:rPr>
                <w:rFonts w:ascii="Times New Roman" w:hAnsi="Times New Roman" w:cs="Times New Roman"/>
              </w:rPr>
            </w:pPr>
            <w:r w:rsidRPr="005B7B0F">
              <w:rPr>
                <w:rFonts w:ascii="Times New Roman" w:eastAsia="Times New Roman" w:hAnsi="Times New Roman" w:cs="Times New Roman"/>
                <w:color w:val="000000"/>
                <w:sz w:val="20"/>
                <w:szCs w:val="20"/>
                <w:lang w:eastAsia="en-US"/>
              </w:rPr>
              <w:t>27</w:t>
            </w:r>
          </w:p>
        </w:tc>
      </w:tr>
      <w:tr w:rsidR="00F26EB5" w:rsidRPr="005B7B0F" w:rsidTr="009961C7">
        <w:trPr>
          <w:trHeight w:val="63"/>
          <w:jc w:val="center"/>
        </w:trPr>
        <w:tc>
          <w:tcPr>
            <w:tcW w:w="2722" w:type="dxa"/>
            <w:shd w:val="clear" w:color="auto" w:fill="auto"/>
            <w:vAlign w:val="center"/>
          </w:tcPr>
          <w:p w:rsidR="00F26EB5" w:rsidRPr="005B7B0F" w:rsidRDefault="00F26EB5" w:rsidP="00B73E0C">
            <w:pPr>
              <w:rPr>
                <w:rFonts w:ascii="Times New Roman" w:hAnsi="Times New Roman" w:cs="Times New Roman"/>
              </w:rPr>
            </w:pPr>
            <w:r w:rsidRPr="005B7B0F">
              <w:rPr>
                <w:rFonts w:ascii="Times New Roman" w:eastAsia="Times New Roman" w:hAnsi="Times New Roman" w:cs="Times New Roman"/>
                <w:color w:val="000000"/>
                <w:szCs w:val="20"/>
                <w:lang w:eastAsia="en-US"/>
              </w:rPr>
              <w:t>Excellent</w:t>
            </w:r>
          </w:p>
        </w:tc>
        <w:tc>
          <w:tcPr>
            <w:tcW w:w="2545" w:type="dxa"/>
            <w:shd w:val="clear" w:color="auto" w:fill="auto"/>
            <w:vAlign w:val="center"/>
          </w:tcPr>
          <w:p w:rsidR="00F26EB5" w:rsidRPr="005B7B0F" w:rsidRDefault="00F26EB5" w:rsidP="00B73E0C">
            <w:pPr>
              <w:jc w:val="center"/>
              <w:rPr>
                <w:rFonts w:ascii="Times New Roman" w:hAnsi="Times New Roman" w:cs="Times New Roman"/>
              </w:rPr>
            </w:pPr>
            <w:r w:rsidRPr="005B7B0F">
              <w:rPr>
                <w:rFonts w:ascii="Times New Roman" w:eastAsia="Times New Roman" w:hAnsi="Times New Roman" w:cs="Times New Roman"/>
                <w:color w:val="000000"/>
                <w:sz w:val="20"/>
                <w:szCs w:val="20"/>
                <w:lang w:eastAsia="en-US"/>
              </w:rPr>
              <w:t>9</w:t>
            </w:r>
          </w:p>
        </w:tc>
      </w:tr>
    </w:tbl>
    <w:p w:rsidR="008147CD" w:rsidRPr="005B7B0F" w:rsidRDefault="008147CD" w:rsidP="00FE028D">
      <w:pPr>
        <w:pStyle w:val="Heading2"/>
      </w:pPr>
      <w:bookmarkStart w:id="144" w:name="_Toc282252412"/>
      <w:bookmarkStart w:id="145" w:name="_Toc414007101"/>
      <w:bookmarkStart w:id="146" w:name="_Toc373425971"/>
      <w:bookmarkStart w:id="147" w:name="_Toc521184228"/>
      <w:r w:rsidRPr="005B7B0F">
        <w:t>Instruments</w:t>
      </w:r>
      <w:bookmarkEnd w:id="144"/>
      <w:bookmarkEnd w:id="145"/>
      <w:bookmarkEnd w:id="146"/>
      <w:bookmarkEnd w:id="147"/>
    </w:p>
    <w:p w:rsidR="008147CD" w:rsidRPr="005B7B0F" w:rsidRDefault="008147CD" w:rsidP="005C41B7">
      <w:pPr>
        <w:pStyle w:val="APAPar"/>
      </w:pPr>
      <w:r w:rsidRPr="005B7B0F">
        <w:t xml:space="preserve">The complete battery of assessments and interviews were counterbalanced across the testing process during the fieldwork. Seniors’ perceived health status, loneliness, exercise, social participation, and social network were measured using a questionnaire based structured interview. The corresponding items were translated-back translated by two bilingual professionals, as recommended by Hambleton (2001). </w:t>
      </w:r>
      <w:r w:rsidRPr="005B7B0F">
        <w:rPr>
          <w:rFonts w:eastAsia="Times New Roman"/>
        </w:rPr>
        <w:t>A Greek bilingual philologist checked for the appropriateness of the language used in the final questionnaire and examined for inconsistencies.</w:t>
      </w:r>
      <w:r w:rsidRPr="005B7B0F">
        <w:t xml:space="preserve"> The questionnaire package is available in Appendix VIII</w:t>
      </w:r>
    </w:p>
    <w:p w:rsidR="0018298A" w:rsidRPr="005B7B0F" w:rsidRDefault="0018298A" w:rsidP="005C41B7">
      <w:pPr>
        <w:pStyle w:val="APAPar"/>
      </w:pPr>
      <w:bookmarkStart w:id="148" w:name="_Toc521184229"/>
      <w:r w:rsidRPr="005B7B0F">
        <w:rPr>
          <w:rStyle w:val="Heading3Char"/>
        </w:rPr>
        <w:t>Everyday Problem Test – Greek version.</w:t>
      </w:r>
      <w:bookmarkEnd w:id="148"/>
      <w:r w:rsidRPr="005B7B0F">
        <w:t xml:space="preserve">  All participants had to complete the EPT-G, the Greek version of EPT 28-items (Willis et al., 2006). The scoring range and schemes, as well as the calculation principles of the EPT-G remained unchanged, in order to persevere equivalence with the original measure (i.e., the EPT 28</w:t>
      </w:r>
      <w:r w:rsidR="00F26EB5" w:rsidRPr="005B7B0F">
        <w:t>-items). Similar</w:t>
      </w:r>
      <w:r w:rsidRPr="005B7B0F">
        <w:t xml:space="preserve"> to the original EPT tests, in the Greek versions, higher scores of EPT-G indicated better everyday functioning. </w:t>
      </w:r>
    </w:p>
    <w:p w:rsidR="00F65AC4" w:rsidRPr="005B7B0F" w:rsidRDefault="00016784" w:rsidP="005C41B7">
      <w:pPr>
        <w:pStyle w:val="APAPar"/>
      </w:pPr>
      <w:bookmarkStart w:id="149" w:name="_Toc521184230"/>
      <w:r w:rsidRPr="005B7B0F">
        <w:rPr>
          <w:rStyle w:val="Heading3Char"/>
        </w:rPr>
        <w:t>Mini Men</w:t>
      </w:r>
      <w:r w:rsidR="00F65AC4" w:rsidRPr="005B7B0F">
        <w:rPr>
          <w:rStyle w:val="Heading3Char"/>
        </w:rPr>
        <w:t>tal State Examination (MMSE)</w:t>
      </w:r>
      <w:r w:rsidR="00F65AC4" w:rsidRPr="005B7B0F">
        <w:rPr>
          <w:rStyle w:val="Heading3Char"/>
          <w:b w:val="0"/>
        </w:rPr>
        <w:t>.</w:t>
      </w:r>
      <w:bookmarkEnd w:id="149"/>
      <w:r w:rsidR="00F65AC4" w:rsidRPr="005B7B0F">
        <w:t xml:space="preserve"> The Greek version of the MMSE </w:t>
      </w:r>
      <w:r w:rsidR="00B713E8" w:rsidRPr="005B7B0F">
        <w:t xml:space="preserve">was used in the screening process to identify </w:t>
      </w:r>
      <w:r w:rsidR="00F65AC4" w:rsidRPr="005B7B0F">
        <w:t>whether participants exhibited symptoms that point to a neurodegenerative disease. The MMSE is a broadly used instrument to screen for general cognitive deficits, assisting for the detection of dementia (Fountoulakis et al., 2000). The MMSE is standardized for the Greek population and has a cut of score of 23, with scores under this threshold indicating serious neuropsychological impairments consistent with the existence of various forms of dementia.</w:t>
      </w:r>
    </w:p>
    <w:p w:rsidR="00647651" w:rsidRPr="005B7B0F" w:rsidRDefault="00647651" w:rsidP="005C41B7">
      <w:pPr>
        <w:pStyle w:val="APAPar"/>
      </w:pPr>
      <w:bookmarkStart w:id="150" w:name="_Toc521184231"/>
      <w:r w:rsidRPr="005B7B0F">
        <w:rPr>
          <w:rStyle w:val="Heading3Char"/>
        </w:rPr>
        <w:t>Montreal Cognitive Assessment (MoCA).</w:t>
      </w:r>
      <w:bookmarkEnd w:id="150"/>
      <w:r w:rsidRPr="005B7B0F">
        <w:rPr>
          <w:b/>
        </w:rPr>
        <w:t xml:space="preserve"> </w:t>
      </w:r>
      <w:r w:rsidRPr="005B7B0F">
        <w:t>The Greek version of Montreal Cognitive Assessment (MoCA)</w:t>
      </w:r>
      <w:r w:rsidR="00F15A4A" w:rsidRPr="005B7B0F">
        <w:t xml:space="preserve"> </w:t>
      </w:r>
      <w:r w:rsidR="00B210BD" w:rsidRPr="005B7B0F">
        <w:t xml:space="preserve">was used to assess whether participants exhibit symptoms that are consistent </w:t>
      </w:r>
      <w:r w:rsidR="00310591" w:rsidRPr="005B7B0F">
        <w:t>with a</w:t>
      </w:r>
      <w:r w:rsidR="00B210BD" w:rsidRPr="005B7B0F">
        <w:t xml:space="preserve"> diagnosis of </w:t>
      </w:r>
      <w:r w:rsidR="00E0380B" w:rsidRPr="005B7B0F">
        <w:t>MCI</w:t>
      </w:r>
      <w:r w:rsidR="00B210BD" w:rsidRPr="005B7B0F">
        <w:t xml:space="preserve">. The MoCA </w:t>
      </w:r>
      <w:r w:rsidRPr="005B7B0F">
        <w:t>is not validated yet in the Greek population (Kounti et al., 2007). The original instrument (Nasreddine et al., 2005) aims to assist in the detection of</w:t>
      </w:r>
      <w:r w:rsidR="00E0380B" w:rsidRPr="005B7B0F">
        <w:t xml:space="preserve"> MCI</w:t>
      </w:r>
      <w:r w:rsidRPr="005B7B0F">
        <w:t>, a clinical state that often progresses to dementia.</w:t>
      </w:r>
    </w:p>
    <w:p w:rsidR="00647651" w:rsidRPr="005B7B0F" w:rsidRDefault="00647651" w:rsidP="005C41B7">
      <w:pPr>
        <w:pStyle w:val="APAPar"/>
      </w:pPr>
      <w:bookmarkStart w:id="151" w:name="_Toc521184232"/>
      <w:r w:rsidRPr="005B7B0F">
        <w:rPr>
          <w:rStyle w:val="Heading3Char"/>
        </w:rPr>
        <w:t>Verbal Fluency</w:t>
      </w:r>
      <w:r w:rsidRPr="005B7B0F">
        <w:rPr>
          <w:rStyle w:val="Heading3Char"/>
          <w:b w:val="0"/>
        </w:rPr>
        <w:t>.</w:t>
      </w:r>
      <w:bookmarkEnd w:id="151"/>
      <w:r w:rsidRPr="005B7B0F">
        <w:t xml:space="preserve"> Verbal Fluency (VF) was measured by asking the participants to recall as many words that start for the Greek letter ‘x’, within one minute. This item derives from </w:t>
      </w:r>
      <w:r w:rsidR="00E0380B" w:rsidRPr="005B7B0F">
        <w:t xml:space="preserve">the MoCA instrument and used as an assessment of verbal fluency in </w:t>
      </w:r>
      <w:r w:rsidRPr="005B7B0F">
        <w:t>the SHARE study (SHARE, 20</w:t>
      </w:r>
      <w:r w:rsidR="00133DE5">
        <w:t>14).</w:t>
      </w:r>
    </w:p>
    <w:p w:rsidR="00647651" w:rsidRPr="005B7B0F" w:rsidRDefault="00647651" w:rsidP="005C41B7">
      <w:pPr>
        <w:pStyle w:val="APAPar"/>
      </w:pPr>
      <w:bookmarkStart w:id="152" w:name="_Toc521184233"/>
      <w:r w:rsidRPr="005B7B0F">
        <w:rPr>
          <w:rStyle w:val="Heading3Char"/>
        </w:rPr>
        <w:t xml:space="preserve">Trail Making Test </w:t>
      </w:r>
      <w:r w:rsidR="00C41A86" w:rsidRPr="005B7B0F">
        <w:rPr>
          <w:rStyle w:val="Heading3Char"/>
        </w:rPr>
        <w:t>Part</w:t>
      </w:r>
      <w:r w:rsidRPr="005B7B0F">
        <w:rPr>
          <w:rStyle w:val="Heading3Char"/>
        </w:rPr>
        <w:t xml:space="preserve"> A and B.</w:t>
      </w:r>
      <w:bookmarkEnd w:id="152"/>
      <w:r w:rsidRPr="005B7B0F">
        <w:t xml:space="preserve"> The Greek versions of the Trail Making Test </w:t>
      </w:r>
      <w:r w:rsidR="00C41A86" w:rsidRPr="005B7B0F">
        <w:t>Part</w:t>
      </w:r>
      <w:r w:rsidRPr="005B7B0F">
        <w:t xml:space="preserve"> A (TMT-A) and the Trail Making Test </w:t>
      </w:r>
      <w:r w:rsidR="00C41A86" w:rsidRPr="005B7B0F">
        <w:t>Part</w:t>
      </w:r>
      <w:r w:rsidRPr="005B7B0F">
        <w:t xml:space="preserve"> B (TMT-B) (Vlachou &amp; Kosmidou, 2002) were administered to all participants. TMT-A is a timed test that requires participants to draw a line connecting 25 consecutively numbers.  TMT-B is timed and requires connecting consecutive numbers and letters, alternating between the two sequences (i.e., 1-A-2-B-3-C . . . L-12). During the administration of the TMT-A and TMT-B, errors were pointed out by the researchers. The participants were redirected to the last correct circle while timing continued. T</w:t>
      </w:r>
      <w:r w:rsidR="008527A0" w:rsidRPr="005B7B0F">
        <w:t xml:space="preserve">wo </w:t>
      </w:r>
      <w:r w:rsidRPr="005B7B0F">
        <w:t xml:space="preserve">indexes were calculated: i) the seconds required to complete the TMT-A task, as an indicator of speed of processing (for a review, see Hester, Kinsellla, Ong, &amp; McGregor, 2005). Higher scores in TMT-A indicate slower speed of processing; ii) the seconds required to complete the TMT-B task. This has been frequently used as an index of cognitive flexibility and set-shifting (Hester et al., 2005). Higher scores in TMT-B indicate worse </w:t>
      </w:r>
      <w:r w:rsidR="00371755" w:rsidRPr="005B7B0F">
        <w:t>EF (Hester et al., 2005)</w:t>
      </w:r>
    </w:p>
    <w:p w:rsidR="00647651" w:rsidRPr="005B7B0F" w:rsidRDefault="00647651" w:rsidP="005C41B7">
      <w:pPr>
        <w:pStyle w:val="APAPar"/>
      </w:pPr>
      <w:bookmarkStart w:id="153" w:name="_Toc521184234"/>
      <w:r w:rsidRPr="005B7B0F">
        <w:rPr>
          <w:rStyle w:val="Heading3Char"/>
        </w:rPr>
        <w:t>California Verbal Learning Test</w:t>
      </w:r>
      <w:bookmarkEnd w:id="153"/>
      <w:r w:rsidRPr="005B7B0F">
        <w:rPr>
          <w:rStyle w:val="Heading2Char"/>
          <w:b w:val="0"/>
          <w:i/>
        </w:rPr>
        <w:t>.</w:t>
      </w:r>
      <w:r w:rsidRPr="005B7B0F">
        <w:t xml:space="preserve"> The Greek version of the California Verbal Learning Test (GVLT; Vlachou et al., 2012) is a verbal memory measure, which assess learning, retention, and recall of verbal information. The GVLT is the Greek adaptation of the California Verbal Learning Test (CVLT; Delis</w:t>
      </w:r>
      <w:r w:rsidR="00310591" w:rsidRPr="005B7B0F">
        <w:t>, Kramer, &amp; Kaplan,</w:t>
      </w:r>
      <w:r w:rsidRPr="005B7B0F">
        <w:t xml:space="preserve"> 1987). Five learning trials were provided in which the researcher reads a shopping list for Monday, and the participant is requested to recall as many of the items as possible, regardless of order, after each reading. The interference (Tuesday) list was read subsequently, followed by an immediate free recall of the Monday list. Then, for approximately 20 minutes, the OTDL-G was administered. Finally, delayed recall was</w:t>
      </w:r>
      <w:r w:rsidR="00A44061" w:rsidRPr="005B7B0F">
        <w:t xml:space="preserve"> assessed, by</w:t>
      </w:r>
      <w:r w:rsidR="00B67B6A" w:rsidRPr="005B7B0F">
        <w:t xml:space="preserve"> asking the participants to recall the items from the initial list. </w:t>
      </w:r>
      <w:r w:rsidRPr="005B7B0F">
        <w:t>The indices created from this test were: i) the amount of words remembered after the first read</w:t>
      </w:r>
      <w:r w:rsidR="008C41B9" w:rsidRPr="005B7B0F">
        <w:t xml:space="preserve">ing of the Monday list, a measure </w:t>
      </w:r>
      <w:r w:rsidRPr="005B7B0F">
        <w:t>of working memory (WM); ii) the total amount of words recalled during the fi</w:t>
      </w:r>
      <w:r w:rsidR="008C41B9" w:rsidRPr="005B7B0F">
        <w:t>ve learning trials, a measure</w:t>
      </w:r>
      <w:r w:rsidRPr="005B7B0F">
        <w:t xml:space="preserve"> of the participants’ learning curve (LC); iii) the total amount of words recalled after the interference list, </w:t>
      </w:r>
      <w:r w:rsidR="000E0A6C" w:rsidRPr="005B7B0F">
        <w:t xml:space="preserve">a measure </w:t>
      </w:r>
      <w:r w:rsidRPr="005B7B0F">
        <w:t>of short term memory (STM); and iv) the amount of words recalled after the 20 m</w:t>
      </w:r>
      <w:r w:rsidR="00535995" w:rsidRPr="005B7B0F">
        <w:t>inutes interval</w:t>
      </w:r>
      <w:r w:rsidRPr="005B7B0F">
        <w:t xml:space="preserve">, </w:t>
      </w:r>
      <w:r w:rsidR="000E0A6C" w:rsidRPr="005B7B0F">
        <w:t>a measure</w:t>
      </w:r>
      <w:r w:rsidRPr="005B7B0F">
        <w:t xml:space="preserve"> of long-term memory (LTM; Vlachou et al., 2012). Higher scores in all indices indicate better memory performance in the corresponding domains.</w:t>
      </w:r>
    </w:p>
    <w:p w:rsidR="00647651" w:rsidRPr="005B7B0F" w:rsidRDefault="00647651" w:rsidP="005C41B7">
      <w:pPr>
        <w:pStyle w:val="APAPar"/>
      </w:pPr>
      <w:bookmarkStart w:id="154" w:name="_Toc414007103"/>
      <w:bookmarkStart w:id="155" w:name="_Toc521184235"/>
      <w:r w:rsidRPr="005B7B0F">
        <w:rPr>
          <w:rStyle w:val="Heading3Char"/>
        </w:rPr>
        <w:t>Perceived Health</w:t>
      </w:r>
      <w:r w:rsidRPr="005B7B0F">
        <w:rPr>
          <w:rStyle w:val="Heading3Char"/>
          <w:b w:val="0"/>
        </w:rPr>
        <w:t>.</w:t>
      </w:r>
      <w:bookmarkEnd w:id="154"/>
      <w:bookmarkEnd w:id="155"/>
      <w:r w:rsidRPr="005B7B0F">
        <w:rPr>
          <w:b/>
        </w:rPr>
        <w:t xml:space="preserve"> </w:t>
      </w:r>
      <w:r w:rsidRPr="005B7B0F">
        <w:t>Perceived Health was assessed by the item “Wou</w:t>
      </w:r>
      <w:r w:rsidR="00A44061" w:rsidRPr="005B7B0F">
        <w:t xml:space="preserve">ld you say that your health is”, </w:t>
      </w:r>
      <w:r w:rsidRPr="005B7B0F">
        <w:t xml:space="preserve">with the available forced choices to range from “excellent” to “poor” (Range of possible answers = 5).  As Rodin and McAvay (1992) demonstrated, </w:t>
      </w:r>
      <w:r w:rsidR="0018298A" w:rsidRPr="005B7B0F">
        <w:t>self-reported</w:t>
      </w:r>
      <w:r w:rsidRPr="005B7B0F">
        <w:t xml:space="preserve"> health is highly related with actual health, as well as it is independently predictive of chronic illnesses, sick days, hospitalization and medication use, especially in seniors. </w:t>
      </w:r>
      <w:bookmarkStart w:id="156" w:name="_Toc414007108"/>
    </w:p>
    <w:p w:rsidR="0018298A" w:rsidRPr="005B7B0F" w:rsidRDefault="0018298A" w:rsidP="005C41B7">
      <w:pPr>
        <w:pStyle w:val="APAPar"/>
      </w:pPr>
      <w:bookmarkStart w:id="157" w:name="_Toc521184236"/>
      <w:r w:rsidRPr="005B7B0F">
        <w:rPr>
          <w:rStyle w:val="Heading3Char"/>
        </w:rPr>
        <w:t>Loneliness:</w:t>
      </w:r>
      <w:bookmarkEnd w:id="157"/>
      <w:r w:rsidRPr="005B7B0F">
        <w:rPr>
          <w:rStyle w:val="Heading3Char"/>
        </w:rPr>
        <w:t xml:space="preserve"> </w:t>
      </w:r>
      <w:r w:rsidRPr="005B7B0F">
        <w:t xml:space="preserve">Loneliness was assessed by the item ‘Do you feel lonely?’, as in the Yeh and </w:t>
      </w:r>
      <w:r w:rsidR="00FA5B80">
        <w:t xml:space="preserve"> </w:t>
      </w:r>
      <w:r w:rsidRPr="005B7B0F">
        <w:t>Liu (2003) study. The available responses were ‘never’, ‘sometimes’, and ‘often’.</w:t>
      </w:r>
    </w:p>
    <w:p w:rsidR="002D7651" w:rsidRPr="005B7B0F" w:rsidRDefault="002D7651" w:rsidP="005C41B7">
      <w:pPr>
        <w:pStyle w:val="APAPar"/>
        <w:rPr>
          <w:lang w:val="en-US"/>
        </w:rPr>
      </w:pPr>
      <w:bookmarkStart w:id="158" w:name="_Toc521184237"/>
      <w:r w:rsidRPr="005B7B0F">
        <w:rPr>
          <w:rStyle w:val="Heading3Char"/>
        </w:rPr>
        <w:t>Physical Activity:</w:t>
      </w:r>
      <w:bookmarkEnd w:id="158"/>
      <w:r w:rsidRPr="005B7B0F">
        <w:t xml:space="preserve"> A Greek version of the Godin Leisure Time questionnaire (Barkoukis, Lazouras, Ourda, Galanis, &amp; Oxizoglou, 2009) was used to measure exercise. Following the suggestions of </w:t>
      </w:r>
      <w:r w:rsidRPr="005B7B0F">
        <w:rPr>
          <w:lang w:val="en-US"/>
        </w:rPr>
        <w:t xml:space="preserve">Dishman et al. (2001), this tool was used because i) self-report measures of physical exercise are most practical and cost-effective in measuring physical exercise in free-living populations, ii) </w:t>
      </w:r>
      <w:r w:rsidR="00005371" w:rsidRPr="005B7B0F">
        <w:rPr>
          <w:lang w:val="en-US"/>
        </w:rPr>
        <w:t xml:space="preserve">it </w:t>
      </w:r>
      <w:r w:rsidRPr="005B7B0F">
        <w:rPr>
          <w:lang w:val="en-US"/>
        </w:rPr>
        <w:t xml:space="preserve">examines type, frequency, duration and intensity of activity in order to be more informative, and iii) is aligned with the research question posed in the study. </w:t>
      </w:r>
    </w:p>
    <w:p w:rsidR="002D7651" w:rsidRPr="005B7B0F" w:rsidRDefault="002D7651" w:rsidP="005C41B7">
      <w:pPr>
        <w:pStyle w:val="APAPar"/>
      </w:pPr>
      <w:r w:rsidRPr="005B7B0F">
        <w:t>The questionnaire was slightly modified to reflect the Centre for Disease Control and Prevention guidelines for older adults (CDC, 2014). The questionnaire yields an index of participation in exercise that is a continuous variable, which is calculated by the equation x</w:t>
      </w:r>
      <w:r w:rsidRPr="005B7B0F">
        <w:rPr>
          <w:vertAlign w:val="subscript"/>
        </w:rPr>
        <w:t xml:space="preserve"> </w:t>
      </w:r>
      <w:r w:rsidRPr="005B7B0F">
        <w:t xml:space="preserve">= 9*intensive activity + 6* moderate activity + 3*low intensity activity. A </w:t>
      </w:r>
      <w:r w:rsidR="00C41A86" w:rsidRPr="005B7B0F">
        <w:t>second</w:t>
      </w:r>
      <w:r w:rsidRPr="005B7B0F">
        <w:t xml:space="preserve"> index was created to reflect adequate participation in exercise, by adding the frequency of participation in high and moderate exercise, reflecting the recommendations of CDC (2014) for older adults</w:t>
      </w:r>
      <w:r w:rsidR="00005371" w:rsidRPr="005B7B0F">
        <w:t>’ adequate</w:t>
      </w:r>
      <w:r w:rsidR="00C41A86" w:rsidRPr="005B7B0F">
        <w:t xml:space="preserve"> participation in physical activity</w:t>
      </w:r>
      <w:r w:rsidRPr="005B7B0F">
        <w:t>. A score equal or higher than 3</w:t>
      </w:r>
      <w:r w:rsidR="00C41A86" w:rsidRPr="005B7B0F">
        <w:t xml:space="preserve"> (i.e., per week in exercise of duration more than 15 minutes)</w:t>
      </w:r>
      <w:r w:rsidRPr="005B7B0F">
        <w:t xml:space="preserve"> was regarded as participating adequately in exercise.</w:t>
      </w:r>
    </w:p>
    <w:p w:rsidR="002D7651" w:rsidRPr="005B7B0F" w:rsidRDefault="002D7651" w:rsidP="005C41B7">
      <w:pPr>
        <w:pStyle w:val="APAPar"/>
      </w:pPr>
      <w:bookmarkStart w:id="159" w:name="_Toc521184238"/>
      <w:r w:rsidRPr="005B7B0F">
        <w:rPr>
          <w:rStyle w:val="Heading3Char"/>
        </w:rPr>
        <w:t>Social Network Size:</w:t>
      </w:r>
      <w:bookmarkEnd w:id="159"/>
      <w:r w:rsidRPr="005B7B0F">
        <w:rPr>
          <w:b/>
          <w:i/>
        </w:rPr>
        <w:t xml:space="preserve"> </w:t>
      </w:r>
      <w:r w:rsidRPr="005B7B0F">
        <w:t xml:space="preserve">Social Network Size </w:t>
      </w:r>
      <w:r w:rsidR="00C41A86" w:rsidRPr="005B7B0F">
        <w:t>was</w:t>
      </w:r>
      <w:r w:rsidRPr="005B7B0F">
        <w:t xml:space="preserve"> measured using the </w:t>
      </w:r>
      <w:r w:rsidR="00AA0770" w:rsidRPr="005B7B0F">
        <w:rPr>
          <w:lang w:val="en-US"/>
        </w:rPr>
        <w:t xml:space="preserve">approach of </w:t>
      </w:r>
      <w:r w:rsidR="00035B48" w:rsidRPr="005B7B0F">
        <w:t xml:space="preserve">Glei, Landau, Goldman, Chuang, Rodriguez, and Weinstein (2005). </w:t>
      </w:r>
      <w:r w:rsidRPr="005B7B0F">
        <w:rPr>
          <w:lang w:val="en-US"/>
        </w:rPr>
        <w:t xml:space="preserve">The questionnaire </w:t>
      </w:r>
      <w:r w:rsidR="00AA0770" w:rsidRPr="005B7B0F">
        <w:rPr>
          <w:lang w:val="en-US"/>
        </w:rPr>
        <w:t>consists of 3</w:t>
      </w:r>
      <w:r w:rsidRPr="005B7B0F">
        <w:rPr>
          <w:lang w:val="en-US"/>
        </w:rPr>
        <w:t xml:space="preserve"> </w:t>
      </w:r>
      <w:r w:rsidR="006C35E6" w:rsidRPr="005B7B0F">
        <w:rPr>
          <w:lang w:val="en-US"/>
        </w:rPr>
        <w:t>o</w:t>
      </w:r>
      <w:r w:rsidR="00E61A9A" w:rsidRPr="005B7B0F">
        <w:rPr>
          <w:lang w:val="en-US"/>
        </w:rPr>
        <w:t>pen</w:t>
      </w:r>
      <w:r w:rsidR="006C35E6" w:rsidRPr="005B7B0F">
        <w:rPr>
          <w:lang w:val="en-US"/>
        </w:rPr>
        <w:t xml:space="preserve"> ended </w:t>
      </w:r>
      <w:r w:rsidRPr="005B7B0F">
        <w:rPr>
          <w:lang w:val="en-US"/>
        </w:rPr>
        <w:t>questions,</w:t>
      </w:r>
      <w:r w:rsidR="00AA0770" w:rsidRPr="005B7B0F">
        <w:rPr>
          <w:lang w:val="en-US"/>
        </w:rPr>
        <w:t xml:space="preserve"> </w:t>
      </w:r>
      <w:r w:rsidRPr="005B7B0F">
        <w:rPr>
          <w:lang w:val="en-US"/>
        </w:rPr>
        <w:t xml:space="preserve">asking the </w:t>
      </w:r>
      <w:r w:rsidRPr="005B7B0F">
        <w:t>number of people living together in the household the last 12 months,</w:t>
      </w:r>
      <w:r w:rsidRPr="005B7B0F">
        <w:rPr>
          <w:lang w:val="en-US"/>
        </w:rPr>
        <w:t xml:space="preserve"> </w:t>
      </w:r>
      <w:r w:rsidRPr="005B7B0F">
        <w:t xml:space="preserve">number of </w:t>
      </w:r>
      <w:r w:rsidR="00AA0770" w:rsidRPr="005B7B0F">
        <w:t>other</w:t>
      </w:r>
      <w:r w:rsidR="000419EC" w:rsidRPr="005B7B0F">
        <w:t xml:space="preserve"> </w:t>
      </w:r>
      <w:r w:rsidRPr="005B7B0F">
        <w:t>relatives with</w:t>
      </w:r>
      <w:r w:rsidR="00C10E24" w:rsidRPr="005B7B0F">
        <w:t xml:space="preserve"> at least weekly contact the last 12 months, n</w:t>
      </w:r>
      <w:r w:rsidRPr="005B7B0F">
        <w:t>umber of friends and neighbours</w:t>
      </w:r>
      <w:r w:rsidR="00C10E24" w:rsidRPr="005B7B0F">
        <w:t xml:space="preserve"> with at least weekly contact </w:t>
      </w:r>
      <w:r w:rsidRPr="005B7B0F">
        <w:t>the last 12 months</w:t>
      </w:r>
      <w:r w:rsidR="00C10E24" w:rsidRPr="005B7B0F">
        <w:t xml:space="preserve">. Summing the scores of the items, a single index of social network size </w:t>
      </w:r>
      <w:r w:rsidR="00C41A86" w:rsidRPr="005B7B0F">
        <w:t>was</w:t>
      </w:r>
      <w:r w:rsidR="00C10E24" w:rsidRPr="005B7B0F">
        <w:t xml:space="preserve"> created, higher scores of which indicate larger social network size.</w:t>
      </w:r>
      <w:r w:rsidR="00035B48" w:rsidRPr="005B7B0F">
        <w:t xml:space="preserve"> In the original instrument, no internal consistency analysis was performed and reported. </w:t>
      </w:r>
    </w:p>
    <w:p w:rsidR="00A926AF" w:rsidRPr="005B7B0F" w:rsidRDefault="0018298A" w:rsidP="005C41B7">
      <w:pPr>
        <w:pStyle w:val="APAPar"/>
      </w:pPr>
      <w:bookmarkStart w:id="160" w:name="_Toc521184239"/>
      <w:r w:rsidRPr="005B7B0F">
        <w:rPr>
          <w:rStyle w:val="Heading3Char"/>
        </w:rPr>
        <w:t>Social Participation</w:t>
      </w:r>
      <w:r w:rsidR="00F67CD9" w:rsidRPr="005B7B0F">
        <w:rPr>
          <w:rStyle w:val="Heading3Char"/>
        </w:rPr>
        <w:t xml:space="preserve"> frequency</w:t>
      </w:r>
      <w:r w:rsidRPr="005B7B0F">
        <w:rPr>
          <w:rStyle w:val="Heading3Char"/>
        </w:rPr>
        <w:t>:</w:t>
      </w:r>
      <w:bookmarkEnd w:id="160"/>
      <w:r w:rsidRPr="005B7B0F">
        <w:t xml:space="preserve"> The items for the </w:t>
      </w:r>
      <w:r w:rsidR="00236915" w:rsidRPr="005B7B0F">
        <w:t xml:space="preserve">social participation </w:t>
      </w:r>
      <w:r w:rsidRPr="005B7B0F">
        <w:t xml:space="preserve">questionnaire </w:t>
      </w:r>
      <w:r w:rsidR="00236915" w:rsidRPr="005B7B0F">
        <w:t xml:space="preserve">derived from the </w:t>
      </w:r>
      <w:r w:rsidR="00A926AF" w:rsidRPr="005B7B0F">
        <w:t xml:space="preserve">narrow definition of social participation in the </w:t>
      </w:r>
      <w:r w:rsidR="00594C98" w:rsidRPr="005B7B0F">
        <w:t>SHARE study (</w:t>
      </w:r>
      <w:r w:rsidR="006C35E6" w:rsidRPr="005B7B0F">
        <w:t xml:space="preserve">Christelis &amp; Drobesku, 2012). </w:t>
      </w:r>
      <w:r w:rsidR="00A926AF" w:rsidRPr="005B7B0F">
        <w:t xml:space="preserve">This </w:t>
      </w:r>
      <w:r w:rsidR="00C41A86" w:rsidRPr="005B7B0F">
        <w:t xml:space="preserve">narrow </w:t>
      </w:r>
      <w:r w:rsidR="00A926AF" w:rsidRPr="005B7B0F">
        <w:t>definition includes only the items that have been reported most frequently from older participants in the context of the SHARE study</w:t>
      </w:r>
      <w:r w:rsidR="00E61A9A" w:rsidRPr="005B7B0F">
        <w:t xml:space="preserve"> in 11 European countries</w:t>
      </w:r>
      <w:r w:rsidR="00A926AF" w:rsidRPr="005B7B0F">
        <w:t xml:space="preserve">, </w:t>
      </w:r>
      <w:r w:rsidR="00C41A86" w:rsidRPr="005B7B0F">
        <w:t>and</w:t>
      </w:r>
      <w:r w:rsidR="00005371" w:rsidRPr="005B7B0F">
        <w:t xml:space="preserve"> are i) volunteering</w:t>
      </w:r>
      <w:r w:rsidR="00A926AF" w:rsidRPr="005B7B0F">
        <w:t xml:space="preserve"> or charity work, ii) taking part in</w:t>
      </w:r>
      <w:r w:rsidR="00E61A9A" w:rsidRPr="005B7B0F">
        <w:t xml:space="preserve"> </w:t>
      </w:r>
      <w:r w:rsidR="00A926AF" w:rsidRPr="005B7B0F">
        <w:t xml:space="preserve">a political or community organization, iii) following educational or training courses, iv) gone to sport, social, or other kind of clubs. </w:t>
      </w:r>
      <w:r w:rsidRPr="005B7B0F">
        <w:t>All responses were forced ch</w:t>
      </w:r>
      <w:r w:rsidR="00A926AF" w:rsidRPr="005B7B0F">
        <w:t xml:space="preserve">oice in a 5-point Likert scale, with higher scores indicating greater social participation. </w:t>
      </w:r>
      <w:r w:rsidRPr="005B7B0F">
        <w:t xml:space="preserve">A reliability analysis for the </w:t>
      </w:r>
      <w:r w:rsidR="00A926AF" w:rsidRPr="005B7B0F">
        <w:t>social participation</w:t>
      </w:r>
      <w:r w:rsidRPr="005B7B0F">
        <w:t xml:space="preserve"> questionnaire was not </w:t>
      </w:r>
      <w:r w:rsidR="00A926AF" w:rsidRPr="005B7B0F">
        <w:t xml:space="preserve">performed and reported in the original study. </w:t>
      </w:r>
      <w:r w:rsidR="00F67CD9" w:rsidRPr="005B7B0F">
        <w:t>T</w:t>
      </w:r>
      <w:r w:rsidR="00911EF7" w:rsidRPr="005B7B0F">
        <w:t xml:space="preserve">he </w:t>
      </w:r>
      <w:r w:rsidR="00F67CD9" w:rsidRPr="005B7B0F">
        <w:t xml:space="preserve">higher the </w:t>
      </w:r>
      <w:r w:rsidR="00911EF7" w:rsidRPr="005B7B0F">
        <w:t xml:space="preserve">sum </w:t>
      </w:r>
      <w:r w:rsidR="00911EF7" w:rsidRPr="005B7B0F">
        <w:rPr>
          <w:i/>
        </w:rPr>
        <w:t xml:space="preserve">of </w:t>
      </w:r>
      <w:r w:rsidR="00F67CD9" w:rsidRPr="005B7B0F">
        <w:rPr>
          <w:i/>
        </w:rPr>
        <w:t xml:space="preserve">social </w:t>
      </w:r>
      <w:r w:rsidR="00911EF7" w:rsidRPr="005B7B0F">
        <w:rPr>
          <w:i/>
        </w:rPr>
        <w:t>participation</w:t>
      </w:r>
      <w:r w:rsidR="00911EF7" w:rsidRPr="005B7B0F">
        <w:t xml:space="preserve"> </w:t>
      </w:r>
      <w:r w:rsidR="00911EF7" w:rsidRPr="005B7B0F">
        <w:rPr>
          <w:i/>
        </w:rPr>
        <w:t>frequency</w:t>
      </w:r>
      <w:r w:rsidR="00911EF7" w:rsidRPr="005B7B0F">
        <w:t xml:space="preserve"> </w:t>
      </w:r>
      <w:r w:rsidR="00F67CD9" w:rsidRPr="005B7B0F">
        <w:t xml:space="preserve">for all social activities </w:t>
      </w:r>
      <w:r w:rsidR="00911EF7" w:rsidRPr="005B7B0F">
        <w:t>indicated greater social participation.</w:t>
      </w:r>
    </w:p>
    <w:p w:rsidR="00E61A9A" w:rsidRPr="005B7B0F" w:rsidRDefault="008147CD" w:rsidP="005C41B7">
      <w:pPr>
        <w:pStyle w:val="APAPar"/>
      </w:pPr>
      <w:bookmarkStart w:id="161" w:name="_Toc521184240"/>
      <w:r w:rsidRPr="005B7B0F">
        <w:rPr>
          <w:rStyle w:val="Heading3Char"/>
        </w:rPr>
        <w:t>Internet use</w:t>
      </w:r>
      <w:r w:rsidR="00A926AF" w:rsidRPr="005B7B0F">
        <w:rPr>
          <w:rStyle w:val="Heading3Char"/>
        </w:rPr>
        <w:t>:</w:t>
      </w:r>
      <w:bookmarkEnd w:id="161"/>
      <w:r w:rsidR="00A926AF" w:rsidRPr="005B7B0F">
        <w:t xml:space="preserve"> </w:t>
      </w:r>
      <w:r w:rsidRPr="005B7B0F">
        <w:t>This variable was measured</w:t>
      </w:r>
      <w:r w:rsidR="00A926AF" w:rsidRPr="005B7B0F">
        <w:t xml:space="preserve"> by </w:t>
      </w:r>
      <w:r w:rsidR="00734C5D" w:rsidRPr="005B7B0F">
        <w:t xml:space="preserve">asking the participants </w:t>
      </w:r>
      <w:r w:rsidR="00E61A9A" w:rsidRPr="005B7B0F">
        <w:t xml:space="preserve">for the use of internet to navigate /email /shop </w:t>
      </w:r>
      <w:r w:rsidR="009D1F76" w:rsidRPr="005B7B0F">
        <w:t>/ chat or for video calling</w:t>
      </w:r>
    </w:p>
    <w:p w:rsidR="00F67CD9" w:rsidRPr="005B7B0F" w:rsidRDefault="00481C88" w:rsidP="005C41B7">
      <w:pPr>
        <w:pStyle w:val="APAPar"/>
      </w:pPr>
      <w:bookmarkStart w:id="162" w:name="_Toc521184241"/>
      <w:r w:rsidRPr="005B7B0F">
        <w:rPr>
          <w:rStyle w:val="Heading3Char"/>
        </w:rPr>
        <w:t>Other activities:</w:t>
      </w:r>
      <w:bookmarkEnd w:id="162"/>
      <w:r w:rsidRPr="005B7B0F">
        <w:t xml:space="preserve"> </w:t>
      </w:r>
      <w:r w:rsidR="0018549C" w:rsidRPr="005B7B0F">
        <w:t xml:space="preserve">Given the importance placed in the political dialogue </w:t>
      </w:r>
      <w:r w:rsidR="00C41A86" w:rsidRPr="005B7B0F">
        <w:t>for</w:t>
      </w:r>
      <w:r w:rsidR="0018549C" w:rsidRPr="005B7B0F">
        <w:t xml:space="preserve"> older adults’ participation in childrearing, labour and care giving, three additional items were included in the </w:t>
      </w:r>
      <w:r w:rsidR="00C41A86" w:rsidRPr="005B7B0F">
        <w:t>research protocol</w:t>
      </w:r>
      <w:r w:rsidR="0018549C" w:rsidRPr="005B7B0F">
        <w:t xml:space="preserve">. Older adults’ participation in these activities were assessed by the items i) have you worked receiving compensation, ii) have you looked after children (grandchildren, friends’ </w:t>
      </w:r>
      <w:r w:rsidR="00EC4D62">
        <w:t>or neighbours’ kids), and iii) h</w:t>
      </w:r>
      <w:r w:rsidR="0018549C" w:rsidRPr="005B7B0F">
        <w:t>ave you cared for a disabled or handicapped person. All responses were forced choice in a 5-point Likert scale, with higher scores indicating greater participation in these activities. No single index was crea</w:t>
      </w:r>
      <w:r w:rsidR="00F67CD9" w:rsidRPr="005B7B0F">
        <w:t>ted for this type of activities</w:t>
      </w:r>
    </w:p>
    <w:p w:rsidR="0018549C" w:rsidRPr="005B7B0F" w:rsidRDefault="0094668B" w:rsidP="00FE028D">
      <w:pPr>
        <w:pStyle w:val="Heading2"/>
      </w:pPr>
      <w:bookmarkStart w:id="163" w:name="_Toc521184242"/>
      <w:r w:rsidRPr="005B7B0F">
        <w:rPr>
          <w:lang w:val="en-GB"/>
        </w:rPr>
        <w:t>I</w:t>
      </w:r>
      <w:r w:rsidRPr="005B7B0F">
        <w:t>nternal</w:t>
      </w:r>
      <w:r w:rsidR="0018549C" w:rsidRPr="005B7B0F">
        <w:t xml:space="preserve"> consistency issues for social participation</w:t>
      </w:r>
      <w:r w:rsidR="00F67CD9" w:rsidRPr="005B7B0F">
        <w:t xml:space="preserve"> frequen</w:t>
      </w:r>
      <w:r w:rsidRPr="005B7B0F">
        <w:t>cy</w:t>
      </w:r>
      <w:r w:rsidR="00F67CD9" w:rsidRPr="005B7B0F">
        <w:t xml:space="preserve"> and social</w:t>
      </w:r>
      <w:r w:rsidR="0018549C" w:rsidRPr="005B7B0F">
        <w:t xml:space="preserve"> network size</w:t>
      </w:r>
      <w:bookmarkEnd w:id="163"/>
      <w:r w:rsidR="00F67CD9" w:rsidRPr="005B7B0F">
        <w:t xml:space="preserve"> </w:t>
      </w:r>
    </w:p>
    <w:p w:rsidR="0018298A" w:rsidRPr="005B7B0F" w:rsidRDefault="0018298A" w:rsidP="005C41B7">
      <w:pPr>
        <w:pStyle w:val="APAPar"/>
      </w:pPr>
      <w:r w:rsidRPr="005B7B0F">
        <w:t>As Spector and Jex (1998) argued, in a traditional effect indicator scale, the included items replicate one another, so that in a structural equation modelling terms, each response reflects directly the underlying construct. In the case of measuring</w:t>
      </w:r>
      <w:r w:rsidR="0018549C" w:rsidRPr="005B7B0F">
        <w:t xml:space="preserve"> social participation and social network </w:t>
      </w:r>
      <w:r w:rsidR="00F26EB5" w:rsidRPr="005B7B0F">
        <w:t>size</w:t>
      </w:r>
      <w:r w:rsidRPr="005B7B0F">
        <w:t xml:space="preserve"> however, each item is not the manifestation of the same activity, but all combined constitute a construct. As Spector and Jex (1998) argued, “we would not say that having poor equipment is equivalent to having inadequate training. However, having both represents a higher level of co</w:t>
      </w:r>
      <w:r w:rsidR="0018549C" w:rsidRPr="005B7B0F">
        <w:t xml:space="preserve">nstraints than only having one”. </w:t>
      </w:r>
      <w:r w:rsidR="00665C67" w:rsidRPr="005B7B0F">
        <w:t xml:space="preserve">Given this </w:t>
      </w:r>
      <w:r w:rsidR="00D547EA" w:rsidRPr="005B7B0F">
        <w:t>argument, and</w:t>
      </w:r>
      <w:r w:rsidR="00665C67" w:rsidRPr="005B7B0F">
        <w:t xml:space="preserve"> a</w:t>
      </w:r>
      <w:r w:rsidR="0018549C" w:rsidRPr="005B7B0F">
        <w:t>s the original instruments created for social participation and social network size did not report an internal consistency analysis, the corresponding indexes will be treated in</w:t>
      </w:r>
      <w:r w:rsidR="00F26EB5" w:rsidRPr="005B7B0F">
        <w:t xml:space="preserve"> the same manner in this thesis</w:t>
      </w:r>
      <w:r w:rsidR="00665C67" w:rsidRPr="005B7B0F">
        <w:t>.</w:t>
      </w:r>
    </w:p>
    <w:p w:rsidR="00647651" w:rsidRPr="005B7B0F" w:rsidRDefault="00647651" w:rsidP="00FE028D">
      <w:pPr>
        <w:pStyle w:val="Heading2"/>
      </w:pPr>
      <w:bookmarkStart w:id="164" w:name="_Toc281220203"/>
      <w:bookmarkStart w:id="165" w:name="_Toc282252413"/>
      <w:bookmarkStart w:id="166" w:name="_Toc414007109"/>
      <w:bookmarkStart w:id="167" w:name="_Toc373425972"/>
      <w:bookmarkStart w:id="168" w:name="_Toc521184243"/>
      <w:bookmarkEnd w:id="156"/>
      <w:r w:rsidRPr="005B7B0F">
        <w:t>Procedure and Ethic</w:t>
      </w:r>
      <w:bookmarkEnd w:id="164"/>
      <w:bookmarkEnd w:id="165"/>
      <w:bookmarkEnd w:id="166"/>
      <w:r w:rsidRPr="005B7B0F">
        <w:t>al Issues</w:t>
      </w:r>
      <w:bookmarkEnd w:id="167"/>
      <w:bookmarkEnd w:id="168"/>
    </w:p>
    <w:p w:rsidR="00647651" w:rsidRPr="005B7B0F" w:rsidRDefault="00647651" w:rsidP="005C41B7">
      <w:pPr>
        <w:pStyle w:val="APAPar"/>
      </w:pPr>
      <w:r w:rsidRPr="005B7B0F">
        <w:t xml:space="preserve">The study received ethics approval from the Department of Sociological Studies in the University of Sheffield. Participants were informed of the purposes of the study and signed an informed consent form. </w:t>
      </w:r>
      <w:r w:rsidR="00756316" w:rsidRPr="005B7B0F">
        <w:t xml:space="preserve">The participants were informed and aware that </w:t>
      </w:r>
      <w:r w:rsidR="00A44061" w:rsidRPr="005B7B0F">
        <w:t>t</w:t>
      </w:r>
      <w:r w:rsidR="00756316" w:rsidRPr="005B7B0F">
        <w:t xml:space="preserve">hey could withdraw from the study at any time. </w:t>
      </w:r>
      <w:r w:rsidRPr="005B7B0F">
        <w:t>Each participant underwent a 2-hour session. The sessions were undertaken in one to one basis from three examiners, namely</w:t>
      </w:r>
      <w:r w:rsidR="00CD6F79">
        <w:t xml:space="preserve"> the author</w:t>
      </w:r>
      <w:r w:rsidRPr="005B7B0F">
        <w:t xml:space="preserve"> and two</w:t>
      </w:r>
      <w:r w:rsidR="006A4938" w:rsidRPr="005B7B0F">
        <w:t xml:space="preserve"> assistant researchers, the </w:t>
      </w:r>
      <w:r w:rsidR="00F26EB5" w:rsidRPr="005B7B0F">
        <w:t>latter</w:t>
      </w:r>
      <w:r w:rsidRPr="005B7B0F">
        <w:t xml:space="preserve"> two </w:t>
      </w:r>
      <w:r w:rsidR="006A4938" w:rsidRPr="005B7B0F">
        <w:t>being</w:t>
      </w:r>
      <w:r w:rsidRPr="005B7B0F">
        <w:t xml:space="preserve"> undergraduate students of psychology. </w:t>
      </w:r>
      <w:r w:rsidR="00F26EB5" w:rsidRPr="005B7B0F">
        <w:t xml:space="preserve">The </w:t>
      </w:r>
      <w:r w:rsidR="006A4938" w:rsidRPr="005B7B0F">
        <w:t xml:space="preserve">research assistants </w:t>
      </w:r>
      <w:r w:rsidRPr="005B7B0F">
        <w:t>underwent 20-hours of training on the administration of the specific neuropsychological tests battery, as well as on the everyday functionality tests. Their work was closely supervised in the entire durati</w:t>
      </w:r>
      <w:r w:rsidR="007A67E4" w:rsidRPr="005B7B0F">
        <w:t>on of the data collection phase</w:t>
      </w:r>
      <w:r w:rsidRPr="005B7B0F">
        <w:t>.</w:t>
      </w:r>
      <w:r w:rsidR="007A67E4" w:rsidRPr="005B7B0F">
        <w:t xml:space="preserve"> </w:t>
      </w:r>
      <w:r w:rsidRPr="005B7B0F">
        <w:t xml:space="preserve">Only </w:t>
      </w:r>
      <w:r w:rsidR="00F26EB5" w:rsidRPr="005B7B0F">
        <w:t>the author</w:t>
      </w:r>
      <w:r w:rsidRPr="005B7B0F">
        <w:t xml:space="preserve"> scored the results. There were no statistically significant differences in the participants’ scores depending on the </w:t>
      </w:r>
      <w:r w:rsidR="00756316" w:rsidRPr="005B7B0F">
        <w:t>person</w:t>
      </w:r>
      <w:r w:rsidRPr="005B7B0F">
        <w:t xml:space="preserve"> that </w:t>
      </w:r>
      <w:r w:rsidR="007A67E4" w:rsidRPr="005B7B0F">
        <w:t>administered the tests</w:t>
      </w:r>
      <w:r w:rsidRPr="005B7B0F">
        <w:t>.</w:t>
      </w:r>
    </w:p>
    <w:p w:rsidR="00DC70F6" w:rsidRPr="005B7B0F" w:rsidRDefault="00647651" w:rsidP="005C41B7">
      <w:pPr>
        <w:pStyle w:val="APAPar"/>
      </w:pPr>
      <w:r w:rsidRPr="005B7B0F">
        <w:t>The primary ethical issue was how to address individuals that score poorly in the</w:t>
      </w:r>
      <w:r w:rsidR="007A67E4" w:rsidRPr="005B7B0F">
        <w:t xml:space="preserve"> neuropsychological assessments, </w:t>
      </w:r>
      <w:r w:rsidR="002166F0" w:rsidRPr="005B7B0F">
        <w:t xml:space="preserve">since </w:t>
      </w:r>
      <w:r w:rsidR="007A67E4" w:rsidRPr="005B7B0F">
        <w:t>this</w:t>
      </w:r>
      <w:r w:rsidRPr="005B7B0F">
        <w:t xml:space="preserve"> would </w:t>
      </w:r>
      <w:r w:rsidR="007A67E4" w:rsidRPr="005B7B0F">
        <w:t xml:space="preserve">potentially signify </w:t>
      </w:r>
      <w:r w:rsidRPr="005B7B0F">
        <w:t xml:space="preserve">the existence of a neurodegenerative disorder. For this case, the following protocol was applied.  </w:t>
      </w:r>
      <w:r w:rsidR="00F26EB5" w:rsidRPr="005B7B0F">
        <w:t xml:space="preserve">The author </w:t>
      </w:r>
      <w:r w:rsidR="00756316" w:rsidRPr="005B7B0F">
        <w:t xml:space="preserve">was the only one who was informing the participants about the results. During this process, </w:t>
      </w:r>
      <w:r w:rsidR="00F26EB5" w:rsidRPr="005B7B0F">
        <w:t>the author</w:t>
      </w:r>
      <w:r w:rsidRPr="005B7B0F">
        <w:t xml:space="preserve"> stated and made clear to the participant that: i) He</w:t>
      </w:r>
      <w:r w:rsidR="00756316" w:rsidRPr="005B7B0F">
        <w:t>/she</w:t>
      </w:r>
      <w:r w:rsidRPr="005B7B0F">
        <w:t xml:space="preserve"> tends to forget a bit more than </w:t>
      </w:r>
      <w:r w:rsidR="00756316" w:rsidRPr="005B7B0F">
        <w:t>usually observed</w:t>
      </w:r>
      <w:r w:rsidRPr="005B7B0F">
        <w:t xml:space="preserve"> ii) The screening te</w:t>
      </w:r>
      <w:r w:rsidR="00BE45CF" w:rsidRPr="005B7B0F">
        <w:t xml:space="preserve">sts are not </w:t>
      </w:r>
      <w:r w:rsidRPr="005B7B0F">
        <w:t xml:space="preserve">diagnostic tools and therefore cannot inform of the existence or absence of any neurodegenerative disorder. </w:t>
      </w:r>
      <w:r w:rsidR="00756316" w:rsidRPr="005B7B0F">
        <w:t>They</w:t>
      </w:r>
      <w:r w:rsidRPr="005B7B0F">
        <w:t xml:space="preserve"> just </w:t>
      </w:r>
      <w:r w:rsidR="00BE45CF" w:rsidRPr="005B7B0F">
        <w:t>assess</w:t>
      </w:r>
      <w:r w:rsidRPr="005B7B0F">
        <w:t xml:space="preserve"> one’s cognitive </w:t>
      </w:r>
      <w:r w:rsidR="00676C2D" w:rsidRPr="005B7B0F">
        <w:t xml:space="preserve">aptitude only, </w:t>
      </w:r>
      <w:r w:rsidRPr="005B7B0F">
        <w:t xml:space="preserve">iii) A referral to the nearest examination centre, or to the participants’ general physician, was proposed, stating that ‘this is just to be on the safe side. Prevention is better and more effective than the treatment for any physical or psychological disorder’ iv) a sheet that included the nearest </w:t>
      </w:r>
      <w:r w:rsidR="002166F0" w:rsidRPr="005B7B0F">
        <w:t xml:space="preserve">neuropsychological </w:t>
      </w:r>
      <w:r w:rsidRPr="005B7B0F">
        <w:t xml:space="preserve">examination centre’s address, telephone number, and a map to go there was handed to the participant, along with the author’s telephone number vi) </w:t>
      </w:r>
      <w:r w:rsidR="00F26EB5" w:rsidRPr="005B7B0F">
        <w:t>The author</w:t>
      </w:r>
      <w:r w:rsidRPr="005B7B0F">
        <w:t xml:space="preserve"> </w:t>
      </w:r>
      <w:r w:rsidR="002166F0" w:rsidRPr="005B7B0F">
        <w:t xml:space="preserve">stated clearly that </w:t>
      </w:r>
      <w:r w:rsidR="00F26EB5" w:rsidRPr="005B7B0F">
        <w:t xml:space="preserve">he </w:t>
      </w:r>
      <w:r w:rsidR="00320D66" w:rsidRPr="005B7B0F">
        <w:t>would be</w:t>
      </w:r>
      <w:r w:rsidR="002166F0" w:rsidRPr="005B7B0F">
        <w:t xml:space="preserve"> </w:t>
      </w:r>
      <w:r w:rsidRPr="005B7B0F">
        <w:t xml:space="preserve">available for any question regarding this issue or for any difficulties faced in setting an appointment </w:t>
      </w:r>
      <w:r w:rsidR="00320D66" w:rsidRPr="005B7B0F">
        <w:t>for the examination</w:t>
      </w:r>
      <w:r w:rsidRPr="005B7B0F">
        <w:t xml:space="preserve"> vii) The participant’s information was available to any individual that escorted the participant, under the condition that the participant allowed </w:t>
      </w:r>
      <w:r w:rsidR="00320D66" w:rsidRPr="005B7B0F">
        <w:t>so</w:t>
      </w:r>
      <w:r w:rsidRPr="005B7B0F">
        <w:t>.</w:t>
      </w:r>
      <w:r w:rsidR="004909E0" w:rsidRPr="005B7B0F">
        <w:t xml:space="preserve"> </w:t>
      </w:r>
    </w:p>
    <w:p w:rsidR="00DC70F6" w:rsidRDefault="00FA06BD" w:rsidP="005C41B7">
      <w:pPr>
        <w:pStyle w:val="APAPar"/>
      </w:pPr>
      <w:r w:rsidRPr="005B7B0F">
        <w:t>The next C</w:t>
      </w:r>
      <w:r w:rsidR="00DC70F6" w:rsidRPr="005B7B0F">
        <w:t xml:space="preserve">hapter </w:t>
      </w:r>
      <w:r w:rsidR="008147CD" w:rsidRPr="005B7B0F">
        <w:t xml:space="preserve">discussed the results of the analyses described above to address </w:t>
      </w:r>
      <w:r w:rsidR="00DC70F6" w:rsidRPr="005B7B0F">
        <w:t>the research questions and</w:t>
      </w:r>
      <w:r w:rsidR="008147CD" w:rsidRPr="005B7B0F">
        <w:t xml:space="preserve"> test the</w:t>
      </w:r>
      <w:r w:rsidR="00DC70F6" w:rsidRPr="005B7B0F">
        <w:t xml:space="preserve"> hypotheses</w:t>
      </w:r>
      <w:r w:rsidR="008147CD" w:rsidRPr="005B7B0F">
        <w:t xml:space="preserve">. </w:t>
      </w:r>
      <w:r w:rsidR="00DC70F6" w:rsidRPr="005B7B0F">
        <w:t xml:space="preserve">This </w:t>
      </w:r>
      <w:r w:rsidR="008147CD" w:rsidRPr="005B7B0F">
        <w:t>is</w:t>
      </w:r>
      <w:r w:rsidR="00DC70F6" w:rsidRPr="005B7B0F">
        <w:t xml:space="preserve"> made in stepwise fashion, where the first </w:t>
      </w:r>
      <w:r w:rsidR="008147CD" w:rsidRPr="005B7B0F">
        <w:t>analyses</w:t>
      </w:r>
      <w:r w:rsidR="00DC70F6" w:rsidRPr="005B7B0F">
        <w:t xml:space="preserve"> (</w:t>
      </w:r>
      <w:r w:rsidR="008147CD" w:rsidRPr="005B7B0F">
        <w:t>analyses</w:t>
      </w:r>
      <w:r w:rsidR="00DC70F6" w:rsidRPr="005B7B0F">
        <w:t xml:space="preserve"> 1 to 4) will inform the mediation analysis in the 5</w:t>
      </w:r>
      <w:r w:rsidR="00DC70F6" w:rsidRPr="005B7B0F">
        <w:rPr>
          <w:vertAlign w:val="superscript"/>
        </w:rPr>
        <w:t>th</w:t>
      </w:r>
      <w:r w:rsidR="00DC70F6" w:rsidRPr="005B7B0F">
        <w:t xml:space="preserve"> </w:t>
      </w:r>
      <w:r w:rsidR="008147CD" w:rsidRPr="005B7B0F">
        <w:t>analyses</w:t>
      </w:r>
      <w:r w:rsidR="00DC70F6" w:rsidRPr="005B7B0F">
        <w:t xml:space="preserve">. For this reason, a brief discussion will follow </w:t>
      </w:r>
      <w:r w:rsidR="00005371" w:rsidRPr="005B7B0F">
        <w:t xml:space="preserve">the </w:t>
      </w:r>
      <w:r w:rsidRPr="005B7B0F">
        <w:t>reporting of results</w:t>
      </w:r>
      <w:r w:rsidR="00005371" w:rsidRPr="005B7B0F">
        <w:t xml:space="preserve"> in each</w:t>
      </w:r>
      <w:r w:rsidR="00DC70F6" w:rsidRPr="005B7B0F">
        <w:t xml:space="preserve"> </w:t>
      </w:r>
      <w:r w:rsidR="008147CD" w:rsidRPr="005B7B0F">
        <w:t>analyses</w:t>
      </w:r>
      <w:r w:rsidR="00DC70F6" w:rsidRPr="005B7B0F">
        <w:t xml:space="preserve">. To add clarity, each analysis will describe all the variables involved </w:t>
      </w:r>
      <w:r w:rsidR="00005371" w:rsidRPr="005B7B0F">
        <w:t>and the statistical procedure involved</w:t>
      </w:r>
      <w:r w:rsidR="00DC70F6" w:rsidRPr="005B7B0F">
        <w:t>. The data were analysed using the SPSS v.24 software and the SPSS v.20 Amos software.</w:t>
      </w:r>
      <w:r w:rsidR="00DC70F6" w:rsidRPr="007A15F6">
        <w:t xml:space="preserve"> </w:t>
      </w:r>
    </w:p>
    <w:p w:rsidR="00DC70F6" w:rsidRDefault="00DC70F6" w:rsidP="005C41B7">
      <w:pPr>
        <w:pStyle w:val="APAPar"/>
      </w:pPr>
    </w:p>
    <w:p w:rsidR="00821293" w:rsidRDefault="00821293">
      <w:pPr>
        <w:rPr>
          <w:rFonts w:ascii="Times New Roman" w:eastAsia="Calibri" w:hAnsi="Times New Roman" w:cs="Times New Roman"/>
          <w:color w:val="000000"/>
          <w:szCs w:val="20"/>
        </w:rPr>
      </w:pPr>
      <w:r>
        <w:br w:type="page"/>
      </w:r>
    </w:p>
    <w:p w:rsidR="00647651" w:rsidRPr="00821293" w:rsidRDefault="00FE028D" w:rsidP="00DC70F6">
      <w:pPr>
        <w:pStyle w:val="Heading1"/>
      </w:pPr>
      <w:bookmarkStart w:id="169" w:name="_Toc373425973"/>
      <w:bookmarkStart w:id="170" w:name="_Toc521184244"/>
      <w:r>
        <w:t xml:space="preserve">CHAPTER </w:t>
      </w:r>
      <w:r w:rsidR="00A829CB">
        <w:t xml:space="preserve"> </w:t>
      </w:r>
      <w:r>
        <w:t xml:space="preserve">7  </w:t>
      </w:r>
      <w:r w:rsidR="00834F2E">
        <w:t>ANALYSES AND</w:t>
      </w:r>
      <w:r w:rsidR="00B73E0C">
        <w:t xml:space="preserve"> </w:t>
      </w:r>
      <w:r w:rsidR="00B73E0C" w:rsidRPr="00821293">
        <w:t>RESULTS</w:t>
      </w:r>
      <w:bookmarkEnd w:id="169"/>
      <w:bookmarkEnd w:id="170"/>
    </w:p>
    <w:p w:rsidR="006424EA" w:rsidRDefault="00EF7100" w:rsidP="00FE028D">
      <w:pPr>
        <w:pStyle w:val="Heading2"/>
      </w:pPr>
      <w:bookmarkStart w:id="171" w:name="_Toc521184245"/>
      <w:r>
        <w:t>Analysis</w:t>
      </w:r>
      <w:r w:rsidR="006424EA">
        <w:t xml:space="preserve"> 1 Validation of the OTDL-G and EPT-G</w:t>
      </w:r>
      <w:bookmarkEnd w:id="171"/>
    </w:p>
    <w:p w:rsidR="004F3720" w:rsidRPr="00BF2B3E" w:rsidRDefault="00E376FA" w:rsidP="0091167E">
      <w:pPr>
        <w:pStyle w:val="Heading3"/>
      </w:pPr>
      <w:bookmarkStart w:id="172" w:name="_Toc521184246"/>
      <w:r>
        <w:t>Introduction</w:t>
      </w:r>
      <w:bookmarkEnd w:id="172"/>
    </w:p>
    <w:p w:rsidR="00F337D0" w:rsidRDefault="00F337D0" w:rsidP="005C41B7">
      <w:pPr>
        <w:pStyle w:val="APAPar"/>
      </w:pPr>
      <w:r w:rsidRPr="00F337D0">
        <w:rPr>
          <w:rStyle w:val="Heading3Char"/>
        </w:rPr>
        <w:t xml:space="preserve"> </w:t>
      </w:r>
      <w:r w:rsidR="006424EA">
        <w:rPr>
          <w:lang w:val="en-US"/>
        </w:rPr>
        <w:t>T</w:t>
      </w:r>
      <w:r w:rsidR="006424EA">
        <w:t>he first analysis will address the psychometric properties of the everyday fun</w:t>
      </w:r>
      <w:r w:rsidR="00E101B8">
        <w:t>ctioning tools OTDL-G and EPT-G.</w:t>
      </w:r>
      <w:r w:rsidR="003375CC" w:rsidRPr="003375CC">
        <w:t xml:space="preserve"> </w:t>
      </w:r>
      <w:r w:rsidR="00E101B8">
        <w:t>In addition, it</w:t>
      </w:r>
      <w:r w:rsidR="003375CC">
        <w:t xml:space="preserve"> </w:t>
      </w:r>
      <w:r w:rsidR="0029295E">
        <w:t>will compare</w:t>
      </w:r>
      <w:r w:rsidR="003375CC">
        <w:t xml:space="preserve"> the results with the corresponding inde</w:t>
      </w:r>
      <w:r w:rsidR="00E101B8">
        <w:t>xes of the original instruments, in order to assess t</w:t>
      </w:r>
      <w:r w:rsidR="003375CC">
        <w:t>heir equivalence,</w:t>
      </w:r>
      <w:r w:rsidR="006424EA">
        <w:t xml:space="preserve"> </w:t>
      </w:r>
      <w:r w:rsidR="00330364">
        <w:rPr>
          <w:lang w:val="en-US"/>
        </w:rPr>
        <w:t xml:space="preserve">and as an </w:t>
      </w:r>
      <w:r w:rsidR="006424EA">
        <w:t>indication of t</w:t>
      </w:r>
      <w:r w:rsidR="00E101B8">
        <w:t>he</w:t>
      </w:r>
      <w:r w:rsidR="005052B7">
        <w:t>ir</w:t>
      </w:r>
      <w:r w:rsidR="006424EA">
        <w:t xml:space="preserve"> successful translation and adaptation </w:t>
      </w:r>
      <w:r w:rsidR="00330364">
        <w:t>to</w:t>
      </w:r>
      <w:r w:rsidR="006424EA">
        <w:t xml:space="preserve"> the Greek context (Geisinger, 1994). </w:t>
      </w:r>
      <w:r w:rsidR="00E101B8">
        <w:t>In this context, the instruments’ r</w:t>
      </w:r>
      <w:r w:rsidR="006424EA">
        <w:t xml:space="preserve">eliability will be examined with Cronbach’s internal consistency, </w:t>
      </w:r>
      <w:r w:rsidR="004F3720">
        <w:t>as well as with</w:t>
      </w:r>
      <w:r w:rsidR="00E101B8">
        <w:t xml:space="preserve"> </w:t>
      </w:r>
      <w:r w:rsidR="006424EA">
        <w:t xml:space="preserve">interrater reliability analysis. </w:t>
      </w:r>
      <w:r w:rsidR="00E101B8">
        <w:t>The instruments’ v</w:t>
      </w:r>
      <w:r w:rsidR="006424EA">
        <w:t xml:space="preserve">alidity will be assessed by </w:t>
      </w:r>
      <w:r w:rsidR="00E101B8">
        <w:t>their</w:t>
      </w:r>
      <w:r w:rsidR="006424EA">
        <w:t xml:space="preserve"> criterion</w:t>
      </w:r>
      <w:r w:rsidR="00E101B8">
        <w:t>-related validity</w:t>
      </w:r>
      <w:r w:rsidR="006424EA">
        <w:t xml:space="preserve">, namely whether the instruments correlate </w:t>
      </w:r>
      <w:r w:rsidR="003D7C21">
        <w:t>statistically significant</w:t>
      </w:r>
      <w:r w:rsidR="006424EA">
        <w:t xml:space="preserve"> with age, educ</w:t>
      </w:r>
      <w:r w:rsidR="00E101B8">
        <w:t xml:space="preserve">ation, TMT-A, TMT-B, </w:t>
      </w:r>
      <w:r w:rsidR="006424EA">
        <w:t>, VF, WM, LC, STM and LTM</w:t>
      </w:r>
      <w:r w:rsidR="004F3720">
        <w:t>, as proposed by Diehl et al. (2005)</w:t>
      </w:r>
      <w:r w:rsidR="006424EA">
        <w:t>. Validity will also be assessed by a differential item difficulty analysis (c</w:t>
      </w:r>
      <w:r w:rsidR="001D1A06">
        <w:t xml:space="preserve">orrect </w:t>
      </w:r>
      <w:r w:rsidR="00330364">
        <w:t>vs.</w:t>
      </w:r>
      <w:r w:rsidR="001D1A06">
        <w:t xml:space="preserve"> incorrect responses), assessing whether they are in accordance with the commonly set standard range (i.e., 20 to 80%) for item difficulty (Taib &amp; Yusoff, 2014).</w:t>
      </w:r>
    </w:p>
    <w:p w:rsidR="00C82BDE" w:rsidRDefault="00E376FA" w:rsidP="0091167E">
      <w:pPr>
        <w:pStyle w:val="Heading3"/>
      </w:pPr>
      <w:bookmarkStart w:id="173" w:name="_Toc521184247"/>
      <w:r>
        <w:t xml:space="preserve">Analysis and </w:t>
      </w:r>
      <w:r w:rsidR="00C82BDE">
        <w:t>Results</w:t>
      </w:r>
      <w:bookmarkEnd w:id="173"/>
    </w:p>
    <w:p w:rsidR="00B0017E" w:rsidRDefault="004977C6" w:rsidP="005C41B7">
      <w:pPr>
        <w:pStyle w:val="APAPar"/>
      </w:pPr>
      <w:r>
        <w:t>The average completion time was 48 minutes (</w:t>
      </w:r>
      <w:r w:rsidRPr="004977C6">
        <w:rPr>
          <w:i/>
        </w:rPr>
        <w:t>SD</w:t>
      </w:r>
      <w:r>
        <w:t xml:space="preserve"> =</w:t>
      </w:r>
      <w:r w:rsidR="001D1A06">
        <w:t xml:space="preserve"> 18.06) for the EPT-G and 22.56</w:t>
      </w:r>
      <w:r>
        <w:t xml:space="preserve"> minutes (</w:t>
      </w:r>
      <w:r w:rsidRPr="004977C6">
        <w:rPr>
          <w:i/>
        </w:rPr>
        <w:t>SD</w:t>
      </w:r>
      <w:r>
        <w:t xml:space="preserve"> = 4.63) for the OTDL-G. </w:t>
      </w:r>
      <w:r w:rsidR="005052B7" w:rsidRPr="007A15F6">
        <w:t xml:space="preserve">The EPT-G had an </w:t>
      </w:r>
      <w:r w:rsidR="005052B7">
        <w:t xml:space="preserve">internal consistency of </w:t>
      </w:r>
      <w:r w:rsidR="005052B7" w:rsidRPr="00FC151D">
        <w:rPr>
          <w:i/>
        </w:rPr>
        <w:t>α</w:t>
      </w:r>
      <w:r w:rsidR="005052B7">
        <w:t xml:space="preserve"> = .880, and t</w:t>
      </w:r>
      <w:r w:rsidR="005052B7" w:rsidRPr="007A15F6">
        <w:t xml:space="preserve">he OTDL-G had an internal consistency of </w:t>
      </w:r>
      <w:r w:rsidR="005052B7" w:rsidRPr="007A15F6">
        <w:rPr>
          <w:i/>
        </w:rPr>
        <w:t>α</w:t>
      </w:r>
      <w:r w:rsidR="005052B7">
        <w:t xml:space="preserve"> = .678</w:t>
      </w:r>
      <w:r w:rsidR="005052B7" w:rsidRPr="007A15F6">
        <w:t xml:space="preserve">. </w:t>
      </w:r>
      <w:r w:rsidR="0065278B">
        <w:t>Pearson correlation coefficient analysis revealed that the</w:t>
      </w:r>
      <w:r w:rsidR="005052B7">
        <w:t xml:space="preserve"> EPT-G and the OTDL-G correlate</w:t>
      </w:r>
      <w:r w:rsidR="0065278B">
        <w:t xml:space="preserve"> strongly (</w:t>
      </w:r>
      <w:r w:rsidR="0065278B" w:rsidRPr="000B71C8">
        <w:rPr>
          <w:i/>
        </w:rPr>
        <w:t>r</w:t>
      </w:r>
      <w:r w:rsidR="0065278B">
        <w:t xml:space="preserve"> = .704, </w:t>
      </w:r>
      <w:r w:rsidR="0065278B" w:rsidRPr="000B71C8">
        <w:rPr>
          <w:i/>
        </w:rPr>
        <w:t>p</w:t>
      </w:r>
      <w:r w:rsidR="0065278B">
        <w:t xml:space="preserve"> </w:t>
      </w:r>
      <w:r w:rsidR="008269D1">
        <w:t>&lt;</w:t>
      </w:r>
      <w:r w:rsidR="0065278B">
        <w:t xml:space="preserve"> </w:t>
      </w:r>
      <w:r w:rsidR="008269D1">
        <w:t>.001</w:t>
      </w:r>
      <w:r w:rsidR="0065278B">
        <w:t>)</w:t>
      </w:r>
      <w:r w:rsidR="00676C2D">
        <w:t xml:space="preserve">. </w:t>
      </w:r>
      <w:r w:rsidR="00795983">
        <w:t xml:space="preserve">One way ANOVA analysis did not reveal any </w:t>
      </w:r>
      <w:r w:rsidR="00795983" w:rsidRPr="007A15F6">
        <w:t xml:space="preserve">statistically significant differences in EPT-G </w:t>
      </w:r>
      <w:r w:rsidR="00795983">
        <w:t xml:space="preserve">and OTDL-G </w:t>
      </w:r>
      <w:r w:rsidR="00795983" w:rsidRPr="007A15F6">
        <w:t>scores</w:t>
      </w:r>
      <w:r w:rsidR="00795983">
        <w:t xml:space="preserve"> between the three researchers [for EPT scores </w:t>
      </w:r>
      <w:r w:rsidR="00795983" w:rsidRPr="00FC151D">
        <w:rPr>
          <w:i/>
        </w:rPr>
        <w:t>F</w:t>
      </w:r>
      <w:r w:rsidR="00795983">
        <w:t>(2,85</w:t>
      </w:r>
      <w:r w:rsidR="00795983" w:rsidRPr="007A15F6">
        <w:t xml:space="preserve">) = </w:t>
      </w:r>
      <w:r w:rsidR="00795983">
        <w:t>1.816</w:t>
      </w:r>
      <w:r w:rsidR="00795983" w:rsidRPr="007A15F6">
        <w:t xml:space="preserve">, </w:t>
      </w:r>
      <w:r w:rsidR="00795983" w:rsidRPr="00FC151D">
        <w:rPr>
          <w:i/>
        </w:rPr>
        <w:t>p</w:t>
      </w:r>
      <w:r w:rsidR="00795983" w:rsidRPr="007A15F6">
        <w:t xml:space="preserve"> = .</w:t>
      </w:r>
      <w:r w:rsidR="00795983">
        <w:t>169</w:t>
      </w:r>
      <w:r w:rsidR="003D7C21">
        <w:t xml:space="preserve"> </w:t>
      </w:r>
      <w:r w:rsidR="00795983" w:rsidRPr="007A15F6">
        <w:t xml:space="preserve">and </w:t>
      </w:r>
      <w:r w:rsidR="003D7C21">
        <w:t xml:space="preserve">for OTDL-G scores </w:t>
      </w:r>
      <w:r w:rsidR="00795983" w:rsidRPr="00FC151D">
        <w:rPr>
          <w:i/>
        </w:rPr>
        <w:t>F</w:t>
      </w:r>
      <w:r w:rsidR="00795983">
        <w:t>(2,85</w:t>
      </w:r>
      <w:r w:rsidR="00795983" w:rsidRPr="007A15F6">
        <w:t xml:space="preserve">) = </w:t>
      </w:r>
      <w:r w:rsidR="00795983">
        <w:t>1.360</w:t>
      </w:r>
      <w:r w:rsidR="00795983" w:rsidRPr="007A15F6">
        <w:t xml:space="preserve">, </w:t>
      </w:r>
      <w:r w:rsidR="00795983" w:rsidRPr="00FC151D">
        <w:rPr>
          <w:i/>
        </w:rPr>
        <w:t>p</w:t>
      </w:r>
      <w:r w:rsidR="00795983" w:rsidRPr="007A15F6">
        <w:t xml:space="preserve"> = .</w:t>
      </w:r>
      <w:r w:rsidR="00795983">
        <w:t>262</w:t>
      </w:r>
      <w:r w:rsidR="00795983" w:rsidRPr="007A15F6">
        <w:t>].</w:t>
      </w:r>
      <w:r w:rsidR="00795983" w:rsidRPr="007A15F6">
        <w:rPr>
          <w:noProof/>
        </w:rPr>
        <w:t xml:space="preserve"> </w:t>
      </w:r>
      <w:r w:rsidR="00795983">
        <w:t xml:space="preserve"> </w:t>
      </w:r>
      <w:r w:rsidR="00E101B8">
        <w:t xml:space="preserve">The Pearson correlation coefficients </w:t>
      </w:r>
      <w:r w:rsidR="00647651" w:rsidRPr="007A15F6">
        <w:t xml:space="preserve">of the participants’ performance in the neuropsychological assessments and the two </w:t>
      </w:r>
      <w:r w:rsidR="00F337D0">
        <w:t>everyday functioning</w:t>
      </w:r>
      <w:r w:rsidR="00647651" w:rsidRPr="007A15F6">
        <w:t xml:space="preserve"> assessments</w:t>
      </w:r>
      <w:r w:rsidR="004570C4">
        <w:t xml:space="preserve">, along with the </w:t>
      </w:r>
      <w:r w:rsidR="004570C4" w:rsidRPr="007A15F6">
        <w:t>means and standard deviations</w:t>
      </w:r>
      <w:r w:rsidR="004570C4">
        <w:t xml:space="preserve"> of the measures</w:t>
      </w:r>
      <w:r w:rsidR="00647651" w:rsidRPr="007A15F6">
        <w:t xml:space="preserve"> are depicted in Table </w:t>
      </w:r>
      <w:r w:rsidR="00B0017E">
        <w:t>7.1</w:t>
      </w:r>
      <w:r w:rsidR="001B7F81">
        <w:t>.</w:t>
      </w:r>
    </w:p>
    <w:p w:rsidR="001B7F81" w:rsidRDefault="00B0017E" w:rsidP="0091167E">
      <w:pPr>
        <w:pStyle w:val="APAPar"/>
        <w:widowControl w:val="0"/>
        <w:ind w:left="979" w:right="0" w:hanging="979"/>
      </w:pPr>
      <w:r>
        <w:rPr>
          <w:rStyle w:val="IntenseEmphasis"/>
        </w:rPr>
        <w:t>Table 7</w:t>
      </w:r>
      <w:r w:rsidR="001B7F81" w:rsidRPr="00F337D0">
        <w:rPr>
          <w:rStyle w:val="IntenseEmphasis"/>
        </w:rPr>
        <w:t>.</w:t>
      </w:r>
      <w:r>
        <w:rPr>
          <w:rStyle w:val="IntenseEmphasis"/>
        </w:rPr>
        <w:t>1</w:t>
      </w:r>
      <w:r w:rsidR="001B7F81" w:rsidRPr="00F337D0">
        <w:rPr>
          <w:rStyle w:val="IntenseEmphasis"/>
        </w:rPr>
        <w:t xml:space="preserve"> </w:t>
      </w:r>
      <w:r w:rsidR="00B73E0C">
        <w:rPr>
          <w:rStyle w:val="IntenseEmphasis"/>
        </w:rPr>
        <w:t>Pearson Correlation Coefficients, Means and Standard Deviations of Scores in Neuropsychological and Everyday functioning A</w:t>
      </w:r>
      <w:r w:rsidR="001B7F81" w:rsidRPr="00E101B8">
        <w:rPr>
          <w:rStyle w:val="IntenseEmphasis"/>
        </w:rPr>
        <w:t>ssessments</w:t>
      </w:r>
    </w:p>
    <w:tbl>
      <w:tblPr>
        <w:tblW w:w="8568" w:type="dxa"/>
        <w:jc w:val="center"/>
        <w:tblBorders>
          <w:insideH w:val="single" w:sz="4" w:space="0" w:color="auto"/>
        </w:tblBorders>
        <w:tblLayout w:type="fixed"/>
        <w:tblCellMar>
          <w:left w:w="0" w:type="dxa"/>
          <w:right w:w="0" w:type="dxa"/>
        </w:tblCellMar>
        <w:tblLook w:val="0000" w:firstRow="0" w:lastRow="0" w:firstColumn="0" w:lastColumn="0" w:noHBand="0" w:noVBand="0"/>
      </w:tblPr>
      <w:tblGrid>
        <w:gridCol w:w="168"/>
        <w:gridCol w:w="903"/>
        <w:gridCol w:w="708"/>
        <w:gridCol w:w="851"/>
        <w:gridCol w:w="850"/>
        <w:gridCol w:w="708"/>
        <w:gridCol w:w="851"/>
        <w:gridCol w:w="850"/>
        <w:gridCol w:w="709"/>
        <w:gridCol w:w="851"/>
        <w:gridCol w:w="572"/>
        <w:gridCol w:w="547"/>
      </w:tblGrid>
      <w:tr w:rsidR="00371755" w:rsidRPr="007A15F6" w:rsidTr="005052B7">
        <w:trPr>
          <w:gridBefore w:val="1"/>
          <w:wBefore w:w="168" w:type="dxa"/>
          <w:cantSplit/>
          <w:trHeight w:val="432"/>
          <w:jc w:val="center"/>
        </w:trPr>
        <w:tc>
          <w:tcPr>
            <w:tcW w:w="903" w:type="dxa"/>
            <w:shd w:val="clear" w:color="auto" w:fill="FFFFFF"/>
          </w:tcPr>
          <w:p w:rsidR="00371755" w:rsidRPr="007A15F6" w:rsidRDefault="00371755" w:rsidP="005052B7">
            <w:pPr>
              <w:autoSpaceDE w:val="0"/>
              <w:autoSpaceDN w:val="0"/>
              <w:adjustRightInd w:val="0"/>
              <w:spacing w:line="360" w:lineRule="auto"/>
              <w:ind w:left="60" w:right="60"/>
              <w:rPr>
                <w:rFonts w:ascii="Times New Roman" w:hAnsi="Times New Roman" w:cs="Times New Roman"/>
                <w:color w:val="000000"/>
                <w:sz w:val="20"/>
                <w:szCs w:val="20"/>
              </w:rPr>
            </w:pPr>
          </w:p>
        </w:tc>
        <w:tc>
          <w:tcPr>
            <w:tcW w:w="708" w:type="dxa"/>
            <w:shd w:val="clear" w:color="auto" w:fill="FFFFFF"/>
            <w:vAlign w:val="center"/>
          </w:tcPr>
          <w:p w:rsidR="00371755" w:rsidRPr="005052B7" w:rsidRDefault="00371755" w:rsidP="005052B7">
            <w:pPr>
              <w:autoSpaceDE w:val="0"/>
              <w:autoSpaceDN w:val="0"/>
              <w:adjustRightInd w:val="0"/>
              <w:spacing w:line="360" w:lineRule="auto"/>
              <w:ind w:left="60" w:right="60"/>
              <w:jc w:val="center"/>
              <w:rPr>
                <w:rFonts w:ascii="Times New Roman" w:hAnsi="Times New Roman" w:cs="Times New Roman"/>
                <w:color w:val="000000"/>
                <w:sz w:val="22"/>
                <w:szCs w:val="20"/>
              </w:rPr>
            </w:pPr>
            <w:r w:rsidRPr="005052B7">
              <w:rPr>
                <w:rFonts w:ascii="Times New Roman" w:hAnsi="Times New Roman" w:cs="Times New Roman"/>
                <w:color w:val="000000"/>
                <w:sz w:val="22"/>
                <w:szCs w:val="20"/>
              </w:rPr>
              <w:t>VF</w:t>
            </w:r>
          </w:p>
        </w:tc>
        <w:tc>
          <w:tcPr>
            <w:tcW w:w="851" w:type="dxa"/>
            <w:shd w:val="clear" w:color="auto" w:fill="FFFFFF"/>
            <w:vAlign w:val="center"/>
          </w:tcPr>
          <w:p w:rsidR="00371755" w:rsidRPr="005052B7" w:rsidRDefault="00371755" w:rsidP="005052B7">
            <w:pPr>
              <w:autoSpaceDE w:val="0"/>
              <w:autoSpaceDN w:val="0"/>
              <w:adjustRightInd w:val="0"/>
              <w:spacing w:line="360" w:lineRule="auto"/>
              <w:ind w:left="60" w:right="60"/>
              <w:jc w:val="center"/>
              <w:rPr>
                <w:rFonts w:ascii="Times New Roman" w:hAnsi="Times New Roman" w:cs="Times New Roman"/>
                <w:color w:val="000000"/>
                <w:sz w:val="22"/>
                <w:szCs w:val="20"/>
              </w:rPr>
            </w:pPr>
            <w:r w:rsidRPr="005052B7">
              <w:rPr>
                <w:rFonts w:ascii="Times New Roman" w:hAnsi="Times New Roman" w:cs="Times New Roman"/>
                <w:color w:val="000000"/>
                <w:sz w:val="22"/>
                <w:szCs w:val="20"/>
              </w:rPr>
              <w:t>TMT-A</w:t>
            </w:r>
          </w:p>
        </w:tc>
        <w:tc>
          <w:tcPr>
            <w:tcW w:w="850" w:type="dxa"/>
            <w:shd w:val="clear" w:color="auto" w:fill="FFFFFF"/>
            <w:vAlign w:val="center"/>
          </w:tcPr>
          <w:p w:rsidR="00371755" w:rsidRPr="005052B7" w:rsidRDefault="00371755" w:rsidP="005052B7">
            <w:pPr>
              <w:autoSpaceDE w:val="0"/>
              <w:autoSpaceDN w:val="0"/>
              <w:adjustRightInd w:val="0"/>
              <w:spacing w:line="360" w:lineRule="auto"/>
              <w:ind w:left="60" w:right="60"/>
              <w:jc w:val="center"/>
              <w:rPr>
                <w:rFonts w:ascii="Times New Roman" w:hAnsi="Times New Roman" w:cs="Times New Roman"/>
                <w:color w:val="000000"/>
                <w:sz w:val="22"/>
                <w:szCs w:val="20"/>
              </w:rPr>
            </w:pPr>
            <w:r w:rsidRPr="005052B7">
              <w:rPr>
                <w:rFonts w:ascii="Times New Roman" w:hAnsi="Times New Roman" w:cs="Times New Roman"/>
                <w:color w:val="000000"/>
                <w:sz w:val="22"/>
                <w:szCs w:val="20"/>
              </w:rPr>
              <w:t>TMT-B</w:t>
            </w:r>
          </w:p>
        </w:tc>
        <w:tc>
          <w:tcPr>
            <w:tcW w:w="708" w:type="dxa"/>
            <w:shd w:val="clear" w:color="auto" w:fill="FFFFFF"/>
            <w:vAlign w:val="center"/>
          </w:tcPr>
          <w:p w:rsidR="00371755" w:rsidRPr="005052B7" w:rsidRDefault="00371755" w:rsidP="005052B7">
            <w:pPr>
              <w:autoSpaceDE w:val="0"/>
              <w:autoSpaceDN w:val="0"/>
              <w:adjustRightInd w:val="0"/>
              <w:spacing w:line="360" w:lineRule="auto"/>
              <w:ind w:left="60" w:right="60"/>
              <w:jc w:val="center"/>
              <w:rPr>
                <w:rFonts w:ascii="Times New Roman" w:hAnsi="Times New Roman" w:cs="Times New Roman"/>
                <w:color w:val="000000"/>
                <w:sz w:val="22"/>
                <w:szCs w:val="20"/>
              </w:rPr>
            </w:pPr>
            <w:r w:rsidRPr="005052B7">
              <w:rPr>
                <w:rFonts w:ascii="Times New Roman" w:hAnsi="Times New Roman" w:cs="Times New Roman"/>
                <w:color w:val="000000"/>
                <w:sz w:val="22"/>
                <w:szCs w:val="20"/>
              </w:rPr>
              <w:t>WM</w:t>
            </w:r>
          </w:p>
        </w:tc>
        <w:tc>
          <w:tcPr>
            <w:tcW w:w="851" w:type="dxa"/>
            <w:shd w:val="clear" w:color="auto" w:fill="FFFFFF"/>
            <w:vAlign w:val="center"/>
          </w:tcPr>
          <w:p w:rsidR="00371755" w:rsidRPr="005052B7" w:rsidRDefault="00371755" w:rsidP="005052B7">
            <w:pPr>
              <w:autoSpaceDE w:val="0"/>
              <w:autoSpaceDN w:val="0"/>
              <w:adjustRightInd w:val="0"/>
              <w:spacing w:line="360" w:lineRule="auto"/>
              <w:ind w:left="60" w:right="60"/>
              <w:jc w:val="center"/>
              <w:rPr>
                <w:rFonts w:ascii="Times New Roman" w:hAnsi="Times New Roman" w:cs="Times New Roman"/>
                <w:color w:val="000000"/>
                <w:sz w:val="22"/>
                <w:szCs w:val="20"/>
              </w:rPr>
            </w:pPr>
            <w:r w:rsidRPr="005052B7">
              <w:rPr>
                <w:rFonts w:ascii="Times New Roman" w:hAnsi="Times New Roman" w:cs="Times New Roman"/>
                <w:color w:val="000000"/>
                <w:sz w:val="22"/>
                <w:szCs w:val="20"/>
              </w:rPr>
              <w:t>LC</w:t>
            </w:r>
          </w:p>
        </w:tc>
        <w:tc>
          <w:tcPr>
            <w:tcW w:w="850" w:type="dxa"/>
            <w:shd w:val="clear" w:color="auto" w:fill="FFFFFF"/>
            <w:vAlign w:val="center"/>
          </w:tcPr>
          <w:p w:rsidR="00371755" w:rsidRPr="005052B7" w:rsidRDefault="00371755" w:rsidP="005052B7">
            <w:pPr>
              <w:autoSpaceDE w:val="0"/>
              <w:autoSpaceDN w:val="0"/>
              <w:adjustRightInd w:val="0"/>
              <w:spacing w:line="360" w:lineRule="auto"/>
              <w:ind w:left="60" w:right="60"/>
              <w:jc w:val="center"/>
              <w:rPr>
                <w:rFonts w:ascii="Times New Roman" w:hAnsi="Times New Roman" w:cs="Times New Roman"/>
                <w:color w:val="000000"/>
                <w:sz w:val="22"/>
                <w:szCs w:val="20"/>
              </w:rPr>
            </w:pPr>
            <w:r w:rsidRPr="005052B7">
              <w:rPr>
                <w:rFonts w:ascii="Times New Roman" w:hAnsi="Times New Roman" w:cs="Times New Roman"/>
                <w:color w:val="000000"/>
                <w:sz w:val="22"/>
                <w:szCs w:val="20"/>
              </w:rPr>
              <w:t>STM</w:t>
            </w:r>
          </w:p>
        </w:tc>
        <w:tc>
          <w:tcPr>
            <w:tcW w:w="709" w:type="dxa"/>
            <w:shd w:val="clear" w:color="auto" w:fill="FFFFFF"/>
            <w:vAlign w:val="center"/>
          </w:tcPr>
          <w:p w:rsidR="00371755" w:rsidRPr="005052B7" w:rsidRDefault="00371755" w:rsidP="005052B7">
            <w:pPr>
              <w:autoSpaceDE w:val="0"/>
              <w:autoSpaceDN w:val="0"/>
              <w:adjustRightInd w:val="0"/>
              <w:spacing w:line="360" w:lineRule="auto"/>
              <w:ind w:left="60" w:right="60"/>
              <w:jc w:val="center"/>
              <w:rPr>
                <w:rFonts w:ascii="Times New Roman" w:hAnsi="Times New Roman" w:cs="Times New Roman"/>
                <w:color w:val="000000"/>
                <w:sz w:val="22"/>
                <w:szCs w:val="20"/>
              </w:rPr>
            </w:pPr>
            <w:r w:rsidRPr="005052B7">
              <w:rPr>
                <w:rFonts w:ascii="Times New Roman" w:hAnsi="Times New Roman" w:cs="Times New Roman"/>
                <w:color w:val="000000"/>
                <w:sz w:val="22"/>
                <w:szCs w:val="20"/>
              </w:rPr>
              <w:t>LTM</w:t>
            </w:r>
          </w:p>
        </w:tc>
        <w:tc>
          <w:tcPr>
            <w:tcW w:w="851" w:type="dxa"/>
            <w:shd w:val="clear" w:color="auto" w:fill="FFFFFF"/>
            <w:vAlign w:val="center"/>
          </w:tcPr>
          <w:p w:rsidR="00371755" w:rsidRPr="005052B7" w:rsidRDefault="00371755" w:rsidP="005052B7">
            <w:pPr>
              <w:autoSpaceDE w:val="0"/>
              <w:autoSpaceDN w:val="0"/>
              <w:adjustRightInd w:val="0"/>
              <w:spacing w:line="360" w:lineRule="auto"/>
              <w:ind w:left="60" w:right="60"/>
              <w:jc w:val="center"/>
              <w:rPr>
                <w:rFonts w:ascii="Times New Roman" w:hAnsi="Times New Roman" w:cs="Times New Roman"/>
                <w:color w:val="000000"/>
                <w:sz w:val="22"/>
                <w:szCs w:val="20"/>
              </w:rPr>
            </w:pPr>
            <w:r w:rsidRPr="005052B7">
              <w:rPr>
                <w:rFonts w:ascii="Times New Roman" w:hAnsi="Times New Roman" w:cs="Times New Roman"/>
                <w:color w:val="000000"/>
                <w:sz w:val="22"/>
                <w:szCs w:val="20"/>
              </w:rPr>
              <w:t>Age</w:t>
            </w:r>
          </w:p>
        </w:tc>
        <w:tc>
          <w:tcPr>
            <w:tcW w:w="572" w:type="dxa"/>
            <w:shd w:val="clear" w:color="auto" w:fill="FFFFFF"/>
            <w:vAlign w:val="center"/>
          </w:tcPr>
          <w:p w:rsidR="00371755" w:rsidRPr="003D7C21" w:rsidRDefault="00371755" w:rsidP="005052B7">
            <w:pPr>
              <w:autoSpaceDE w:val="0"/>
              <w:autoSpaceDN w:val="0"/>
              <w:adjustRightInd w:val="0"/>
              <w:spacing w:line="360" w:lineRule="auto"/>
              <w:ind w:left="60" w:right="60"/>
              <w:jc w:val="center"/>
              <w:rPr>
                <w:rFonts w:ascii="Times New Roman" w:hAnsi="Times New Roman" w:cs="Times New Roman"/>
                <w:i/>
                <w:color w:val="000000"/>
                <w:sz w:val="20"/>
                <w:szCs w:val="20"/>
              </w:rPr>
            </w:pPr>
            <w:r w:rsidRPr="003D7C21">
              <w:rPr>
                <w:rFonts w:ascii="Times New Roman" w:hAnsi="Times New Roman" w:cs="Times New Roman"/>
                <w:i/>
                <w:color w:val="000000"/>
                <w:sz w:val="20"/>
                <w:szCs w:val="20"/>
              </w:rPr>
              <w:t>M</w:t>
            </w:r>
          </w:p>
        </w:tc>
        <w:tc>
          <w:tcPr>
            <w:tcW w:w="547" w:type="dxa"/>
            <w:shd w:val="clear" w:color="auto" w:fill="FFFFFF"/>
            <w:vAlign w:val="center"/>
          </w:tcPr>
          <w:p w:rsidR="00371755" w:rsidRPr="003D7C21" w:rsidRDefault="00371755" w:rsidP="005052B7">
            <w:pPr>
              <w:autoSpaceDE w:val="0"/>
              <w:autoSpaceDN w:val="0"/>
              <w:adjustRightInd w:val="0"/>
              <w:spacing w:line="360" w:lineRule="auto"/>
              <w:ind w:left="60" w:right="60"/>
              <w:jc w:val="center"/>
              <w:rPr>
                <w:rFonts w:ascii="Times New Roman" w:hAnsi="Times New Roman" w:cs="Times New Roman"/>
                <w:i/>
                <w:color w:val="000000"/>
                <w:sz w:val="20"/>
                <w:szCs w:val="20"/>
              </w:rPr>
            </w:pPr>
            <w:r w:rsidRPr="003D7C21">
              <w:rPr>
                <w:rFonts w:ascii="Times New Roman" w:hAnsi="Times New Roman" w:cs="Times New Roman"/>
                <w:i/>
                <w:color w:val="000000"/>
                <w:sz w:val="20"/>
                <w:szCs w:val="20"/>
              </w:rPr>
              <w:t>SD</w:t>
            </w:r>
          </w:p>
        </w:tc>
      </w:tr>
      <w:tr w:rsidR="00371755" w:rsidRPr="007A15F6" w:rsidTr="005052B7">
        <w:trPr>
          <w:cantSplit/>
          <w:trHeight w:val="432"/>
          <w:jc w:val="center"/>
        </w:trPr>
        <w:tc>
          <w:tcPr>
            <w:tcW w:w="1071" w:type="dxa"/>
            <w:gridSpan w:val="2"/>
            <w:shd w:val="clear" w:color="auto" w:fill="FFFFFF"/>
            <w:vAlign w:val="center"/>
          </w:tcPr>
          <w:p w:rsidR="00371755" w:rsidRPr="005052B7" w:rsidRDefault="00371755" w:rsidP="005052B7">
            <w:pPr>
              <w:autoSpaceDE w:val="0"/>
              <w:autoSpaceDN w:val="0"/>
              <w:adjustRightInd w:val="0"/>
              <w:spacing w:line="360" w:lineRule="auto"/>
              <w:ind w:left="60" w:right="60"/>
              <w:rPr>
                <w:rFonts w:ascii="Times New Roman" w:hAnsi="Times New Roman" w:cs="Times New Roman"/>
                <w:color w:val="000000"/>
                <w:sz w:val="22"/>
                <w:szCs w:val="20"/>
              </w:rPr>
            </w:pPr>
            <w:r w:rsidRPr="005052B7">
              <w:rPr>
                <w:rFonts w:ascii="Times New Roman" w:hAnsi="Times New Roman" w:cs="Times New Roman"/>
                <w:color w:val="000000"/>
                <w:sz w:val="22"/>
                <w:szCs w:val="20"/>
              </w:rPr>
              <w:t>EPT</w:t>
            </w:r>
            <w:r w:rsidRPr="005052B7">
              <w:rPr>
                <w:rFonts w:ascii="Times New Roman" w:hAnsi="Times New Roman" w:cs="Times New Roman"/>
                <w:color w:val="000000"/>
                <w:sz w:val="22"/>
                <w:szCs w:val="20"/>
                <w:vertAlign w:val="subscript"/>
              </w:rPr>
              <w:t>score</w:t>
            </w:r>
          </w:p>
        </w:tc>
        <w:tc>
          <w:tcPr>
            <w:tcW w:w="708"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.322**</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sidRPr="007A15F6">
              <w:rPr>
                <w:rFonts w:ascii="Times New Roman" w:hAnsi="Times New Roman" w:cs="Times New Roman"/>
                <w:color w:val="000000"/>
                <w:sz w:val="20"/>
                <w:szCs w:val="20"/>
              </w:rPr>
              <w:t>-.</w:t>
            </w:r>
            <w:r>
              <w:rPr>
                <w:rFonts w:ascii="Times New Roman" w:hAnsi="Times New Roman" w:cs="Times New Roman"/>
                <w:color w:val="000000"/>
                <w:sz w:val="20"/>
                <w:szCs w:val="20"/>
              </w:rPr>
              <w:t>038</w:t>
            </w:r>
          </w:p>
        </w:tc>
        <w:tc>
          <w:tcPr>
            <w:tcW w:w="850"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-.307</w:t>
            </w:r>
            <w:r w:rsidRPr="007A15F6">
              <w:rPr>
                <w:rFonts w:ascii="Times New Roman" w:hAnsi="Times New Roman" w:cs="Times New Roman"/>
                <w:color w:val="000000"/>
                <w:sz w:val="20"/>
                <w:szCs w:val="20"/>
              </w:rPr>
              <w:t>**</w:t>
            </w:r>
          </w:p>
        </w:tc>
        <w:tc>
          <w:tcPr>
            <w:tcW w:w="708"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.149</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.328</w:t>
            </w:r>
            <w:r w:rsidRPr="007A15F6">
              <w:rPr>
                <w:rFonts w:ascii="Times New Roman" w:hAnsi="Times New Roman" w:cs="Times New Roman"/>
                <w:color w:val="000000"/>
                <w:sz w:val="20"/>
                <w:szCs w:val="20"/>
              </w:rPr>
              <w:t>**</w:t>
            </w:r>
          </w:p>
        </w:tc>
        <w:tc>
          <w:tcPr>
            <w:tcW w:w="850"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.268</w:t>
            </w:r>
            <w:r w:rsidRPr="007A15F6">
              <w:rPr>
                <w:rFonts w:ascii="Times New Roman" w:hAnsi="Times New Roman" w:cs="Times New Roman"/>
                <w:color w:val="000000"/>
                <w:sz w:val="20"/>
                <w:szCs w:val="20"/>
              </w:rPr>
              <w:t>**</w:t>
            </w:r>
          </w:p>
        </w:tc>
        <w:tc>
          <w:tcPr>
            <w:tcW w:w="709" w:type="dxa"/>
            <w:shd w:val="clear" w:color="auto" w:fill="FFFFFF"/>
            <w:vAlign w:val="center"/>
          </w:tcPr>
          <w:p w:rsidR="00371755" w:rsidRPr="007A15F6" w:rsidRDefault="00371755" w:rsidP="005052B7">
            <w:pPr>
              <w:autoSpaceDE w:val="0"/>
              <w:autoSpaceDN w:val="0"/>
              <w:adjustRightInd w:val="0"/>
              <w:spacing w:line="360" w:lineRule="auto"/>
              <w:jc w:val="center"/>
              <w:rPr>
                <w:rFonts w:ascii="Times New Roman" w:hAnsi="Times New Roman" w:cs="Times New Roman"/>
                <w:sz w:val="20"/>
                <w:szCs w:val="20"/>
              </w:rPr>
            </w:pPr>
            <w:r>
              <w:rPr>
                <w:rFonts w:ascii="Times New Roman" w:hAnsi="Times New Roman" w:cs="Times New Roman"/>
                <w:sz w:val="20"/>
                <w:szCs w:val="20"/>
              </w:rPr>
              <w:t>.279**</w:t>
            </w:r>
          </w:p>
        </w:tc>
        <w:tc>
          <w:tcPr>
            <w:tcW w:w="851" w:type="dxa"/>
            <w:shd w:val="clear" w:color="auto" w:fill="FFFFFF"/>
            <w:vAlign w:val="center"/>
          </w:tcPr>
          <w:p w:rsidR="00371755" w:rsidRPr="007A15F6" w:rsidRDefault="00371755" w:rsidP="005052B7">
            <w:pPr>
              <w:autoSpaceDE w:val="0"/>
              <w:autoSpaceDN w:val="0"/>
              <w:adjustRightInd w:val="0"/>
              <w:spacing w:line="360" w:lineRule="auto"/>
              <w:jc w:val="center"/>
              <w:rPr>
                <w:rFonts w:ascii="Times New Roman" w:hAnsi="Times New Roman" w:cs="Times New Roman"/>
                <w:sz w:val="20"/>
                <w:szCs w:val="20"/>
              </w:rPr>
            </w:pPr>
            <w:r>
              <w:rPr>
                <w:rFonts w:ascii="Times New Roman" w:hAnsi="Times New Roman" w:cs="Times New Roman"/>
                <w:sz w:val="20"/>
                <w:szCs w:val="20"/>
              </w:rPr>
              <w:t>-.414**</w:t>
            </w:r>
          </w:p>
        </w:tc>
        <w:tc>
          <w:tcPr>
            <w:tcW w:w="572" w:type="dxa"/>
            <w:shd w:val="clear" w:color="auto" w:fill="FFFFFF"/>
            <w:vAlign w:val="center"/>
          </w:tcPr>
          <w:p w:rsidR="00371755" w:rsidRPr="007A15F6" w:rsidRDefault="00371755" w:rsidP="005052B7">
            <w:pPr>
              <w:autoSpaceDE w:val="0"/>
              <w:autoSpaceDN w:val="0"/>
              <w:adjustRightInd w:val="0"/>
              <w:spacing w:line="360" w:lineRule="auto"/>
              <w:jc w:val="center"/>
              <w:rPr>
                <w:rFonts w:ascii="Times New Roman" w:hAnsi="Times New Roman" w:cs="Times New Roman"/>
                <w:sz w:val="20"/>
                <w:szCs w:val="20"/>
              </w:rPr>
            </w:pPr>
            <w:r>
              <w:rPr>
                <w:rFonts w:ascii="Times New Roman" w:hAnsi="Times New Roman" w:cs="Times New Roman"/>
                <w:sz w:val="20"/>
                <w:szCs w:val="20"/>
              </w:rPr>
              <w:t>15.56</w:t>
            </w:r>
          </w:p>
        </w:tc>
        <w:tc>
          <w:tcPr>
            <w:tcW w:w="547" w:type="dxa"/>
            <w:shd w:val="clear" w:color="auto" w:fill="FFFFFF"/>
            <w:vAlign w:val="center"/>
          </w:tcPr>
          <w:p w:rsidR="00371755" w:rsidRPr="007A15F6" w:rsidRDefault="00371755" w:rsidP="005052B7">
            <w:pPr>
              <w:autoSpaceDE w:val="0"/>
              <w:autoSpaceDN w:val="0"/>
              <w:adjustRightInd w:val="0"/>
              <w:spacing w:line="360" w:lineRule="auto"/>
              <w:jc w:val="center"/>
              <w:rPr>
                <w:rFonts w:ascii="Times New Roman" w:hAnsi="Times New Roman" w:cs="Times New Roman"/>
                <w:sz w:val="20"/>
                <w:szCs w:val="20"/>
              </w:rPr>
            </w:pPr>
            <w:r>
              <w:rPr>
                <w:rFonts w:ascii="Times New Roman" w:hAnsi="Times New Roman" w:cs="Times New Roman"/>
                <w:sz w:val="20"/>
                <w:szCs w:val="20"/>
              </w:rPr>
              <w:t>6.58</w:t>
            </w:r>
          </w:p>
        </w:tc>
      </w:tr>
      <w:tr w:rsidR="00371755" w:rsidRPr="007A15F6" w:rsidTr="005052B7">
        <w:trPr>
          <w:cantSplit/>
          <w:trHeight w:val="465"/>
          <w:jc w:val="center"/>
        </w:trPr>
        <w:tc>
          <w:tcPr>
            <w:tcW w:w="1071" w:type="dxa"/>
            <w:gridSpan w:val="2"/>
            <w:shd w:val="clear" w:color="auto" w:fill="FFFFFF"/>
            <w:vAlign w:val="center"/>
          </w:tcPr>
          <w:p w:rsidR="00371755" w:rsidRPr="005052B7" w:rsidRDefault="00371755" w:rsidP="005052B7">
            <w:pPr>
              <w:autoSpaceDE w:val="0"/>
              <w:autoSpaceDN w:val="0"/>
              <w:adjustRightInd w:val="0"/>
              <w:spacing w:line="360" w:lineRule="auto"/>
              <w:ind w:right="60"/>
              <w:rPr>
                <w:rFonts w:ascii="Times New Roman" w:hAnsi="Times New Roman" w:cs="Times New Roman"/>
                <w:color w:val="000000"/>
                <w:sz w:val="22"/>
                <w:szCs w:val="20"/>
              </w:rPr>
            </w:pPr>
            <w:r w:rsidRPr="005052B7">
              <w:rPr>
                <w:rFonts w:ascii="Times New Roman" w:hAnsi="Times New Roman" w:cs="Times New Roman"/>
                <w:color w:val="000000"/>
                <w:sz w:val="22"/>
                <w:szCs w:val="20"/>
              </w:rPr>
              <w:t>OTDL</w:t>
            </w:r>
            <w:r w:rsidRPr="005052B7">
              <w:rPr>
                <w:rFonts w:ascii="Times New Roman" w:hAnsi="Times New Roman" w:cs="Times New Roman"/>
                <w:color w:val="000000"/>
                <w:sz w:val="22"/>
                <w:szCs w:val="20"/>
                <w:vertAlign w:val="subscript"/>
              </w:rPr>
              <w:t>score</w:t>
            </w:r>
          </w:p>
        </w:tc>
        <w:tc>
          <w:tcPr>
            <w:tcW w:w="708"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.224*</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.020</w:t>
            </w:r>
          </w:p>
        </w:tc>
        <w:tc>
          <w:tcPr>
            <w:tcW w:w="850"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-.234</w:t>
            </w:r>
            <w:r w:rsidRPr="007A15F6">
              <w:rPr>
                <w:rFonts w:ascii="Times New Roman" w:hAnsi="Times New Roman" w:cs="Times New Roman"/>
                <w:color w:val="000000"/>
                <w:sz w:val="20"/>
                <w:szCs w:val="20"/>
              </w:rPr>
              <w:t>*</w:t>
            </w:r>
          </w:p>
        </w:tc>
        <w:tc>
          <w:tcPr>
            <w:tcW w:w="708"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sidRPr="007A15F6">
              <w:rPr>
                <w:rFonts w:ascii="Times New Roman" w:hAnsi="Times New Roman" w:cs="Times New Roman"/>
                <w:color w:val="000000"/>
                <w:sz w:val="20"/>
                <w:szCs w:val="20"/>
              </w:rPr>
              <w:t>.</w:t>
            </w:r>
            <w:r>
              <w:rPr>
                <w:rFonts w:ascii="Times New Roman" w:hAnsi="Times New Roman" w:cs="Times New Roman"/>
                <w:color w:val="000000"/>
                <w:sz w:val="20"/>
                <w:szCs w:val="20"/>
              </w:rPr>
              <w:t>044</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sidRPr="007A15F6">
              <w:rPr>
                <w:rFonts w:ascii="Times New Roman" w:hAnsi="Times New Roman" w:cs="Times New Roman"/>
                <w:color w:val="000000"/>
                <w:sz w:val="20"/>
                <w:szCs w:val="20"/>
              </w:rPr>
              <w:t>.</w:t>
            </w:r>
            <w:r>
              <w:rPr>
                <w:rFonts w:ascii="Times New Roman" w:hAnsi="Times New Roman" w:cs="Times New Roman"/>
                <w:color w:val="000000"/>
                <w:sz w:val="20"/>
                <w:szCs w:val="20"/>
              </w:rPr>
              <w:t>191</w:t>
            </w:r>
          </w:p>
        </w:tc>
        <w:tc>
          <w:tcPr>
            <w:tcW w:w="850"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sidRPr="007A15F6">
              <w:rPr>
                <w:rFonts w:ascii="Times New Roman" w:hAnsi="Times New Roman" w:cs="Times New Roman"/>
                <w:color w:val="000000"/>
                <w:sz w:val="20"/>
                <w:szCs w:val="20"/>
              </w:rPr>
              <w:t>.2</w:t>
            </w:r>
            <w:r>
              <w:rPr>
                <w:rFonts w:ascii="Times New Roman" w:hAnsi="Times New Roman" w:cs="Times New Roman"/>
                <w:color w:val="000000"/>
                <w:sz w:val="20"/>
                <w:szCs w:val="20"/>
              </w:rPr>
              <w:t>39</w:t>
            </w:r>
            <w:r w:rsidRPr="007A15F6">
              <w:rPr>
                <w:rFonts w:ascii="Times New Roman" w:hAnsi="Times New Roman" w:cs="Times New Roman"/>
                <w:color w:val="000000"/>
                <w:sz w:val="20"/>
                <w:szCs w:val="20"/>
              </w:rPr>
              <w:t>*</w:t>
            </w:r>
          </w:p>
        </w:tc>
        <w:tc>
          <w:tcPr>
            <w:tcW w:w="709"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sidRPr="007A15F6">
              <w:rPr>
                <w:rFonts w:ascii="Times New Roman" w:hAnsi="Times New Roman" w:cs="Times New Roman"/>
                <w:color w:val="000000"/>
                <w:sz w:val="20"/>
                <w:szCs w:val="20"/>
              </w:rPr>
              <w:t>.</w:t>
            </w:r>
            <w:r>
              <w:rPr>
                <w:rFonts w:ascii="Times New Roman" w:hAnsi="Times New Roman" w:cs="Times New Roman"/>
                <w:color w:val="000000"/>
                <w:sz w:val="20"/>
                <w:szCs w:val="20"/>
              </w:rPr>
              <w:t>271</w:t>
            </w:r>
            <w:r w:rsidRPr="007A15F6">
              <w:rPr>
                <w:rFonts w:ascii="Times New Roman" w:hAnsi="Times New Roman" w:cs="Times New Roman"/>
                <w:color w:val="000000"/>
                <w:sz w:val="20"/>
                <w:szCs w:val="20"/>
              </w:rPr>
              <w:t>**</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sidRPr="007A15F6">
              <w:rPr>
                <w:rFonts w:ascii="Times New Roman" w:hAnsi="Times New Roman" w:cs="Times New Roman"/>
                <w:color w:val="000000"/>
                <w:sz w:val="20"/>
                <w:szCs w:val="20"/>
              </w:rPr>
              <w:t>-.</w:t>
            </w:r>
            <w:r>
              <w:rPr>
                <w:rFonts w:ascii="Times New Roman" w:hAnsi="Times New Roman" w:cs="Times New Roman"/>
                <w:color w:val="000000"/>
                <w:sz w:val="20"/>
                <w:szCs w:val="20"/>
              </w:rPr>
              <w:t>494**</w:t>
            </w:r>
          </w:p>
        </w:tc>
        <w:tc>
          <w:tcPr>
            <w:tcW w:w="572" w:type="dxa"/>
            <w:shd w:val="clear" w:color="auto" w:fill="FFFFFF"/>
            <w:vAlign w:val="center"/>
          </w:tcPr>
          <w:p w:rsidR="00371755" w:rsidRPr="007A15F6" w:rsidRDefault="00371755" w:rsidP="005052B7">
            <w:pPr>
              <w:autoSpaceDE w:val="0"/>
              <w:autoSpaceDN w:val="0"/>
              <w:adjustRightInd w:val="0"/>
              <w:spacing w:line="360" w:lineRule="auto"/>
              <w:jc w:val="center"/>
              <w:rPr>
                <w:rFonts w:ascii="Times New Roman" w:hAnsi="Times New Roman" w:cs="Times New Roman"/>
                <w:sz w:val="20"/>
                <w:szCs w:val="20"/>
              </w:rPr>
            </w:pPr>
            <w:r>
              <w:rPr>
                <w:rFonts w:ascii="Times New Roman" w:hAnsi="Times New Roman" w:cs="Times New Roman"/>
                <w:sz w:val="20"/>
                <w:szCs w:val="20"/>
              </w:rPr>
              <w:t>54.76</w:t>
            </w:r>
          </w:p>
        </w:tc>
        <w:tc>
          <w:tcPr>
            <w:tcW w:w="547" w:type="dxa"/>
            <w:shd w:val="clear" w:color="auto" w:fill="FFFFFF"/>
            <w:vAlign w:val="center"/>
          </w:tcPr>
          <w:p w:rsidR="00371755" w:rsidRPr="007A15F6" w:rsidRDefault="00371755" w:rsidP="005052B7">
            <w:pPr>
              <w:autoSpaceDE w:val="0"/>
              <w:autoSpaceDN w:val="0"/>
              <w:adjustRightInd w:val="0"/>
              <w:spacing w:line="360" w:lineRule="auto"/>
              <w:jc w:val="center"/>
              <w:rPr>
                <w:rFonts w:ascii="Times New Roman" w:hAnsi="Times New Roman" w:cs="Times New Roman"/>
                <w:sz w:val="20"/>
                <w:szCs w:val="20"/>
              </w:rPr>
            </w:pPr>
            <w:r>
              <w:rPr>
                <w:rFonts w:ascii="Times New Roman" w:hAnsi="Times New Roman" w:cs="Times New Roman"/>
                <w:sz w:val="20"/>
                <w:szCs w:val="20"/>
              </w:rPr>
              <w:t>10.67</w:t>
            </w:r>
          </w:p>
        </w:tc>
      </w:tr>
      <w:tr w:rsidR="00371755" w:rsidRPr="007A15F6" w:rsidTr="005052B7">
        <w:trPr>
          <w:cantSplit/>
          <w:trHeight w:val="464"/>
          <w:jc w:val="center"/>
        </w:trPr>
        <w:tc>
          <w:tcPr>
            <w:tcW w:w="1071" w:type="dxa"/>
            <w:gridSpan w:val="2"/>
            <w:shd w:val="clear" w:color="auto" w:fill="FFFFFF"/>
            <w:vAlign w:val="center"/>
          </w:tcPr>
          <w:p w:rsidR="00371755" w:rsidRPr="003D7C21" w:rsidRDefault="00371755" w:rsidP="005052B7">
            <w:pPr>
              <w:autoSpaceDE w:val="0"/>
              <w:autoSpaceDN w:val="0"/>
              <w:adjustRightInd w:val="0"/>
              <w:spacing w:line="360" w:lineRule="auto"/>
              <w:ind w:right="60"/>
              <w:jc w:val="center"/>
              <w:rPr>
                <w:rFonts w:ascii="Times New Roman" w:hAnsi="Times New Roman" w:cs="Times New Roman"/>
                <w:i/>
                <w:color w:val="000000"/>
                <w:sz w:val="20"/>
                <w:szCs w:val="20"/>
              </w:rPr>
            </w:pPr>
            <w:r w:rsidRPr="003D7C21">
              <w:rPr>
                <w:rFonts w:ascii="Times New Roman" w:hAnsi="Times New Roman" w:cs="Times New Roman"/>
                <w:i/>
                <w:color w:val="000000"/>
                <w:sz w:val="20"/>
                <w:szCs w:val="20"/>
              </w:rPr>
              <w:t>M</w:t>
            </w:r>
          </w:p>
        </w:tc>
        <w:tc>
          <w:tcPr>
            <w:tcW w:w="708"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12.86</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47.91</w:t>
            </w:r>
          </w:p>
        </w:tc>
        <w:tc>
          <w:tcPr>
            <w:tcW w:w="850"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115.48</w:t>
            </w:r>
          </w:p>
        </w:tc>
        <w:tc>
          <w:tcPr>
            <w:tcW w:w="708"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6.35</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46.56</w:t>
            </w:r>
          </w:p>
        </w:tc>
        <w:tc>
          <w:tcPr>
            <w:tcW w:w="850"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9.82</w:t>
            </w:r>
          </w:p>
        </w:tc>
        <w:tc>
          <w:tcPr>
            <w:tcW w:w="709"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9.94</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c>
          <w:tcPr>
            <w:tcW w:w="572" w:type="dxa"/>
            <w:shd w:val="clear" w:color="auto" w:fill="FFFFFF"/>
            <w:vAlign w:val="center"/>
          </w:tcPr>
          <w:p w:rsidR="00371755" w:rsidRPr="001A42F6" w:rsidRDefault="00371755" w:rsidP="005052B7">
            <w:pPr>
              <w:autoSpaceDE w:val="0"/>
              <w:autoSpaceDN w:val="0"/>
              <w:adjustRightInd w:val="0"/>
              <w:spacing w:line="360" w:lineRule="auto"/>
              <w:jc w:val="center"/>
              <w:rPr>
                <w:rFonts w:ascii="Times New Roman" w:hAnsi="Times New Roman" w:cs="Times New Roman"/>
                <w:sz w:val="20"/>
                <w:szCs w:val="20"/>
              </w:rPr>
            </w:pPr>
            <w:r w:rsidRPr="001A42F6">
              <w:rPr>
                <w:rFonts w:ascii="Times New Roman" w:hAnsi="Times New Roman" w:cs="Times New Roman"/>
                <w:sz w:val="21"/>
                <w:szCs w:val="20"/>
              </w:rPr>
              <w:t>-</w:t>
            </w:r>
          </w:p>
        </w:tc>
        <w:tc>
          <w:tcPr>
            <w:tcW w:w="547" w:type="dxa"/>
            <w:shd w:val="clear" w:color="auto" w:fill="FFFFFF"/>
            <w:vAlign w:val="center"/>
          </w:tcPr>
          <w:p w:rsidR="00371755" w:rsidRDefault="00371755" w:rsidP="005052B7">
            <w:pPr>
              <w:autoSpaceDE w:val="0"/>
              <w:autoSpaceDN w:val="0"/>
              <w:adjustRightInd w:val="0"/>
              <w:spacing w:line="36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371755" w:rsidRPr="007A15F6" w:rsidTr="005052B7">
        <w:trPr>
          <w:cantSplit/>
          <w:trHeight w:val="432"/>
          <w:jc w:val="center"/>
        </w:trPr>
        <w:tc>
          <w:tcPr>
            <w:tcW w:w="1071" w:type="dxa"/>
            <w:gridSpan w:val="2"/>
            <w:shd w:val="clear" w:color="auto" w:fill="FFFFFF"/>
            <w:vAlign w:val="center"/>
          </w:tcPr>
          <w:p w:rsidR="00371755" w:rsidRPr="003D7C21" w:rsidRDefault="00371755" w:rsidP="005052B7">
            <w:pPr>
              <w:autoSpaceDE w:val="0"/>
              <w:autoSpaceDN w:val="0"/>
              <w:adjustRightInd w:val="0"/>
              <w:spacing w:line="360" w:lineRule="auto"/>
              <w:ind w:right="60"/>
              <w:jc w:val="center"/>
              <w:rPr>
                <w:rFonts w:ascii="Times New Roman" w:hAnsi="Times New Roman" w:cs="Times New Roman"/>
                <w:i/>
                <w:color w:val="000000"/>
                <w:sz w:val="20"/>
                <w:szCs w:val="20"/>
              </w:rPr>
            </w:pPr>
            <w:r w:rsidRPr="003D7C21">
              <w:rPr>
                <w:rFonts w:ascii="Times New Roman" w:hAnsi="Times New Roman" w:cs="Times New Roman"/>
                <w:i/>
                <w:color w:val="000000"/>
                <w:sz w:val="20"/>
                <w:szCs w:val="20"/>
              </w:rPr>
              <w:t>SD</w:t>
            </w:r>
          </w:p>
        </w:tc>
        <w:tc>
          <w:tcPr>
            <w:tcW w:w="708"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3.82</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39.28</w:t>
            </w:r>
          </w:p>
        </w:tc>
        <w:tc>
          <w:tcPr>
            <w:tcW w:w="850"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59.54</w:t>
            </w:r>
          </w:p>
        </w:tc>
        <w:tc>
          <w:tcPr>
            <w:tcW w:w="708"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2.05</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10.98</w:t>
            </w:r>
          </w:p>
        </w:tc>
        <w:tc>
          <w:tcPr>
            <w:tcW w:w="850"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3.12</w:t>
            </w:r>
          </w:p>
        </w:tc>
        <w:tc>
          <w:tcPr>
            <w:tcW w:w="709"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3.55</w:t>
            </w:r>
          </w:p>
        </w:tc>
        <w:tc>
          <w:tcPr>
            <w:tcW w:w="851" w:type="dxa"/>
            <w:shd w:val="clear" w:color="auto" w:fill="FFFFFF"/>
            <w:vAlign w:val="center"/>
          </w:tcPr>
          <w:p w:rsidR="00371755" w:rsidRPr="007A15F6" w:rsidRDefault="00371755" w:rsidP="005052B7">
            <w:pPr>
              <w:autoSpaceDE w:val="0"/>
              <w:autoSpaceDN w:val="0"/>
              <w:adjustRightInd w:val="0"/>
              <w:spacing w:line="360" w:lineRule="auto"/>
              <w:ind w:left="60" w:right="6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c>
          <w:tcPr>
            <w:tcW w:w="572" w:type="dxa"/>
            <w:shd w:val="clear" w:color="auto" w:fill="FFFFFF"/>
            <w:vAlign w:val="center"/>
          </w:tcPr>
          <w:p w:rsidR="00371755" w:rsidRPr="007A15F6" w:rsidRDefault="00371755" w:rsidP="005052B7">
            <w:pPr>
              <w:autoSpaceDE w:val="0"/>
              <w:autoSpaceDN w:val="0"/>
              <w:adjustRightInd w:val="0"/>
              <w:spacing w:line="360" w:lineRule="auto"/>
              <w:jc w:val="center"/>
              <w:rPr>
                <w:rFonts w:ascii="Times New Roman" w:hAnsi="Times New Roman" w:cs="Times New Roman"/>
                <w:sz w:val="20"/>
                <w:szCs w:val="20"/>
                <w:vertAlign w:val="superscript"/>
              </w:rPr>
            </w:pPr>
            <w:r w:rsidRPr="001A42F6">
              <w:rPr>
                <w:rFonts w:ascii="Times New Roman" w:hAnsi="Times New Roman" w:cs="Times New Roman"/>
                <w:sz w:val="21"/>
                <w:szCs w:val="20"/>
              </w:rPr>
              <w:t>-</w:t>
            </w:r>
          </w:p>
        </w:tc>
        <w:tc>
          <w:tcPr>
            <w:tcW w:w="547" w:type="dxa"/>
            <w:shd w:val="clear" w:color="auto" w:fill="FFFFFF"/>
            <w:vAlign w:val="center"/>
          </w:tcPr>
          <w:p w:rsidR="00371755" w:rsidRDefault="00371755" w:rsidP="005052B7">
            <w:pPr>
              <w:autoSpaceDE w:val="0"/>
              <w:autoSpaceDN w:val="0"/>
              <w:adjustRightInd w:val="0"/>
              <w:spacing w:line="360" w:lineRule="auto"/>
              <w:jc w:val="center"/>
              <w:rPr>
                <w:rFonts w:ascii="Times New Roman" w:hAnsi="Times New Roman" w:cs="Times New Roman"/>
                <w:sz w:val="20"/>
                <w:szCs w:val="20"/>
              </w:rPr>
            </w:pPr>
            <w:r>
              <w:rPr>
                <w:rFonts w:ascii="Times New Roman" w:hAnsi="Times New Roman" w:cs="Times New Roman"/>
                <w:sz w:val="20"/>
                <w:szCs w:val="20"/>
              </w:rPr>
              <w:t>-</w:t>
            </w:r>
          </w:p>
        </w:tc>
      </w:tr>
      <w:tr w:rsidR="00371755" w:rsidRPr="007A15F6" w:rsidTr="005052B7">
        <w:trPr>
          <w:gridBefore w:val="1"/>
          <w:wBefore w:w="168" w:type="dxa"/>
          <w:cantSplit/>
          <w:trHeight w:val="432"/>
          <w:jc w:val="center"/>
        </w:trPr>
        <w:tc>
          <w:tcPr>
            <w:tcW w:w="8400" w:type="dxa"/>
            <w:gridSpan w:val="11"/>
            <w:shd w:val="clear" w:color="auto" w:fill="FFFFFF"/>
            <w:vAlign w:val="center"/>
          </w:tcPr>
          <w:p w:rsidR="00371755" w:rsidRDefault="00371755" w:rsidP="005052B7">
            <w:pPr>
              <w:autoSpaceDE w:val="0"/>
              <w:autoSpaceDN w:val="0"/>
              <w:adjustRightInd w:val="0"/>
              <w:spacing w:line="360" w:lineRule="auto"/>
              <w:jc w:val="center"/>
              <w:rPr>
                <w:rFonts w:ascii="Times New Roman" w:hAnsi="Times New Roman" w:cs="Times New Roman"/>
                <w:sz w:val="20"/>
                <w:szCs w:val="20"/>
              </w:rPr>
            </w:pPr>
            <w:r w:rsidRPr="005052B7">
              <w:rPr>
                <w:rFonts w:ascii="Times New Roman" w:eastAsia="Times New Roman" w:hAnsi="Times New Roman" w:cs="Times New Roman"/>
                <w:i/>
                <w:color w:val="000000"/>
                <w:sz w:val="16"/>
                <w:szCs w:val="20"/>
                <w:lang w:eastAsia="en-US"/>
              </w:rPr>
              <w:t>Note</w:t>
            </w:r>
            <w:r>
              <w:rPr>
                <w:rFonts w:ascii="Times New Roman" w:eastAsia="Times New Roman" w:hAnsi="Times New Roman" w:cs="Times New Roman"/>
                <w:color w:val="000000"/>
                <w:sz w:val="16"/>
                <w:szCs w:val="20"/>
                <w:lang w:eastAsia="en-US"/>
              </w:rPr>
              <w:t xml:space="preserve">. </w:t>
            </w:r>
            <w:r w:rsidRPr="007A15F6">
              <w:rPr>
                <w:rFonts w:ascii="Times New Roman" w:eastAsia="Times New Roman" w:hAnsi="Times New Roman" w:cs="Times New Roman"/>
                <w:color w:val="000000"/>
                <w:sz w:val="16"/>
                <w:szCs w:val="20"/>
                <w:lang w:eastAsia="en-US"/>
              </w:rPr>
              <w:t xml:space="preserve">* = p&lt;.05, ** = p&lt;.005, </w:t>
            </w:r>
            <w:r w:rsidRPr="007A15F6">
              <w:rPr>
                <w:rFonts w:ascii="Times New Roman" w:eastAsia="Times New Roman" w:hAnsi="Times New Roman" w:cs="Times New Roman"/>
                <w:color w:val="000000"/>
                <w:sz w:val="16"/>
                <w:szCs w:val="20"/>
                <w:vertAlign w:val="superscript"/>
                <w:lang w:eastAsia="en-US"/>
              </w:rPr>
              <w:t>1</w:t>
            </w:r>
            <w:r w:rsidRPr="007A15F6">
              <w:rPr>
                <w:rFonts w:ascii="Times New Roman" w:eastAsia="Times New Roman" w:hAnsi="Times New Roman" w:cs="Times New Roman"/>
                <w:color w:val="000000"/>
                <w:sz w:val="16"/>
                <w:szCs w:val="20"/>
                <w:lang w:eastAsia="en-US"/>
              </w:rPr>
              <w:t xml:space="preserve">In seconds, </w:t>
            </w:r>
            <w:r w:rsidRPr="007A15F6">
              <w:rPr>
                <w:rFonts w:ascii="Times New Roman" w:eastAsia="Times New Roman" w:hAnsi="Times New Roman" w:cs="Times New Roman"/>
                <w:color w:val="000000"/>
                <w:sz w:val="16"/>
                <w:szCs w:val="20"/>
                <w:vertAlign w:val="superscript"/>
                <w:lang w:eastAsia="en-US"/>
              </w:rPr>
              <w:t>2</w:t>
            </w:r>
            <w:r w:rsidRPr="007A15F6">
              <w:rPr>
                <w:rFonts w:ascii="Times New Roman" w:eastAsia="Times New Roman" w:hAnsi="Times New Roman" w:cs="Times New Roman"/>
                <w:color w:val="000000"/>
                <w:sz w:val="16"/>
                <w:szCs w:val="20"/>
                <w:lang w:eastAsia="en-US"/>
              </w:rPr>
              <w:t xml:space="preserve"> To be remembered items. VF = Verbal Fluency, TMT = Trail Making Test, WM = Working Memory, LC = learning Curve, STM = Short Term Memory, LTM = Long Term Memory</w:t>
            </w:r>
            <w:r>
              <w:rPr>
                <w:rFonts w:ascii="Times New Roman" w:eastAsia="Times New Roman" w:hAnsi="Times New Roman" w:cs="Times New Roman"/>
                <w:color w:val="000000"/>
                <w:sz w:val="16"/>
                <w:szCs w:val="20"/>
                <w:lang w:eastAsia="en-US"/>
              </w:rPr>
              <w:t xml:space="preserve">, </w:t>
            </w:r>
            <w:r w:rsidRPr="007A15F6">
              <w:rPr>
                <w:rFonts w:ascii="Times New Roman" w:eastAsia="Times New Roman" w:hAnsi="Times New Roman" w:cs="Times New Roman"/>
                <w:color w:val="000000"/>
                <w:sz w:val="16"/>
                <w:szCs w:val="16"/>
                <w:lang w:eastAsia="en-US"/>
              </w:rPr>
              <w:t>OTDL = Observed Tasks of Daily Living, EPT = Everyday Problem Test</w:t>
            </w:r>
          </w:p>
        </w:tc>
      </w:tr>
    </w:tbl>
    <w:p w:rsidR="00C2318A" w:rsidRDefault="00016702" w:rsidP="005C41B7">
      <w:pPr>
        <w:pStyle w:val="APAPar"/>
      </w:pPr>
      <w:r w:rsidRPr="000B6600">
        <w:t xml:space="preserve">One way ANOVA analysis revealed statistically significant </w:t>
      </w:r>
      <w:r w:rsidR="00330364" w:rsidRPr="000B6600">
        <w:t xml:space="preserve">main effects of education level (primary education, Lyceum, technical school, university) on mean EPT-G scores </w:t>
      </w:r>
      <w:r w:rsidR="004909E0" w:rsidRPr="000B6600">
        <w:t>[</w:t>
      </w:r>
      <w:r w:rsidR="004909E0" w:rsidRPr="000B6600">
        <w:rPr>
          <w:i/>
        </w:rPr>
        <w:t>F</w:t>
      </w:r>
      <w:r w:rsidR="004909E0" w:rsidRPr="000B6600">
        <w:t>(3,82</w:t>
      </w:r>
      <w:r w:rsidR="006F5AF0" w:rsidRPr="000B6600">
        <w:t xml:space="preserve">) = </w:t>
      </w:r>
      <w:r w:rsidR="004909E0" w:rsidRPr="000B6600">
        <w:t>20.853</w:t>
      </w:r>
      <w:r w:rsidR="006F5AF0" w:rsidRPr="000B6600">
        <w:t xml:space="preserve">, </w:t>
      </w:r>
      <w:r w:rsidR="006F5AF0" w:rsidRPr="000B6600">
        <w:rPr>
          <w:i/>
        </w:rPr>
        <w:t>p</w:t>
      </w:r>
      <w:r w:rsidR="006F5AF0" w:rsidRPr="000B6600">
        <w:t xml:space="preserve"> </w:t>
      </w:r>
      <w:r w:rsidR="008269D1" w:rsidRPr="000B6600">
        <w:t>&lt;</w:t>
      </w:r>
      <w:r w:rsidR="006F5AF0" w:rsidRPr="000B6600">
        <w:t xml:space="preserve"> </w:t>
      </w:r>
      <w:r w:rsidR="008269D1" w:rsidRPr="000B6600">
        <w:t>.001</w:t>
      </w:r>
      <w:r w:rsidR="006F5AF0" w:rsidRPr="000B6600">
        <w:t xml:space="preserve">], OTDL-G </w:t>
      </w:r>
      <w:r w:rsidR="004909E0" w:rsidRPr="000B6600">
        <w:t>[</w:t>
      </w:r>
      <w:r w:rsidR="004909E0" w:rsidRPr="000B6600">
        <w:rPr>
          <w:i/>
        </w:rPr>
        <w:t>F</w:t>
      </w:r>
      <w:r w:rsidR="004909E0" w:rsidRPr="000B6600">
        <w:t>(3,81</w:t>
      </w:r>
      <w:r w:rsidR="006F5AF0" w:rsidRPr="000B6600">
        <w:t xml:space="preserve">) = </w:t>
      </w:r>
      <w:r w:rsidR="004909E0" w:rsidRPr="000B6600">
        <w:t>11.834</w:t>
      </w:r>
      <w:r w:rsidR="006F5AF0" w:rsidRPr="000B6600">
        <w:rPr>
          <w:i/>
        </w:rPr>
        <w:t>, p</w:t>
      </w:r>
      <w:r w:rsidR="006F5AF0" w:rsidRPr="000B6600">
        <w:t xml:space="preserve"> </w:t>
      </w:r>
      <w:r w:rsidR="008269D1" w:rsidRPr="000B6600">
        <w:t>&lt;</w:t>
      </w:r>
      <w:r w:rsidR="006F5AF0" w:rsidRPr="000B6600">
        <w:t xml:space="preserve"> </w:t>
      </w:r>
      <w:r w:rsidR="008269D1" w:rsidRPr="000B6600">
        <w:t>.001</w:t>
      </w:r>
      <w:r w:rsidR="006F5AF0" w:rsidRPr="000B6600">
        <w:t>]</w:t>
      </w:r>
      <w:r w:rsidR="00B0017E" w:rsidRPr="000B6600">
        <w:t xml:space="preserve"> </w:t>
      </w:r>
      <w:r w:rsidR="0099692B" w:rsidRPr="000B6600">
        <w:t>and age [</w:t>
      </w:r>
      <w:r w:rsidR="0099692B" w:rsidRPr="000B6600">
        <w:rPr>
          <w:i/>
        </w:rPr>
        <w:t>F</w:t>
      </w:r>
      <w:r w:rsidR="0099692B" w:rsidRPr="000B6600">
        <w:t xml:space="preserve">(3,82) = 3.868 </w:t>
      </w:r>
      <w:r w:rsidR="0099692B" w:rsidRPr="000B6600">
        <w:rPr>
          <w:i/>
        </w:rPr>
        <w:t>p</w:t>
      </w:r>
      <w:r w:rsidR="0099692B" w:rsidRPr="000B6600">
        <w:t xml:space="preserve"> = .012]</w:t>
      </w:r>
      <w:r w:rsidR="006F5AF0" w:rsidRPr="000B6600">
        <w:t xml:space="preserve">. </w:t>
      </w:r>
      <w:r w:rsidR="006E5F23" w:rsidRPr="000B6600">
        <w:t xml:space="preserve">No such statistically significant differences emerged with any of the neuropsychological assessments. </w:t>
      </w:r>
      <w:r w:rsidR="00C2318A" w:rsidRPr="000B6600">
        <w:t xml:space="preserve">Subsequent </w:t>
      </w:r>
      <w:r w:rsidR="00330364" w:rsidRPr="000B6600">
        <w:t xml:space="preserve">Tukey </w:t>
      </w:r>
      <w:r w:rsidR="00C2318A" w:rsidRPr="000B6600">
        <w:t>p</w:t>
      </w:r>
      <w:r w:rsidR="00330364" w:rsidRPr="000B6600">
        <w:t>ost-hoc comparison</w:t>
      </w:r>
      <w:r w:rsidR="00C2318A" w:rsidRPr="000B6600">
        <w:t xml:space="preserve"> </w:t>
      </w:r>
      <w:r w:rsidR="00330364" w:rsidRPr="000B6600">
        <w:t>revealed</w:t>
      </w:r>
      <w:r w:rsidR="00C2318A" w:rsidRPr="000B6600">
        <w:t xml:space="preserve"> that those completing only primary education were </w:t>
      </w:r>
      <w:r w:rsidR="00330364" w:rsidRPr="000B6600">
        <w:t>significantly older</w:t>
      </w:r>
      <w:r w:rsidR="004359CD" w:rsidRPr="000B6600">
        <w:rPr>
          <w:lang w:val="en-US"/>
        </w:rPr>
        <w:t xml:space="preserve"> (ps = 0.15)</w:t>
      </w:r>
      <w:r w:rsidR="00330364" w:rsidRPr="000B6600">
        <w:t xml:space="preserve"> than those completing </w:t>
      </w:r>
      <w:r w:rsidR="004359CD" w:rsidRPr="000B6600">
        <w:t>a university degree</w:t>
      </w:r>
      <w:r w:rsidR="00330364" w:rsidRPr="000B6600">
        <w:t xml:space="preserve"> (see Figure 7.1)</w:t>
      </w:r>
      <w:r w:rsidR="00C2318A" w:rsidRPr="000B6600">
        <w:t xml:space="preserve">. </w:t>
      </w:r>
      <w:r w:rsidR="00330364" w:rsidRPr="000B6600">
        <w:t xml:space="preserve">In addition, Tukey </w:t>
      </w:r>
      <w:r w:rsidR="00E01EF8" w:rsidRPr="000B6600">
        <w:t xml:space="preserve">post-hoc </w:t>
      </w:r>
      <w:r w:rsidR="000B6600" w:rsidRPr="000B6600">
        <w:t xml:space="preserve">comparisons </w:t>
      </w:r>
      <w:r w:rsidR="00E01EF8" w:rsidRPr="000B6600">
        <w:t xml:space="preserve">revealed </w:t>
      </w:r>
      <w:r w:rsidR="00330364" w:rsidRPr="000B6600">
        <w:t>significant</w:t>
      </w:r>
      <w:r w:rsidR="00E01EF8" w:rsidRPr="000B6600">
        <w:t xml:space="preserve"> differences</w:t>
      </w:r>
      <w:r w:rsidR="004359CD" w:rsidRPr="000B6600">
        <w:rPr>
          <w:lang w:val="en-US"/>
        </w:rPr>
        <w:t xml:space="preserve"> (ps &lt; .001)</w:t>
      </w:r>
      <w:r w:rsidR="00E01EF8" w:rsidRPr="000B6600">
        <w:t xml:space="preserve"> </w:t>
      </w:r>
      <w:r w:rsidR="00330364" w:rsidRPr="000B6600">
        <w:t xml:space="preserve">only between primary education with any of the rest educational levels for </w:t>
      </w:r>
      <w:r w:rsidR="00FC151D" w:rsidRPr="000B6600">
        <w:t xml:space="preserve">the mean scores of </w:t>
      </w:r>
      <w:r w:rsidR="007451D3" w:rsidRPr="000B6600">
        <w:t>EPT-G and</w:t>
      </w:r>
      <w:r w:rsidR="00330364" w:rsidRPr="000B6600">
        <w:t xml:space="preserve"> OTDL-G (see Figure 7.2 and 7.3).</w:t>
      </w:r>
      <w:r w:rsidR="00330364">
        <w:t xml:space="preserve"> </w:t>
      </w:r>
    </w:p>
    <w:p w:rsidR="001B7F81" w:rsidRDefault="00C2318A" w:rsidP="0091167E">
      <w:pPr>
        <w:pStyle w:val="APAPar"/>
        <w:jc w:val="center"/>
      </w:pPr>
      <w:r w:rsidRPr="00400E6B">
        <w:rPr>
          <w:noProof/>
          <w:lang w:eastAsia="zh-CN"/>
        </w:rPr>
        <w:drawing>
          <wp:inline distT="0" distB="0" distL="0" distR="0">
            <wp:extent cx="3602236" cy="3013023"/>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24673" cy="3031790"/>
                    </a:xfrm>
                    <a:prstGeom prst="rect">
                      <a:avLst/>
                    </a:prstGeom>
                  </pic:spPr>
                </pic:pic>
              </a:graphicData>
            </a:graphic>
          </wp:inline>
        </w:drawing>
      </w:r>
    </w:p>
    <w:p w:rsidR="001B7F81" w:rsidRDefault="001B7F81" w:rsidP="006B3C9D">
      <w:pPr>
        <w:spacing w:line="360" w:lineRule="auto"/>
        <w:rPr>
          <w:rStyle w:val="IntenseEmphasis"/>
        </w:rPr>
      </w:pPr>
      <w:r w:rsidRPr="000B6600">
        <w:rPr>
          <w:rStyle w:val="IntenseEmphasis"/>
        </w:rPr>
        <w:t xml:space="preserve">Figure </w:t>
      </w:r>
      <w:r w:rsidR="00B0017E" w:rsidRPr="000B6600">
        <w:rPr>
          <w:rStyle w:val="IntenseEmphasis"/>
        </w:rPr>
        <w:t>7.1</w:t>
      </w:r>
      <w:r w:rsidRPr="000B6600">
        <w:rPr>
          <w:rStyle w:val="IntenseEmphasis"/>
        </w:rPr>
        <w:t xml:space="preserve"> Mean age </w:t>
      </w:r>
      <w:r w:rsidR="00330364" w:rsidRPr="000B6600">
        <w:rPr>
          <w:rStyle w:val="IntenseEmphasis"/>
        </w:rPr>
        <w:t xml:space="preserve">in years as a function of </w:t>
      </w:r>
      <w:r w:rsidRPr="000B6600">
        <w:rPr>
          <w:rStyle w:val="IntenseEmphasis"/>
        </w:rPr>
        <w:t>educational levels</w:t>
      </w:r>
      <w:r w:rsidRPr="009D04BE">
        <w:rPr>
          <w:rStyle w:val="IntenseEmphasis"/>
        </w:rPr>
        <w:t xml:space="preserve"> </w:t>
      </w:r>
    </w:p>
    <w:p w:rsidR="003D7C21" w:rsidRDefault="003D7C21" w:rsidP="003D7C21">
      <w:pPr>
        <w:spacing w:line="360" w:lineRule="auto"/>
        <w:ind w:left="1440" w:firstLine="720"/>
        <w:rPr>
          <w:rStyle w:val="IntenseEmphasis"/>
        </w:rPr>
      </w:pPr>
    </w:p>
    <w:p w:rsidR="003D7C21" w:rsidRDefault="003D7C21" w:rsidP="003D7C21">
      <w:pPr>
        <w:spacing w:line="360" w:lineRule="auto"/>
        <w:ind w:left="1440" w:firstLine="720"/>
        <w:rPr>
          <w:rStyle w:val="IntenseEmphasis"/>
        </w:rPr>
      </w:pPr>
      <w:r w:rsidRPr="008E79C5">
        <w:rPr>
          <w:noProof/>
          <w:lang w:eastAsia="zh-CN"/>
        </w:rPr>
        <w:drawing>
          <wp:anchor distT="0" distB="0" distL="114300" distR="114300" simplePos="0" relativeHeight="251815936" behindDoc="0" locked="0" layoutInCell="1" allowOverlap="1">
            <wp:simplePos x="0" y="0"/>
            <wp:positionH relativeFrom="column">
              <wp:posOffset>1236345</wp:posOffset>
            </wp:positionH>
            <wp:positionV relativeFrom="paragraph">
              <wp:posOffset>476250</wp:posOffset>
            </wp:positionV>
            <wp:extent cx="3714750" cy="3107055"/>
            <wp:effectExtent l="0" t="0" r="0" b="0"/>
            <wp:wrapTopAndBottom/>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714750" cy="3107055"/>
                    </a:xfrm>
                    <a:prstGeom prst="rect">
                      <a:avLst/>
                    </a:prstGeom>
                  </pic:spPr>
                </pic:pic>
              </a:graphicData>
            </a:graphic>
          </wp:anchor>
        </w:drawing>
      </w:r>
    </w:p>
    <w:p w:rsidR="001B7F81" w:rsidRDefault="001B7F81" w:rsidP="006B3C9D">
      <w:pPr>
        <w:spacing w:line="360" w:lineRule="auto"/>
        <w:rPr>
          <w:rStyle w:val="IntenseEmphasis"/>
        </w:rPr>
      </w:pPr>
      <w:r w:rsidRPr="000B6600">
        <w:rPr>
          <w:rStyle w:val="IntenseEmphasis"/>
        </w:rPr>
        <w:t xml:space="preserve">Figure </w:t>
      </w:r>
      <w:r w:rsidR="001501DF" w:rsidRPr="000B6600">
        <w:rPr>
          <w:rStyle w:val="IntenseEmphasis"/>
        </w:rPr>
        <w:t>7.2</w:t>
      </w:r>
      <w:r w:rsidRPr="000B6600">
        <w:rPr>
          <w:rStyle w:val="IntenseEmphasis"/>
        </w:rPr>
        <w:t xml:space="preserve"> Mean </w:t>
      </w:r>
      <w:r w:rsidR="00330364" w:rsidRPr="000B6600">
        <w:rPr>
          <w:rStyle w:val="IntenseEmphasis"/>
        </w:rPr>
        <w:t>scores</w:t>
      </w:r>
      <w:r w:rsidRPr="000B6600">
        <w:rPr>
          <w:rStyle w:val="IntenseEmphasis"/>
        </w:rPr>
        <w:t xml:space="preserve"> in EPT-G scores </w:t>
      </w:r>
      <w:r w:rsidR="00330364" w:rsidRPr="000B6600">
        <w:rPr>
          <w:rStyle w:val="IntenseEmphasis"/>
        </w:rPr>
        <w:t xml:space="preserve">as a </w:t>
      </w:r>
      <w:r w:rsidR="0025164E" w:rsidRPr="000B6600">
        <w:rPr>
          <w:rStyle w:val="IntenseEmphasis"/>
        </w:rPr>
        <w:t>function</w:t>
      </w:r>
      <w:r w:rsidR="00330364" w:rsidRPr="000B6600">
        <w:rPr>
          <w:rStyle w:val="IntenseEmphasis"/>
        </w:rPr>
        <w:t xml:space="preserve"> of</w:t>
      </w:r>
      <w:r w:rsidRPr="000B6600">
        <w:rPr>
          <w:rStyle w:val="IntenseEmphasis"/>
        </w:rPr>
        <w:t xml:space="preserve"> educational levels</w:t>
      </w:r>
      <w:r w:rsidRPr="001501DF">
        <w:rPr>
          <w:rStyle w:val="IntenseEmphasis"/>
        </w:rPr>
        <w:t xml:space="preserve"> </w:t>
      </w:r>
    </w:p>
    <w:p w:rsidR="003375CC" w:rsidRPr="001501DF" w:rsidRDefault="001501DF" w:rsidP="001501DF">
      <w:pPr>
        <w:tabs>
          <w:tab w:val="left" w:pos="5731"/>
        </w:tabs>
        <w:rPr>
          <w:rStyle w:val="IntenseEmphasis"/>
          <w:rFonts w:asciiTheme="minorHAnsi" w:eastAsiaTheme="minorEastAsia" w:hAnsiTheme="minorHAnsi" w:cstheme="minorBidi"/>
          <w:color w:val="auto"/>
          <w:szCs w:val="24"/>
        </w:rPr>
      </w:pPr>
      <w:r w:rsidRPr="009A0B1F">
        <w:rPr>
          <w:noProof/>
          <w:lang w:eastAsia="zh-CN"/>
        </w:rPr>
        <w:drawing>
          <wp:anchor distT="0" distB="0" distL="114300" distR="114300" simplePos="0" relativeHeight="251814912" behindDoc="0" locked="0" layoutInCell="1" allowOverlap="1">
            <wp:simplePos x="0" y="0"/>
            <wp:positionH relativeFrom="column">
              <wp:posOffset>1088390</wp:posOffset>
            </wp:positionH>
            <wp:positionV relativeFrom="paragraph">
              <wp:posOffset>194310</wp:posOffset>
            </wp:positionV>
            <wp:extent cx="3886835" cy="3251200"/>
            <wp:effectExtent l="0" t="0" r="0" b="0"/>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886835" cy="3251200"/>
                    </a:xfrm>
                    <a:prstGeom prst="rect">
                      <a:avLst/>
                    </a:prstGeom>
                  </pic:spPr>
                </pic:pic>
              </a:graphicData>
            </a:graphic>
          </wp:anchor>
        </w:drawing>
      </w:r>
    </w:p>
    <w:p w:rsidR="00392466" w:rsidRDefault="003375CC" w:rsidP="006B3C9D">
      <w:pPr>
        <w:pStyle w:val="APAPar"/>
        <w:ind w:firstLine="0"/>
      </w:pPr>
      <w:r>
        <w:rPr>
          <w:rStyle w:val="IntenseEmphasis"/>
        </w:rPr>
        <w:t>F</w:t>
      </w:r>
      <w:r w:rsidRPr="009D04BE">
        <w:rPr>
          <w:rStyle w:val="IntenseEmphasis"/>
        </w:rPr>
        <w:t xml:space="preserve">igure </w:t>
      </w:r>
      <w:r w:rsidR="001501DF">
        <w:rPr>
          <w:rStyle w:val="IntenseEmphasis"/>
        </w:rPr>
        <w:t>7.3</w:t>
      </w:r>
      <w:r w:rsidRPr="001501DF">
        <w:rPr>
          <w:rStyle w:val="IntenseEmphasis"/>
        </w:rPr>
        <w:t xml:space="preserve"> Me</w:t>
      </w:r>
      <w:r w:rsidR="00743880" w:rsidRPr="001501DF">
        <w:rPr>
          <w:rStyle w:val="IntenseEmphasis"/>
        </w:rPr>
        <w:t xml:space="preserve">an </w:t>
      </w:r>
      <w:r w:rsidR="0025164E">
        <w:rPr>
          <w:rStyle w:val="IntenseEmphasis"/>
        </w:rPr>
        <w:t>scores</w:t>
      </w:r>
      <w:r w:rsidR="00743880" w:rsidRPr="001501DF">
        <w:rPr>
          <w:rStyle w:val="IntenseEmphasis"/>
        </w:rPr>
        <w:t xml:space="preserve"> in OTDL-G </w:t>
      </w:r>
      <w:r w:rsidR="0025164E">
        <w:rPr>
          <w:rStyle w:val="IntenseEmphasis"/>
        </w:rPr>
        <w:t>as a function of</w:t>
      </w:r>
      <w:r w:rsidRPr="001501DF">
        <w:rPr>
          <w:rStyle w:val="IntenseEmphasis"/>
        </w:rPr>
        <w:t xml:space="preserve"> educational levels</w:t>
      </w:r>
      <w:r w:rsidRPr="009D04BE">
        <w:rPr>
          <w:rStyle w:val="IntenseEmphasis"/>
        </w:rPr>
        <w:t xml:space="preserve"> </w:t>
      </w:r>
    </w:p>
    <w:p w:rsidR="00B50AB0" w:rsidRDefault="00B50AB0" w:rsidP="005C41B7">
      <w:pPr>
        <w:pStyle w:val="APAPar"/>
      </w:pPr>
      <w:r w:rsidRPr="007A15F6">
        <w:t xml:space="preserve">In terms of item difficulty </w:t>
      </w:r>
      <w:r w:rsidR="00834F2E">
        <w:t xml:space="preserve">for </w:t>
      </w:r>
      <w:r w:rsidR="00834F2E" w:rsidRPr="007A15F6">
        <w:t>the</w:t>
      </w:r>
      <w:r w:rsidRPr="007A15F6">
        <w:t xml:space="preserve"> EPT-G, the results indicated that it covered a wide range, from fairly easy </w:t>
      </w:r>
      <w:r>
        <w:t>(i.e. 1</w:t>
      </w:r>
      <w:r w:rsidRPr="00D47849">
        <w:rPr>
          <w:vertAlign w:val="superscript"/>
        </w:rPr>
        <w:t>st</w:t>
      </w:r>
      <w:r>
        <w:t xml:space="preserve"> phone task) </w:t>
      </w:r>
      <w:r w:rsidRPr="007A15F6">
        <w:t xml:space="preserve">where </w:t>
      </w:r>
      <w:r>
        <w:t>62.8</w:t>
      </w:r>
      <w:r w:rsidRPr="007A15F6">
        <w:t>% of the participants answered correctly</w:t>
      </w:r>
      <w:r>
        <w:t xml:space="preserve"> both questions of the item</w:t>
      </w:r>
      <w:r w:rsidRPr="007A15F6">
        <w:t xml:space="preserve">, to </w:t>
      </w:r>
      <w:r>
        <w:t xml:space="preserve">moderately difficult items (i.e., taxi rates) where 66.3% participants answered correctly only to one question, and fairly </w:t>
      </w:r>
      <w:r w:rsidRPr="007A15F6">
        <w:t>difficult items</w:t>
      </w:r>
      <w:r>
        <w:t xml:space="preserve"> (i.e., nutrition and insurance) </w:t>
      </w:r>
      <w:r w:rsidRPr="007A15F6">
        <w:t xml:space="preserve">where </w:t>
      </w:r>
      <w:r>
        <w:t>43</w:t>
      </w:r>
      <w:r w:rsidRPr="007A15F6">
        <w:t xml:space="preserve">% of the participants </w:t>
      </w:r>
      <w:r>
        <w:t>did not answer both questions correctly</w:t>
      </w:r>
      <w:r w:rsidRPr="007A15F6">
        <w:t>.</w:t>
      </w:r>
      <w:r>
        <w:t xml:space="preserve"> </w:t>
      </w:r>
      <w:r w:rsidRPr="007A15F6">
        <w:t xml:space="preserve"> The overall mean difficulty of the EPT-G was </w:t>
      </w:r>
      <w:r>
        <w:t>37.12%, calculated as the proportion of those answering correctly to both questions (36.71</w:t>
      </w:r>
      <w:r w:rsidRPr="007A15F6">
        <w:t>%</w:t>
      </w:r>
      <w:r>
        <w:t xml:space="preserve">), plus the proportion of those answering correctly one question for each item (37.54%) divided by two. These percentages are considered optimal according to the commonly set standard range (i.e., 20 to 80%) for item difficulty (Taib &amp; Yusoff, 2014)  </w:t>
      </w:r>
    </w:p>
    <w:p w:rsidR="004F3720" w:rsidRDefault="0062314B" w:rsidP="005C41B7">
      <w:pPr>
        <w:pStyle w:val="APAPar"/>
      </w:pPr>
      <w:r>
        <w:t>Regard</w:t>
      </w:r>
      <w:r>
        <w:rPr>
          <w:lang w:val="en-US"/>
        </w:rPr>
        <w:t>ing</w:t>
      </w:r>
      <w:r w:rsidR="00B50AB0">
        <w:t xml:space="preserve"> the item</w:t>
      </w:r>
      <w:r w:rsidR="001B7F81" w:rsidRPr="007A15F6">
        <w:t xml:space="preserve"> and task difficulty of the OTDL-G, the results indicated that it ranged from easy items, where </w:t>
      </w:r>
      <w:r w:rsidR="001B7F81">
        <w:t>83.5</w:t>
      </w:r>
      <w:r w:rsidR="001B7F81" w:rsidRPr="007A15F6">
        <w:t>% of the participants answered correctly</w:t>
      </w:r>
      <w:r w:rsidR="001B7F81">
        <w:t xml:space="preserve"> (i.e.</w:t>
      </w:r>
      <w:r w:rsidR="001B7F81" w:rsidRPr="007A15F6">
        <w:t>,</w:t>
      </w:r>
      <w:r w:rsidR="001B7F81">
        <w:t xml:space="preserve"> giving change)</w:t>
      </w:r>
      <w:r w:rsidR="001B7F81" w:rsidRPr="007A15F6">
        <w:t xml:space="preserve"> to very difficult items</w:t>
      </w:r>
      <w:r w:rsidR="005052B7">
        <w:t xml:space="preserve"> (e.g., the drowsiness task in medication handling)</w:t>
      </w:r>
      <w:r w:rsidR="001B7F81" w:rsidRPr="007A15F6">
        <w:t>, where o</w:t>
      </w:r>
      <w:r w:rsidR="001B7F81">
        <w:t>nly 3.5</w:t>
      </w:r>
      <w:r w:rsidR="001B7F81" w:rsidRPr="007A15F6">
        <w:t>% of the participants answered correctly</w:t>
      </w:r>
      <w:r w:rsidR="001B7F81">
        <w:t xml:space="preserve"> (although </w:t>
      </w:r>
      <w:r>
        <w:t xml:space="preserve">this </w:t>
      </w:r>
      <w:r w:rsidR="001B7F81">
        <w:t>increased to 23.</w:t>
      </w:r>
      <w:r w:rsidR="007451D3">
        <w:t>5% when some prompts were given</w:t>
      </w:r>
      <w:r w:rsidR="005052B7">
        <w:t xml:space="preserve">, as described in the administration guidelines). </w:t>
      </w:r>
      <w:r w:rsidR="001B7F81" w:rsidRPr="007A15F6">
        <w:t xml:space="preserve">The </w:t>
      </w:r>
      <w:r w:rsidR="005052B7">
        <w:t xml:space="preserve">overall </w:t>
      </w:r>
      <w:r w:rsidR="00B50AB0">
        <w:t>task</w:t>
      </w:r>
      <w:r w:rsidR="001B7F81" w:rsidRPr="007A15F6">
        <w:t xml:space="preserve"> difficulty of the OTDL-G was </w:t>
      </w:r>
      <w:r w:rsidR="007451D3">
        <w:t>40.6%</w:t>
      </w:r>
      <w:r w:rsidR="002836A3">
        <w:t>,</w:t>
      </w:r>
      <w:r w:rsidR="007451D3">
        <w:t xml:space="preserve"> con</w:t>
      </w:r>
      <w:r w:rsidR="001B7F81">
        <w:t xml:space="preserve">sidered optimal according to the set standard range (i.e., 20 to 80%) </w:t>
      </w:r>
      <w:r w:rsidR="00B50AB0">
        <w:t>suggested by Taib and Yusoff (</w:t>
      </w:r>
      <w:r w:rsidR="004F3720">
        <w:t>2014)</w:t>
      </w:r>
      <w:r w:rsidR="003375CC">
        <w:t>.</w:t>
      </w:r>
    </w:p>
    <w:p w:rsidR="004F3720" w:rsidRDefault="0025164E" w:rsidP="005D6C71">
      <w:pPr>
        <w:pStyle w:val="Heading3"/>
      </w:pPr>
      <w:bookmarkStart w:id="174" w:name="_Toc521184248"/>
      <w:r w:rsidRPr="000B6600">
        <w:t>Discussion</w:t>
      </w:r>
      <w:bookmarkEnd w:id="174"/>
    </w:p>
    <w:p w:rsidR="004F3720" w:rsidRDefault="009916A6" w:rsidP="005C41B7">
      <w:pPr>
        <w:pStyle w:val="APAPar"/>
        <w:rPr>
          <w:lang w:val="en-US"/>
        </w:rPr>
      </w:pPr>
      <w:r>
        <w:rPr>
          <w:lang w:val="en-US"/>
        </w:rPr>
        <w:t>The internal consistency of the EPT-</w:t>
      </w:r>
      <w:r w:rsidR="003F3513">
        <w:rPr>
          <w:lang w:val="en-US"/>
        </w:rPr>
        <w:t xml:space="preserve">G seems to be </w:t>
      </w:r>
      <w:r w:rsidR="0062314B">
        <w:rPr>
          <w:lang w:val="en-US"/>
        </w:rPr>
        <w:t>at</w:t>
      </w:r>
      <w:r w:rsidR="003F3513">
        <w:rPr>
          <w:lang w:val="en-US"/>
        </w:rPr>
        <w:t xml:space="preserve"> optimal levels, however </w:t>
      </w:r>
      <w:r>
        <w:rPr>
          <w:lang w:val="en-US"/>
        </w:rPr>
        <w:t xml:space="preserve">the relevant results for the OTDL-G </w:t>
      </w:r>
      <w:r w:rsidR="003F3513">
        <w:rPr>
          <w:lang w:val="en-US"/>
        </w:rPr>
        <w:t>need further elaboration</w:t>
      </w:r>
      <w:r>
        <w:rPr>
          <w:lang w:val="en-US"/>
        </w:rPr>
        <w:t xml:space="preserve">. According to Ponterotto and Ruckdeschel (2017), different </w:t>
      </w:r>
      <w:r w:rsidR="007D3D7E">
        <w:rPr>
          <w:lang w:val="en-US"/>
        </w:rPr>
        <w:t>minimal acceptable levels of internal consistency</w:t>
      </w:r>
      <w:r w:rsidR="003F3513">
        <w:rPr>
          <w:lang w:val="en-US"/>
        </w:rPr>
        <w:t xml:space="preserve"> have been set from different authors</w:t>
      </w:r>
      <w:r w:rsidR="007D3D7E">
        <w:rPr>
          <w:lang w:val="en-US"/>
        </w:rPr>
        <w:t xml:space="preserve"> </w:t>
      </w:r>
      <w:r w:rsidR="00284D60">
        <w:rPr>
          <w:lang w:val="en-US"/>
        </w:rPr>
        <w:t xml:space="preserve">(Table </w:t>
      </w:r>
      <w:r w:rsidR="003F3513">
        <w:rPr>
          <w:lang w:val="en-US"/>
        </w:rPr>
        <w:t xml:space="preserve">7.2). </w:t>
      </w:r>
    </w:p>
    <w:p w:rsidR="007D3D7E" w:rsidRPr="007D3D7E" w:rsidRDefault="007D3D7E" w:rsidP="0091167E">
      <w:pPr>
        <w:pStyle w:val="APAPar"/>
        <w:ind w:left="950" w:right="0" w:hanging="950"/>
        <w:rPr>
          <w:rStyle w:val="IntenseEmphasis"/>
        </w:rPr>
      </w:pPr>
      <w:r w:rsidRPr="007D3D7E">
        <w:rPr>
          <w:rStyle w:val="IntenseEmphasis"/>
        </w:rPr>
        <w:t xml:space="preserve">Table </w:t>
      </w:r>
      <w:r w:rsidR="009D3614">
        <w:rPr>
          <w:rStyle w:val="IntenseEmphasis"/>
        </w:rPr>
        <w:t>7.2</w:t>
      </w:r>
      <w:r w:rsidRPr="007D3D7E">
        <w:rPr>
          <w:rStyle w:val="IntenseEmphasis"/>
        </w:rPr>
        <w:t xml:space="preserve"> </w:t>
      </w:r>
      <w:r w:rsidR="003F3513">
        <w:rPr>
          <w:rStyle w:val="IntenseEmphasis"/>
        </w:rPr>
        <w:t>R</w:t>
      </w:r>
      <w:r w:rsidRPr="007D3D7E">
        <w:rPr>
          <w:rStyle w:val="IntenseEmphasis"/>
        </w:rPr>
        <w:t xml:space="preserve">ecommendation </w:t>
      </w:r>
      <w:r w:rsidR="00E17A8A" w:rsidRPr="007D3D7E">
        <w:rPr>
          <w:rStyle w:val="IntenseEmphasis"/>
        </w:rPr>
        <w:t>Guidelines For Minimal Acceptable Levels Of Internal Consistency For R</w:t>
      </w:r>
      <w:r w:rsidR="00E17A8A">
        <w:rPr>
          <w:rStyle w:val="IntenseEmphasis"/>
        </w:rPr>
        <w:t>esearch Measures In Psychology.</w:t>
      </w:r>
    </w:p>
    <w:p w:rsidR="004F3720" w:rsidRDefault="007D3D7E" w:rsidP="005C41B7">
      <w:pPr>
        <w:pStyle w:val="APAPar"/>
      </w:pPr>
      <w:r>
        <w:rPr>
          <w:noProof/>
          <w:lang w:eastAsia="zh-CN"/>
        </w:rPr>
        <w:drawing>
          <wp:inline distT="0" distB="0" distL="0" distR="0">
            <wp:extent cx="5727700" cy="2599690"/>
            <wp:effectExtent l="0" t="0" r="1270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reen Shot 2018-01-07 at 12.48.17.png"/>
                    <pic:cNvPicPr/>
                  </pic:nvPicPr>
                  <pic:blipFill>
                    <a:blip r:embed="rId30">
                      <a:extLst>
                        <a:ext uri="{28A0092B-C50C-407E-A947-70E740481C1C}">
                          <a14:useLocalDpi xmlns:a14="http://schemas.microsoft.com/office/drawing/2010/main" val="0"/>
                        </a:ext>
                      </a:extLst>
                    </a:blip>
                    <a:stretch>
                      <a:fillRect/>
                    </a:stretch>
                  </pic:blipFill>
                  <pic:spPr>
                    <a:xfrm>
                      <a:off x="0" y="0"/>
                      <a:ext cx="5727700" cy="2599690"/>
                    </a:xfrm>
                    <a:prstGeom prst="rect">
                      <a:avLst/>
                    </a:prstGeom>
                  </pic:spPr>
                </pic:pic>
              </a:graphicData>
            </a:graphic>
          </wp:inline>
        </w:drawing>
      </w:r>
    </w:p>
    <w:p w:rsidR="00B73E0C" w:rsidRPr="00E17A8A" w:rsidRDefault="00B73E0C" w:rsidP="00B73E0C">
      <w:pPr>
        <w:pStyle w:val="APAPar"/>
        <w:spacing w:before="0" w:after="240"/>
        <w:rPr>
          <w:rStyle w:val="IntenseEmphasis"/>
          <w:sz w:val="22"/>
        </w:rPr>
      </w:pPr>
      <w:r w:rsidRPr="00E17A8A">
        <w:rPr>
          <w:rStyle w:val="IntenseEmphasis"/>
          <w:i/>
          <w:sz w:val="22"/>
        </w:rPr>
        <w:t>Note.</w:t>
      </w:r>
      <w:r w:rsidRPr="00E17A8A">
        <w:rPr>
          <w:rStyle w:val="IntenseEmphasis"/>
          <w:sz w:val="22"/>
        </w:rPr>
        <w:t xml:space="preserve"> Adapted from Ponterotto and Ruckdeschel (2017)</w:t>
      </w:r>
    </w:p>
    <w:p w:rsidR="0020123D" w:rsidRDefault="003F3513" w:rsidP="00B73E0C">
      <w:pPr>
        <w:pStyle w:val="APAPar"/>
        <w:spacing w:before="0" w:after="240"/>
        <w:rPr>
          <w:lang w:val="en-US"/>
        </w:rPr>
      </w:pPr>
      <w:r>
        <w:rPr>
          <w:lang w:val="en-US"/>
        </w:rPr>
        <w:t>Based on this differentiation in the acceptability of internal consistency</w:t>
      </w:r>
      <w:r w:rsidR="003D7C21">
        <w:rPr>
          <w:lang w:val="en-US"/>
        </w:rPr>
        <w:t xml:space="preserve"> levels</w:t>
      </w:r>
      <w:r>
        <w:rPr>
          <w:lang w:val="en-US"/>
        </w:rPr>
        <w:t>, it could be argued that the OTDL-G does not reach optimal levels, however it can be considered as moderate, potentially satisfactory, or rendering th</w:t>
      </w:r>
      <w:r w:rsidR="00B50AB0">
        <w:rPr>
          <w:lang w:val="en-US"/>
        </w:rPr>
        <w:t>e measure as potentially useful</w:t>
      </w:r>
      <w:r w:rsidRPr="007A15F6">
        <w:t>.</w:t>
      </w:r>
      <w:r>
        <w:rPr>
          <w:lang w:val="en-US"/>
        </w:rPr>
        <w:t xml:space="preserve"> Therefore, the OTDL-G measure for the assessment of everyday functioning of older adults </w:t>
      </w:r>
      <w:r w:rsidR="003D7C21">
        <w:rPr>
          <w:lang w:val="en-US"/>
        </w:rPr>
        <w:t>is</w:t>
      </w:r>
      <w:r w:rsidR="005052B7">
        <w:rPr>
          <w:lang w:val="en-US"/>
        </w:rPr>
        <w:t xml:space="preserve"> used in the fieldwork of this thesis</w:t>
      </w:r>
      <w:r>
        <w:rPr>
          <w:lang w:val="en-US"/>
        </w:rPr>
        <w:t>, noting however that increasing the measure’s internal consistency should be pursued in future research.</w:t>
      </w:r>
    </w:p>
    <w:p w:rsidR="003D7C21" w:rsidRDefault="007D3D7E" w:rsidP="005C41B7">
      <w:pPr>
        <w:pStyle w:val="APAPar"/>
      </w:pPr>
      <w:r>
        <w:t>Inter</w:t>
      </w:r>
      <w:r w:rsidR="004B455B">
        <w:t>-</w:t>
      </w:r>
      <w:r>
        <w:t xml:space="preserve">rater reliability analysis did not yield any </w:t>
      </w:r>
      <w:r w:rsidR="00B50AB0">
        <w:t>statistically significant</w:t>
      </w:r>
      <w:r>
        <w:t xml:space="preserve"> difference in the means </w:t>
      </w:r>
      <w:r w:rsidRPr="000B6600">
        <w:t xml:space="preserve">scores </w:t>
      </w:r>
      <w:r w:rsidR="0025164E" w:rsidRPr="000B6600">
        <w:t>as a function of</w:t>
      </w:r>
      <w:r>
        <w:t xml:space="preserve"> the resea</w:t>
      </w:r>
      <w:r w:rsidR="001057E6">
        <w:t>rcher conducting the assessment. This indicates</w:t>
      </w:r>
      <w:r>
        <w:t xml:space="preserve"> that the </w:t>
      </w:r>
      <w:r w:rsidR="001057E6">
        <w:t xml:space="preserve">translation and the adaptation of the </w:t>
      </w:r>
      <w:r>
        <w:t xml:space="preserve">instrument, the guidelines, and the training received was adequate to </w:t>
      </w:r>
      <w:r w:rsidR="001057E6">
        <w:t>ensure that the assessment of everyday functioning using the OT</w:t>
      </w:r>
      <w:r w:rsidR="0020123D">
        <w:t xml:space="preserve">DL-G and the EPT-G reliably </w:t>
      </w:r>
      <w:r w:rsidR="002836A3">
        <w:t>produce</w:t>
      </w:r>
      <w:r w:rsidR="003D7C21">
        <w:t>s</w:t>
      </w:r>
      <w:r w:rsidR="002836A3">
        <w:t xml:space="preserve"> </w:t>
      </w:r>
      <w:r w:rsidR="0020123D">
        <w:t xml:space="preserve">equal scores independently </w:t>
      </w:r>
      <w:r w:rsidR="001057E6">
        <w:t>from the resea</w:t>
      </w:r>
      <w:r w:rsidR="0020123D">
        <w:t>rcher performing the assessment</w:t>
      </w:r>
      <w:r w:rsidR="0065278B">
        <w:t>.</w:t>
      </w:r>
      <w:r w:rsidR="001057E6">
        <w:t xml:space="preserve"> In terms of criterion-related validity, both the EPT-G and OTDL-G correlate statistically significantly with various measures of cognitive performance, as well as with age. This pattern of relativity is sim</w:t>
      </w:r>
      <w:r w:rsidR="0020123D">
        <w:t>ilar to the original instrument</w:t>
      </w:r>
      <w:r w:rsidR="002836A3">
        <w:t xml:space="preserve">, indicating </w:t>
      </w:r>
      <w:r w:rsidR="001057E6">
        <w:t xml:space="preserve">that everyday functioning is an ability that declines </w:t>
      </w:r>
      <w:r w:rsidR="003D7C21">
        <w:t>with age and relates with the corresponding age-related decline in cognitive performance.</w:t>
      </w:r>
    </w:p>
    <w:p w:rsidR="00743880" w:rsidRPr="003D7C21" w:rsidRDefault="003D7C21" w:rsidP="005C41B7">
      <w:pPr>
        <w:pStyle w:val="APAPar"/>
      </w:pPr>
      <w:r>
        <w:t xml:space="preserve"> </w:t>
      </w:r>
      <w:r w:rsidR="00743880">
        <w:t xml:space="preserve">The analysis of the results also </w:t>
      </w:r>
      <w:r w:rsidR="0020123D">
        <w:t>indicates</w:t>
      </w:r>
      <w:r w:rsidR="00743880">
        <w:t xml:space="preserve"> that </w:t>
      </w:r>
      <w:r w:rsidR="0020123D">
        <w:t>those who have completed only primary education (6 years of schooling in the Greek context) score lower in</w:t>
      </w:r>
      <w:r w:rsidR="00743880">
        <w:t xml:space="preserve"> the EPT-G and OTDL-G. This effect </w:t>
      </w:r>
      <w:r w:rsidR="0020123D">
        <w:t>can be</w:t>
      </w:r>
      <w:r w:rsidR="00743880">
        <w:t xml:space="preserve"> explained by the fact that most</w:t>
      </w:r>
      <w:r w:rsidR="00743880" w:rsidRPr="007A15F6">
        <w:t xml:space="preserve"> </w:t>
      </w:r>
      <w:r w:rsidR="00743880">
        <w:t>neuropsychological and everyday functioning</w:t>
      </w:r>
      <w:r w:rsidR="00743880" w:rsidRPr="007A15F6">
        <w:t xml:space="preserve"> assessments follow a structure and procedure that assimilate those of the class-based</w:t>
      </w:r>
      <w:r w:rsidR="00743880">
        <w:t xml:space="preserve"> tests (Marcotte et al., </w:t>
      </w:r>
      <w:r w:rsidR="00743880" w:rsidRPr="007A15F6">
        <w:t>2010</w:t>
      </w:r>
      <w:r w:rsidR="00743880">
        <w:t xml:space="preserve">). </w:t>
      </w:r>
      <w:r w:rsidR="00743880" w:rsidRPr="007A15F6">
        <w:rPr>
          <w:rFonts w:eastAsia="Times New Roman"/>
          <w:szCs w:val="24"/>
        </w:rPr>
        <w:t xml:space="preserve">Ardila (1998) argued </w:t>
      </w:r>
      <w:r w:rsidR="0020123D">
        <w:rPr>
          <w:rFonts w:eastAsia="Times New Roman"/>
          <w:szCs w:val="24"/>
        </w:rPr>
        <w:t>for a similar pattern</w:t>
      </w:r>
      <w:r w:rsidR="00E61F25">
        <w:rPr>
          <w:rFonts w:eastAsia="Times New Roman"/>
          <w:szCs w:val="24"/>
        </w:rPr>
        <w:t xml:space="preserve"> in the context of the cognitive reserve hypothesis</w:t>
      </w:r>
      <w:r w:rsidR="0020123D">
        <w:rPr>
          <w:rFonts w:eastAsia="Times New Roman"/>
          <w:szCs w:val="24"/>
        </w:rPr>
        <w:t xml:space="preserve">, namely </w:t>
      </w:r>
      <w:r w:rsidR="00743880" w:rsidRPr="007A15F6">
        <w:rPr>
          <w:rFonts w:eastAsia="Times New Roman"/>
          <w:szCs w:val="24"/>
        </w:rPr>
        <w:t>that the effect of lower education on</w:t>
      </w:r>
      <w:r w:rsidR="00743880">
        <w:rPr>
          <w:rFonts w:eastAsia="Times New Roman"/>
          <w:szCs w:val="24"/>
        </w:rPr>
        <w:t xml:space="preserve"> cognitive performance</w:t>
      </w:r>
      <w:r w:rsidR="00743880" w:rsidRPr="007A15F6">
        <w:rPr>
          <w:rFonts w:eastAsia="Times New Roman"/>
          <w:szCs w:val="24"/>
        </w:rPr>
        <w:t xml:space="preserve"> is strong between those having received none, with those having received 3 years of education. This effect seems to decline when comparing those of 3 and 6 years of education, until the effect of poorer education reaches a plateau, with no significant effects observed</w:t>
      </w:r>
      <w:r w:rsidR="00743880">
        <w:rPr>
          <w:rFonts w:eastAsia="Times New Roman"/>
          <w:szCs w:val="24"/>
        </w:rPr>
        <w:t>.</w:t>
      </w:r>
      <w:r w:rsidR="0020123D">
        <w:rPr>
          <w:rFonts w:eastAsia="Times New Roman"/>
          <w:szCs w:val="24"/>
        </w:rPr>
        <w:t xml:space="preserve"> The results of </w:t>
      </w:r>
      <w:r w:rsidR="0020123D" w:rsidRPr="000B6600">
        <w:rPr>
          <w:rFonts w:eastAsia="Times New Roman"/>
          <w:szCs w:val="24"/>
        </w:rPr>
        <w:t xml:space="preserve">the </w:t>
      </w:r>
      <w:r w:rsidR="0025164E" w:rsidRPr="000B6600">
        <w:rPr>
          <w:rFonts w:eastAsia="Times New Roman"/>
          <w:szCs w:val="24"/>
        </w:rPr>
        <w:t>first</w:t>
      </w:r>
      <w:r w:rsidR="0020123D" w:rsidRPr="000B6600">
        <w:rPr>
          <w:rFonts w:eastAsia="Times New Roman"/>
          <w:szCs w:val="24"/>
        </w:rPr>
        <w:t xml:space="preserve"> analysis</w:t>
      </w:r>
      <w:r w:rsidR="0020123D">
        <w:rPr>
          <w:rFonts w:eastAsia="Times New Roman"/>
          <w:szCs w:val="24"/>
        </w:rPr>
        <w:t xml:space="preserve"> indicate that a similar pattern of relationship with education may be evident in measuring everyday functioning as well</w:t>
      </w:r>
      <w:r w:rsidR="00E61F25">
        <w:rPr>
          <w:rFonts w:eastAsia="Times New Roman"/>
          <w:szCs w:val="24"/>
        </w:rPr>
        <w:t xml:space="preserve">. </w:t>
      </w:r>
    </w:p>
    <w:p w:rsidR="00B50AB0" w:rsidRPr="00743880" w:rsidRDefault="00B50AB0" w:rsidP="0091167E">
      <w:pPr>
        <w:pStyle w:val="Heading3"/>
      </w:pPr>
      <w:bookmarkStart w:id="175" w:name="_Toc521184249"/>
      <w:r>
        <w:t>Conclusion</w:t>
      </w:r>
      <w:bookmarkEnd w:id="175"/>
    </w:p>
    <w:p w:rsidR="00B50AB0" w:rsidRDefault="00284D60" w:rsidP="005C41B7">
      <w:pPr>
        <w:pStyle w:val="APAPar"/>
      </w:pPr>
      <w:r>
        <w:t xml:space="preserve">As a conclusion, the OTDL-R and EPT-28items seem to have been translated and adapted successfully in the Greek context, yielding two reliable and valid instruments that measure everyday functioning in the healthy spectrum of cognitive performance. </w:t>
      </w:r>
      <w:r w:rsidR="004B455B">
        <w:t>The findings replicate</w:t>
      </w:r>
      <w:r w:rsidR="00B50AB0">
        <w:t xml:space="preserve"> the ranges reported for the original instruments OTDL-R and EPT-28items, validating the equivalence of the adapted and translated instruments OTDL-G and EPT-G (Geisinger, 2994). </w:t>
      </w:r>
    </w:p>
    <w:p w:rsidR="00284D60" w:rsidRDefault="009C628D" w:rsidP="005C41B7">
      <w:pPr>
        <w:pStyle w:val="APAPar"/>
      </w:pPr>
      <w:r>
        <w:t xml:space="preserve">Further development of the instruments should include </w:t>
      </w:r>
      <w:r w:rsidR="0062314B">
        <w:t xml:space="preserve">an </w:t>
      </w:r>
      <w:r>
        <w:t>examination of test-re</w:t>
      </w:r>
      <w:r w:rsidR="00B50AB0">
        <w:t xml:space="preserve">test reliability, as well as </w:t>
      </w:r>
      <w:r w:rsidR="0062314B">
        <w:t>effecting an</w:t>
      </w:r>
      <w:r>
        <w:t xml:space="preserve"> increase </w:t>
      </w:r>
      <w:r w:rsidR="0062314B">
        <w:t xml:space="preserve">in </w:t>
      </w:r>
      <w:r>
        <w:t>the internal consistency for the OTDL-G.</w:t>
      </w:r>
      <w:r w:rsidR="00743880">
        <w:t xml:space="preserve"> The administration of the EPT-G and OTDL-G should be made </w:t>
      </w:r>
      <w:r w:rsidR="00B50AB0">
        <w:t>with caution, as</w:t>
      </w:r>
      <w:r w:rsidR="002836A3">
        <w:t xml:space="preserve"> </w:t>
      </w:r>
      <w:r w:rsidR="00743880">
        <w:t>those having received only primary education may be disproportionally challenged</w:t>
      </w:r>
      <w:r w:rsidR="0020123D">
        <w:t xml:space="preserve"> by the tasks</w:t>
      </w:r>
      <w:r w:rsidR="00743880">
        <w:t>, an effect that may not be attributable to cognitive performance</w:t>
      </w:r>
      <w:r w:rsidR="004A235B">
        <w:t>.</w:t>
      </w:r>
      <w:r w:rsidR="002836A3">
        <w:t xml:space="preserve"> The latter</w:t>
      </w:r>
      <w:r w:rsidR="0020123D">
        <w:t xml:space="preserve"> possibility will be examined in the second </w:t>
      </w:r>
      <w:r w:rsidR="00525F58">
        <w:t>analysis</w:t>
      </w:r>
      <w:r w:rsidR="0020123D">
        <w:t>.</w:t>
      </w:r>
    </w:p>
    <w:p w:rsidR="009C628D" w:rsidRDefault="00EF7100" w:rsidP="00FE028D">
      <w:pPr>
        <w:pStyle w:val="Heading2"/>
      </w:pPr>
      <w:bookmarkStart w:id="176" w:name="_Toc521184250"/>
      <w:r>
        <w:t>Analysis</w:t>
      </w:r>
      <w:r w:rsidR="009C628D">
        <w:t xml:space="preserve"> 2 The Relation Between Cognitive Performance and Everyday Functioning</w:t>
      </w:r>
      <w:bookmarkEnd w:id="176"/>
    </w:p>
    <w:p w:rsidR="00BF2B3E" w:rsidRDefault="00E376FA" w:rsidP="0091167E">
      <w:pPr>
        <w:pStyle w:val="Heading3"/>
      </w:pPr>
      <w:bookmarkStart w:id="177" w:name="_Toc521184251"/>
      <w:r>
        <w:t>Introduction</w:t>
      </w:r>
      <w:bookmarkEnd w:id="177"/>
    </w:p>
    <w:p w:rsidR="008D60CF" w:rsidRPr="000B6600" w:rsidRDefault="009633CC" w:rsidP="005C41B7">
      <w:pPr>
        <w:pStyle w:val="APAPar"/>
      </w:pPr>
      <w:r w:rsidRPr="000B6600">
        <w:rPr>
          <w:lang w:val="en-US"/>
        </w:rPr>
        <w:t>T</w:t>
      </w:r>
      <w:r w:rsidR="00B50AB0" w:rsidRPr="000B6600">
        <w:rPr>
          <w:lang w:val="en-US"/>
        </w:rPr>
        <w:t xml:space="preserve">he second </w:t>
      </w:r>
      <w:r w:rsidR="00525F58" w:rsidRPr="000B6600">
        <w:rPr>
          <w:lang w:val="en-US"/>
        </w:rPr>
        <w:t>analysis</w:t>
      </w:r>
      <w:r w:rsidR="00B50AB0" w:rsidRPr="000B6600">
        <w:rPr>
          <w:lang w:val="en-US"/>
        </w:rPr>
        <w:t xml:space="preserve"> examines</w:t>
      </w:r>
      <w:r w:rsidR="006C364D" w:rsidRPr="000B6600">
        <w:rPr>
          <w:lang w:val="en-US"/>
        </w:rPr>
        <w:t xml:space="preserve"> the relation between cognitive performance and everyday functioning. </w:t>
      </w:r>
      <w:r w:rsidR="00933406" w:rsidRPr="000B6600">
        <w:rPr>
          <w:lang w:val="en-US"/>
        </w:rPr>
        <w:t xml:space="preserve">It was hypothesized that </w:t>
      </w:r>
      <w:r w:rsidR="0025164E" w:rsidRPr="000B6600">
        <w:rPr>
          <w:lang w:val="en-US"/>
        </w:rPr>
        <w:t xml:space="preserve">cognitive performance </w:t>
      </w:r>
      <w:r w:rsidR="00933406" w:rsidRPr="000B6600">
        <w:rPr>
          <w:lang w:val="en-US"/>
        </w:rPr>
        <w:t xml:space="preserve">would predict performance in everyday functioning tests. </w:t>
      </w:r>
      <w:r w:rsidR="006C364D" w:rsidRPr="000B6600">
        <w:rPr>
          <w:lang w:val="en-US"/>
        </w:rPr>
        <w:t>Following Salthouse and Pink</w:t>
      </w:r>
      <w:r w:rsidR="004B455B">
        <w:rPr>
          <w:lang w:val="en-US"/>
        </w:rPr>
        <w:t>’s</w:t>
      </w:r>
      <w:r w:rsidR="006C364D" w:rsidRPr="000B6600">
        <w:rPr>
          <w:lang w:val="en-US"/>
        </w:rPr>
        <w:t xml:space="preserve"> (2008)</w:t>
      </w:r>
      <w:r w:rsidR="00267895" w:rsidRPr="000B6600">
        <w:rPr>
          <w:lang w:val="en-US"/>
        </w:rPr>
        <w:t xml:space="preserve"> </w:t>
      </w:r>
      <w:r w:rsidR="007F57EB" w:rsidRPr="000B6600">
        <w:rPr>
          <w:lang w:val="en-US"/>
        </w:rPr>
        <w:t>suggestions, two</w:t>
      </w:r>
      <w:r w:rsidR="006C364D" w:rsidRPr="000B6600">
        <w:rPr>
          <w:lang w:val="en-US"/>
        </w:rPr>
        <w:t xml:space="preserve"> conditions need</w:t>
      </w:r>
      <w:r w:rsidR="007F57EB" w:rsidRPr="000B6600">
        <w:rPr>
          <w:lang w:val="en-US"/>
        </w:rPr>
        <w:t>ed to be satisfied in order for a relation of this nature to be established</w:t>
      </w:r>
      <w:r w:rsidR="006C364D" w:rsidRPr="000B6600">
        <w:rPr>
          <w:lang w:val="en-US"/>
        </w:rPr>
        <w:t xml:space="preserve">. The first is that </w:t>
      </w:r>
      <w:r w:rsidR="0020123D" w:rsidRPr="000B6600">
        <w:rPr>
          <w:lang w:val="en-US"/>
        </w:rPr>
        <w:t>a factor</w:t>
      </w:r>
      <w:r w:rsidR="00A040FD" w:rsidRPr="000B6600">
        <w:rPr>
          <w:lang w:val="en-US"/>
        </w:rPr>
        <w:t xml:space="preserve"> </w:t>
      </w:r>
      <w:r w:rsidR="0025164E" w:rsidRPr="000B6600">
        <w:rPr>
          <w:lang w:val="en-US"/>
        </w:rPr>
        <w:t>must</w:t>
      </w:r>
      <w:r w:rsidR="006C364D" w:rsidRPr="000B6600">
        <w:rPr>
          <w:lang w:val="en-US"/>
        </w:rPr>
        <w:t xml:space="preserve"> be statistically significant correlated with the </w:t>
      </w:r>
      <w:r w:rsidR="000377E7" w:rsidRPr="000B6600">
        <w:rPr>
          <w:lang w:val="en-US"/>
        </w:rPr>
        <w:t>outcome variable</w:t>
      </w:r>
      <w:r w:rsidR="0020123D" w:rsidRPr="000B6600">
        <w:rPr>
          <w:lang w:val="en-US"/>
        </w:rPr>
        <w:t>. This</w:t>
      </w:r>
      <w:r w:rsidR="006C364D" w:rsidRPr="000B6600">
        <w:rPr>
          <w:lang w:val="en-US"/>
        </w:rPr>
        <w:t xml:space="preserve"> </w:t>
      </w:r>
      <w:r w:rsidR="00B50AB0" w:rsidRPr="000B6600">
        <w:rPr>
          <w:lang w:val="en-US"/>
        </w:rPr>
        <w:t xml:space="preserve">condition </w:t>
      </w:r>
      <w:r w:rsidR="0025164E" w:rsidRPr="000B6600">
        <w:rPr>
          <w:lang w:val="en-US"/>
        </w:rPr>
        <w:t>was</w:t>
      </w:r>
      <w:r w:rsidR="006C364D" w:rsidRPr="000B6600">
        <w:rPr>
          <w:lang w:val="en-US"/>
        </w:rPr>
        <w:t xml:space="preserve"> satisfied</w:t>
      </w:r>
      <w:r w:rsidR="0025164E" w:rsidRPr="000B6600">
        <w:rPr>
          <w:lang w:val="en-US"/>
        </w:rPr>
        <w:t xml:space="preserve"> (see Analysis 1)</w:t>
      </w:r>
      <w:r w:rsidR="00BE25DD" w:rsidRPr="000B6600">
        <w:rPr>
          <w:lang w:val="en-US"/>
        </w:rPr>
        <w:t xml:space="preserve">, </w:t>
      </w:r>
      <w:r w:rsidR="0025164E" w:rsidRPr="000B6600">
        <w:rPr>
          <w:lang w:val="en-US"/>
        </w:rPr>
        <w:t>since</w:t>
      </w:r>
      <w:r w:rsidR="006C364D" w:rsidRPr="000B6600">
        <w:rPr>
          <w:lang w:val="en-US"/>
        </w:rPr>
        <w:t xml:space="preserve"> </w:t>
      </w:r>
      <w:r w:rsidR="00BE25DD" w:rsidRPr="000B6600">
        <w:t>VF, TMT-B, STM, and LTM</w:t>
      </w:r>
      <w:r w:rsidR="00BC0199" w:rsidRPr="000B6600">
        <w:t>, but not TMT-A and WM,</w:t>
      </w:r>
      <w:r w:rsidR="00BE25DD" w:rsidRPr="000B6600">
        <w:t xml:space="preserve"> </w:t>
      </w:r>
      <w:r w:rsidR="0025164E" w:rsidRPr="000B6600">
        <w:t xml:space="preserve">were </w:t>
      </w:r>
      <w:r w:rsidR="00CB2835" w:rsidRPr="000B6600">
        <w:t>statistically significant</w:t>
      </w:r>
      <w:r w:rsidR="00CB2835">
        <w:t xml:space="preserve"> c</w:t>
      </w:r>
      <w:r w:rsidR="00834F2E">
        <w:t>orrelated with EPT-G and OTDL-G</w:t>
      </w:r>
      <w:r w:rsidR="006C364D">
        <w:t>.</w:t>
      </w:r>
      <w:r w:rsidR="00BC0199">
        <w:t xml:space="preserve"> The LC measure was statistically significant correla</w:t>
      </w:r>
      <w:r w:rsidR="00E61F25">
        <w:t xml:space="preserve">ted </w:t>
      </w:r>
      <w:r w:rsidR="00E61F25" w:rsidRPr="000B6600">
        <w:t>only with the EPT-G measure</w:t>
      </w:r>
      <w:r w:rsidR="00BC0199" w:rsidRPr="000B6600">
        <w:t>.</w:t>
      </w:r>
      <w:r w:rsidR="00D81FB9" w:rsidRPr="000B6600">
        <w:t xml:space="preserve"> </w:t>
      </w:r>
      <w:r w:rsidR="00E429AE" w:rsidRPr="000B6600">
        <w:t>A</w:t>
      </w:r>
      <w:r w:rsidR="007F57EB" w:rsidRPr="000B6600">
        <w:t>s such, a</w:t>
      </w:r>
      <w:r w:rsidR="004D1157" w:rsidRPr="000B6600">
        <w:t xml:space="preserve"> stepwise</w:t>
      </w:r>
      <w:r w:rsidR="00AC6F36" w:rsidRPr="000B6600">
        <w:t xml:space="preserve"> regression analysis </w:t>
      </w:r>
      <w:r w:rsidR="0025164E" w:rsidRPr="000B6600">
        <w:t xml:space="preserve">was </w:t>
      </w:r>
      <w:r w:rsidR="00AC6F36" w:rsidRPr="000B6600">
        <w:t>performed</w:t>
      </w:r>
      <w:r w:rsidR="004D1157" w:rsidRPr="000B6600">
        <w:t>, including a</w:t>
      </w:r>
      <w:r w:rsidR="0025164E" w:rsidRPr="000B6600">
        <w:t>ge in the first step;</w:t>
      </w:r>
      <w:r w:rsidR="004D1157" w:rsidRPr="000B6600">
        <w:t xml:space="preserve"> VF, TMT-B, </w:t>
      </w:r>
      <w:r w:rsidR="0025164E" w:rsidRPr="000B6600">
        <w:t>STM, and LTM in the second step;</w:t>
      </w:r>
      <w:r w:rsidR="004D1157" w:rsidRPr="000B6600">
        <w:t xml:space="preserve"> and education in the third step, </w:t>
      </w:r>
      <w:r w:rsidR="00AC6F36" w:rsidRPr="000B6600">
        <w:t xml:space="preserve">in order to identify any statistically significant </w:t>
      </w:r>
      <w:r w:rsidR="00E61F25" w:rsidRPr="000B6600">
        <w:t xml:space="preserve">independent </w:t>
      </w:r>
      <w:r w:rsidR="004D1157" w:rsidRPr="000B6600">
        <w:t xml:space="preserve">predictors of OTDL-G and EPT-G. In this analysis, education </w:t>
      </w:r>
      <w:r w:rsidR="0025164E" w:rsidRPr="000B6600">
        <w:t>was</w:t>
      </w:r>
      <w:r w:rsidR="00E22FCD" w:rsidRPr="000B6600">
        <w:t xml:space="preserve"> </w:t>
      </w:r>
      <w:r w:rsidR="004D1157" w:rsidRPr="000B6600">
        <w:t>examined by a</w:t>
      </w:r>
      <w:r w:rsidR="004A4948" w:rsidRPr="000B6600">
        <w:t>n</w:t>
      </w:r>
      <w:r w:rsidR="004D1157" w:rsidRPr="000B6600">
        <w:t xml:space="preserve"> </w:t>
      </w:r>
      <w:r w:rsidR="004A4948" w:rsidRPr="000B6600">
        <w:t xml:space="preserve">effect coding </w:t>
      </w:r>
      <w:r w:rsidR="004D1157" w:rsidRPr="000B6600">
        <w:t>variable, with 1 representing those completing primary school only, and 2 representing those completing more than primary school, following the suggestions of Frazier et al., (2004).</w:t>
      </w:r>
    </w:p>
    <w:p w:rsidR="00027C21" w:rsidRDefault="00E22FCD" w:rsidP="005C41B7">
      <w:pPr>
        <w:pStyle w:val="APAPar"/>
      </w:pPr>
      <w:r w:rsidRPr="000B6600">
        <w:t>T</w:t>
      </w:r>
      <w:r w:rsidR="00E61F25" w:rsidRPr="000B6600">
        <w:t xml:space="preserve">he scores of the neuropsychological assessments </w:t>
      </w:r>
      <w:r w:rsidR="0025164E" w:rsidRPr="000B6600">
        <w:t>we</w:t>
      </w:r>
      <w:r w:rsidRPr="000B6600">
        <w:t>re</w:t>
      </w:r>
      <w:r w:rsidR="00E61F25" w:rsidRPr="000B6600">
        <w:t xml:space="preserve"> standardized and s</w:t>
      </w:r>
      <w:r w:rsidR="006F71E7" w:rsidRPr="000B6600">
        <w:t xml:space="preserve">ubsequently, an interaction term for each neuropsychological assessment with education </w:t>
      </w:r>
      <w:r w:rsidR="0025164E" w:rsidRPr="000B6600">
        <w:t>was</w:t>
      </w:r>
      <w:r w:rsidR="006F71E7" w:rsidRPr="000B6600">
        <w:t xml:space="preserve"> created, which </w:t>
      </w:r>
      <w:r w:rsidR="009D3614" w:rsidRPr="000B6600">
        <w:t xml:space="preserve">subsequently </w:t>
      </w:r>
      <w:r w:rsidR="0025164E" w:rsidRPr="000B6600">
        <w:t>were</w:t>
      </w:r>
      <w:r w:rsidRPr="000B6600">
        <w:t xml:space="preserve"> </w:t>
      </w:r>
      <w:r w:rsidR="006F71E7" w:rsidRPr="000B6600">
        <w:t xml:space="preserve">entered </w:t>
      </w:r>
      <w:r w:rsidRPr="000B6600">
        <w:t>in the</w:t>
      </w:r>
      <w:r w:rsidR="006F71E7" w:rsidRPr="000B6600">
        <w:t xml:space="preserve"> regression model. Following the suggestions of</w:t>
      </w:r>
      <w:r w:rsidR="006F71E7">
        <w:t xml:space="preserve"> Frazier et al. (2004), if the second step of the regression analysis explains an additional variance in the model (i.e., R</w:t>
      </w:r>
      <w:r w:rsidR="006F71E7">
        <w:rPr>
          <w:vertAlign w:val="superscript"/>
        </w:rPr>
        <w:t>2</w:t>
      </w:r>
      <w:r w:rsidR="006F71E7">
        <w:rPr>
          <w:vertAlign w:val="subscript"/>
        </w:rPr>
        <w:t>change</w:t>
      </w:r>
      <w:r w:rsidR="006F71E7">
        <w:t>), then education has a moderation effect in the relation between cognitive performance and everyday functioning.</w:t>
      </w:r>
      <w:r w:rsidR="009403E8" w:rsidRPr="009403E8">
        <w:t xml:space="preserve"> </w:t>
      </w:r>
      <w:r w:rsidR="00B50AB0">
        <w:t>The</w:t>
      </w:r>
      <w:r w:rsidR="009403E8">
        <w:t xml:space="preserve"> </w:t>
      </w:r>
      <w:r w:rsidR="00B50AB0">
        <w:t xml:space="preserve">list of the </w:t>
      </w:r>
      <w:r w:rsidR="00027C21">
        <w:t xml:space="preserve">variables included in the </w:t>
      </w:r>
      <w:r w:rsidR="009403E8">
        <w:t xml:space="preserve">regression </w:t>
      </w:r>
      <w:r w:rsidR="00B50AB0">
        <w:t>models</w:t>
      </w:r>
      <w:r w:rsidR="009403E8">
        <w:t xml:space="preserve"> for </w:t>
      </w:r>
      <w:r w:rsidR="009D3614">
        <w:t>each neuropsychological assessmen</w:t>
      </w:r>
      <w:r w:rsidR="00027C21">
        <w:t>t, as well as their nature (i.e., predictor, moderator, outcome)</w:t>
      </w:r>
      <w:r w:rsidR="009D3614">
        <w:t xml:space="preserve"> </w:t>
      </w:r>
      <w:r w:rsidR="00B50AB0">
        <w:t>is presented below</w:t>
      </w:r>
      <w:r w:rsidR="009D3614">
        <w:t xml:space="preserve"> (table 7.3). </w:t>
      </w:r>
    </w:p>
    <w:p w:rsidR="009D3614" w:rsidRDefault="009D3614" w:rsidP="0091167E">
      <w:pPr>
        <w:pStyle w:val="APAPar"/>
        <w:spacing w:before="0"/>
        <w:ind w:left="965" w:right="0" w:hanging="965"/>
      </w:pPr>
      <w:r>
        <w:rPr>
          <w:rStyle w:val="IntenseEmphasis"/>
        </w:rPr>
        <w:t>Table 7</w:t>
      </w:r>
      <w:r w:rsidRPr="009D04BE">
        <w:rPr>
          <w:rStyle w:val="IntenseEmphasis"/>
        </w:rPr>
        <w:t>.</w:t>
      </w:r>
      <w:r>
        <w:rPr>
          <w:rStyle w:val="IntenseEmphasis"/>
        </w:rPr>
        <w:t>3</w:t>
      </w:r>
      <w:r w:rsidRPr="009D04BE">
        <w:rPr>
          <w:rStyle w:val="IntenseEmphasis"/>
        </w:rPr>
        <w:t xml:space="preserve"> </w:t>
      </w:r>
      <w:r>
        <w:rPr>
          <w:rStyle w:val="IntenseEmphasis"/>
        </w:rPr>
        <w:t xml:space="preserve">Variables </w:t>
      </w:r>
      <w:r w:rsidR="00A174C4">
        <w:rPr>
          <w:rStyle w:val="IntenseEmphasis"/>
        </w:rPr>
        <w:t>Included In Examining The Moderation Effect Of Education In The Relation Between</w:t>
      </w:r>
      <w:r w:rsidR="00A174C4" w:rsidRPr="00351DBA">
        <w:rPr>
          <w:rStyle w:val="IntenseEmphasis"/>
        </w:rPr>
        <w:t xml:space="preserve"> Cognitive Measures </w:t>
      </w:r>
      <w:r w:rsidR="00A174C4">
        <w:rPr>
          <w:rStyle w:val="IntenseEmphasis"/>
        </w:rPr>
        <w:t xml:space="preserve">And </w:t>
      </w:r>
      <w:r w:rsidR="00A174C4" w:rsidRPr="00351DBA">
        <w:rPr>
          <w:rStyle w:val="IntenseEmphasis"/>
        </w:rPr>
        <w:t xml:space="preserve">Everyday Functioning </w:t>
      </w:r>
    </w:p>
    <w:tbl>
      <w:tblPr>
        <w:tblStyle w:val="TableGrid"/>
        <w:tblW w:w="8965" w:type="dxa"/>
        <w:tblInd w:w="-34" w:type="dxa"/>
        <w:tblLayout w:type="fixed"/>
        <w:tblLook w:val="04A0" w:firstRow="1" w:lastRow="0" w:firstColumn="1" w:lastColumn="0" w:noHBand="0" w:noVBand="1"/>
      </w:tblPr>
      <w:tblGrid>
        <w:gridCol w:w="3544"/>
        <w:gridCol w:w="2977"/>
        <w:gridCol w:w="2444"/>
      </w:tblGrid>
      <w:tr w:rsidR="00A16CF5" w:rsidTr="004B455B">
        <w:trPr>
          <w:trHeight w:hRule="exact" w:val="614"/>
        </w:trPr>
        <w:tc>
          <w:tcPr>
            <w:tcW w:w="3544" w:type="dxa"/>
            <w:tcBorders>
              <w:top w:val="nil"/>
              <w:left w:val="nil"/>
              <w:bottom w:val="single" w:sz="4" w:space="0" w:color="auto"/>
              <w:right w:val="dashSmallGap" w:sz="4" w:space="0" w:color="auto"/>
            </w:tcBorders>
            <w:vAlign w:val="center"/>
          </w:tcPr>
          <w:p w:rsidR="009403E8" w:rsidRPr="009403E8" w:rsidRDefault="009403E8" w:rsidP="0091167E">
            <w:pPr>
              <w:pStyle w:val="APAPar"/>
              <w:spacing w:before="0" w:line="240" w:lineRule="auto"/>
            </w:pPr>
            <w:r w:rsidRPr="009403E8">
              <w:t>Predictor</w:t>
            </w:r>
            <w:r>
              <w:t>s</w:t>
            </w:r>
          </w:p>
        </w:tc>
        <w:tc>
          <w:tcPr>
            <w:tcW w:w="2977" w:type="dxa"/>
            <w:tcBorders>
              <w:top w:val="nil"/>
              <w:left w:val="dashSmallGap" w:sz="4" w:space="0" w:color="auto"/>
              <w:bottom w:val="single" w:sz="4" w:space="0" w:color="auto"/>
              <w:right w:val="dashSmallGap" w:sz="4" w:space="0" w:color="auto"/>
            </w:tcBorders>
            <w:vAlign w:val="center"/>
          </w:tcPr>
          <w:p w:rsidR="009403E8" w:rsidRPr="009403E8" w:rsidRDefault="009403E8" w:rsidP="004B455B">
            <w:pPr>
              <w:pStyle w:val="APAPar"/>
              <w:spacing w:line="240" w:lineRule="auto"/>
            </w:pPr>
            <w:r w:rsidRPr="009403E8">
              <w:t>Moderator</w:t>
            </w:r>
            <w:r w:rsidR="00A16CF5">
              <w:t>s</w:t>
            </w:r>
          </w:p>
        </w:tc>
        <w:tc>
          <w:tcPr>
            <w:tcW w:w="2444" w:type="dxa"/>
            <w:tcBorders>
              <w:top w:val="nil"/>
              <w:left w:val="dashSmallGap" w:sz="4" w:space="0" w:color="auto"/>
              <w:bottom w:val="single" w:sz="4" w:space="0" w:color="auto"/>
              <w:right w:val="nil"/>
            </w:tcBorders>
            <w:vAlign w:val="center"/>
          </w:tcPr>
          <w:p w:rsidR="009403E8" w:rsidRPr="009403E8" w:rsidRDefault="009403E8" w:rsidP="004B455B">
            <w:pPr>
              <w:pStyle w:val="APAPar"/>
              <w:spacing w:line="240" w:lineRule="auto"/>
            </w:pPr>
            <w:r w:rsidRPr="009403E8">
              <w:t>Outcome</w:t>
            </w:r>
            <w:r>
              <w:t>s</w:t>
            </w:r>
          </w:p>
        </w:tc>
      </w:tr>
      <w:tr w:rsidR="00A16CF5" w:rsidTr="004B455B">
        <w:trPr>
          <w:trHeight w:hRule="exact" w:val="567"/>
        </w:trPr>
        <w:tc>
          <w:tcPr>
            <w:tcW w:w="3544" w:type="dxa"/>
            <w:tcBorders>
              <w:top w:val="single" w:sz="4" w:space="0" w:color="auto"/>
              <w:left w:val="nil"/>
              <w:bottom w:val="nil"/>
              <w:right w:val="dashSmallGap" w:sz="4" w:space="0" w:color="auto"/>
            </w:tcBorders>
            <w:vAlign w:val="center"/>
          </w:tcPr>
          <w:p w:rsidR="00A16CF5" w:rsidRDefault="00A16CF5" w:rsidP="004B455B">
            <w:pPr>
              <w:pStyle w:val="APAPar"/>
              <w:spacing w:line="240" w:lineRule="auto"/>
            </w:pPr>
            <w:r>
              <w:t>Verbal Fluency (VF)</w:t>
            </w:r>
          </w:p>
        </w:tc>
        <w:tc>
          <w:tcPr>
            <w:tcW w:w="2977" w:type="dxa"/>
            <w:tcBorders>
              <w:top w:val="single" w:sz="4" w:space="0" w:color="auto"/>
              <w:left w:val="dashSmallGap" w:sz="4" w:space="0" w:color="auto"/>
              <w:bottom w:val="nil"/>
              <w:right w:val="dashSmallGap" w:sz="4" w:space="0" w:color="auto"/>
            </w:tcBorders>
            <w:vAlign w:val="center"/>
          </w:tcPr>
          <w:p w:rsidR="00A16CF5" w:rsidRDefault="00A16CF5" w:rsidP="004B455B">
            <w:pPr>
              <w:pStyle w:val="APAPar"/>
              <w:spacing w:line="240" w:lineRule="auto"/>
            </w:pPr>
            <w:r>
              <w:t>VF*educational level</w:t>
            </w:r>
          </w:p>
          <w:p w:rsidR="00A16CF5" w:rsidRDefault="00A16CF5" w:rsidP="004B455B">
            <w:pPr>
              <w:pStyle w:val="APAPar"/>
              <w:spacing w:line="240" w:lineRule="auto"/>
            </w:pPr>
            <w:r>
              <w:t>TMT-B*educational level</w:t>
            </w:r>
          </w:p>
          <w:p w:rsidR="00A16CF5" w:rsidRDefault="00A16CF5" w:rsidP="004B455B">
            <w:pPr>
              <w:pStyle w:val="APAPar"/>
              <w:spacing w:line="240" w:lineRule="auto"/>
            </w:pPr>
            <w:r>
              <w:t>D-TMT*educational level</w:t>
            </w:r>
          </w:p>
        </w:tc>
        <w:tc>
          <w:tcPr>
            <w:tcW w:w="2444" w:type="dxa"/>
            <w:vMerge w:val="restart"/>
            <w:tcBorders>
              <w:top w:val="single" w:sz="4" w:space="0" w:color="auto"/>
              <w:left w:val="dashSmallGap" w:sz="4" w:space="0" w:color="auto"/>
              <w:bottom w:val="nil"/>
              <w:right w:val="nil"/>
            </w:tcBorders>
            <w:vAlign w:val="center"/>
          </w:tcPr>
          <w:p w:rsidR="00A16CF5" w:rsidRDefault="00A16CF5" w:rsidP="004B455B">
            <w:pPr>
              <w:pStyle w:val="APAPar"/>
              <w:spacing w:line="240" w:lineRule="auto"/>
              <w:ind w:firstLine="0"/>
            </w:pPr>
            <w:r>
              <w:t>Observed Tasks of Daily Living</w:t>
            </w:r>
          </w:p>
          <w:p w:rsidR="00A16CF5" w:rsidRDefault="00A16CF5" w:rsidP="004B455B">
            <w:pPr>
              <w:pStyle w:val="APAPar"/>
              <w:spacing w:line="240" w:lineRule="auto"/>
            </w:pPr>
          </w:p>
          <w:p w:rsidR="00A16CF5" w:rsidRDefault="00A16CF5" w:rsidP="004B455B">
            <w:pPr>
              <w:pStyle w:val="APAPar"/>
              <w:spacing w:line="240" w:lineRule="auto"/>
              <w:ind w:firstLine="0"/>
            </w:pPr>
            <w:r>
              <w:t>Everyday Problem test</w:t>
            </w:r>
          </w:p>
        </w:tc>
      </w:tr>
      <w:tr w:rsidR="00E60D1A" w:rsidTr="004B455B">
        <w:trPr>
          <w:trHeight w:hRule="exact" w:val="567"/>
        </w:trPr>
        <w:tc>
          <w:tcPr>
            <w:tcW w:w="3544" w:type="dxa"/>
            <w:tcBorders>
              <w:top w:val="nil"/>
              <w:left w:val="nil"/>
              <w:bottom w:val="nil"/>
              <w:right w:val="dashSmallGap" w:sz="4" w:space="0" w:color="auto"/>
            </w:tcBorders>
            <w:vAlign w:val="center"/>
          </w:tcPr>
          <w:p w:rsidR="00E60D1A" w:rsidRDefault="00E60D1A" w:rsidP="004B455B">
            <w:pPr>
              <w:pStyle w:val="APAPar"/>
              <w:spacing w:line="240" w:lineRule="auto"/>
            </w:pPr>
            <w:r>
              <w:t>Trail Making Test – A (TMT-A)</w:t>
            </w:r>
          </w:p>
        </w:tc>
        <w:tc>
          <w:tcPr>
            <w:tcW w:w="2977" w:type="dxa"/>
            <w:tcBorders>
              <w:top w:val="nil"/>
              <w:left w:val="dashSmallGap" w:sz="4" w:space="0" w:color="auto"/>
              <w:bottom w:val="nil"/>
              <w:right w:val="dashSmallGap" w:sz="4" w:space="0" w:color="auto"/>
            </w:tcBorders>
            <w:vAlign w:val="center"/>
          </w:tcPr>
          <w:p w:rsidR="00E60D1A" w:rsidRDefault="00E60D1A" w:rsidP="004B455B">
            <w:pPr>
              <w:pStyle w:val="APAPar"/>
              <w:spacing w:line="240" w:lineRule="auto"/>
            </w:pPr>
            <w:r>
              <w:t>TMT-A*educational level</w:t>
            </w:r>
          </w:p>
          <w:p w:rsidR="00E60D1A" w:rsidRDefault="00E60D1A" w:rsidP="004B455B">
            <w:pPr>
              <w:pStyle w:val="APAPar"/>
              <w:spacing w:line="240" w:lineRule="auto"/>
            </w:pPr>
          </w:p>
        </w:tc>
        <w:tc>
          <w:tcPr>
            <w:tcW w:w="2444" w:type="dxa"/>
            <w:vMerge/>
            <w:tcBorders>
              <w:left w:val="dashSmallGap" w:sz="4" w:space="0" w:color="auto"/>
              <w:bottom w:val="nil"/>
              <w:right w:val="nil"/>
            </w:tcBorders>
            <w:vAlign w:val="center"/>
          </w:tcPr>
          <w:p w:rsidR="00E60D1A" w:rsidRDefault="00E60D1A" w:rsidP="004B455B">
            <w:pPr>
              <w:pStyle w:val="APAPar"/>
              <w:spacing w:line="240" w:lineRule="auto"/>
            </w:pPr>
          </w:p>
        </w:tc>
      </w:tr>
      <w:tr w:rsidR="00A16CF5" w:rsidTr="004B455B">
        <w:trPr>
          <w:trHeight w:hRule="exact" w:val="567"/>
        </w:trPr>
        <w:tc>
          <w:tcPr>
            <w:tcW w:w="3544" w:type="dxa"/>
            <w:tcBorders>
              <w:top w:val="nil"/>
              <w:left w:val="nil"/>
              <w:bottom w:val="nil"/>
              <w:right w:val="dashSmallGap" w:sz="4" w:space="0" w:color="auto"/>
            </w:tcBorders>
            <w:vAlign w:val="center"/>
          </w:tcPr>
          <w:p w:rsidR="00A16CF5" w:rsidRDefault="00A16CF5" w:rsidP="004B455B">
            <w:pPr>
              <w:pStyle w:val="APAPar"/>
              <w:spacing w:line="240" w:lineRule="auto"/>
            </w:pPr>
            <w:r>
              <w:t>Trail Making Test-B (TMT-B)</w:t>
            </w:r>
          </w:p>
        </w:tc>
        <w:tc>
          <w:tcPr>
            <w:tcW w:w="2977" w:type="dxa"/>
            <w:tcBorders>
              <w:top w:val="nil"/>
              <w:left w:val="dashSmallGap" w:sz="4" w:space="0" w:color="auto"/>
              <w:bottom w:val="nil"/>
              <w:right w:val="dashSmallGap" w:sz="4" w:space="0" w:color="auto"/>
            </w:tcBorders>
            <w:vAlign w:val="center"/>
          </w:tcPr>
          <w:p w:rsidR="00A16CF5" w:rsidRDefault="00A16CF5" w:rsidP="004B455B">
            <w:pPr>
              <w:pStyle w:val="APAPar"/>
              <w:spacing w:line="240" w:lineRule="auto"/>
            </w:pPr>
            <w:r>
              <w:t>TMT-B*educational level</w:t>
            </w:r>
          </w:p>
          <w:p w:rsidR="00A16CF5" w:rsidRDefault="00A16CF5" w:rsidP="004B455B">
            <w:pPr>
              <w:pStyle w:val="APAPar"/>
              <w:spacing w:line="240" w:lineRule="auto"/>
            </w:pPr>
            <w:r>
              <w:t>D</w:t>
            </w:r>
          </w:p>
        </w:tc>
        <w:tc>
          <w:tcPr>
            <w:tcW w:w="2444" w:type="dxa"/>
            <w:vMerge/>
            <w:tcBorders>
              <w:left w:val="dashSmallGap" w:sz="4" w:space="0" w:color="auto"/>
              <w:bottom w:val="nil"/>
              <w:right w:val="nil"/>
            </w:tcBorders>
            <w:vAlign w:val="center"/>
          </w:tcPr>
          <w:p w:rsidR="00A16CF5" w:rsidRDefault="00A16CF5" w:rsidP="004B455B">
            <w:pPr>
              <w:pStyle w:val="APAPar"/>
              <w:spacing w:line="240" w:lineRule="auto"/>
            </w:pPr>
          </w:p>
        </w:tc>
      </w:tr>
      <w:tr w:rsidR="00E60D1A" w:rsidTr="004B455B">
        <w:trPr>
          <w:trHeight w:hRule="exact" w:val="567"/>
        </w:trPr>
        <w:tc>
          <w:tcPr>
            <w:tcW w:w="3544" w:type="dxa"/>
            <w:tcBorders>
              <w:top w:val="nil"/>
              <w:left w:val="nil"/>
              <w:bottom w:val="nil"/>
              <w:right w:val="dashSmallGap" w:sz="4" w:space="0" w:color="auto"/>
            </w:tcBorders>
            <w:vAlign w:val="center"/>
          </w:tcPr>
          <w:p w:rsidR="00E60D1A" w:rsidRDefault="00E60D1A" w:rsidP="004B455B">
            <w:pPr>
              <w:pStyle w:val="APAPar"/>
              <w:spacing w:line="240" w:lineRule="auto"/>
            </w:pPr>
            <w:r>
              <w:t>Working Memory (WM)</w:t>
            </w:r>
          </w:p>
        </w:tc>
        <w:tc>
          <w:tcPr>
            <w:tcW w:w="2977" w:type="dxa"/>
            <w:tcBorders>
              <w:top w:val="nil"/>
              <w:left w:val="dashSmallGap" w:sz="4" w:space="0" w:color="auto"/>
              <w:bottom w:val="nil"/>
              <w:right w:val="dashSmallGap" w:sz="4" w:space="0" w:color="auto"/>
            </w:tcBorders>
            <w:vAlign w:val="center"/>
          </w:tcPr>
          <w:p w:rsidR="00E60D1A" w:rsidRDefault="00E60D1A" w:rsidP="004B455B">
            <w:pPr>
              <w:pStyle w:val="APAPar"/>
              <w:spacing w:line="240" w:lineRule="auto"/>
            </w:pPr>
            <w:r>
              <w:t>WM*educational level</w:t>
            </w:r>
          </w:p>
        </w:tc>
        <w:tc>
          <w:tcPr>
            <w:tcW w:w="2444" w:type="dxa"/>
            <w:vMerge/>
            <w:tcBorders>
              <w:left w:val="dashSmallGap" w:sz="4" w:space="0" w:color="auto"/>
              <w:bottom w:val="nil"/>
              <w:right w:val="nil"/>
            </w:tcBorders>
            <w:vAlign w:val="center"/>
          </w:tcPr>
          <w:p w:rsidR="00E60D1A" w:rsidRDefault="00E60D1A" w:rsidP="004B455B">
            <w:pPr>
              <w:pStyle w:val="APAPar"/>
              <w:spacing w:line="240" w:lineRule="auto"/>
            </w:pPr>
          </w:p>
        </w:tc>
      </w:tr>
      <w:tr w:rsidR="00A16CF5" w:rsidTr="004B455B">
        <w:trPr>
          <w:trHeight w:hRule="exact" w:val="567"/>
        </w:trPr>
        <w:tc>
          <w:tcPr>
            <w:tcW w:w="3544" w:type="dxa"/>
            <w:tcBorders>
              <w:top w:val="nil"/>
              <w:left w:val="nil"/>
              <w:bottom w:val="nil"/>
              <w:right w:val="dashSmallGap" w:sz="4" w:space="0" w:color="auto"/>
            </w:tcBorders>
            <w:vAlign w:val="center"/>
          </w:tcPr>
          <w:p w:rsidR="00A16CF5" w:rsidRDefault="00A16CF5" w:rsidP="004B455B">
            <w:pPr>
              <w:pStyle w:val="APAPar"/>
              <w:spacing w:line="240" w:lineRule="auto"/>
            </w:pPr>
            <w:r>
              <w:t>Short Term Memory (STM)</w:t>
            </w:r>
          </w:p>
        </w:tc>
        <w:tc>
          <w:tcPr>
            <w:tcW w:w="2977" w:type="dxa"/>
            <w:tcBorders>
              <w:top w:val="nil"/>
              <w:left w:val="dashSmallGap" w:sz="4" w:space="0" w:color="auto"/>
              <w:bottom w:val="nil"/>
              <w:right w:val="dashSmallGap" w:sz="4" w:space="0" w:color="auto"/>
            </w:tcBorders>
            <w:vAlign w:val="center"/>
          </w:tcPr>
          <w:p w:rsidR="00A16CF5" w:rsidRDefault="00A16CF5" w:rsidP="004B455B">
            <w:pPr>
              <w:pStyle w:val="APAPar"/>
              <w:spacing w:line="240" w:lineRule="auto"/>
            </w:pPr>
            <w:r>
              <w:t>STM*educational level</w:t>
            </w:r>
          </w:p>
          <w:p w:rsidR="00A16CF5" w:rsidRDefault="00A16CF5" w:rsidP="004B455B">
            <w:pPr>
              <w:pStyle w:val="APAPar"/>
              <w:spacing w:line="240" w:lineRule="auto"/>
            </w:pPr>
          </w:p>
        </w:tc>
        <w:tc>
          <w:tcPr>
            <w:tcW w:w="2444" w:type="dxa"/>
            <w:vMerge/>
            <w:tcBorders>
              <w:left w:val="dashSmallGap" w:sz="4" w:space="0" w:color="auto"/>
              <w:bottom w:val="nil"/>
              <w:right w:val="nil"/>
            </w:tcBorders>
            <w:vAlign w:val="center"/>
          </w:tcPr>
          <w:p w:rsidR="00A16CF5" w:rsidRDefault="00A16CF5" w:rsidP="004B455B">
            <w:pPr>
              <w:pStyle w:val="APAPar"/>
              <w:spacing w:line="240" w:lineRule="auto"/>
            </w:pPr>
          </w:p>
        </w:tc>
      </w:tr>
      <w:tr w:rsidR="00A16CF5" w:rsidTr="004B455B">
        <w:trPr>
          <w:trHeight w:hRule="exact" w:val="568"/>
        </w:trPr>
        <w:tc>
          <w:tcPr>
            <w:tcW w:w="3544" w:type="dxa"/>
            <w:tcBorders>
              <w:top w:val="nil"/>
              <w:left w:val="nil"/>
              <w:bottom w:val="nil"/>
              <w:right w:val="dashSmallGap" w:sz="4" w:space="0" w:color="auto"/>
            </w:tcBorders>
            <w:vAlign w:val="center"/>
          </w:tcPr>
          <w:p w:rsidR="00A16CF5" w:rsidRDefault="00A16CF5" w:rsidP="004B455B">
            <w:pPr>
              <w:pStyle w:val="APAPar"/>
              <w:spacing w:line="240" w:lineRule="auto"/>
            </w:pPr>
            <w:r>
              <w:t>Long Term Memory (LTM)</w:t>
            </w:r>
          </w:p>
        </w:tc>
        <w:tc>
          <w:tcPr>
            <w:tcW w:w="2977" w:type="dxa"/>
            <w:tcBorders>
              <w:top w:val="nil"/>
              <w:left w:val="dashSmallGap" w:sz="4" w:space="0" w:color="auto"/>
              <w:bottom w:val="nil"/>
              <w:right w:val="dashSmallGap" w:sz="4" w:space="0" w:color="auto"/>
            </w:tcBorders>
            <w:vAlign w:val="center"/>
          </w:tcPr>
          <w:p w:rsidR="00A16CF5" w:rsidRDefault="00A16CF5" w:rsidP="004B455B">
            <w:pPr>
              <w:pStyle w:val="APAPar"/>
              <w:spacing w:line="240" w:lineRule="auto"/>
            </w:pPr>
            <w:r>
              <w:t>LTM*educational level</w:t>
            </w:r>
          </w:p>
          <w:p w:rsidR="00A16CF5" w:rsidRDefault="00A16CF5" w:rsidP="004B455B">
            <w:pPr>
              <w:pStyle w:val="APAPar"/>
              <w:spacing w:line="240" w:lineRule="auto"/>
            </w:pPr>
          </w:p>
        </w:tc>
        <w:tc>
          <w:tcPr>
            <w:tcW w:w="2444" w:type="dxa"/>
            <w:vMerge/>
            <w:tcBorders>
              <w:left w:val="dashSmallGap" w:sz="4" w:space="0" w:color="auto"/>
              <w:bottom w:val="nil"/>
              <w:right w:val="nil"/>
            </w:tcBorders>
            <w:vAlign w:val="center"/>
          </w:tcPr>
          <w:p w:rsidR="00A16CF5" w:rsidRDefault="00A16CF5" w:rsidP="004B455B">
            <w:pPr>
              <w:pStyle w:val="APAPar"/>
              <w:spacing w:line="240" w:lineRule="auto"/>
            </w:pPr>
          </w:p>
        </w:tc>
      </w:tr>
    </w:tbl>
    <w:p w:rsidR="00A174C4" w:rsidRDefault="00A174C4" w:rsidP="00A91C56">
      <w:pPr>
        <w:pStyle w:val="Heading3"/>
        <w:ind w:left="2094"/>
      </w:pPr>
      <w:bookmarkStart w:id="178" w:name="_Toc373425974"/>
    </w:p>
    <w:p w:rsidR="001A6667" w:rsidRDefault="001A6667" w:rsidP="001A6667">
      <w:pPr>
        <w:pStyle w:val="Heading3"/>
      </w:pPr>
      <w:bookmarkStart w:id="179" w:name="_Toc521184252"/>
      <w:r>
        <w:t>Analysis and Results</w:t>
      </w:r>
      <w:bookmarkEnd w:id="179"/>
    </w:p>
    <w:p w:rsidR="008269D1" w:rsidRDefault="00E22FCD" w:rsidP="0091167E">
      <w:pPr>
        <w:pStyle w:val="APAPar"/>
      </w:pPr>
      <w:r>
        <w:t>Consistent with the hypothesis of the 2</w:t>
      </w:r>
      <w:r w:rsidRPr="00E22FCD">
        <w:rPr>
          <w:vertAlign w:val="superscript"/>
        </w:rPr>
        <w:t>nd</w:t>
      </w:r>
      <w:r>
        <w:t xml:space="preserve"> </w:t>
      </w:r>
      <w:r w:rsidR="00525F58">
        <w:t>analysis</w:t>
      </w:r>
      <w:r>
        <w:t xml:space="preserve">, cognitive performance explained a statistically significant proportion of the variance in the EPT-G but not in the OTDL-G scores. The moderation effect of education in the relation between cognitive performance and everyday functioning was not evident in </w:t>
      </w:r>
      <w:r w:rsidR="00462755">
        <w:t>any of the analyses</w:t>
      </w:r>
      <w:r>
        <w:t xml:space="preserve">. </w:t>
      </w:r>
      <w:r>
        <w:rPr>
          <w:rStyle w:val="IntenseEmphasis"/>
        </w:rPr>
        <w:t xml:space="preserve">In the regression model, the total variance explained was .50 </w:t>
      </w:r>
      <w:r w:rsidR="00622F3E">
        <w:rPr>
          <w:rStyle w:val="IntenseEmphasis"/>
          <w:lang w:val="en-US"/>
        </w:rPr>
        <w:t>and</w:t>
      </w:r>
      <w:r>
        <w:rPr>
          <w:rStyle w:val="IntenseEmphasis"/>
        </w:rPr>
        <w:t xml:space="preserve"> .60, which mak</w:t>
      </w:r>
      <w:r w:rsidR="00622F3E">
        <w:rPr>
          <w:rStyle w:val="IntenseEmphasis"/>
        </w:rPr>
        <w:t>es the inclusion of 7 predictor</w:t>
      </w:r>
      <w:r>
        <w:rPr>
          <w:rStyle w:val="IntenseEmphasis"/>
        </w:rPr>
        <w:t>s in samples of 92 participants sufficient for a good prediction level (</w:t>
      </w:r>
      <w:r w:rsidRPr="00762030">
        <w:rPr>
          <w:rStyle w:val="IntenseEmphasis"/>
        </w:rPr>
        <w:t xml:space="preserve">Knofczynski </w:t>
      </w:r>
      <w:r>
        <w:rPr>
          <w:rStyle w:val="IntenseEmphasis"/>
        </w:rPr>
        <w:t xml:space="preserve">&amp; Mundfrom, </w:t>
      </w:r>
      <w:r w:rsidRPr="00762030">
        <w:rPr>
          <w:rStyle w:val="IntenseEmphasis"/>
        </w:rPr>
        <w:t>2017)</w:t>
      </w:r>
      <w:r>
        <w:rPr>
          <w:rStyle w:val="IntenseEmphasis"/>
        </w:rPr>
        <w:t xml:space="preserve">. </w:t>
      </w:r>
      <w:r>
        <w:t xml:space="preserve">Among the cognitive measures, only VF and TMT-B predicted independently Greek seniors’ EPT-G scores in the final model. Age and education however were statistically significant predictors of both EPT-G and OTDL-G.  </w:t>
      </w:r>
    </w:p>
    <w:p w:rsidR="00CD6D43" w:rsidRPr="00513F25" w:rsidRDefault="00CD6D43" w:rsidP="00CD6D43">
      <w:pPr>
        <w:pStyle w:val="APAPar"/>
        <w:widowControl w:val="0"/>
        <w:spacing w:line="360" w:lineRule="auto"/>
        <w:ind w:firstLine="0"/>
        <w:rPr>
          <w:rStyle w:val="IntenseEmphasis"/>
        </w:rPr>
      </w:pPr>
      <w:r>
        <w:rPr>
          <w:rStyle w:val="IntenseEmphasis"/>
        </w:rPr>
        <w:t>Table 7.4</w:t>
      </w:r>
      <w:r w:rsidRPr="00513F25">
        <w:rPr>
          <w:rStyle w:val="IntenseEmphasis"/>
        </w:rPr>
        <w:t xml:space="preserve"> </w:t>
      </w:r>
      <w:r>
        <w:rPr>
          <w:rStyle w:val="IntenseEmphasis"/>
        </w:rPr>
        <w:t xml:space="preserve">Stepwise </w:t>
      </w:r>
      <w:r w:rsidR="00A174C4">
        <w:rPr>
          <w:rStyle w:val="IntenseEmphasis"/>
        </w:rPr>
        <w:t xml:space="preserve">Regression Analysis Predicting </w:t>
      </w:r>
      <w:r>
        <w:rPr>
          <w:rStyle w:val="IntenseEmphasis"/>
        </w:rPr>
        <w:t>EPT</w:t>
      </w:r>
      <w:r w:rsidR="00A174C4">
        <w:rPr>
          <w:rStyle w:val="IntenseEmphasis"/>
        </w:rPr>
        <w:t>-</w:t>
      </w:r>
      <w:r>
        <w:rPr>
          <w:rStyle w:val="IntenseEmphasis"/>
        </w:rPr>
        <w:t xml:space="preserve">G </w:t>
      </w:r>
      <w:r w:rsidR="00A174C4">
        <w:rPr>
          <w:rStyle w:val="IntenseEmphasis"/>
        </w:rPr>
        <w:t>Scores</w:t>
      </w:r>
      <w:r w:rsidR="00A174C4" w:rsidRPr="00513F25">
        <w:rPr>
          <w:rStyle w:val="IntenseEmphasis"/>
        </w:rPr>
        <w:t xml:space="preserve"> </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24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24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24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24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Step 1</w:t>
            </w:r>
          </w:p>
        </w:tc>
        <w:tc>
          <w:tcPr>
            <w:tcW w:w="1177" w:type="dxa"/>
            <w:tcBorders>
              <w:left w:val="nil"/>
              <w:bottom w:val="nil"/>
              <w:right w:val="nil"/>
            </w:tcBorders>
          </w:tcPr>
          <w:p w:rsidR="00CD6D43" w:rsidRPr="00550194" w:rsidRDefault="00CD6D43" w:rsidP="00CD6D43">
            <w:pPr>
              <w:pStyle w:val="APAPar"/>
              <w:spacing w:before="0" w:line="240" w:lineRule="auto"/>
              <w:ind w:firstLine="0"/>
              <w:rPr>
                <w:sz w:val="22"/>
                <w:szCs w:val="22"/>
              </w:rPr>
            </w:pPr>
          </w:p>
        </w:tc>
        <w:tc>
          <w:tcPr>
            <w:tcW w:w="1091" w:type="dxa"/>
            <w:tcBorders>
              <w:left w:val="nil"/>
              <w:bottom w:val="nil"/>
              <w:right w:val="nil"/>
            </w:tcBorders>
          </w:tcPr>
          <w:p w:rsidR="00CD6D43" w:rsidRPr="00550194" w:rsidRDefault="00CD6D43" w:rsidP="00CD6D43">
            <w:pPr>
              <w:pStyle w:val="APAPar"/>
              <w:spacing w:before="0" w:line="240" w:lineRule="auto"/>
              <w:ind w:firstLine="0"/>
              <w:rPr>
                <w:sz w:val="22"/>
                <w:szCs w:val="22"/>
              </w:rPr>
            </w:pPr>
          </w:p>
        </w:tc>
        <w:tc>
          <w:tcPr>
            <w:tcW w:w="1276" w:type="dxa"/>
            <w:tcBorders>
              <w:left w:val="nil"/>
              <w:bottom w:val="nil"/>
              <w:right w:val="nil"/>
            </w:tcBorders>
          </w:tcPr>
          <w:p w:rsidR="00CD6D43" w:rsidRPr="00550194" w:rsidRDefault="00CD6D43" w:rsidP="00CD6D43">
            <w:pPr>
              <w:pStyle w:val="APAPar"/>
              <w:spacing w:before="0" w:line="240" w:lineRule="auto"/>
              <w:ind w:firstLine="0"/>
              <w:jc w:val="right"/>
              <w:rPr>
                <w:sz w:val="22"/>
                <w:szCs w:val="22"/>
              </w:rPr>
            </w:pPr>
            <w:r w:rsidRPr="00550194">
              <w:rPr>
                <w:sz w:val="22"/>
                <w:szCs w:val="22"/>
              </w:rPr>
              <w:t>.205**</w:t>
            </w:r>
          </w:p>
        </w:tc>
      </w:tr>
      <w:tr w:rsidR="00CD6D43" w:rsidTr="00CD6D43">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Age</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-.417</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-.453**</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Step 2</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right"/>
              <w:rPr>
                <w:sz w:val="22"/>
                <w:szCs w:val="22"/>
              </w:rPr>
            </w:pPr>
            <w:r w:rsidRPr="00550194">
              <w:rPr>
                <w:sz w:val="22"/>
                <w:szCs w:val="22"/>
              </w:rPr>
              <w:t>.183**</w:t>
            </w: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Age</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w:t>
            </w:r>
            <w:r w:rsidRPr="00550194">
              <w:rPr>
                <w:sz w:val="22"/>
                <w:szCs w:val="22"/>
              </w:rPr>
              <w:t>.904</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-.301**</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Verbal fluency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.326</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.227*</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Trail Making Test – Part B</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-.031</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w:t>
            </w:r>
            <w:r w:rsidRPr="00550194">
              <w:rPr>
                <w:sz w:val="22"/>
                <w:szCs w:val="22"/>
              </w:rPr>
              <w:t>252*</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w:t>
            </w:r>
            <w:r>
              <w:rPr>
                <w:sz w:val="22"/>
                <w:szCs w:val="22"/>
              </w:rPr>
              <w:t>Learning Curve</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.109</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.185</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Short Term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-.167</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-.080</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Long Term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.199</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.109</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Step 3</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 xml:space="preserve">        </w:t>
            </w:r>
            <w:r w:rsidRPr="00550194">
              <w:rPr>
                <w:sz w:val="22"/>
                <w:szCs w:val="22"/>
              </w:rPr>
              <w:t>.186**</w:t>
            </w: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Age</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-.204</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-.222*</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Verbal fluency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.326</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.194*</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Trail Making Test – Part B</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-.022</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-.183*</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w:t>
            </w:r>
            <w:r>
              <w:rPr>
                <w:sz w:val="22"/>
                <w:szCs w:val="22"/>
              </w:rPr>
              <w:t>Learning Curve</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.089</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.150</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Short Term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-.101</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-.048</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Long Term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.104</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.057</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single" w:sz="4" w:space="0" w:color="auto"/>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Education (level)</w:t>
            </w:r>
          </w:p>
        </w:tc>
        <w:tc>
          <w:tcPr>
            <w:tcW w:w="1177" w:type="dxa"/>
            <w:tcBorders>
              <w:top w:val="nil"/>
              <w:left w:val="nil"/>
              <w:bottom w:val="single" w:sz="4" w:space="0" w:color="auto"/>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9.009</w:t>
            </w:r>
          </w:p>
        </w:tc>
        <w:tc>
          <w:tcPr>
            <w:tcW w:w="1091" w:type="dxa"/>
            <w:tcBorders>
              <w:top w:val="nil"/>
              <w:left w:val="nil"/>
              <w:bottom w:val="single" w:sz="4" w:space="0" w:color="auto"/>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.458**</w:t>
            </w:r>
          </w:p>
        </w:tc>
        <w:tc>
          <w:tcPr>
            <w:tcW w:w="1276" w:type="dxa"/>
            <w:tcBorders>
              <w:top w:val="nil"/>
              <w:left w:val="nil"/>
              <w:bottom w:val="single" w:sz="4" w:space="0" w:color="auto"/>
              <w:right w:val="nil"/>
            </w:tcBorders>
          </w:tcPr>
          <w:p w:rsidR="00CD6D43" w:rsidRPr="00550194" w:rsidRDefault="00CD6D43" w:rsidP="00CD6D43">
            <w:pPr>
              <w:pStyle w:val="APAPar"/>
              <w:spacing w:before="0" w:line="240" w:lineRule="auto"/>
              <w:ind w:firstLine="0"/>
              <w:jc w:val="center"/>
              <w:rPr>
                <w:sz w:val="22"/>
                <w:szCs w:val="22"/>
              </w:rPr>
            </w:pPr>
          </w:p>
        </w:tc>
      </w:tr>
    </w:tbl>
    <w:p w:rsidR="00CD6D43" w:rsidRPr="00E17A8A" w:rsidRDefault="00CD6D43" w:rsidP="00E17A8A">
      <w:pPr>
        <w:pStyle w:val="APAPar"/>
        <w:spacing w:before="0" w:line="240" w:lineRule="auto"/>
        <w:rPr>
          <w:rStyle w:val="IntenseEmphasis"/>
          <w:sz w:val="20"/>
        </w:rPr>
      </w:pPr>
      <w:r w:rsidRPr="00E17A8A">
        <w:rPr>
          <w:i/>
          <w:sz w:val="20"/>
        </w:rPr>
        <w:t>Note</w:t>
      </w:r>
      <w:r w:rsidRPr="00E17A8A">
        <w:rPr>
          <w:sz w:val="20"/>
        </w:rPr>
        <w:t>. **p&lt;.005, *p&lt;.05</w:t>
      </w:r>
    </w:p>
    <w:p w:rsidR="00462755" w:rsidRDefault="00462755" w:rsidP="00A174C4">
      <w:pPr>
        <w:pStyle w:val="APAPar"/>
        <w:widowControl w:val="0"/>
        <w:spacing w:line="360" w:lineRule="auto"/>
        <w:ind w:firstLine="0"/>
        <w:rPr>
          <w:rStyle w:val="IntenseEmphasis"/>
        </w:rPr>
      </w:pPr>
    </w:p>
    <w:p w:rsidR="00462755" w:rsidRDefault="00462755" w:rsidP="00A174C4">
      <w:pPr>
        <w:pStyle w:val="APAPar"/>
        <w:widowControl w:val="0"/>
        <w:spacing w:line="360" w:lineRule="auto"/>
        <w:ind w:firstLine="0"/>
        <w:rPr>
          <w:rStyle w:val="IntenseEmphasis"/>
        </w:rPr>
      </w:pPr>
    </w:p>
    <w:p w:rsidR="00CD6D43" w:rsidRPr="00513F25" w:rsidRDefault="00CD6D43" w:rsidP="00A174C4">
      <w:pPr>
        <w:pStyle w:val="APAPar"/>
        <w:widowControl w:val="0"/>
        <w:spacing w:line="360" w:lineRule="auto"/>
        <w:ind w:firstLine="0"/>
        <w:rPr>
          <w:rStyle w:val="IntenseEmphasis"/>
        </w:rPr>
      </w:pPr>
      <w:r>
        <w:rPr>
          <w:rStyle w:val="IntenseEmphasis"/>
        </w:rPr>
        <w:t>Table 7.5</w:t>
      </w:r>
      <w:r w:rsidRPr="00513F25">
        <w:rPr>
          <w:rStyle w:val="IntenseEmphasis"/>
        </w:rPr>
        <w:t xml:space="preserve"> </w:t>
      </w:r>
      <w:r>
        <w:rPr>
          <w:rStyle w:val="IntenseEmphasis"/>
        </w:rPr>
        <w:t xml:space="preserve">Stepwise </w:t>
      </w:r>
      <w:r w:rsidR="00E17A8A">
        <w:rPr>
          <w:rStyle w:val="IntenseEmphasis"/>
        </w:rPr>
        <w:t xml:space="preserve">Regression Analysis Predicting </w:t>
      </w:r>
      <w:r>
        <w:rPr>
          <w:rStyle w:val="IntenseEmphasis"/>
        </w:rPr>
        <w:t>OTDL</w:t>
      </w:r>
      <w:r w:rsidR="00E17A8A">
        <w:rPr>
          <w:rStyle w:val="IntenseEmphasis"/>
        </w:rPr>
        <w:t>-</w:t>
      </w:r>
      <w:r>
        <w:rPr>
          <w:rStyle w:val="IntenseEmphasis"/>
        </w:rPr>
        <w:t xml:space="preserve">G </w:t>
      </w:r>
      <w:r w:rsidR="00E17A8A">
        <w:rPr>
          <w:rStyle w:val="IntenseEmphasis"/>
        </w:rPr>
        <w:t>Scores</w:t>
      </w:r>
      <w:r w:rsidR="00E17A8A" w:rsidRPr="00513F25">
        <w:rPr>
          <w:rStyle w:val="IntenseEmphasis"/>
        </w:rPr>
        <w:t xml:space="preserve"> </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24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24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24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24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Step 1</w:t>
            </w:r>
          </w:p>
        </w:tc>
        <w:tc>
          <w:tcPr>
            <w:tcW w:w="1177" w:type="dxa"/>
            <w:tcBorders>
              <w:left w:val="nil"/>
              <w:bottom w:val="nil"/>
              <w:right w:val="nil"/>
            </w:tcBorders>
          </w:tcPr>
          <w:p w:rsidR="00CD6D43" w:rsidRPr="00550194" w:rsidRDefault="00CD6D43" w:rsidP="00CD6D43">
            <w:pPr>
              <w:pStyle w:val="APAPar"/>
              <w:spacing w:before="0" w:line="240" w:lineRule="auto"/>
              <w:ind w:firstLine="0"/>
              <w:rPr>
                <w:sz w:val="22"/>
                <w:szCs w:val="22"/>
              </w:rPr>
            </w:pPr>
          </w:p>
        </w:tc>
        <w:tc>
          <w:tcPr>
            <w:tcW w:w="1091" w:type="dxa"/>
            <w:tcBorders>
              <w:left w:val="nil"/>
              <w:bottom w:val="nil"/>
              <w:right w:val="nil"/>
            </w:tcBorders>
          </w:tcPr>
          <w:p w:rsidR="00CD6D43" w:rsidRPr="00550194" w:rsidRDefault="00CD6D43" w:rsidP="00CD6D43">
            <w:pPr>
              <w:pStyle w:val="APAPar"/>
              <w:spacing w:before="0" w:line="240" w:lineRule="auto"/>
              <w:ind w:firstLine="0"/>
              <w:rPr>
                <w:sz w:val="22"/>
                <w:szCs w:val="22"/>
              </w:rPr>
            </w:pPr>
          </w:p>
        </w:tc>
        <w:tc>
          <w:tcPr>
            <w:tcW w:w="1276" w:type="dxa"/>
            <w:tcBorders>
              <w:left w:val="nil"/>
              <w:bottom w:val="nil"/>
              <w:right w:val="nil"/>
            </w:tcBorders>
          </w:tcPr>
          <w:p w:rsidR="00CD6D43" w:rsidRPr="00550194" w:rsidRDefault="00CD6D43" w:rsidP="00CD6D43">
            <w:pPr>
              <w:pStyle w:val="APAPar"/>
              <w:spacing w:before="0" w:line="240" w:lineRule="auto"/>
              <w:ind w:firstLine="0"/>
              <w:jc w:val="right"/>
              <w:rPr>
                <w:sz w:val="22"/>
                <w:szCs w:val="22"/>
              </w:rPr>
            </w:pPr>
            <w:r w:rsidRPr="00550194">
              <w:rPr>
                <w:sz w:val="22"/>
                <w:szCs w:val="22"/>
              </w:rPr>
              <w:t>.2</w:t>
            </w:r>
            <w:r>
              <w:rPr>
                <w:sz w:val="22"/>
                <w:szCs w:val="22"/>
              </w:rPr>
              <w:t>84</w:t>
            </w:r>
            <w:r w:rsidRPr="00550194">
              <w:rPr>
                <w:sz w:val="22"/>
                <w:szCs w:val="22"/>
              </w:rPr>
              <w:t>**</w:t>
            </w:r>
          </w:p>
        </w:tc>
      </w:tr>
      <w:tr w:rsidR="00CD6D43" w:rsidTr="00CD6D43">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Age</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862</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541</w:t>
            </w:r>
            <w:r w:rsidRPr="00550194">
              <w:rPr>
                <w:sz w:val="22"/>
                <w:szCs w:val="22"/>
              </w:rPr>
              <w:t>**</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Step 2</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 xml:space="preserve">       .060</w:t>
            </w: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Age</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-.720</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452</w:t>
            </w:r>
            <w:r w:rsidRPr="00550194">
              <w:rPr>
                <w:sz w:val="22"/>
                <w:szCs w:val="22"/>
              </w:rPr>
              <w:t>**</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Verbal fluency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422</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152</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Trail Making Test – Part B</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-.03</w:t>
            </w:r>
            <w:r>
              <w:rPr>
                <w:sz w:val="22"/>
                <w:szCs w:val="22"/>
              </w:rPr>
              <w:t>2</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.157</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Working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.013</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-.013</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Short Term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092</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w:t>
            </w:r>
            <w:r>
              <w:rPr>
                <w:sz w:val="22"/>
                <w:szCs w:val="22"/>
              </w:rPr>
              <w:t>27</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Long Term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341</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114</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Step 3</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 xml:space="preserve">        </w:t>
            </w:r>
            <w:r w:rsidRPr="00550194">
              <w:rPr>
                <w:sz w:val="22"/>
                <w:szCs w:val="22"/>
              </w:rPr>
              <w:t>.186**</w:t>
            </w: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Age</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589</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370</w:t>
            </w:r>
            <w:r w:rsidRPr="00550194">
              <w:rPr>
                <w:sz w:val="22"/>
                <w:szCs w:val="22"/>
              </w:rPr>
              <w:t>*</w:t>
            </w:r>
            <w:r>
              <w:rPr>
                <w:sz w:val="22"/>
                <w:szCs w:val="22"/>
              </w:rPr>
              <w:t>*</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Verbal fluency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.3</w:t>
            </w:r>
            <w:r>
              <w:rPr>
                <w:sz w:val="22"/>
                <w:szCs w:val="22"/>
              </w:rPr>
              <w:t>34</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116</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Trail Making Test – Part B</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-.020</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100</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Working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w:t>
            </w:r>
            <w:r w:rsidRPr="00550194">
              <w:rPr>
                <w:sz w:val="22"/>
                <w:szCs w:val="22"/>
              </w:rPr>
              <w:t>.0</w:t>
            </w:r>
            <w:r>
              <w:rPr>
                <w:sz w:val="22"/>
                <w:szCs w:val="22"/>
              </w:rPr>
              <w:t>36</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.150</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Short Term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.014</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.004</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nil"/>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Long Term Memory</w:t>
            </w:r>
          </w:p>
        </w:tc>
        <w:tc>
          <w:tcPr>
            <w:tcW w:w="1177"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222</w:t>
            </w:r>
          </w:p>
        </w:tc>
        <w:tc>
          <w:tcPr>
            <w:tcW w:w="1091"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.0</w:t>
            </w:r>
            <w:r>
              <w:rPr>
                <w:sz w:val="22"/>
                <w:szCs w:val="22"/>
              </w:rPr>
              <w:t>74</w:t>
            </w:r>
          </w:p>
        </w:tc>
        <w:tc>
          <w:tcPr>
            <w:tcW w:w="1276" w:type="dxa"/>
            <w:tcBorders>
              <w:top w:val="nil"/>
              <w:left w:val="nil"/>
              <w:bottom w:val="nil"/>
              <w:right w:val="nil"/>
            </w:tcBorders>
          </w:tcPr>
          <w:p w:rsidR="00CD6D43" w:rsidRPr="00550194" w:rsidRDefault="00CD6D43" w:rsidP="00CD6D43">
            <w:pPr>
              <w:pStyle w:val="APAPar"/>
              <w:spacing w:before="0" w:line="240" w:lineRule="auto"/>
              <w:ind w:firstLine="0"/>
              <w:jc w:val="center"/>
              <w:rPr>
                <w:sz w:val="22"/>
                <w:szCs w:val="22"/>
              </w:rPr>
            </w:pPr>
          </w:p>
        </w:tc>
      </w:tr>
      <w:tr w:rsidR="00CD6D43" w:rsidTr="00CD6D43">
        <w:trPr>
          <w:trHeight w:val="357"/>
        </w:trPr>
        <w:tc>
          <w:tcPr>
            <w:tcW w:w="4644" w:type="dxa"/>
            <w:tcBorders>
              <w:top w:val="nil"/>
              <w:left w:val="nil"/>
              <w:bottom w:val="single" w:sz="4" w:space="0" w:color="auto"/>
              <w:right w:val="nil"/>
            </w:tcBorders>
          </w:tcPr>
          <w:p w:rsidR="00CD6D43" w:rsidRPr="00550194" w:rsidRDefault="00CD6D43" w:rsidP="00CD6D43">
            <w:pPr>
              <w:pStyle w:val="APAPar"/>
              <w:spacing w:before="0" w:line="240" w:lineRule="auto"/>
              <w:ind w:firstLine="0"/>
              <w:rPr>
                <w:sz w:val="22"/>
                <w:szCs w:val="22"/>
              </w:rPr>
            </w:pPr>
            <w:r w:rsidRPr="00550194">
              <w:rPr>
                <w:sz w:val="22"/>
                <w:szCs w:val="22"/>
              </w:rPr>
              <w:t xml:space="preserve">     Education (level)</w:t>
            </w:r>
          </w:p>
        </w:tc>
        <w:tc>
          <w:tcPr>
            <w:tcW w:w="1177" w:type="dxa"/>
            <w:tcBorders>
              <w:top w:val="nil"/>
              <w:left w:val="nil"/>
              <w:bottom w:val="single" w:sz="4" w:space="0" w:color="auto"/>
              <w:right w:val="nil"/>
            </w:tcBorders>
          </w:tcPr>
          <w:p w:rsidR="00CD6D43" w:rsidRPr="00550194" w:rsidRDefault="00CD6D43" w:rsidP="00CD6D43">
            <w:pPr>
              <w:pStyle w:val="APAPar"/>
              <w:spacing w:before="0" w:line="240" w:lineRule="auto"/>
              <w:ind w:firstLine="0"/>
              <w:jc w:val="center"/>
              <w:rPr>
                <w:sz w:val="22"/>
                <w:szCs w:val="22"/>
              </w:rPr>
            </w:pPr>
            <w:r>
              <w:rPr>
                <w:sz w:val="22"/>
                <w:szCs w:val="22"/>
              </w:rPr>
              <w:t>12.713</w:t>
            </w:r>
          </w:p>
        </w:tc>
        <w:tc>
          <w:tcPr>
            <w:tcW w:w="1091" w:type="dxa"/>
            <w:tcBorders>
              <w:top w:val="nil"/>
              <w:left w:val="nil"/>
              <w:bottom w:val="single" w:sz="4" w:space="0" w:color="auto"/>
              <w:right w:val="nil"/>
            </w:tcBorders>
          </w:tcPr>
          <w:p w:rsidR="00CD6D43" w:rsidRPr="00550194" w:rsidRDefault="00CD6D43" w:rsidP="00CD6D43">
            <w:pPr>
              <w:pStyle w:val="APAPar"/>
              <w:spacing w:before="0" w:line="240" w:lineRule="auto"/>
              <w:ind w:firstLine="0"/>
              <w:jc w:val="center"/>
              <w:rPr>
                <w:sz w:val="22"/>
                <w:szCs w:val="22"/>
              </w:rPr>
            </w:pPr>
            <w:r w:rsidRPr="00550194">
              <w:rPr>
                <w:sz w:val="22"/>
                <w:szCs w:val="22"/>
              </w:rPr>
              <w:t>.</w:t>
            </w:r>
            <w:r>
              <w:rPr>
                <w:sz w:val="22"/>
                <w:szCs w:val="22"/>
              </w:rPr>
              <w:t>392</w:t>
            </w:r>
            <w:r w:rsidRPr="00550194">
              <w:rPr>
                <w:sz w:val="22"/>
                <w:szCs w:val="22"/>
              </w:rPr>
              <w:t>**</w:t>
            </w:r>
          </w:p>
        </w:tc>
        <w:tc>
          <w:tcPr>
            <w:tcW w:w="1276" w:type="dxa"/>
            <w:tcBorders>
              <w:top w:val="nil"/>
              <w:left w:val="nil"/>
              <w:bottom w:val="single" w:sz="4" w:space="0" w:color="auto"/>
              <w:right w:val="nil"/>
            </w:tcBorders>
          </w:tcPr>
          <w:p w:rsidR="00CD6D43" w:rsidRPr="00550194" w:rsidRDefault="00CD6D43" w:rsidP="00CD6D43">
            <w:pPr>
              <w:pStyle w:val="APAPar"/>
              <w:spacing w:before="0" w:line="240" w:lineRule="auto"/>
              <w:ind w:firstLine="0"/>
              <w:jc w:val="center"/>
              <w:rPr>
                <w:sz w:val="22"/>
                <w:szCs w:val="22"/>
              </w:rPr>
            </w:pPr>
          </w:p>
        </w:tc>
      </w:tr>
    </w:tbl>
    <w:p w:rsidR="0091167E" w:rsidRPr="00C31CE0" w:rsidRDefault="00CD6D43" w:rsidP="00C31CE0">
      <w:pPr>
        <w:pStyle w:val="APAPar"/>
        <w:spacing w:before="0" w:line="240" w:lineRule="auto"/>
        <w:rPr>
          <w:sz w:val="20"/>
        </w:rPr>
      </w:pPr>
      <w:r w:rsidRPr="00E17A8A">
        <w:rPr>
          <w:i/>
          <w:sz w:val="20"/>
        </w:rPr>
        <w:t>Note</w:t>
      </w:r>
      <w:r w:rsidRPr="00E17A8A">
        <w:rPr>
          <w:sz w:val="20"/>
        </w:rPr>
        <w:t>. **p&lt;.005, *p&lt;.05</w:t>
      </w:r>
      <w:bookmarkEnd w:id="178"/>
    </w:p>
    <w:p w:rsidR="00D1419F" w:rsidRDefault="00D1419F" w:rsidP="00E041BC">
      <w:pPr>
        <w:pStyle w:val="Heading2"/>
        <w:ind w:left="0" w:firstLine="0"/>
      </w:pPr>
    </w:p>
    <w:p w:rsidR="00D1419F" w:rsidRDefault="00EF7100" w:rsidP="00E041BC">
      <w:pPr>
        <w:pStyle w:val="Heading2"/>
        <w:spacing w:before="120"/>
      </w:pPr>
      <w:bookmarkStart w:id="180" w:name="_Toc521184253"/>
      <w:r>
        <w:t>Analysis</w:t>
      </w:r>
      <w:r w:rsidR="00676C2D">
        <w:t xml:space="preserve"> 3 </w:t>
      </w:r>
      <w:r w:rsidR="00F20BD7">
        <w:t>The Relation Between Social P</w:t>
      </w:r>
      <w:r w:rsidR="00676C2D">
        <w:t>articipation, Exercise</w:t>
      </w:r>
      <w:r w:rsidR="00D75A10">
        <w:t>,</w:t>
      </w:r>
      <w:r>
        <w:t xml:space="preserve"> Internet use,</w:t>
      </w:r>
      <w:r w:rsidR="00D75A10">
        <w:t xml:space="preserve"> Education</w:t>
      </w:r>
      <w:r w:rsidR="00676C2D">
        <w:t>, and Cognitive P</w:t>
      </w:r>
      <w:r w:rsidR="00676C2D" w:rsidRPr="00A86766">
        <w:t>erformanc</w:t>
      </w:r>
      <w:r w:rsidR="0091167E">
        <w:t>e</w:t>
      </w:r>
      <w:bookmarkEnd w:id="180"/>
    </w:p>
    <w:p w:rsidR="008C70C7" w:rsidRPr="008C70C7" w:rsidRDefault="00E376FA" w:rsidP="0091167E">
      <w:pPr>
        <w:pStyle w:val="Heading3"/>
      </w:pPr>
      <w:bookmarkStart w:id="181" w:name="_Toc521184254"/>
      <w:r>
        <w:t>Introduction</w:t>
      </w:r>
      <w:bookmarkEnd w:id="181"/>
    </w:p>
    <w:p w:rsidR="00D96553" w:rsidRDefault="00676C2D" w:rsidP="005C41B7">
      <w:pPr>
        <w:pStyle w:val="APAPar"/>
      </w:pPr>
      <w:r>
        <w:t>The 3</w:t>
      </w:r>
      <w:r w:rsidRPr="008C408E">
        <w:rPr>
          <w:vertAlign w:val="superscript"/>
        </w:rPr>
        <w:t>rd</w:t>
      </w:r>
      <w:r>
        <w:t xml:space="preserve"> </w:t>
      </w:r>
      <w:r w:rsidR="00525F58">
        <w:t>analysis</w:t>
      </w:r>
      <w:r>
        <w:t xml:space="preserve"> will examine the </w:t>
      </w:r>
      <w:r w:rsidR="00F20BD7">
        <w:t xml:space="preserve">potential </w:t>
      </w:r>
      <w:r>
        <w:t xml:space="preserve">beneficial effect that social participation, exercise, mental activities and </w:t>
      </w:r>
      <w:r w:rsidR="00C40620">
        <w:t xml:space="preserve">education </w:t>
      </w:r>
      <w:r>
        <w:t>may have on cognitive performance among cognitively intact older adults</w:t>
      </w:r>
      <w:r w:rsidR="008C70C7">
        <w:t xml:space="preserve">. </w:t>
      </w:r>
      <w:r>
        <w:t xml:space="preserve">The beneficial effect of social participation, exercise and mental activities on cognitive vitality remains a strong statement in policy making, health prevention strategies, </w:t>
      </w:r>
      <w:r w:rsidR="00F20BD7">
        <w:t xml:space="preserve">and interventions </w:t>
      </w:r>
      <w:r w:rsidR="00926269">
        <w:t>aiming</w:t>
      </w:r>
      <w:r>
        <w:t xml:space="preserve"> to f</w:t>
      </w:r>
      <w:r w:rsidR="00F20BD7">
        <w:t>oster independency with ageing</w:t>
      </w:r>
      <w:r>
        <w:t xml:space="preserve"> (Bamidis et al., 2015; Hertzog et al., 2009; Salthouse, 2006). </w:t>
      </w:r>
      <w:r w:rsidR="00C40620" w:rsidRPr="007A15F6">
        <w:t xml:space="preserve">A </w:t>
      </w:r>
      <w:r w:rsidR="00C40620" w:rsidRPr="007A15F6">
        <w:rPr>
          <w:i/>
        </w:rPr>
        <w:t>direct</w:t>
      </w:r>
      <w:r w:rsidR="00C40620" w:rsidRPr="007A15F6">
        <w:t xml:space="preserve"> effect of education on cognitive decline with ageing has been argued in the context of </w:t>
      </w:r>
      <w:r w:rsidR="00E22FCD">
        <w:t>test familiarity</w:t>
      </w:r>
      <w:r w:rsidR="00C40620">
        <w:t xml:space="preserve"> </w:t>
      </w:r>
      <w:r w:rsidR="00C40620" w:rsidRPr="007A15F6">
        <w:t>(</w:t>
      </w:r>
      <w:r w:rsidR="006E31E9">
        <w:t>Marcotte and al., 2010</w:t>
      </w:r>
      <w:r w:rsidR="004359CD">
        <w:t>)</w:t>
      </w:r>
      <w:r w:rsidR="004359CD" w:rsidRPr="004359CD">
        <w:rPr>
          <w:lang w:val="en-US"/>
        </w:rPr>
        <w:t>,</w:t>
      </w:r>
      <w:r w:rsidR="004359CD">
        <w:rPr>
          <w:lang w:val="en-US"/>
        </w:rPr>
        <w:t xml:space="preserve"> however this effect was not evident</w:t>
      </w:r>
      <w:r w:rsidR="00FA06BD">
        <w:rPr>
          <w:lang w:val="en-US"/>
        </w:rPr>
        <w:t xml:space="preserve"> in the </w:t>
      </w:r>
      <w:r w:rsidR="00FA06BD" w:rsidRPr="000B6600">
        <w:rPr>
          <w:lang w:val="en-US"/>
        </w:rPr>
        <w:t>first analysis of this C</w:t>
      </w:r>
      <w:r w:rsidR="004359CD" w:rsidRPr="000B6600">
        <w:rPr>
          <w:lang w:val="en-US"/>
        </w:rPr>
        <w:t>hapter</w:t>
      </w:r>
      <w:r w:rsidR="00926269" w:rsidRPr="000B6600">
        <w:t xml:space="preserve">. Therefore, </w:t>
      </w:r>
      <w:r w:rsidR="00F43301" w:rsidRPr="000B6600">
        <w:t xml:space="preserve">education will </w:t>
      </w:r>
      <w:r w:rsidR="004359CD" w:rsidRPr="000B6600">
        <w:t xml:space="preserve">not </w:t>
      </w:r>
      <w:r w:rsidR="00F43301" w:rsidRPr="000B6600">
        <w:t>be examined as a potential</w:t>
      </w:r>
      <w:r w:rsidR="00D547EA" w:rsidRPr="000B6600">
        <w:t xml:space="preserve"> predictor</w:t>
      </w:r>
      <w:r w:rsidR="00F43301" w:rsidRPr="000B6600">
        <w:t xml:space="preserve"> </w:t>
      </w:r>
      <w:r w:rsidR="00D92EEB" w:rsidRPr="000B6600">
        <w:t xml:space="preserve">of cognitive performance </w:t>
      </w:r>
      <w:r w:rsidR="00F43301" w:rsidRPr="000B6600">
        <w:t xml:space="preserve">in this </w:t>
      </w:r>
      <w:r w:rsidR="00525F58" w:rsidRPr="000B6600">
        <w:t>analysis</w:t>
      </w:r>
      <w:r w:rsidR="00F43301" w:rsidRPr="000B6600">
        <w:t>,</w:t>
      </w:r>
      <w:r w:rsidR="00234C31" w:rsidRPr="000B6600">
        <w:t xml:space="preserve"> </w:t>
      </w:r>
      <w:r w:rsidR="004359CD" w:rsidRPr="000B6600">
        <w:t>but</w:t>
      </w:r>
      <w:r w:rsidR="00234C31" w:rsidRPr="000B6600">
        <w:t xml:space="preserve"> as a potential moderator</w:t>
      </w:r>
      <w:r w:rsidR="006E31E9" w:rsidRPr="000B6600">
        <w:t xml:space="preserve"> of the relation between age and cognitive performance</w:t>
      </w:r>
      <w:r w:rsidR="00D92EEB" w:rsidRPr="000B6600">
        <w:t>,</w:t>
      </w:r>
      <w:r w:rsidR="008402D2" w:rsidRPr="000B6600">
        <w:t xml:space="preserve"> following the rational </w:t>
      </w:r>
      <w:r w:rsidR="006E31E9" w:rsidRPr="000B6600">
        <w:t>postulated by the cognitive reserve hypothesis.</w:t>
      </w:r>
      <w:r w:rsidR="006E31E9">
        <w:t xml:space="preserve"> </w:t>
      </w:r>
    </w:p>
    <w:p w:rsidR="00CB3358" w:rsidRDefault="00C42801" w:rsidP="00C42801">
      <w:pPr>
        <w:pStyle w:val="Heading3"/>
      </w:pPr>
      <w:bookmarkStart w:id="182" w:name="_Toc521184255"/>
      <w:r>
        <w:t>A</w:t>
      </w:r>
      <w:r w:rsidR="00CB3358">
        <w:t>nalysis plan</w:t>
      </w:r>
      <w:bookmarkEnd w:id="182"/>
    </w:p>
    <w:p w:rsidR="00285EEC" w:rsidRDefault="00D96553" w:rsidP="0091167E">
      <w:pPr>
        <w:pStyle w:val="APAPar"/>
        <w:rPr>
          <w:lang w:val="en-US"/>
        </w:rPr>
      </w:pPr>
      <w:r w:rsidRPr="000B6600">
        <w:t xml:space="preserve">Social participation </w:t>
      </w:r>
      <w:r w:rsidR="00285EEC" w:rsidRPr="000B6600">
        <w:t>was</w:t>
      </w:r>
      <w:r w:rsidRPr="000B6600">
        <w:t xml:space="preserve"> represented from the measures of loneliness and social participation frequency following the narrow description of</w:t>
      </w:r>
      <w:r w:rsidR="00EF7100" w:rsidRPr="000B6600">
        <w:t xml:space="preserve"> Christelis and Dobresku (2012)</w:t>
      </w:r>
      <w:r w:rsidRPr="000B6600">
        <w:t xml:space="preserve">. For the items asking </w:t>
      </w:r>
      <w:r w:rsidR="004B455B">
        <w:t>about</w:t>
      </w:r>
      <w:r w:rsidRPr="000B6600">
        <w:t xml:space="preserve"> working, childrearing and care giving, no single index </w:t>
      </w:r>
      <w:r w:rsidR="00285EEC" w:rsidRPr="000B6600">
        <w:t>was employed</w:t>
      </w:r>
      <w:r w:rsidRPr="000B6600">
        <w:t xml:space="preserve">, but </w:t>
      </w:r>
      <w:r w:rsidR="004F010B" w:rsidRPr="000B6600">
        <w:t xml:space="preserve">they </w:t>
      </w:r>
      <w:r w:rsidR="00285EEC" w:rsidRPr="000B6600">
        <w:t>were</w:t>
      </w:r>
      <w:r w:rsidR="001912DE" w:rsidRPr="000B6600">
        <w:t xml:space="preserve"> </w:t>
      </w:r>
      <w:r w:rsidRPr="000B6600">
        <w:t xml:space="preserve">examined </w:t>
      </w:r>
      <w:r w:rsidR="004F010B" w:rsidRPr="000B6600">
        <w:t>separately</w:t>
      </w:r>
      <w:r w:rsidRPr="000B6600">
        <w:t xml:space="preserve">. Exercise </w:t>
      </w:r>
      <w:r w:rsidR="00285EEC" w:rsidRPr="000B6600">
        <w:t>was</w:t>
      </w:r>
      <w:r w:rsidRPr="000B6600">
        <w:t xml:space="preserve"> measured</w:t>
      </w:r>
      <w:r w:rsidR="004F010B" w:rsidRPr="000B6600">
        <w:t xml:space="preserve"> </w:t>
      </w:r>
      <w:r w:rsidR="001912DE" w:rsidRPr="000B6600">
        <w:t>with a continuous index (i.e., as o</w:t>
      </w:r>
      <w:r w:rsidR="00FA06BD" w:rsidRPr="000B6600">
        <w:t>perationalized in the previous C</w:t>
      </w:r>
      <w:r w:rsidR="001912DE" w:rsidRPr="000B6600">
        <w:t>hapter)</w:t>
      </w:r>
      <w:r w:rsidRPr="000B6600">
        <w:rPr>
          <w:lang w:val="en-US"/>
        </w:rPr>
        <w:t>, including a categorical index</w:t>
      </w:r>
      <w:r w:rsidR="001912DE" w:rsidRPr="000B6600">
        <w:rPr>
          <w:lang w:val="en-US"/>
        </w:rPr>
        <w:t xml:space="preserve"> as well</w:t>
      </w:r>
      <w:r w:rsidRPr="000B6600">
        <w:rPr>
          <w:lang w:val="en-US"/>
        </w:rPr>
        <w:t xml:space="preserve"> to describe those that exercise sufficiently and those not doing so.</w:t>
      </w:r>
    </w:p>
    <w:p w:rsidR="00CD6D43" w:rsidRPr="009837F7" w:rsidRDefault="00CD6D43" w:rsidP="0091167E">
      <w:pPr>
        <w:pStyle w:val="APAPar"/>
        <w:spacing w:line="360" w:lineRule="auto"/>
        <w:ind w:left="965" w:right="0" w:hanging="965"/>
        <w:rPr>
          <w:rStyle w:val="IntenseEmphasis"/>
        </w:rPr>
      </w:pPr>
      <w:r w:rsidRPr="009837F7">
        <w:rPr>
          <w:rStyle w:val="IntenseEmphasis"/>
        </w:rPr>
        <w:t xml:space="preserve">Table </w:t>
      </w:r>
      <w:r>
        <w:rPr>
          <w:rStyle w:val="IntenseEmphasis"/>
        </w:rPr>
        <w:t>7.6</w:t>
      </w:r>
      <w:r w:rsidRPr="009837F7">
        <w:rPr>
          <w:rStyle w:val="IntenseEmphasis"/>
        </w:rPr>
        <w:t xml:space="preserve"> </w:t>
      </w:r>
      <w:r>
        <w:rPr>
          <w:rStyle w:val="IntenseEmphasis"/>
        </w:rPr>
        <w:t xml:space="preserve">Correlation </w:t>
      </w:r>
      <w:r w:rsidR="00A174C4">
        <w:rPr>
          <w:rStyle w:val="IntenseEmphasis"/>
        </w:rPr>
        <w:t>A</w:t>
      </w:r>
      <w:r w:rsidR="00A174C4" w:rsidRPr="00D32BB4">
        <w:rPr>
          <w:rStyle w:val="IntenseEmphasis"/>
        </w:rPr>
        <w:t xml:space="preserve">nalysis Between Social Participation Indexes, </w:t>
      </w:r>
      <w:r>
        <w:rPr>
          <w:rStyle w:val="IntenseEmphasis"/>
        </w:rPr>
        <w:t xml:space="preserve">Internet </w:t>
      </w:r>
      <w:r w:rsidR="00A174C4">
        <w:rPr>
          <w:rStyle w:val="IntenseEmphasis"/>
        </w:rPr>
        <w:t>Use</w:t>
      </w:r>
      <w:r w:rsidR="00A174C4" w:rsidRPr="00D32BB4">
        <w:rPr>
          <w:rStyle w:val="IntenseEmphasis"/>
        </w:rPr>
        <w:t>, And Exercise With Cognitive Performance Variables</w:t>
      </w:r>
      <w:r w:rsidR="00A174C4" w:rsidRPr="009837F7">
        <w:rPr>
          <w:rStyle w:val="IntenseEmphasis"/>
        </w:rPr>
        <w:t xml:space="preserve"> </w:t>
      </w:r>
    </w:p>
    <w:tbl>
      <w:tblPr>
        <w:tblStyle w:val="TableGrid"/>
        <w:tblW w:w="8120"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390"/>
        <w:gridCol w:w="898"/>
        <w:gridCol w:w="944"/>
        <w:gridCol w:w="944"/>
        <w:gridCol w:w="944"/>
      </w:tblGrid>
      <w:tr w:rsidR="00CD6D43" w:rsidRPr="009837F7" w:rsidTr="00CD6D43">
        <w:trPr>
          <w:jc w:val="center"/>
        </w:trPr>
        <w:tc>
          <w:tcPr>
            <w:tcW w:w="4390" w:type="dxa"/>
          </w:tcPr>
          <w:p w:rsidR="00CD6D43" w:rsidRPr="009837F7" w:rsidRDefault="00CD6D43" w:rsidP="00CD6D43">
            <w:pPr>
              <w:pStyle w:val="APAPar"/>
              <w:spacing w:line="240" w:lineRule="auto"/>
              <w:ind w:firstLine="0"/>
              <w:rPr>
                <w:sz w:val="20"/>
              </w:rPr>
            </w:pPr>
            <w:r w:rsidRPr="009837F7">
              <w:rPr>
                <w:sz w:val="20"/>
              </w:rPr>
              <w:t>Variables</w:t>
            </w:r>
          </w:p>
        </w:tc>
        <w:tc>
          <w:tcPr>
            <w:tcW w:w="898" w:type="dxa"/>
          </w:tcPr>
          <w:p w:rsidR="00CD6D43" w:rsidRPr="009837F7" w:rsidRDefault="00CD6D43" w:rsidP="00CD6D43">
            <w:pPr>
              <w:pStyle w:val="APAPar"/>
              <w:spacing w:line="240" w:lineRule="auto"/>
              <w:ind w:firstLine="0"/>
              <w:jc w:val="center"/>
              <w:rPr>
                <w:b/>
                <w:sz w:val="20"/>
              </w:rPr>
            </w:pPr>
            <w:r w:rsidRPr="009837F7">
              <w:rPr>
                <w:b/>
                <w:sz w:val="20"/>
              </w:rPr>
              <w:t>VF</w:t>
            </w:r>
          </w:p>
        </w:tc>
        <w:tc>
          <w:tcPr>
            <w:tcW w:w="944" w:type="dxa"/>
          </w:tcPr>
          <w:p w:rsidR="00CD6D43" w:rsidRPr="009837F7" w:rsidRDefault="00CD6D43" w:rsidP="00CD6D43">
            <w:pPr>
              <w:pStyle w:val="APAPar"/>
              <w:spacing w:line="240" w:lineRule="auto"/>
              <w:ind w:firstLine="0"/>
              <w:jc w:val="center"/>
              <w:rPr>
                <w:b/>
                <w:sz w:val="20"/>
              </w:rPr>
            </w:pPr>
            <w:r w:rsidRPr="009837F7">
              <w:rPr>
                <w:b/>
                <w:sz w:val="20"/>
              </w:rPr>
              <w:t>TMT-B</w:t>
            </w:r>
          </w:p>
        </w:tc>
        <w:tc>
          <w:tcPr>
            <w:tcW w:w="944" w:type="dxa"/>
          </w:tcPr>
          <w:p w:rsidR="00CD6D43" w:rsidRPr="009837F7" w:rsidRDefault="00CD6D43" w:rsidP="00CD6D43">
            <w:pPr>
              <w:pStyle w:val="APAPar"/>
              <w:spacing w:line="240" w:lineRule="auto"/>
              <w:ind w:firstLine="0"/>
              <w:jc w:val="center"/>
              <w:rPr>
                <w:b/>
                <w:sz w:val="20"/>
              </w:rPr>
            </w:pPr>
            <w:r>
              <w:rPr>
                <w:b/>
                <w:sz w:val="20"/>
              </w:rPr>
              <w:t>STM</w:t>
            </w:r>
          </w:p>
        </w:tc>
        <w:tc>
          <w:tcPr>
            <w:tcW w:w="944" w:type="dxa"/>
          </w:tcPr>
          <w:p w:rsidR="00CD6D43" w:rsidRPr="009837F7" w:rsidRDefault="00CD6D43" w:rsidP="00CD6D43">
            <w:pPr>
              <w:pStyle w:val="APAPar"/>
              <w:spacing w:line="240" w:lineRule="auto"/>
              <w:ind w:firstLine="0"/>
              <w:jc w:val="center"/>
              <w:rPr>
                <w:b/>
                <w:sz w:val="20"/>
              </w:rPr>
            </w:pPr>
            <w:r>
              <w:rPr>
                <w:b/>
                <w:sz w:val="20"/>
              </w:rPr>
              <w:t>LTM</w:t>
            </w:r>
          </w:p>
        </w:tc>
      </w:tr>
      <w:tr w:rsidR="00CD6D43" w:rsidRPr="009837F7" w:rsidTr="00CD6D43">
        <w:trPr>
          <w:jc w:val="center"/>
        </w:trPr>
        <w:tc>
          <w:tcPr>
            <w:tcW w:w="4390" w:type="dxa"/>
          </w:tcPr>
          <w:p w:rsidR="00CD6D43" w:rsidRDefault="00CD6D43" w:rsidP="00CD6D43">
            <w:pPr>
              <w:pStyle w:val="APAPar"/>
              <w:spacing w:line="240" w:lineRule="auto"/>
              <w:ind w:firstLine="0"/>
              <w:rPr>
                <w:b/>
                <w:sz w:val="20"/>
              </w:rPr>
            </w:pPr>
            <w:r>
              <w:rPr>
                <w:b/>
                <w:sz w:val="20"/>
              </w:rPr>
              <w:t>Age</w:t>
            </w:r>
          </w:p>
        </w:tc>
        <w:tc>
          <w:tcPr>
            <w:tcW w:w="898" w:type="dxa"/>
          </w:tcPr>
          <w:p w:rsidR="00CD6D43" w:rsidRDefault="00CD6D43" w:rsidP="00CD6D43">
            <w:pPr>
              <w:pStyle w:val="APAPar"/>
              <w:spacing w:line="240" w:lineRule="auto"/>
              <w:ind w:firstLine="0"/>
              <w:jc w:val="center"/>
              <w:rPr>
                <w:sz w:val="20"/>
              </w:rPr>
            </w:pPr>
            <w:r>
              <w:rPr>
                <w:sz w:val="20"/>
              </w:rPr>
              <w:sym w:font="Wingdings" w:char="F0FC"/>
            </w:r>
          </w:p>
        </w:tc>
        <w:tc>
          <w:tcPr>
            <w:tcW w:w="944" w:type="dxa"/>
          </w:tcPr>
          <w:p w:rsidR="00CD6D43" w:rsidRPr="006F50C9" w:rsidRDefault="00CD6D43" w:rsidP="00CD6D43">
            <w:pPr>
              <w:pStyle w:val="APAPar"/>
              <w:spacing w:line="240" w:lineRule="auto"/>
              <w:ind w:firstLine="0"/>
              <w:jc w:val="center"/>
              <w:rPr>
                <w:sz w:val="20"/>
              </w:rPr>
            </w:pPr>
            <w:r w:rsidRPr="006F50C9">
              <w:rPr>
                <w:sz w:val="20"/>
              </w:rPr>
              <w:sym w:font="Wingdings" w:char="F0FC"/>
            </w:r>
          </w:p>
        </w:tc>
        <w:tc>
          <w:tcPr>
            <w:tcW w:w="944" w:type="dxa"/>
          </w:tcPr>
          <w:p w:rsidR="00CD6D43" w:rsidRDefault="00CD6D43" w:rsidP="00CD6D43">
            <w:pPr>
              <w:pStyle w:val="APAPar"/>
              <w:spacing w:line="240" w:lineRule="auto"/>
              <w:ind w:firstLine="0"/>
              <w:jc w:val="center"/>
              <w:rPr>
                <w:sz w:val="20"/>
              </w:rPr>
            </w:pPr>
            <w:r>
              <w:rPr>
                <w:sz w:val="20"/>
              </w:rPr>
              <w:sym w:font="Wingdings" w:char="F0FC"/>
            </w:r>
          </w:p>
        </w:tc>
        <w:tc>
          <w:tcPr>
            <w:tcW w:w="944" w:type="dxa"/>
          </w:tcPr>
          <w:p w:rsidR="00CD6D43" w:rsidRPr="006F50C9" w:rsidRDefault="00CD6D43" w:rsidP="00CD6D43">
            <w:pPr>
              <w:pStyle w:val="APAPar"/>
              <w:spacing w:line="240" w:lineRule="auto"/>
              <w:ind w:firstLine="0"/>
              <w:jc w:val="center"/>
              <w:rPr>
                <w:sz w:val="20"/>
              </w:rPr>
            </w:pPr>
            <w:r w:rsidRPr="006F50C9">
              <w:rPr>
                <w:sz w:val="20"/>
              </w:rPr>
              <w:sym w:font="Wingdings" w:char="F0FC"/>
            </w:r>
          </w:p>
        </w:tc>
      </w:tr>
      <w:tr w:rsidR="00CD6D43" w:rsidRPr="009837F7" w:rsidTr="00CD6D43">
        <w:trPr>
          <w:jc w:val="center"/>
        </w:trPr>
        <w:tc>
          <w:tcPr>
            <w:tcW w:w="4390" w:type="dxa"/>
          </w:tcPr>
          <w:p w:rsidR="00CD6D43" w:rsidRPr="009837F7" w:rsidRDefault="00CD6D43" w:rsidP="00CD6D43">
            <w:pPr>
              <w:pStyle w:val="APAPar"/>
              <w:spacing w:line="240" w:lineRule="auto"/>
              <w:ind w:firstLine="0"/>
              <w:rPr>
                <w:b/>
                <w:sz w:val="20"/>
              </w:rPr>
            </w:pPr>
            <w:r w:rsidRPr="009837F7">
              <w:rPr>
                <w:b/>
                <w:sz w:val="20"/>
              </w:rPr>
              <w:t xml:space="preserve">Social participation </w:t>
            </w:r>
            <w:r w:rsidRPr="009837F7">
              <w:rPr>
                <w:sz w:val="20"/>
              </w:rPr>
              <w:t>(narrow definition)</w:t>
            </w:r>
          </w:p>
        </w:tc>
        <w:tc>
          <w:tcPr>
            <w:tcW w:w="898" w:type="dxa"/>
          </w:tcPr>
          <w:p w:rsidR="00CD6D43" w:rsidRPr="009837F7" w:rsidRDefault="00CD6D43" w:rsidP="00CD6D43">
            <w:pPr>
              <w:pStyle w:val="APAPar"/>
              <w:spacing w:line="240" w:lineRule="auto"/>
              <w:ind w:firstLine="0"/>
              <w:jc w:val="center"/>
              <w:rPr>
                <w:sz w:val="20"/>
              </w:rPr>
            </w:pPr>
            <w:r>
              <w:rPr>
                <w:sz w:val="20"/>
              </w:rPr>
              <w:sym w:font="Wingdings" w:char="F0FC"/>
            </w:r>
          </w:p>
        </w:tc>
        <w:tc>
          <w:tcPr>
            <w:tcW w:w="944" w:type="dxa"/>
          </w:tcPr>
          <w:p w:rsidR="00CD6D43" w:rsidRPr="009837F7" w:rsidRDefault="00CD6D43" w:rsidP="00CD6D43">
            <w:pPr>
              <w:pStyle w:val="APAPar"/>
              <w:spacing w:line="240" w:lineRule="auto"/>
              <w:ind w:firstLine="0"/>
              <w:jc w:val="center"/>
              <w:rPr>
                <w:sz w:val="20"/>
              </w:rPr>
            </w:pPr>
            <w:r w:rsidRPr="006F50C9">
              <w:rPr>
                <w:sz w:val="20"/>
              </w:rPr>
              <w:sym w:font="Wingdings" w:char="F0FC"/>
            </w:r>
          </w:p>
        </w:tc>
        <w:tc>
          <w:tcPr>
            <w:tcW w:w="944" w:type="dxa"/>
          </w:tcPr>
          <w:p w:rsidR="00CD6D43" w:rsidRPr="009837F7" w:rsidRDefault="00CD6D43" w:rsidP="00CD6D43">
            <w:pPr>
              <w:pStyle w:val="APAPar"/>
              <w:spacing w:line="240" w:lineRule="auto"/>
              <w:ind w:firstLine="0"/>
              <w:jc w:val="center"/>
              <w:rPr>
                <w:sz w:val="20"/>
              </w:rPr>
            </w:pPr>
            <w:r>
              <w:rPr>
                <w:sz w:val="20"/>
              </w:rPr>
              <w:sym w:font="Wingdings" w:char="F0FC"/>
            </w:r>
          </w:p>
        </w:tc>
        <w:tc>
          <w:tcPr>
            <w:tcW w:w="944" w:type="dxa"/>
          </w:tcPr>
          <w:p w:rsidR="00CD6D43" w:rsidRPr="009837F7" w:rsidRDefault="00CD6D43" w:rsidP="00CD6D43">
            <w:pPr>
              <w:pStyle w:val="APAPar"/>
              <w:spacing w:line="240" w:lineRule="auto"/>
              <w:ind w:firstLine="0"/>
              <w:jc w:val="center"/>
              <w:rPr>
                <w:sz w:val="20"/>
              </w:rPr>
            </w:pPr>
            <w:r w:rsidRPr="006F50C9">
              <w:rPr>
                <w:sz w:val="20"/>
              </w:rPr>
              <w:sym w:font="Wingdings" w:char="F0FC"/>
            </w:r>
          </w:p>
        </w:tc>
      </w:tr>
      <w:tr w:rsidR="00CD6D43" w:rsidRPr="009837F7" w:rsidTr="00CD6D43">
        <w:trPr>
          <w:trHeight w:val="492"/>
          <w:jc w:val="center"/>
        </w:trPr>
        <w:tc>
          <w:tcPr>
            <w:tcW w:w="4390" w:type="dxa"/>
          </w:tcPr>
          <w:p w:rsidR="00CD6D43" w:rsidRPr="009837F7" w:rsidRDefault="00CD6D43" w:rsidP="00CD6D43">
            <w:pPr>
              <w:pStyle w:val="APAPar"/>
              <w:spacing w:line="240" w:lineRule="auto"/>
              <w:ind w:firstLine="0"/>
              <w:rPr>
                <w:b/>
                <w:sz w:val="20"/>
              </w:rPr>
            </w:pPr>
            <w:r>
              <w:rPr>
                <w:b/>
                <w:sz w:val="20"/>
              </w:rPr>
              <w:t xml:space="preserve">Internet use </w:t>
            </w:r>
          </w:p>
        </w:tc>
        <w:tc>
          <w:tcPr>
            <w:tcW w:w="898" w:type="dxa"/>
          </w:tcPr>
          <w:p w:rsidR="00CD6D43" w:rsidRPr="009837F7" w:rsidRDefault="00CD6D43" w:rsidP="00CD6D43">
            <w:pPr>
              <w:pStyle w:val="APAPar"/>
              <w:spacing w:line="240" w:lineRule="auto"/>
              <w:ind w:firstLine="0"/>
              <w:jc w:val="center"/>
              <w:rPr>
                <w:sz w:val="20"/>
              </w:rPr>
            </w:pPr>
            <w:r w:rsidRPr="00BF738E">
              <w:rPr>
                <w:sz w:val="20"/>
              </w:rPr>
              <w:sym w:font="Wingdings" w:char="F0FC"/>
            </w:r>
          </w:p>
        </w:tc>
        <w:tc>
          <w:tcPr>
            <w:tcW w:w="944" w:type="dxa"/>
          </w:tcPr>
          <w:p w:rsidR="00CD6D43" w:rsidRPr="009837F7" w:rsidRDefault="00CD6D43" w:rsidP="00CD6D43">
            <w:pPr>
              <w:pStyle w:val="APAPar"/>
              <w:spacing w:line="240" w:lineRule="auto"/>
              <w:ind w:firstLine="0"/>
              <w:jc w:val="center"/>
              <w:rPr>
                <w:sz w:val="20"/>
              </w:rPr>
            </w:pPr>
            <w:r w:rsidRPr="006F50C9">
              <w:rPr>
                <w:sz w:val="20"/>
              </w:rPr>
              <w:sym w:font="Wingdings" w:char="F0FC"/>
            </w:r>
          </w:p>
        </w:tc>
        <w:tc>
          <w:tcPr>
            <w:tcW w:w="944" w:type="dxa"/>
          </w:tcPr>
          <w:p w:rsidR="00CD6D43" w:rsidRPr="009837F7" w:rsidRDefault="00CD6D43" w:rsidP="00CD6D43">
            <w:pPr>
              <w:pStyle w:val="APAPar"/>
              <w:spacing w:line="240" w:lineRule="auto"/>
              <w:ind w:firstLine="0"/>
              <w:jc w:val="center"/>
              <w:rPr>
                <w:sz w:val="20"/>
              </w:rPr>
            </w:pPr>
            <w:r w:rsidRPr="00BF738E">
              <w:rPr>
                <w:sz w:val="20"/>
              </w:rPr>
              <w:sym w:font="Wingdings" w:char="F0FC"/>
            </w:r>
          </w:p>
        </w:tc>
        <w:tc>
          <w:tcPr>
            <w:tcW w:w="944" w:type="dxa"/>
          </w:tcPr>
          <w:p w:rsidR="00CD6D43" w:rsidRPr="009837F7" w:rsidRDefault="00CD6D43" w:rsidP="00CD6D43">
            <w:pPr>
              <w:pStyle w:val="APAPar"/>
              <w:spacing w:line="240" w:lineRule="auto"/>
              <w:ind w:firstLine="0"/>
              <w:jc w:val="center"/>
              <w:rPr>
                <w:sz w:val="20"/>
              </w:rPr>
            </w:pPr>
            <w:r w:rsidRPr="006F50C9">
              <w:rPr>
                <w:sz w:val="20"/>
              </w:rPr>
              <w:sym w:font="Wingdings" w:char="F0FC"/>
            </w:r>
          </w:p>
        </w:tc>
      </w:tr>
      <w:tr w:rsidR="00CD6D43" w:rsidRPr="009837F7" w:rsidTr="00CD6D43">
        <w:trPr>
          <w:jc w:val="center"/>
        </w:trPr>
        <w:tc>
          <w:tcPr>
            <w:tcW w:w="4390" w:type="dxa"/>
            <w:tcBorders>
              <w:bottom w:val="single" w:sz="4" w:space="0" w:color="auto"/>
            </w:tcBorders>
          </w:tcPr>
          <w:p w:rsidR="00CD6D43" w:rsidRPr="009837F7" w:rsidRDefault="00CD6D43" w:rsidP="00CD6D43">
            <w:pPr>
              <w:pStyle w:val="APAPar"/>
              <w:spacing w:line="240" w:lineRule="auto"/>
              <w:ind w:firstLine="0"/>
              <w:rPr>
                <w:b/>
                <w:sz w:val="20"/>
              </w:rPr>
            </w:pPr>
            <w:r w:rsidRPr="009837F7">
              <w:rPr>
                <w:b/>
                <w:sz w:val="20"/>
              </w:rPr>
              <w:t>Other activities</w:t>
            </w:r>
            <w:r>
              <w:rPr>
                <w:b/>
                <w:sz w:val="20"/>
              </w:rPr>
              <w:t xml:space="preserve"> </w:t>
            </w:r>
            <w:r w:rsidRPr="003A14B3">
              <w:rPr>
                <w:sz w:val="20"/>
              </w:rPr>
              <w:t>(working, childrearing, caregiving)</w:t>
            </w:r>
          </w:p>
        </w:tc>
        <w:tc>
          <w:tcPr>
            <w:tcW w:w="898" w:type="dxa"/>
            <w:tcBorders>
              <w:bottom w:val="single" w:sz="4" w:space="0" w:color="auto"/>
            </w:tcBorders>
          </w:tcPr>
          <w:p w:rsidR="00CD6D43" w:rsidRPr="009837F7" w:rsidRDefault="00CD6D43" w:rsidP="00CD6D43">
            <w:pPr>
              <w:pStyle w:val="APAPar"/>
              <w:spacing w:line="240" w:lineRule="auto"/>
              <w:ind w:firstLine="0"/>
              <w:jc w:val="center"/>
              <w:rPr>
                <w:sz w:val="20"/>
              </w:rPr>
            </w:pPr>
            <w:r w:rsidRPr="00BF738E">
              <w:rPr>
                <w:sz w:val="20"/>
              </w:rPr>
              <w:sym w:font="Wingdings" w:char="F0FC"/>
            </w:r>
          </w:p>
        </w:tc>
        <w:tc>
          <w:tcPr>
            <w:tcW w:w="944" w:type="dxa"/>
            <w:tcBorders>
              <w:bottom w:val="single" w:sz="4" w:space="0" w:color="auto"/>
            </w:tcBorders>
          </w:tcPr>
          <w:p w:rsidR="00CD6D43" w:rsidRPr="009837F7" w:rsidRDefault="00CD6D43" w:rsidP="00CD6D43">
            <w:pPr>
              <w:pStyle w:val="APAPar"/>
              <w:spacing w:line="240" w:lineRule="auto"/>
              <w:ind w:firstLine="0"/>
              <w:jc w:val="center"/>
              <w:rPr>
                <w:sz w:val="20"/>
              </w:rPr>
            </w:pPr>
            <w:r w:rsidRPr="006F50C9">
              <w:rPr>
                <w:sz w:val="20"/>
              </w:rPr>
              <w:sym w:font="Wingdings" w:char="F0FC"/>
            </w:r>
          </w:p>
        </w:tc>
        <w:tc>
          <w:tcPr>
            <w:tcW w:w="944" w:type="dxa"/>
            <w:tcBorders>
              <w:bottom w:val="single" w:sz="4" w:space="0" w:color="auto"/>
            </w:tcBorders>
          </w:tcPr>
          <w:p w:rsidR="00CD6D43" w:rsidRPr="009837F7" w:rsidRDefault="00CD6D43" w:rsidP="00CD6D43">
            <w:pPr>
              <w:pStyle w:val="APAPar"/>
              <w:spacing w:line="240" w:lineRule="auto"/>
              <w:ind w:firstLine="0"/>
              <w:jc w:val="center"/>
              <w:rPr>
                <w:sz w:val="20"/>
              </w:rPr>
            </w:pPr>
            <w:r w:rsidRPr="00BF738E">
              <w:rPr>
                <w:sz w:val="20"/>
              </w:rPr>
              <w:sym w:font="Wingdings" w:char="F0FC"/>
            </w:r>
          </w:p>
        </w:tc>
        <w:tc>
          <w:tcPr>
            <w:tcW w:w="944" w:type="dxa"/>
            <w:tcBorders>
              <w:bottom w:val="single" w:sz="4" w:space="0" w:color="auto"/>
            </w:tcBorders>
          </w:tcPr>
          <w:p w:rsidR="00CD6D43" w:rsidRPr="009837F7" w:rsidRDefault="00CD6D43" w:rsidP="00CD6D43">
            <w:pPr>
              <w:pStyle w:val="APAPar"/>
              <w:spacing w:line="240" w:lineRule="auto"/>
              <w:ind w:firstLine="0"/>
              <w:jc w:val="center"/>
              <w:rPr>
                <w:sz w:val="20"/>
              </w:rPr>
            </w:pPr>
            <w:r w:rsidRPr="006F50C9">
              <w:rPr>
                <w:sz w:val="20"/>
              </w:rPr>
              <w:sym w:font="Wingdings" w:char="F0FC"/>
            </w:r>
          </w:p>
        </w:tc>
      </w:tr>
      <w:tr w:rsidR="00CD6D43" w:rsidRPr="009837F7" w:rsidTr="00CD6D43">
        <w:trPr>
          <w:jc w:val="center"/>
        </w:trPr>
        <w:tc>
          <w:tcPr>
            <w:tcW w:w="4390" w:type="dxa"/>
            <w:tcBorders>
              <w:top w:val="single" w:sz="4" w:space="0" w:color="auto"/>
              <w:bottom w:val="single" w:sz="4" w:space="0" w:color="auto"/>
            </w:tcBorders>
          </w:tcPr>
          <w:p w:rsidR="00CD6D43" w:rsidRPr="009837F7" w:rsidRDefault="00CD6D43" w:rsidP="00CD6D43">
            <w:pPr>
              <w:pStyle w:val="APAPar"/>
              <w:spacing w:line="240" w:lineRule="auto"/>
              <w:ind w:firstLine="0"/>
              <w:rPr>
                <w:b/>
                <w:sz w:val="20"/>
              </w:rPr>
            </w:pPr>
            <w:r w:rsidRPr="009837F7">
              <w:rPr>
                <w:b/>
                <w:sz w:val="20"/>
              </w:rPr>
              <w:t>Exercise</w:t>
            </w:r>
            <w:r>
              <w:rPr>
                <w:b/>
                <w:sz w:val="20"/>
              </w:rPr>
              <w:t xml:space="preserve"> index</w:t>
            </w:r>
          </w:p>
        </w:tc>
        <w:tc>
          <w:tcPr>
            <w:tcW w:w="898" w:type="dxa"/>
            <w:tcBorders>
              <w:top w:val="single" w:sz="4" w:space="0" w:color="auto"/>
              <w:bottom w:val="single" w:sz="4" w:space="0" w:color="auto"/>
            </w:tcBorders>
          </w:tcPr>
          <w:p w:rsidR="00CD6D43" w:rsidRPr="009837F7" w:rsidRDefault="00CD6D43" w:rsidP="00CD6D43">
            <w:pPr>
              <w:pStyle w:val="APAPar"/>
              <w:spacing w:line="240" w:lineRule="auto"/>
              <w:ind w:firstLine="0"/>
              <w:jc w:val="center"/>
              <w:rPr>
                <w:sz w:val="20"/>
              </w:rPr>
            </w:pPr>
            <w:r w:rsidRPr="00BF738E">
              <w:rPr>
                <w:sz w:val="20"/>
              </w:rPr>
              <w:sym w:font="Wingdings" w:char="F0FC"/>
            </w:r>
          </w:p>
        </w:tc>
        <w:tc>
          <w:tcPr>
            <w:tcW w:w="944" w:type="dxa"/>
            <w:tcBorders>
              <w:top w:val="single" w:sz="4" w:space="0" w:color="auto"/>
              <w:bottom w:val="single" w:sz="4" w:space="0" w:color="auto"/>
            </w:tcBorders>
          </w:tcPr>
          <w:p w:rsidR="00CD6D43" w:rsidRPr="009837F7" w:rsidRDefault="00CD6D43" w:rsidP="00CD6D43">
            <w:pPr>
              <w:pStyle w:val="APAPar"/>
              <w:spacing w:line="240" w:lineRule="auto"/>
              <w:ind w:firstLine="0"/>
              <w:jc w:val="center"/>
              <w:rPr>
                <w:sz w:val="20"/>
              </w:rPr>
            </w:pPr>
            <w:r w:rsidRPr="006F50C9">
              <w:rPr>
                <w:sz w:val="20"/>
              </w:rPr>
              <w:sym w:font="Wingdings" w:char="F0FC"/>
            </w:r>
          </w:p>
        </w:tc>
        <w:tc>
          <w:tcPr>
            <w:tcW w:w="944" w:type="dxa"/>
            <w:tcBorders>
              <w:top w:val="single" w:sz="4" w:space="0" w:color="auto"/>
              <w:bottom w:val="single" w:sz="4" w:space="0" w:color="auto"/>
            </w:tcBorders>
          </w:tcPr>
          <w:p w:rsidR="00CD6D43" w:rsidRPr="009837F7" w:rsidRDefault="00CD6D43" w:rsidP="00CD6D43">
            <w:pPr>
              <w:pStyle w:val="APAPar"/>
              <w:spacing w:line="240" w:lineRule="auto"/>
              <w:ind w:firstLine="0"/>
              <w:jc w:val="center"/>
              <w:rPr>
                <w:sz w:val="20"/>
              </w:rPr>
            </w:pPr>
            <w:r w:rsidRPr="00BF738E">
              <w:rPr>
                <w:sz w:val="20"/>
              </w:rPr>
              <w:sym w:font="Wingdings" w:char="F0FC"/>
            </w:r>
          </w:p>
        </w:tc>
        <w:tc>
          <w:tcPr>
            <w:tcW w:w="944" w:type="dxa"/>
            <w:tcBorders>
              <w:top w:val="single" w:sz="4" w:space="0" w:color="auto"/>
              <w:bottom w:val="single" w:sz="4" w:space="0" w:color="auto"/>
            </w:tcBorders>
          </w:tcPr>
          <w:p w:rsidR="00CD6D43" w:rsidRPr="009837F7" w:rsidRDefault="00CD6D43" w:rsidP="00CD6D43">
            <w:pPr>
              <w:pStyle w:val="APAPar"/>
              <w:spacing w:line="240" w:lineRule="auto"/>
              <w:ind w:firstLine="0"/>
              <w:jc w:val="center"/>
              <w:rPr>
                <w:sz w:val="20"/>
              </w:rPr>
            </w:pPr>
            <w:r w:rsidRPr="006F50C9">
              <w:rPr>
                <w:sz w:val="20"/>
              </w:rPr>
              <w:sym w:font="Wingdings" w:char="F0FC"/>
            </w:r>
          </w:p>
        </w:tc>
      </w:tr>
    </w:tbl>
    <w:p w:rsidR="00285EEC" w:rsidRPr="00E17A8A" w:rsidRDefault="00CD6D43" w:rsidP="00E17A8A">
      <w:pPr>
        <w:pStyle w:val="APAPar"/>
        <w:rPr>
          <w:sz w:val="28"/>
        </w:rPr>
      </w:pPr>
      <w:r w:rsidRPr="00E17A8A">
        <w:rPr>
          <w:rFonts w:eastAsia="Times New Roman"/>
          <w:i/>
          <w:sz w:val="18"/>
          <w:lang w:eastAsia="en-US"/>
        </w:rPr>
        <w:t>Note.</w:t>
      </w:r>
      <w:r w:rsidRPr="00E17A8A">
        <w:rPr>
          <w:rFonts w:eastAsia="Times New Roman"/>
          <w:sz w:val="18"/>
          <w:lang w:eastAsia="en-US"/>
        </w:rPr>
        <w:t xml:space="preserve"> VF = Verbal Fluency, TMT = Trail Making Test, STM = Short term memory, LTM = Long term memory</w:t>
      </w:r>
    </w:p>
    <w:p w:rsidR="00272934" w:rsidRDefault="00D96553" w:rsidP="005C41B7">
      <w:pPr>
        <w:pStyle w:val="APAPar"/>
      </w:pPr>
      <w:r w:rsidRPr="000B6600">
        <w:t xml:space="preserve">The hypothesis that social participation, exercise, and </w:t>
      </w:r>
      <w:r w:rsidR="00EF7100" w:rsidRPr="000B6600">
        <w:t>Internet use</w:t>
      </w:r>
      <w:r w:rsidRPr="000B6600">
        <w:t xml:space="preserve"> have a beneficial effect on each of the cognitive measures, over and above age </w:t>
      </w:r>
      <w:r w:rsidR="00285EEC" w:rsidRPr="000B6600">
        <w:t>was</w:t>
      </w:r>
      <w:r w:rsidRPr="000B6600">
        <w:t xml:space="preserve"> examined with a moderation analysis, as proposed by Salthouse (2006). </w:t>
      </w:r>
      <w:r w:rsidR="00FA0CE1" w:rsidRPr="000B6600">
        <w:t>The m</w:t>
      </w:r>
      <w:r w:rsidR="008208B7" w:rsidRPr="000B6600">
        <w:t xml:space="preserve">oderation </w:t>
      </w:r>
      <w:r w:rsidR="00FA0CE1" w:rsidRPr="000B6600">
        <w:t>ability</w:t>
      </w:r>
      <w:r w:rsidR="00BE25DD" w:rsidRPr="000B6600">
        <w:t xml:space="preserve"> </w:t>
      </w:r>
      <w:r w:rsidR="00FA0CE1" w:rsidRPr="000B6600">
        <w:t xml:space="preserve">of social participation, exercise, </w:t>
      </w:r>
      <w:r w:rsidR="00EF7100" w:rsidRPr="000B6600">
        <w:t>Internet use</w:t>
      </w:r>
      <w:r w:rsidR="00FA0CE1" w:rsidRPr="000B6600">
        <w:t xml:space="preserve"> and education in the relation between age with cognitive performance </w:t>
      </w:r>
      <w:r w:rsidR="00285EEC" w:rsidRPr="000B6600">
        <w:t>was</w:t>
      </w:r>
      <w:r w:rsidR="008208B7" w:rsidRPr="000B6600">
        <w:t xml:space="preserve"> </w:t>
      </w:r>
      <w:r w:rsidR="00FA0CE1" w:rsidRPr="000B6600">
        <w:t>examined</w:t>
      </w:r>
      <w:r w:rsidR="008208B7" w:rsidRPr="000B6600">
        <w:t xml:space="preserve"> </w:t>
      </w:r>
      <w:r w:rsidR="00F20BD7" w:rsidRPr="000B6600">
        <w:t>through</w:t>
      </w:r>
      <w:r w:rsidR="008208B7" w:rsidRPr="000B6600">
        <w:t xml:space="preserve"> a series of </w:t>
      </w:r>
      <w:r w:rsidR="00BE25DD" w:rsidRPr="000B6600">
        <w:t>regression</w:t>
      </w:r>
      <w:r w:rsidR="00FA0CE1" w:rsidRPr="000B6600">
        <w:t xml:space="preserve"> analyses</w:t>
      </w:r>
      <w:r w:rsidR="00BE25DD" w:rsidRPr="000B6600">
        <w:t xml:space="preserve"> for each measure of cognitive performance</w:t>
      </w:r>
      <w:r w:rsidR="00272934" w:rsidRPr="000B6600">
        <w:t xml:space="preserve"> (i.e., TMT-B</w:t>
      </w:r>
      <w:r w:rsidR="006E31E9" w:rsidRPr="000B6600">
        <w:t>,</w:t>
      </w:r>
      <w:r w:rsidR="00272934" w:rsidRPr="000B6600">
        <w:t xml:space="preserve"> VF</w:t>
      </w:r>
      <w:r w:rsidR="006E31E9" w:rsidRPr="000B6600">
        <w:t>, STM and LTM</w:t>
      </w:r>
      <w:r w:rsidR="00272934" w:rsidRPr="000B6600">
        <w:t>)</w:t>
      </w:r>
      <w:r w:rsidR="00BE25DD" w:rsidRPr="000B6600">
        <w:t xml:space="preserve">, </w:t>
      </w:r>
      <w:r w:rsidR="00272934" w:rsidRPr="000B6600">
        <w:t>along with the standardized</w:t>
      </w:r>
      <w:r w:rsidR="00DA25A1" w:rsidRPr="000B6600">
        <w:t xml:space="preserve"> age</w:t>
      </w:r>
      <w:r w:rsidR="008402D2" w:rsidRPr="000B6600">
        <w:t xml:space="preserve"> and </w:t>
      </w:r>
      <w:r w:rsidR="00272934" w:rsidRPr="000B6600">
        <w:t xml:space="preserve">the standardized score of </w:t>
      </w:r>
      <w:r w:rsidR="008402D2" w:rsidRPr="000B6600">
        <w:t>one of the potential moderator variables (i.e., social participation, exercise</w:t>
      </w:r>
      <w:r w:rsidR="00EF7100" w:rsidRPr="000B6600">
        <w:t>, Internet use</w:t>
      </w:r>
      <w:r w:rsidR="008402D2" w:rsidRPr="000B6600">
        <w:t>)</w:t>
      </w:r>
      <w:r w:rsidR="00FA0CE1" w:rsidRPr="000B6600">
        <w:t>,</w:t>
      </w:r>
      <w:r w:rsidR="00BE25DD" w:rsidRPr="000B6600">
        <w:t xml:space="preserve"> in the second step</w:t>
      </w:r>
      <w:r w:rsidR="00234C31" w:rsidRPr="000B6600">
        <w:t xml:space="preserve"> their interaction</w:t>
      </w:r>
      <w:r w:rsidR="00234C31">
        <w:t xml:space="preserve"> term</w:t>
      </w:r>
      <w:r w:rsidR="00C42801">
        <w:t xml:space="preserve"> was included</w:t>
      </w:r>
      <w:r w:rsidR="00234C31">
        <w:t>.</w:t>
      </w:r>
      <w:r w:rsidR="00272934">
        <w:t xml:space="preserve"> </w:t>
      </w:r>
    </w:p>
    <w:p w:rsidR="0096009D" w:rsidRDefault="00D96553" w:rsidP="0091167E">
      <w:pPr>
        <w:pStyle w:val="APAPar"/>
        <w:ind w:left="1008" w:right="0" w:hanging="1008"/>
      </w:pPr>
      <w:r>
        <w:rPr>
          <w:rStyle w:val="IntenseEmphasis"/>
        </w:rPr>
        <w:t xml:space="preserve">Table 7.7 </w:t>
      </w:r>
      <w:r w:rsidR="0096009D" w:rsidRPr="009D04BE">
        <w:rPr>
          <w:rStyle w:val="IntenseEmphasis"/>
        </w:rPr>
        <w:t xml:space="preserve"> </w:t>
      </w:r>
      <w:r w:rsidR="00FA0CE1">
        <w:rPr>
          <w:rStyle w:val="IntenseEmphasis"/>
        </w:rPr>
        <w:t>Lis</w:t>
      </w:r>
      <w:r w:rsidR="008402D2">
        <w:rPr>
          <w:rStyle w:val="IntenseEmphasis"/>
        </w:rPr>
        <w:t>t</w:t>
      </w:r>
      <w:r w:rsidR="00FA0CE1">
        <w:rPr>
          <w:rStyle w:val="IntenseEmphasis"/>
        </w:rPr>
        <w:t xml:space="preserve"> </w:t>
      </w:r>
      <w:r w:rsidR="00A174C4">
        <w:rPr>
          <w:rStyle w:val="IntenseEmphasis"/>
        </w:rPr>
        <w:t>Of Variables Included In The R</w:t>
      </w:r>
      <w:r w:rsidR="00A174C4" w:rsidRPr="0096009D">
        <w:rPr>
          <w:rStyle w:val="IntenseEmphasis"/>
        </w:rPr>
        <w:t xml:space="preserve">egression Models </w:t>
      </w:r>
      <w:r w:rsidR="00A174C4">
        <w:rPr>
          <w:rStyle w:val="IntenseEmphasis"/>
        </w:rPr>
        <w:t xml:space="preserve">Testing The Moderation Effect Of </w:t>
      </w:r>
      <w:r w:rsidR="00A174C4" w:rsidRPr="0096009D">
        <w:rPr>
          <w:rStyle w:val="IntenseEmphasis"/>
        </w:rPr>
        <w:t xml:space="preserve">Social Participation, </w:t>
      </w:r>
      <w:r w:rsidR="00A174C4">
        <w:rPr>
          <w:rStyle w:val="IntenseEmphasis"/>
        </w:rPr>
        <w:t xml:space="preserve">Exercise, Education And </w:t>
      </w:r>
      <w:r w:rsidR="00EF7100">
        <w:rPr>
          <w:rStyle w:val="IntenseEmphasis"/>
        </w:rPr>
        <w:t xml:space="preserve">Internet </w:t>
      </w:r>
      <w:r w:rsidR="00A174C4">
        <w:rPr>
          <w:rStyle w:val="IntenseEmphasis"/>
        </w:rPr>
        <w:t>Use In</w:t>
      </w:r>
      <w:r w:rsidR="00A174C4" w:rsidRPr="0096009D">
        <w:rPr>
          <w:rStyle w:val="IntenseEmphasis"/>
        </w:rPr>
        <w:t xml:space="preserve"> The Relation Between Age And Cognitive Measures</w:t>
      </w:r>
    </w:p>
    <w:tbl>
      <w:tblPr>
        <w:tblStyle w:val="TableGrid"/>
        <w:tblW w:w="8931" w:type="dxa"/>
        <w:tblLayout w:type="fixed"/>
        <w:tblLook w:val="04A0" w:firstRow="1" w:lastRow="0" w:firstColumn="1" w:lastColumn="0" w:noHBand="0" w:noVBand="1"/>
      </w:tblPr>
      <w:tblGrid>
        <w:gridCol w:w="2660"/>
        <w:gridCol w:w="2960"/>
        <w:gridCol w:w="3311"/>
      </w:tblGrid>
      <w:tr w:rsidR="00BE25DD" w:rsidTr="00CD6D43">
        <w:trPr>
          <w:trHeight w:hRule="exact" w:val="567"/>
        </w:trPr>
        <w:tc>
          <w:tcPr>
            <w:tcW w:w="2660" w:type="dxa"/>
            <w:tcBorders>
              <w:top w:val="nil"/>
              <w:left w:val="nil"/>
              <w:bottom w:val="dashSmallGap" w:sz="4" w:space="0" w:color="auto"/>
              <w:right w:val="dashSmallGap" w:sz="4" w:space="0" w:color="auto"/>
            </w:tcBorders>
          </w:tcPr>
          <w:p w:rsidR="00BE25DD" w:rsidRPr="00B42ED3" w:rsidRDefault="00BE25DD" w:rsidP="005C41B7">
            <w:pPr>
              <w:pStyle w:val="APAPar"/>
            </w:pPr>
            <w:r w:rsidRPr="00B42ED3">
              <w:t>Predictor</w:t>
            </w:r>
            <w:r w:rsidR="00BB136A">
              <w:t>s (</w:t>
            </w:r>
            <w:r w:rsidR="00BB136A" w:rsidRPr="00BB136A">
              <w:rPr>
                <w:i/>
              </w:rPr>
              <w:t>z</w:t>
            </w:r>
            <w:r w:rsidR="00CD6D43" w:rsidRPr="00CD6D43">
              <w:t>)</w:t>
            </w:r>
            <w:r w:rsidR="00BB136A" w:rsidRPr="00CD6D43">
              <w:t xml:space="preserve"> </w:t>
            </w:r>
            <w:r w:rsidR="00BB136A">
              <w:t>scores)</w:t>
            </w:r>
          </w:p>
        </w:tc>
        <w:tc>
          <w:tcPr>
            <w:tcW w:w="2960" w:type="dxa"/>
            <w:tcBorders>
              <w:top w:val="nil"/>
              <w:left w:val="dashSmallGap" w:sz="4" w:space="0" w:color="auto"/>
              <w:bottom w:val="dashSmallGap" w:sz="4" w:space="0" w:color="auto"/>
              <w:right w:val="dashSmallGap" w:sz="4" w:space="0" w:color="auto"/>
            </w:tcBorders>
          </w:tcPr>
          <w:p w:rsidR="00BE25DD" w:rsidRPr="00B42ED3" w:rsidRDefault="00BE25DD" w:rsidP="005C41B7">
            <w:pPr>
              <w:pStyle w:val="APAPar"/>
            </w:pPr>
            <w:r w:rsidRPr="00B42ED3">
              <w:t>Moderator</w:t>
            </w:r>
            <w:r w:rsidR="008D60CF">
              <w:t>s</w:t>
            </w:r>
          </w:p>
        </w:tc>
        <w:tc>
          <w:tcPr>
            <w:tcW w:w="3311" w:type="dxa"/>
            <w:tcBorders>
              <w:top w:val="nil"/>
              <w:left w:val="dashSmallGap" w:sz="4" w:space="0" w:color="auto"/>
              <w:bottom w:val="dashSmallGap" w:sz="4" w:space="0" w:color="auto"/>
              <w:right w:val="nil"/>
            </w:tcBorders>
          </w:tcPr>
          <w:p w:rsidR="00BE25DD" w:rsidRPr="00B42ED3" w:rsidRDefault="00BE25DD" w:rsidP="005C41B7">
            <w:pPr>
              <w:pStyle w:val="APAPar"/>
            </w:pPr>
            <w:r w:rsidRPr="00B42ED3">
              <w:t>Outcome</w:t>
            </w:r>
            <w:r w:rsidR="008D60CF">
              <w:t>s</w:t>
            </w:r>
          </w:p>
        </w:tc>
      </w:tr>
      <w:tr w:rsidR="006E31E9" w:rsidTr="00CD6D43">
        <w:trPr>
          <w:trHeight w:hRule="exact" w:val="567"/>
        </w:trPr>
        <w:tc>
          <w:tcPr>
            <w:tcW w:w="2660" w:type="dxa"/>
            <w:vMerge w:val="restart"/>
            <w:tcBorders>
              <w:top w:val="nil"/>
              <w:left w:val="nil"/>
              <w:right w:val="dashSmallGap" w:sz="4" w:space="0" w:color="auto"/>
            </w:tcBorders>
            <w:vAlign w:val="center"/>
          </w:tcPr>
          <w:p w:rsidR="006E31E9" w:rsidRDefault="006E31E9" w:rsidP="005C41B7">
            <w:pPr>
              <w:pStyle w:val="APAPar"/>
            </w:pPr>
            <w:r>
              <w:t>Age</w:t>
            </w:r>
          </w:p>
        </w:tc>
        <w:tc>
          <w:tcPr>
            <w:tcW w:w="2960" w:type="dxa"/>
            <w:tcBorders>
              <w:top w:val="dashSmallGap" w:sz="4" w:space="0" w:color="auto"/>
              <w:left w:val="dashSmallGap" w:sz="4" w:space="0" w:color="auto"/>
              <w:bottom w:val="nil"/>
              <w:right w:val="dashSmallGap" w:sz="4" w:space="0" w:color="auto"/>
            </w:tcBorders>
          </w:tcPr>
          <w:p w:rsidR="006E31E9" w:rsidRPr="008D60CF" w:rsidRDefault="006E31E9" w:rsidP="005C41B7">
            <w:pPr>
              <w:pStyle w:val="APAPar"/>
            </w:pPr>
            <w:r>
              <w:t>Education</w:t>
            </w:r>
          </w:p>
        </w:tc>
        <w:tc>
          <w:tcPr>
            <w:tcW w:w="3311" w:type="dxa"/>
            <w:tcBorders>
              <w:top w:val="nil"/>
              <w:left w:val="dashSmallGap" w:sz="4" w:space="0" w:color="auto"/>
              <w:bottom w:val="nil"/>
              <w:right w:val="nil"/>
            </w:tcBorders>
          </w:tcPr>
          <w:p w:rsidR="006E31E9" w:rsidRDefault="006E31E9" w:rsidP="005C41B7">
            <w:pPr>
              <w:pStyle w:val="APAPar"/>
            </w:pPr>
            <w:r>
              <w:t>Trail Making Test – Part B</w:t>
            </w:r>
          </w:p>
        </w:tc>
      </w:tr>
      <w:tr w:rsidR="006E31E9" w:rsidTr="00CD6D43">
        <w:trPr>
          <w:trHeight w:hRule="exact" w:val="567"/>
        </w:trPr>
        <w:tc>
          <w:tcPr>
            <w:tcW w:w="2660" w:type="dxa"/>
            <w:vMerge/>
            <w:tcBorders>
              <w:left w:val="nil"/>
              <w:right w:val="dashSmallGap" w:sz="4" w:space="0" w:color="auto"/>
            </w:tcBorders>
          </w:tcPr>
          <w:p w:rsidR="006E31E9" w:rsidRDefault="006E31E9" w:rsidP="005C41B7">
            <w:pPr>
              <w:pStyle w:val="APAPar"/>
            </w:pPr>
          </w:p>
        </w:tc>
        <w:tc>
          <w:tcPr>
            <w:tcW w:w="2960" w:type="dxa"/>
            <w:tcBorders>
              <w:top w:val="nil"/>
              <w:left w:val="dashSmallGap" w:sz="4" w:space="0" w:color="auto"/>
              <w:bottom w:val="nil"/>
              <w:right w:val="dashSmallGap" w:sz="4" w:space="0" w:color="auto"/>
            </w:tcBorders>
          </w:tcPr>
          <w:p w:rsidR="006E31E9" w:rsidRPr="008D60CF" w:rsidRDefault="006E31E9" w:rsidP="005C41B7">
            <w:pPr>
              <w:pStyle w:val="APAPar"/>
            </w:pPr>
            <w:r>
              <w:t>Social Participation</w:t>
            </w:r>
          </w:p>
        </w:tc>
        <w:tc>
          <w:tcPr>
            <w:tcW w:w="3311" w:type="dxa"/>
            <w:tcBorders>
              <w:top w:val="nil"/>
              <w:left w:val="dashSmallGap" w:sz="4" w:space="0" w:color="auto"/>
              <w:bottom w:val="nil"/>
              <w:right w:val="nil"/>
            </w:tcBorders>
          </w:tcPr>
          <w:p w:rsidR="006E31E9" w:rsidRDefault="006E31E9" w:rsidP="005C41B7">
            <w:pPr>
              <w:pStyle w:val="APAPar"/>
            </w:pPr>
            <w:r>
              <w:t>Long Term Memory</w:t>
            </w:r>
          </w:p>
        </w:tc>
      </w:tr>
      <w:tr w:rsidR="006E31E9" w:rsidTr="00CD6D43">
        <w:trPr>
          <w:trHeight w:hRule="exact" w:val="567"/>
        </w:trPr>
        <w:tc>
          <w:tcPr>
            <w:tcW w:w="2660" w:type="dxa"/>
            <w:vMerge/>
            <w:tcBorders>
              <w:left w:val="nil"/>
              <w:right w:val="dashSmallGap" w:sz="4" w:space="0" w:color="auto"/>
            </w:tcBorders>
          </w:tcPr>
          <w:p w:rsidR="006E31E9" w:rsidRDefault="006E31E9" w:rsidP="005C41B7">
            <w:pPr>
              <w:pStyle w:val="APAPar"/>
            </w:pPr>
          </w:p>
        </w:tc>
        <w:tc>
          <w:tcPr>
            <w:tcW w:w="2960" w:type="dxa"/>
            <w:tcBorders>
              <w:top w:val="nil"/>
              <w:left w:val="dashSmallGap" w:sz="4" w:space="0" w:color="auto"/>
              <w:bottom w:val="nil"/>
              <w:right w:val="dashSmallGap" w:sz="4" w:space="0" w:color="auto"/>
            </w:tcBorders>
          </w:tcPr>
          <w:p w:rsidR="006E31E9" w:rsidRPr="008D60CF" w:rsidRDefault="006E31E9" w:rsidP="005C41B7">
            <w:pPr>
              <w:pStyle w:val="APAPar"/>
            </w:pPr>
            <w:r>
              <w:t>Internet use</w:t>
            </w:r>
          </w:p>
        </w:tc>
        <w:tc>
          <w:tcPr>
            <w:tcW w:w="3311" w:type="dxa"/>
            <w:tcBorders>
              <w:top w:val="nil"/>
              <w:left w:val="dashSmallGap" w:sz="4" w:space="0" w:color="auto"/>
              <w:bottom w:val="nil"/>
              <w:right w:val="nil"/>
            </w:tcBorders>
          </w:tcPr>
          <w:p w:rsidR="006E31E9" w:rsidRDefault="006E31E9" w:rsidP="005C41B7">
            <w:pPr>
              <w:pStyle w:val="APAPar"/>
            </w:pPr>
            <w:r>
              <w:t>Short Term Memory</w:t>
            </w:r>
          </w:p>
        </w:tc>
      </w:tr>
      <w:tr w:rsidR="006E31E9" w:rsidTr="00CD6D43">
        <w:trPr>
          <w:trHeight w:hRule="exact" w:val="554"/>
        </w:trPr>
        <w:tc>
          <w:tcPr>
            <w:tcW w:w="2660" w:type="dxa"/>
            <w:vMerge/>
            <w:tcBorders>
              <w:left w:val="nil"/>
              <w:right w:val="dashSmallGap" w:sz="4" w:space="0" w:color="auto"/>
            </w:tcBorders>
          </w:tcPr>
          <w:p w:rsidR="006E31E9" w:rsidRDefault="006E31E9" w:rsidP="005C41B7">
            <w:pPr>
              <w:pStyle w:val="APAPar"/>
            </w:pPr>
          </w:p>
        </w:tc>
        <w:tc>
          <w:tcPr>
            <w:tcW w:w="2960" w:type="dxa"/>
            <w:tcBorders>
              <w:top w:val="nil"/>
              <w:left w:val="dashSmallGap" w:sz="4" w:space="0" w:color="auto"/>
              <w:bottom w:val="dashSmallGap" w:sz="4" w:space="0" w:color="auto"/>
              <w:right w:val="dashSmallGap" w:sz="4" w:space="0" w:color="auto"/>
            </w:tcBorders>
          </w:tcPr>
          <w:p w:rsidR="006E31E9" w:rsidRPr="008D60CF" w:rsidRDefault="006E31E9" w:rsidP="005C41B7">
            <w:pPr>
              <w:pStyle w:val="APAPar"/>
            </w:pPr>
            <w:r>
              <w:t>Exercise</w:t>
            </w:r>
          </w:p>
        </w:tc>
        <w:tc>
          <w:tcPr>
            <w:tcW w:w="3311" w:type="dxa"/>
            <w:tcBorders>
              <w:top w:val="nil"/>
              <w:left w:val="dashSmallGap" w:sz="4" w:space="0" w:color="auto"/>
              <w:bottom w:val="dashSmallGap" w:sz="4" w:space="0" w:color="auto"/>
              <w:right w:val="nil"/>
            </w:tcBorders>
          </w:tcPr>
          <w:p w:rsidR="006E31E9" w:rsidRDefault="006E31E9" w:rsidP="005C41B7">
            <w:pPr>
              <w:pStyle w:val="APAPar"/>
            </w:pPr>
            <w:r>
              <w:t>Verbal Fluency</w:t>
            </w:r>
          </w:p>
        </w:tc>
      </w:tr>
    </w:tbl>
    <w:p w:rsidR="00B5760E" w:rsidRDefault="00B5760E" w:rsidP="00C31CE0">
      <w:pPr>
        <w:pStyle w:val="Heading3"/>
        <w:ind w:left="0" w:firstLine="0"/>
      </w:pPr>
      <w:bookmarkStart w:id="183" w:name="_Toc521184256"/>
      <w:r>
        <w:t>Descriptive analysis</w:t>
      </w:r>
      <w:bookmarkEnd w:id="183"/>
    </w:p>
    <w:p w:rsidR="00C42801" w:rsidRPr="003A14B3" w:rsidRDefault="003A14B3" w:rsidP="00C42801">
      <w:pPr>
        <w:pStyle w:val="APAPar"/>
        <w:rPr>
          <w:lang w:val="en-US"/>
        </w:rPr>
      </w:pPr>
      <w:r>
        <w:rPr>
          <w:lang w:val="en-US"/>
        </w:rPr>
        <w:t>Descriptive statistics (frequencies) for social participation, Internet use, working, childrearing,</w:t>
      </w:r>
      <w:r w:rsidR="007F7E9E">
        <w:rPr>
          <w:lang w:val="en-US"/>
        </w:rPr>
        <w:t xml:space="preserve"> and</w:t>
      </w:r>
      <w:r>
        <w:rPr>
          <w:lang w:val="en-US"/>
        </w:rPr>
        <w:t xml:space="preserve"> </w:t>
      </w:r>
      <w:r w:rsidR="00C42801" w:rsidRPr="000B6600">
        <w:rPr>
          <w:lang w:val="en-US"/>
        </w:rPr>
        <w:t>care giving</w:t>
      </w:r>
      <w:r w:rsidR="00B65E36" w:rsidRPr="000B6600">
        <w:rPr>
          <w:lang w:val="en-US"/>
        </w:rPr>
        <w:t xml:space="preserve"> </w:t>
      </w:r>
      <w:r w:rsidR="00285EEC" w:rsidRPr="000B6600">
        <w:rPr>
          <w:lang w:val="en-US"/>
        </w:rPr>
        <w:t>are</w:t>
      </w:r>
      <w:r w:rsidR="00B65E36" w:rsidRPr="000B6600">
        <w:rPr>
          <w:lang w:val="en-US"/>
        </w:rPr>
        <w:t xml:space="preserve"> presented</w:t>
      </w:r>
      <w:r w:rsidR="00C42801">
        <w:rPr>
          <w:lang w:val="en-US"/>
        </w:rPr>
        <w:t xml:space="preserve"> in T</w:t>
      </w:r>
      <w:r>
        <w:rPr>
          <w:lang w:val="en-US"/>
        </w:rPr>
        <w:t>ables</w:t>
      </w:r>
      <w:r w:rsidR="00423890">
        <w:rPr>
          <w:lang w:val="en-US"/>
        </w:rPr>
        <w:t xml:space="preserve"> </w:t>
      </w:r>
      <w:r w:rsidR="00C70065">
        <w:rPr>
          <w:lang w:val="en-US"/>
        </w:rPr>
        <w:t>7.8 and 7</w:t>
      </w:r>
      <w:r w:rsidR="00B65E36">
        <w:rPr>
          <w:lang w:val="en-US"/>
        </w:rPr>
        <w:t>.</w:t>
      </w:r>
      <w:r w:rsidR="00C70065">
        <w:rPr>
          <w:lang w:val="en-US"/>
        </w:rPr>
        <w:t>9.</w:t>
      </w:r>
      <w:r w:rsidR="00B65E36">
        <w:rPr>
          <w:lang w:val="en-US"/>
        </w:rPr>
        <w:t xml:space="preserve"> </w:t>
      </w:r>
      <w:r w:rsidR="006C14C9">
        <w:rPr>
          <w:lang w:val="en-US"/>
        </w:rPr>
        <w:t>The mean and standard deviation of the exercise index w</w:t>
      </w:r>
      <w:r w:rsidR="00C42801">
        <w:rPr>
          <w:lang w:val="en-US"/>
        </w:rPr>
        <w:t>ere</w:t>
      </w:r>
      <w:r w:rsidR="006C14C9">
        <w:rPr>
          <w:lang w:val="en-US"/>
        </w:rPr>
        <w:t xml:space="preserve"> </w:t>
      </w:r>
      <w:r w:rsidR="006C14C9" w:rsidRPr="00286F79">
        <w:rPr>
          <w:i/>
          <w:lang w:val="en-US"/>
        </w:rPr>
        <w:t>M</w:t>
      </w:r>
      <w:r w:rsidR="006C14C9">
        <w:rPr>
          <w:lang w:val="en-US"/>
        </w:rPr>
        <w:t xml:space="preserve"> = 22.26, </w:t>
      </w:r>
      <w:r w:rsidR="006C14C9" w:rsidRPr="007F7E9E">
        <w:rPr>
          <w:i/>
          <w:lang w:val="en-US"/>
        </w:rPr>
        <w:t>SD</w:t>
      </w:r>
      <w:r w:rsidR="006C14C9">
        <w:rPr>
          <w:lang w:val="en-US"/>
        </w:rPr>
        <w:t xml:space="preserve"> = 17.26, with </w:t>
      </w:r>
      <w:r w:rsidR="007F7E9E">
        <w:rPr>
          <w:lang w:val="en-US"/>
        </w:rPr>
        <w:t>60% of the participants reporting that they do not exercise at all, 14% that they exercise but not in adequate levels, and 26% exercising adequately</w:t>
      </w:r>
      <w:r w:rsidR="006C14C9">
        <w:rPr>
          <w:lang w:val="en-US"/>
        </w:rPr>
        <w:t xml:space="preserve">. </w:t>
      </w:r>
      <w:r w:rsidR="00286F79">
        <w:rPr>
          <w:lang w:val="en-US"/>
        </w:rPr>
        <w:t xml:space="preserve">The mean and standard deviation </w:t>
      </w:r>
      <w:r w:rsidR="007F7E9E">
        <w:rPr>
          <w:lang w:val="en-US"/>
        </w:rPr>
        <w:t xml:space="preserve">for </w:t>
      </w:r>
      <w:r w:rsidR="00286F79">
        <w:rPr>
          <w:lang w:val="en-US"/>
        </w:rPr>
        <w:t xml:space="preserve">the social participation activities were </w:t>
      </w:r>
      <w:r w:rsidR="00286F79" w:rsidRPr="00286F79">
        <w:rPr>
          <w:i/>
          <w:lang w:val="en-US"/>
        </w:rPr>
        <w:t>M</w:t>
      </w:r>
      <w:r w:rsidR="00C42801">
        <w:rPr>
          <w:lang w:val="en-US"/>
        </w:rPr>
        <w:t xml:space="preserve"> = 6.57 and</w:t>
      </w:r>
      <w:r w:rsidR="00286F79">
        <w:rPr>
          <w:lang w:val="en-US"/>
        </w:rPr>
        <w:t xml:space="preserve"> </w:t>
      </w:r>
      <w:r w:rsidR="00286F79" w:rsidRPr="007F7E9E">
        <w:rPr>
          <w:i/>
          <w:lang w:val="en-US"/>
        </w:rPr>
        <w:t>SD</w:t>
      </w:r>
      <w:r w:rsidR="00286F79">
        <w:rPr>
          <w:lang w:val="en-US"/>
        </w:rPr>
        <w:t xml:space="preserve"> = .80</w:t>
      </w:r>
      <w:r w:rsidR="001E4771">
        <w:rPr>
          <w:lang w:val="en-US"/>
        </w:rPr>
        <w:t>.</w:t>
      </w:r>
      <w:r w:rsidR="00D34A9A">
        <w:rPr>
          <w:lang w:val="en-US"/>
        </w:rPr>
        <w:t xml:space="preserve"> </w:t>
      </w:r>
      <w:r w:rsidR="00C007F9">
        <w:rPr>
          <w:lang w:val="en-US"/>
        </w:rPr>
        <w:t xml:space="preserve">Among the participants, 45% reported never to feel lonely, </w:t>
      </w:r>
      <w:r w:rsidR="00C42801">
        <w:rPr>
          <w:lang w:val="en-US"/>
        </w:rPr>
        <w:t>38% sometimes and 17% sometimes</w:t>
      </w:r>
    </w:p>
    <w:p w:rsidR="003A14B3" w:rsidRPr="007A15F6" w:rsidRDefault="00C70065" w:rsidP="0096009D">
      <w:pPr>
        <w:spacing w:before="120" w:line="360" w:lineRule="auto"/>
        <w:ind w:left="907" w:hanging="907"/>
        <w:rPr>
          <w:rFonts w:ascii="Times New Roman" w:eastAsia="Times New Roman" w:hAnsi="Times New Roman" w:cs="Times New Roman"/>
          <w:color w:val="000000"/>
          <w:szCs w:val="20"/>
          <w:lang w:eastAsia="en-US"/>
        </w:rPr>
      </w:pPr>
      <w:r>
        <w:rPr>
          <w:rFonts w:ascii="Times New Roman" w:eastAsia="Times New Roman" w:hAnsi="Times New Roman" w:cs="Times New Roman"/>
          <w:color w:val="000000"/>
          <w:szCs w:val="20"/>
          <w:lang w:eastAsia="en-US"/>
        </w:rPr>
        <w:t>Table 7</w:t>
      </w:r>
      <w:r w:rsidR="003A14B3" w:rsidRPr="007A15F6">
        <w:rPr>
          <w:rFonts w:ascii="Times New Roman" w:eastAsia="Times New Roman" w:hAnsi="Times New Roman" w:cs="Times New Roman"/>
          <w:color w:val="000000"/>
          <w:szCs w:val="20"/>
          <w:lang w:eastAsia="en-US"/>
        </w:rPr>
        <w:t>.</w:t>
      </w:r>
      <w:r>
        <w:rPr>
          <w:rFonts w:ascii="Times New Roman" w:eastAsia="Times New Roman" w:hAnsi="Times New Roman" w:cs="Times New Roman"/>
          <w:color w:val="000000"/>
          <w:szCs w:val="20"/>
          <w:lang w:eastAsia="en-US"/>
        </w:rPr>
        <w:t>8</w:t>
      </w:r>
      <w:r w:rsidR="003A14B3" w:rsidRPr="007A15F6">
        <w:rPr>
          <w:rFonts w:ascii="Times New Roman" w:eastAsia="Times New Roman" w:hAnsi="Times New Roman" w:cs="Times New Roman"/>
          <w:color w:val="000000"/>
          <w:szCs w:val="20"/>
          <w:lang w:eastAsia="en-US"/>
        </w:rPr>
        <w:t xml:space="preserve"> </w:t>
      </w:r>
      <w:r w:rsidR="003A14B3" w:rsidRPr="00C70065">
        <w:rPr>
          <w:rFonts w:ascii="Times New Roman" w:eastAsia="Times New Roman" w:hAnsi="Times New Roman" w:cs="Times New Roman"/>
          <w:color w:val="000000"/>
          <w:szCs w:val="20"/>
          <w:lang w:eastAsia="en-US"/>
        </w:rPr>
        <w:t>Percentages</w:t>
      </w:r>
      <w:r w:rsidR="00CF35C0" w:rsidRPr="00C70065">
        <w:rPr>
          <w:rFonts w:ascii="Times New Roman" w:eastAsia="Times New Roman" w:hAnsi="Times New Roman" w:cs="Times New Roman"/>
          <w:color w:val="000000"/>
          <w:szCs w:val="20"/>
          <w:lang w:eastAsia="en-US"/>
        </w:rPr>
        <w:t xml:space="preserve"> </w:t>
      </w:r>
      <w:r w:rsidR="00A174C4" w:rsidRPr="00C70065">
        <w:rPr>
          <w:rFonts w:ascii="Times New Roman" w:eastAsia="Times New Roman" w:hAnsi="Times New Roman" w:cs="Times New Roman"/>
          <w:color w:val="000000"/>
          <w:szCs w:val="20"/>
          <w:lang w:eastAsia="en-US"/>
        </w:rPr>
        <w:t>Of Seniors’ Participation (Narrow Definition)</w:t>
      </w:r>
    </w:p>
    <w:tbl>
      <w:tblPr>
        <w:tblStyle w:val="TableGrid1"/>
        <w:tblW w:w="8931"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3261"/>
        <w:gridCol w:w="1134"/>
        <w:gridCol w:w="1134"/>
        <w:gridCol w:w="1134"/>
        <w:gridCol w:w="1229"/>
        <w:gridCol w:w="1039"/>
      </w:tblGrid>
      <w:tr w:rsidR="00173E5C" w:rsidRPr="007A15F6" w:rsidTr="00173E5C">
        <w:tc>
          <w:tcPr>
            <w:tcW w:w="3261" w:type="dxa"/>
          </w:tcPr>
          <w:p w:rsidR="00173E5C" w:rsidRDefault="00173E5C" w:rsidP="001E4771">
            <w:pPr>
              <w:spacing w:line="360" w:lineRule="auto"/>
              <w:rPr>
                <w:rFonts w:ascii="Times New Roman" w:eastAsia="MS Mincho" w:hAnsi="Times New Roman" w:cs="Times New Roman"/>
                <w:sz w:val="20"/>
                <w:szCs w:val="20"/>
              </w:rPr>
            </w:pPr>
          </w:p>
        </w:tc>
        <w:tc>
          <w:tcPr>
            <w:tcW w:w="1134" w:type="dxa"/>
          </w:tcPr>
          <w:p w:rsidR="00173E5C" w:rsidRDefault="00173E5C" w:rsidP="00C72B75">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Never</w:t>
            </w:r>
          </w:p>
          <w:p w:rsidR="00173E5C" w:rsidRPr="007A15F6" w:rsidRDefault="00173E5C" w:rsidP="00C72B75">
            <w:pPr>
              <w:jc w:val="center"/>
              <w:rPr>
                <w:rFonts w:ascii="Times New Roman" w:eastAsia="MS Mincho" w:hAnsi="Times New Roman" w:cs="Times New Roman"/>
                <w:sz w:val="20"/>
                <w:szCs w:val="20"/>
              </w:rPr>
            </w:pPr>
            <w:r>
              <w:rPr>
                <w:rFonts w:ascii="Times New Roman" w:eastAsia="MS Mincho" w:hAnsi="Times New Roman" w:cs="Times New Roman"/>
                <w:sz w:val="20"/>
                <w:szCs w:val="20"/>
              </w:rPr>
              <w:t>once a year</w:t>
            </w:r>
          </w:p>
        </w:tc>
        <w:tc>
          <w:tcPr>
            <w:tcW w:w="1134" w:type="dxa"/>
          </w:tcPr>
          <w:p w:rsidR="00173E5C" w:rsidRPr="007A15F6" w:rsidRDefault="00173E5C" w:rsidP="00C72B75">
            <w:pPr>
              <w:jc w:val="center"/>
              <w:rPr>
                <w:rFonts w:ascii="Times New Roman" w:eastAsia="MS Mincho" w:hAnsi="Times New Roman" w:cs="Times New Roman"/>
                <w:sz w:val="20"/>
                <w:szCs w:val="20"/>
              </w:rPr>
            </w:pPr>
            <w:r>
              <w:rPr>
                <w:rFonts w:ascii="Times New Roman" w:eastAsia="MS Mincho" w:hAnsi="Times New Roman" w:cs="Times New Roman"/>
                <w:sz w:val="20"/>
                <w:szCs w:val="20"/>
              </w:rPr>
              <w:t>Sometimes a year</w:t>
            </w:r>
          </w:p>
        </w:tc>
        <w:tc>
          <w:tcPr>
            <w:tcW w:w="1134" w:type="dxa"/>
          </w:tcPr>
          <w:p w:rsidR="00173E5C" w:rsidRPr="007A15F6" w:rsidRDefault="00173E5C" w:rsidP="00C72B75">
            <w:pPr>
              <w:jc w:val="center"/>
              <w:rPr>
                <w:rFonts w:ascii="Times New Roman" w:eastAsia="MS Mincho" w:hAnsi="Times New Roman" w:cs="Times New Roman"/>
                <w:sz w:val="20"/>
                <w:szCs w:val="20"/>
              </w:rPr>
            </w:pPr>
            <w:r>
              <w:rPr>
                <w:rFonts w:ascii="Times New Roman" w:eastAsia="MS Mincho" w:hAnsi="Times New Roman" w:cs="Times New Roman"/>
                <w:sz w:val="20"/>
                <w:szCs w:val="20"/>
              </w:rPr>
              <w:t>Sometimes a month</w:t>
            </w:r>
          </w:p>
        </w:tc>
        <w:tc>
          <w:tcPr>
            <w:tcW w:w="1229" w:type="dxa"/>
          </w:tcPr>
          <w:p w:rsidR="00173E5C" w:rsidRPr="007A15F6" w:rsidRDefault="00173E5C" w:rsidP="00C72B75">
            <w:pPr>
              <w:jc w:val="center"/>
              <w:rPr>
                <w:rFonts w:ascii="Times New Roman" w:eastAsia="MS Mincho" w:hAnsi="Times New Roman" w:cs="Times New Roman"/>
                <w:sz w:val="20"/>
                <w:szCs w:val="20"/>
              </w:rPr>
            </w:pPr>
            <w:r>
              <w:rPr>
                <w:rFonts w:ascii="Times New Roman" w:eastAsia="MS Mincho" w:hAnsi="Times New Roman" w:cs="Times New Roman"/>
                <w:sz w:val="20"/>
                <w:szCs w:val="20"/>
              </w:rPr>
              <w:t>Sometimes</w:t>
            </w:r>
            <w:r w:rsidRPr="007A15F6">
              <w:rPr>
                <w:rFonts w:ascii="Times New Roman" w:eastAsia="MS Mincho" w:hAnsi="Times New Roman" w:cs="Times New Roman"/>
                <w:sz w:val="20"/>
                <w:szCs w:val="20"/>
              </w:rPr>
              <w:t xml:space="preserve"> </w:t>
            </w:r>
            <w:r>
              <w:rPr>
                <w:rFonts w:ascii="Times New Roman" w:eastAsia="MS Mincho" w:hAnsi="Times New Roman" w:cs="Times New Roman"/>
                <w:sz w:val="20"/>
                <w:szCs w:val="20"/>
              </w:rPr>
              <w:t>a week</w:t>
            </w:r>
          </w:p>
        </w:tc>
        <w:tc>
          <w:tcPr>
            <w:tcW w:w="1039" w:type="dxa"/>
          </w:tcPr>
          <w:p w:rsidR="00173E5C" w:rsidRPr="007A15F6" w:rsidRDefault="00173E5C" w:rsidP="00C72B75">
            <w:pPr>
              <w:jc w:val="center"/>
              <w:rPr>
                <w:rFonts w:ascii="Times New Roman" w:eastAsia="MS Mincho" w:hAnsi="Times New Roman" w:cs="Times New Roman"/>
                <w:sz w:val="20"/>
                <w:szCs w:val="20"/>
              </w:rPr>
            </w:pPr>
            <w:r w:rsidRPr="007A15F6">
              <w:rPr>
                <w:rFonts w:ascii="Times New Roman" w:eastAsia="MS Mincho" w:hAnsi="Times New Roman" w:cs="Times New Roman"/>
                <w:sz w:val="20"/>
                <w:szCs w:val="20"/>
              </w:rPr>
              <w:t>Everyday</w:t>
            </w:r>
            <w:r>
              <w:rPr>
                <w:rFonts w:ascii="Times New Roman" w:eastAsia="MS Mincho" w:hAnsi="Times New Roman" w:cs="Times New Roman"/>
                <w:sz w:val="20"/>
                <w:szCs w:val="20"/>
              </w:rPr>
              <w:t xml:space="preserve"> (almost)</w:t>
            </w:r>
          </w:p>
        </w:tc>
      </w:tr>
      <w:tr w:rsidR="00173E5C" w:rsidRPr="007A15F6" w:rsidTr="00173E5C">
        <w:tc>
          <w:tcPr>
            <w:tcW w:w="3261" w:type="dxa"/>
          </w:tcPr>
          <w:p w:rsidR="00173E5C" w:rsidRPr="007A15F6" w:rsidRDefault="00173E5C" w:rsidP="001E4771">
            <w:pPr>
              <w:spacing w:line="360" w:lineRule="auto"/>
              <w:rPr>
                <w:rFonts w:ascii="Times New Roman" w:eastAsia="MS Mincho" w:hAnsi="Times New Roman" w:cs="Times New Roman"/>
                <w:sz w:val="20"/>
                <w:szCs w:val="20"/>
              </w:rPr>
            </w:pPr>
            <w:r>
              <w:rPr>
                <w:rFonts w:ascii="Times New Roman" w:eastAsia="MS Mincho" w:hAnsi="Times New Roman" w:cs="Times New Roman"/>
                <w:sz w:val="20"/>
                <w:szCs w:val="20"/>
              </w:rPr>
              <w:t>Volunteering (%)</w:t>
            </w:r>
          </w:p>
        </w:tc>
        <w:tc>
          <w:tcPr>
            <w:tcW w:w="1134" w:type="dxa"/>
          </w:tcPr>
          <w:p w:rsidR="00173E5C" w:rsidRPr="001C7531" w:rsidRDefault="00173E5C"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61</w:t>
            </w:r>
          </w:p>
        </w:tc>
        <w:tc>
          <w:tcPr>
            <w:tcW w:w="1134" w:type="dxa"/>
          </w:tcPr>
          <w:p w:rsidR="00173E5C" w:rsidRPr="001C7531" w:rsidRDefault="00173E5C"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15</w:t>
            </w:r>
          </w:p>
        </w:tc>
        <w:tc>
          <w:tcPr>
            <w:tcW w:w="1134" w:type="dxa"/>
          </w:tcPr>
          <w:p w:rsidR="00173E5C" w:rsidRPr="001C7531" w:rsidRDefault="00173E5C"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12</w:t>
            </w:r>
          </w:p>
        </w:tc>
        <w:tc>
          <w:tcPr>
            <w:tcW w:w="1229" w:type="dxa"/>
          </w:tcPr>
          <w:p w:rsidR="00173E5C" w:rsidRPr="001C7531" w:rsidRDefault="00173E5C"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5</w:t>
            </w:r>
          </w:p>
        </w:tc>
        <w:tc>
          <w:tcPr>
            <w:tcW w:w="1039" w:type="dxa"/>
          </w:tcPr>
          <w:p w:rsidR="00173E5C" w:rsidRPr="001C7531" w:rsidRDefault="00173E5C"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6</w:t>
            </w:r>
          </w:p>
        </w:tc>
      </w:tr>
      <w:tr w:rsidR="00173E5C" w:rsidRPr="007A15F6" w:rsidTr="00173E5C">
        <w:tc>
          <w:tcPr>
            <w:tcW w:w="3261" w:type="dxa"/>
          </w:tcPr>
          <w:p w:rsidR="00173E5C" w:rsidRPr="007A15F6" w:rsidRDefault="00173E5C" w:rsidP="003A14B3">
            <w:pPr>
              <w:spacing w:line="360" w:lineRule="auto"/>
              <w:rPr>
                <w:rFonts w:ascii="Times New Roman" w:eastAsia="MS Mincho" w:hAnsi="Times New Roman" w:cs="Times New Roman"/>
                <w:sz w:val="20"/>
                <w:szCs w:val="20"/>
              </w:rPr>
            </w:pPr>
            <w:r>
              <w:rPr>
                <w:rFonts w:ascii="Times New Roman" w:eastAsia="MS Mincho" w:hAnsi="Times New Roman" w:cs="Times New Roman"/>
                <w:sz w:val="20"/>
                <w:szCs w:val="20"/>
              </w:rPr>
              <w:t xml:space="preserve">Political/community </w:t>
            </w:r>
            <w:r w:rsidRPr="003A14B3">
              <w:rPr>
                <w:rFonts w:ascii="Times New Roman" w:eastAsia="MS Mincho" w:hAnsi="Times New Roman" w:cs="Times New Roman"/>
                <w:sz w:val="20"/>
                <w:szCs w:val="20"/>
              </w:rPr>
              <w:t>organization</w:t>
            </w:r>
            <w:r>
              <w:rPr>
                <w:rFonts w:ascii="Times New Roman" w:eastAsia="MS Mincho" w:hAnsi="Times New Roman" w:cs="Times New Roman"/>
                <w:sz w:val="20"/>
                <w:szCs w:val="20"/>
              </w:rPr>
              <w:t xml:space="preserve"> (%)</w:t>
            </w:r>
          </w:p>
        </w:tc>
        <w:tc>
          <w:tcPr>
            <w:tcW w:w="1134"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62</w:t>
            </w:r>
          </w:p>
        </w:tc>
        <w:tc>
          <w:tcPr>
            <w:tcW w:w="1134"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24</w:t>
            </w:r>
          </w:p>
        </w:tc>
        <w:tc>
          <w:tcPr>
            <w:tcW w:w="1134"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12</w:t>
            </w:r>
          </w:p>
        </w:tc>
        <w:tc>
          <w:tcPr>
            <w:tcW w:w="1229"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2</w:t>
            </w:r>
          </w:p>
        </w:tc>
        <w:tc>
          <w:tcPr>
            <w:tcW w:w="1039"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0</w:t>
            </w:r>
          </w:p>
        </w:tc>
      </w:tr>
      <w:tr w:rsidR="00173E5C" w:rsidRPr="007A15F6" w:rsidTr="00173E5C">
        <w:tc>
          <w:tcPr>
            <w:tcW w:w="3261" w:type="dxa"/>
          </w:tcPr>
          <w:p w:rsidR="00173E5C" w:rsidRPr="007A15F6" w:rsidRDefault="00173E5C" w:rsidP="007C378E">
            <w:pPr>
              <w:spacing w:line="360" w:lineRule="auto"/>
              <w:rPr>
                <w:rFonts w:ascii="Times New Roman" w:eastAsia="MS Mincho" w:hAnsi="Times New Roman" w:cs="Times New Roman"/>
                <w:sz w:val="20"/>
                <w:szCs w:val="20"/>
              </w:rPr>
            </w:pPr>
            <w:r>
              <w:rPr>
                <w:rFonts w:ascii="Times New Roman" w:eastAsia="MS Mincho" w:hAnsi="Times New Roman" w:cs="Times New Roman"/>
                <w:sz w:val="20"/>
                <w:szCs w:val="20"/>
              </w:rPr>
              <w:t>S</w:t>
            </w:r>
            <w:r w:rsidRPr="003A14B3">
              <w:rPr>
                <w:rFonts w:ascii="Times New Roman" w:eastAsia="MS Mincho" w:hAnsi="Times New Roman" w:cs="Times New Roman"/>
                <w:sz w:val="20"/>
                <w:szCs w:val="20"/>
              </w:rPr>
              <w:t>port, social, or other clubs</w:t>
            </w:r>
            <w:r>
              <w:rPr>
                <w:rFonts w:ascii="Times New Roman" w:eastAsia="MS Mincho" w:hAnsi="Times New Roman" w:cs="Times New Roman"/>
                <w:sz w:val="20"/>
                <w:szCs w:val="20"/>
              </w:rPr>
              <w:t xml:space="preserve"> (%)</w:t>
            </w:r>
          </w:p>
        </w:tc>
        <w:tc>
          <w:tcPr>
            <w:tcW w:w="1134" w:type="dxa"/>
          </w:tcPr>
          <w:p w:rsidR="00173E5C" w:rsidRPr="001C7531" w:rsidRDefault="007C378E" w:rsidP="007C378E">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11</w:t>
            </w:r>
          </w:p>
        </w:tc>
        <w:tc>
          <w:tcPr>
            <w:tcW w:w="1134"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66</w:t>
            </w:r>
          </w:p>
        </w:tc>
        <w:tc>
          <w:tcPr>
            <w:tcW w:w="1134"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12</w:t>
            </w:r>
          </w:p>
        </w:tc>
        <w:tc>
          <w:tcPr>
            <w:tcW w:w="1229"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3</w:t>
            </w:r>
          </w:p>
        </w:tc>
        <w:tc>
          <w:tcPr>
            <w:tcW w:w="1039" w:type="dxa"/>
          </w:tcPr>
          <w:p w:rsidR="00173E5C" w:rsidRPr="001C7531" w:rsidRDefault="007C378E"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0</w:t>
            </w:r>
          </w:p>
        </w:tc>
      </w:tr>
      <w:tr w:rsidR="00173E5C" w:rsidRPr="007A15F6" w:rsidTr="00173E5C">
        <w:tc>
          <w:tcPr>
            <w:tcW w:w="3261" w:type="dxa"/>
          </w:tcPr>
          <w:p w:rsidR="00173E5C" w:rsidRPr="007A15F6" w:rsidRDefault="00173E5C" w:rsidP="001E4771">
            <w:pPr>
              <w:spacing w:line="360" w:lineRule="auto"/>
              <w:rPr>
                <w:rFonts w:ascii="Times New Roman" w:eastAsia="MS Mincho" w:hAnsi="Times New Roman" w:cs="Times New Roman"/>
                <w:sz w:val="20"/>
                <w:szCs w:val="20"/>
              </w:rPr>
            </w:pPr>
            <w:r>
              <w:rPr>
                <w:rFonts w:ascii="Times New Roman" w:eastAsia="MS Mincho" w:hAnsi="Times New Roman" w:cs="Times New Roman"/>
                <w:sz w:val="20"/>
                <w:szCs w:val="20"/>
              </w:rPr>
              <w:t>E</w:t>
            </w:r>
            <w:r w:rsidRPr="003A14B3">
              <w:rPr>
                <w:rFonts w:ascii="Times New Roman" w:eastAsia="MS Mincho" w:hAnsi="Times New Roman" w:cs="Times New Roman"/>
                <w:sz w:val="20"/>
                <w:szCs w:val="20"/>
              </w:rPr>
              <w:t>ducational or training courses</w:t>
            </w:r>
            <w:r w:rsidR="007C378E">
              <w:rPr>
                <w:rFonts w:ascii="Times New Roman" w:eastAsia="MS Mincho" w:hAnsi="Times New Roman" w:cs="Times New Roman"/>
                <w:sz w:val="20"/>
                <w:szCs w:val="20"/>
              </w:rPr>
              <w:t xml:space="preserve"> (%)</w:t>
            </w:r>
          </w:p>
        </w:tc>
        <w:tc>
          <w:tcPr>
            <w:tcW w:w="1134" w:type="dxa"/>
          </w:tcPr>
          <w:p w:rsidR="00173E5C" w:rsidRPr="001C7531" w:rsidRDefault="00CF35C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59</w:t>
            </w:r>
          </w:p>
        </w:tc>
        <w:tc>
          <w:tcPr>
            <w:tcW w:w="1134" w:type="dxa"/>
          </w:tcPr>
          <w:p w:rsidR="00173E5C" w:rsidRPr="001C7531" w:rsidRDefault="00CF35C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27</w:t>
            </w:r>
          </w:p>
        </w:tc>
        <w:tc>
          <w:tcPr>
            <w:tcW w:w="1134" w:type="dxa"/>
          </w:tcPr>
          <w:p w:rsidR="00173E5C" w:rsidRPr="001C7531" w:rsidRDefault="00CF35C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9</w:t>
            </w:r>
          </w:p>
        </w:tc>
        <w:tc>
          <w:tcPr>
            <w:tcW w:w="1229" w:type="dxa"/>
          </w:tcPr>
          <w:p w:rsidR="00173E5C" w:rsidRPr="001C7531" w:rsidRDefault="00CF35C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4</w:t>
            </w:r>
          </w:p>
        </w:tc>
        <w:tc>
          <w:tcPr>
            <w:tcW w:w="1039" w:type="dxa"/>
          </w:tcPr>
          <w:p w:rsidR="00173E5C" w:rsidRPr="001C7531" w:rsidRDefault="00CF35C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0</w:t>
            </w:r>
          </w:p>
        </w:tc>
      </w:tr>
      <w:tr w:rsidR="00423890" w:rsidRPr="007A15F6" w:rsidTr="001E4771">
        <w:tc>
          <w:tcPr>
            <w:tcW w:w="8931" w:type="dxa"/>
            <w:gridSpan w:val="6"/>
          </w:tcPr>
          <w:p w:rsidR="00423890" w:rsidRPr="007A15F6" w:rsidRDefault="00DA25A1" w:rsidP="00423890">
            <w:pPr>
              <w:spacing w:line="360" w:lineRule="auto"/>
              <w:rPr>
                <w:rFonts w:ascii="Times New Roman" w:eastAsia="MS Mincho" w:hAnsi="Times New Roman" w:cs="Times New Roman"/>
                <w:sz w:val="20"/>
                <w:szCs w:val="20"/>
              </w:rPr>
            </w:pPr>
            <w:r w:rsidRPr="00E17A8A">
              <w:rPr>
                <w:rFonts w:ascii="Times New Roman" w:eastAsia="MS Mincho" w:hAnsi="Times New Roman" w:cs="Times New Roman"/>
                <w:i/>
                <w:sz w:val="20"/>
                <w:szCs w:val="20"/>
              </w:rPr>
              <w:t>Note</w:t>
            </w:r>
            <w:r>
              <w:rPr>
                <w:rFonts w:ascii="Times New Roman" w:eastAsia="MS Mincho" w:hAnsi="Times New Roman" w:cs="Times New Roman"/>
                <w:sz w:val="20"/>
                <w:szCs w:val="20"/>
              </w:rPr>
              <w:t xml:space="preserve">. </w:t>
            </w:r>
            <w:r w:rsidR="00423890">
              <w:rPr>
                <w:rFonts w:ascii="Times New Roman" w:eastAsia="MS Mincho" w:hAnsi="Times New Roman" w:cs="Times New Roman"/>
                <w:sz w:val="20"/>
                <w:szCs w:val="20"/>
              </w:rPr>
              <w:t xml:space="preserve">* </w:t>
            </w:r>
            <w:r w:rsidR="00423890" w:rsidRPr="00423890">
              <w:rPr>
                <w:rFonts w:ascii="Times New Roman" w:eastAsia="MS Mincho" w:hAnsi="Times New Roman" w:cs="Times New Roman"/>
                <w:sz w:val="20"/>
                <w:szCs w:val="20"/>
              </w:rPr>
              <w:t>Social participation</w:t>
            </w:r>
            <w:r w:rsidR="00423890" w:rsidRPr="00173E5C">
              <w:rPr>
                <w:rFonts w:ascii="Times New Roman" w:eastAsia="MS Mincho" w:hAnsi="Times New Roman" w:cs="Times New Roman"/>
                <w:b/>
                <w:sz w:val="20"/>
                <w:szCs w:val="20"/>
              </w:rPr>
              <w:t xml:space="preserve"> </w:t>
            </w:r>
            <w:r w:rsidR="00C5515D" w:rsidRPr="00C5515D">
              <w:rPr>
                <w:rFonts w:ascii="Times New Roman" w:eastAsia="MS Mincho" w:hAnsi="Times New Roman" w:cs="Times New Roman"/>
                <w:sz w:val="20"/>
                <w:szCs w:val="20"/>
              </w:rPr>
              <w:t>frequency</w:t>
            </w:r>
            <w:r w:rsidR="00C5515D">
              <w:rPr>
                <w:rFonts w:ascii="Times New Roman" w:eastAsia="MS Mincho" w:hAnsi="Times New Roman" w:cs="Times New Roman"/>
                <w:b/>
                <w:sz w:val="20"/>
                <w:szCs w:val="20"/>
              </w:rPr>
              <w:t xml:space="preserve"> </w:t>
            </w:r>
            <w:r w:rsidR="00423890" w:rsidRPr="00173E5C">
              <w:rPr>
                <w:rFonts w:ascii="Times New Roman" w:eastAsia="MS Mincho" w:hAnsi="Times New Roman" w:cs="Times New Roman"/>
                <w:sz w:val="20"/>
                <w:szCs w:val="20"/>
              </w:rPr>
              <w:t>(</w:t>
            </w:r>
            <w:r w:rsidR="00423890">
              <w:rPr>
                <w:rFonts w:ascii="Times New Roman" w:eastAsia="MS Mincho" w:hAnsi="Times New Roman" w:cs="Times New Roman"/>
                <w:sz w:val="20"/>
                <w:szCs w:val="20"/>
              </w:rPr>
              <w:t>continuous variable</w:t>
            </w:r>
            <w:r w:rsidR="00423890" w:rsidRPr="00173E5C">
              <w:rPr>
                <w:rFonts w:ascii="Times New Roman" w:eastAsia="MS Mincho" w:hAnsi="Times New Roman" w:cs="Times New Roman"/>
                <w:sz w:val="20"/>
                <w:szCs w:val="20"/>
              </w:rPr>
              <w:t>)</w:t>
            </w:r>
            <w:r w:rsidR="00423890">
              <w:rPr>
                <w:rFonts w:ascii="Times New Roman" w:eastAsia="MS Mincho" w:hAnsi="Times New Roman" w:cs="Times New Roman"/>
                <w:sz w:val="20"/>
                <w:szCs w:val="20"/>
              </w:rPr>
              <w:t xml:space="preserve"> </w:t>
            </w:r>
            <w:r w:rsidR="00423890" w:rsidRPr="00173E5C">
              <w:rPr>
                <w:rFonts w:ascii="Times New Roman" w:eastAsia="MS Mincho" w:hAnsi="Times New Roman" w:cs="Times New Roman"/>
                <w:i/>
                <w:sz w:val="20"/>
                <w:szCs w:val="20"/>
              </w:rPr>
              <w:t>M</w:t>
            </w:r>
            <w:r w:rsidR="00423890">
              <w:rPr>
                <w:rFonts w:ascii="Times New Roman" w:eastAsia="MS Mincho" w:hAnsi="Times New Roman" w:cs="Times New Roman"/>
                <w:sz w:val="20"/>
                <w:szCs w:val="20"/>
              </w:rPr>
              <w:t xml:space="preserve"> = 6.96, </w:t>
            </w:r>
            <w:r w:rsidR="00423890" w:rsidRPr="00173E5C">
              <w:rPr>
                <w:rFonts w:ascii="Times New Roman" w:eastAsia="MS Mincho" w:hAnsi="Times New Roman" w:cs="Times New Roman"/>
                <w:i/>
                <w:sz w:val="20"/>
                <w:szCs w:val="20"/>
              </w:rPr>
              <w:t>SD</w:t>
            </w:r>
            <w:r w:rsidR="00423890">
              <w:rPr>
                <w:rFonts w:ascii="Times New Roman" w:eastAsia="MS Mincho" w:hAnsi="Times New Roman" w:cs="Times New Roman"/>
                <w:sz w:val="20"/>
                <w:szCs w:val="20"/>
              </w:rPr>
              <w:t xml:space="preserve"> = 2.04,</w:t>
            </w:r>
            <w:r w:rsidR="00423890" w:rsidRPr="00173E5C">
              <w:rPr>
                <w:rFonts w:ascii="Times New Roman" w:eastAsia="MS Mincho" w:hAnsi="Times New Roman" w:cs="Times New Roman"/>
                <w:i/>
                <w:sz w:val="20"/>
                <w:szCs w:val="20"/>
              </w:rPr>
              <w:t xml:space="preserve"> Range</w:t>
            </w:r>
            <w:r w:rsidR="00423890">
              <w:rPr>
                <w:rFonts w:ascii="Times New Roman" w:eastAsia="MS Mincho" w:hAnsi="Times New Roman" w:cs="Times New Roman"/>
                <w:sz w:val="20"/>
                <w:szCs w:val="20"/>
              </w:rPr>
              <w:t xml:space="preserve"> 4-13</w:t>
            </w:r>
          </w:p>
        </w:tc>
      </w:tr>
    </w:tbl>
    <w:p w:rsidR="00F20BD7" w:rsidRDefault="00F20BD7" w:rsidP="00423890">
      <w:pPr>
        <w:spacing w:line="360" w:lineRule="auto"/>
        <w:ind w:left="907" w:hanging="907"/>
        <w:rPr>
          <w:rFonts w:ascii="Times New Roman" w:eastAsia="Times New Roman" w:hAnsi="Times New Roman" w:cs="Times New Roman"/>
          <w:color w:val="000000"/>
          <w:szCs w:val="20"/>
          <w:lang w:eastAsia="en-US"/>
        </w:rPr>
      </w:pPr>
    </w:p>
    <w:p w:rsidR="001D4E5D" w:rsidRPr="00C72B75" w:rsidRDefault="00423890" w:rsidP="00C72B75">
      <w:pPr>
        <w:spacing w:line="360" w:lineRule="auto"/>
        <w:ind w:left="907" w:hanging="907"/>
        <w:rPr>
          <w:rFonts w:ascii="Times New Roman" w:eastAsia="Times New Roman" w:hAnsi="Times New Roman" w:cs="Times New Roman"/>
          <w:color w:val="000000"/>
          <w:szCs w:val="20"/>
          <w:lang w:eastAsia="en-US"/>
        </w:rPr>
      </w:pPr>
      <w:r>
        <w:rPr>
          <w:rFonts w:ascii="Times New Roman" w:eastAsia="Times New Roman" w:hAnsi="Times New Roman" w:cs="Times New Roman"/>
          <w:color w:val="000000"/>
          <w:szCs w:val="20"/>
          <w:lang w:eastAsia="en-US"/>
        </w:rPr>
        <w:t xml:space="preserve">Table </w:t>
      </w:r>
      <w:r w:rsidR="00C70065">
        <w:rPr>
          <w:rFonts w:ascii="Times New Roman" w:eastAsia="Times New Roman" w:hAnsi="Times New Roman" w:cs="Times New Roman"/>
          <w:color w:val="000000"/>
          <w:szCs w:val="20"/>
          <w:lang w:eastAsia="en-US"/>
        </w:rPr>
        <w:t>7</w:t>
      </w:r>
      <w:r w:rsidRPr="007A15F6">
        <w:rPr>
          <w:rFonts w:ascii="Times New Roman" w:eastAsia="Times New Roman" w:hAnsi="Times New Roman" w:cs="Times New Roman"/>
          <w:color w:val="000000"/>
          <w:szCs w:val="20"/>
          <w:lang w:eastAsia="en-US"/>
        </w:rPr>
        <w:t>.</w:t>
      </w:r>
      <w:r w:rsidR="00C70065">
        <w:rPr>
          <w:rFonts w:ascii="Times New Roman" w:eastAsia="Times New Roman" w:hAnsi="Times New Roman" w:cs="Times New Roman"/>
          <w:color w:val="000000"/>
          <w:szCs w:val="20"/>
          <w:lang w:eastAsia="en-US"/>
        </w:rPr>
        <w:t>9</w:t>
      </w:r>
      <w:r w:rsidRPr="007A15F6">
        <w:rPr>
          <w:rFonts w:ascii="Times New Roman" w:eastAsia="Times New Roman" w:hAnsi="Times New Roman" w:cs="Times New Roman"/>
          <w:color w:val="000000"/>
          <w:szCs w:val="20"/>
          <w:lang w:eastAsia="en-US"/>
        </w:rPr>
        <w:t xml:space="preserve"> </w:t>
      </w:r>
      <w:r w:rsidR="00B65E36" w:rsidRPr="00C70065">
        <w:rPr>
          <w:rFonts w:ascii="Times New Roman" w:eastAsia="Times New Roman" w:hAnsi="Times New Roman" w:cs="Times New Roman"/>
          <w:color w:val="000000"/>
          <w:szCs w:val="20"/>
          <w:lang w:eastAsia="en-US"/>
        </w:rPr>
        <w:t>Percentages</w:t>
      </w:r>
      <w:r w:rsidRPr="00C70065">
        <w:rPr>
          <w:rFonts w:ascii="Times New Roman" w:eastAsia="Times New Roman" w:hAnsi="Times New Roman" w:cs="Times New Roman"/>
          <w:color w:val="000000"/>
          <w:szCs w:val="20"/>
          <w:lang w:eastAsia="en-US"/>
        </w:rPr>
        <w:t xml:space="preserve"> </w:t>
      </w:r>
      <w:r w:rsidR="00C31CE0" w:rsidRPr="00C70065">
        <w:rPr>
          <w:rFonts w:ascii="Times New Roman" w:eastAsia="Times New Roman" w:hAnsi="Times New Roman" w:cs="Times New Roman"/>
          <w:color w:val="000000"/>
          <w:szCs w:val="20"/>
          <w:lang w:eastAsia="en-US"/>
        </w:rPr>
        <w:t xml:space="preserve">Of Seniors’ Participation In </w:t>
      </w:r>
      <w:r w:rsidR="00EF7100">
        <w:rPr>
          <w:rFonts w:ascii="Times New Roman" w:eastAsia="Times New Roman" w:hAnsi="Times New Roman" w:cs="Times New Roman"/>
          <w:color w:val="000000"/>
          <w:szCs w:val="20"/>
          <w:lang w:eastAsia="en-US"/>
        </w:rPr>
        <w:t xml:space="preserve">Internet </w:t>
      </w:r>
      <w:r w:rsidR="00C31CE0">
        <w:rPr>
          <w:rFonts w:ascii="Times New Roman" w:eastAsia="Times New Roman" w:hAnsi="Times New Roman" w:cs="Times New Roman"/>
          <w:color w:val="000000"/>
          <w:szCs w:val="20"/>
          <w:lang w:eastAsia="en-US"/>
        </w:rPr>
        <w:t xml:space="preserve">Use And </w:t>
      </w:r>
      <w:r w:rsidR="00C31CE0" w:rsidRPr="00C70065">
        <w:rPr>
          <w:rFonts w:ascii="Times New Roman" w:eastAsia="Times New Roman" w:hAnsi="Times New Roman" w:cs="Times New Roman"/>
          <w:color w:val="000000"/>
          <w:szCs w:val="20"/>
          <w:lang w:eastAsia="en-US"/>
        </w:rPr>
        <w:t>Social Activities</w:t>
      </w:r>
      <w:r w:rsidR="00C31CE0" w:rsidRPr="007A15F6">
        <w:rPr>
          <w:rFonts w:ascii="Times New Roman" w:eastAsia="Times New Roman" w:hAnsi="Times New Roman" w:cs="Times New Roman"/>
          <w:i/>
          <w:color w:val="000000"/>
          <w:szCs w:val="20"/>
          <w:lang w:eastAsia="en-US"/>
        </w:rPr>
        <w:t xml:space="preserve"> </w:t>
      </w:r>
    </w:p>
    <w:tbl>
      <w:tblPr>
        <w:tblStyle w:val="TableGrid1"/>
        <w:tblW w:w="8931"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3261"/>
        <w:gridCol w:w="1134"/>
        <w:gridCol w:w="1134"/>
        <w:gridCol w:w="1134"/>
        <w:gridCol w:w="1229"/>
        <w:gridCol w:w="1039"/>
      </w:tblGrid>
      <w:tr w:rsidR="00423890" w:rsidRPr="007A15F6" w:rsidTr="001E4771">
        <w:tc>
          <w:tcPr>
            <w:tcW w:w="3261" w:type="dxa"/>
          </w:tcPr>
          <w:p w:rsidR="00423890" w:rsidRPr="007A15F6" w:rsidRDefault="00423890" w:rsidP="001E4771">
            <w:pPr>
              <w:spacing w:line="360" w:lineRule="auto"/>
              <w:rPr>
                <w:rFonts w:ascii="Times New Roman" w:eastAsia="MS Mincho" w:hAnsi="Times New Roman" w:cs="Times New Roman"/>
                <w:sz w:val="20"/>
                <w:szCs w:val="20"/>
              </w:rPr>
            </w:pPr>
          </w:p>
        </w:tc>
        <w:tc>
          <w:tcPr>
            <w:tcW w:w="1134" w:type="dxa"/>
          </w:tcPr>
          <w:p w:rsidR="00423890" w:rsidRPr="007A15F6" w:rsidRDefault="00423890" w:rsidP="001E4771">
            <w:pPr>
              <w:spacing w:line="360" w:lineRule="auto"/>
              <w:jc w:val="center"/>
              <w:rPr>
                <w:rFonts w:ascii="Times New Roman" w:eastAsia="MS Mincho" w:hAnsi="Times New Roman" w:cs="Times New Roman"/>
                <w:sz w:val="20"/>
                <w:szCs w:val="20"/>
              </w:rPr>
            </w:pPr>
            <w:r>
              <w:rPr>
                <w:rFonts w:ascii="Times New Roman" w:eastAsia="MS Mincho" w:hAnsi="Times New Roman" w:cs="Times New Roman"/>
                <w:sz w:val="20"/>
                <w:szCs w:val="20"/>
              </w:rPr>
              <w:t>Never</w:t>
            </w:r>
          </w:p>
        </w:tc>
        <w:tc>
          <w:tcPr>
            <w:tcW w:w="1134" w:type="dxa"/>
          </w:tcPr>
          <w:p w:rsidR="00423890" w:rsidRPr="007A15F6" w:rsidRDefault="00423890" w:rsidP="00C72B75">
            <w:pPr>
              <w:jc w:val="center"/>
              <w:rPr>
                <w:rFonts w:ascii="Times New Roman" w:eastAsia="MS Mincho" w:hAnsi="Times New Roman" w:cs="Times New Roman"/>
                <w:sz w:val="20"/>
                <w:szCs w:val="20"/>
              </w:rPr>
            </w:pPr>
            <w:r>
              <w:rPr>
                <w:rFonts w:ascii="Times New Roman" w:eastAsia="MS Mincho" w:hAnsi="Times New Roman" w:cs="Times New Roman"/>
                <w:sz w:val="20"/>
                <w:szCs w:val="20"/>
              </w:rPr>
              <w:t>Once/twice a week</w:t>
            </w:r>
          </w:p>
        </w:tc>
        <w:tc>
          <w:tcPr>
            <w:tcW w:w="1134" w:type="dxa"/>
          </w:tcPr>
          <w:p w:rsidR="00423890" w:rsidRPr="007A15F6" w:rsidRDefault="00423890" w:rsidP="001E4771">
            <w:pPr>
              <w:spacing w:line="360" w:lineRule="auto"/>
              <w:jc w:val="center"/>
              <w:rPr>
                <w:rFonts w:ascii="Times New Roman" w:eastAsia="MS Mincho" w:hAnsi="Times New Roman" w:cs="Times New Roman"/>
                <w:sz w:val="20"/>
                <w:szCs w:val="20"/>
              </w:rPr>
            </w:pPr>
            <w:r>
              <w:rPr>
                <w:rFonts w:ascii="Times New Roman" w:eastAsia="MS Mincho" w:hAnsi="Times New Roman" w:cs="Times New Roman"/>
                <w:sz w:val="20"/>
                <w:szCs w:val="20"/>
              </w:rPr>
              <w:t>Most days</w:t>
            </w:r>
          </w:p>
        </w:tc>
        <w:tc>
          <w:tcPr>
            <w:tcW w:w="1229" w:type="dxa"/>
          </w:tcPr>
          <w:p w:rsidR="00423890" w:rsidRPr="007A15F6" w:rsidRDefault="00423890" w:rsidP="00C72B75">
            <w:pPr>
              <w:jc w:val="center"/>
              <w:rPr>
                <w:rFonts w:ascii="Times New Roman" w:eastAsia="MS Mincho" w:hAnsi="Times New Roman" w:cs="Times New Roman"/>
                <w:sz w:val="20"/>
                <w:szCs w:val="20"/>
              </w:rPr>
            </w:pPr>
            <w:r>
              <w:rPr>
                <w:rFonts w:ascii="Times New Roman" w:eastAsia="MS Mincho" w:hAnsi="Times New Roman" w:cs="Times New Roman"/>
                <w:sz w:val="20"/>
                <w:szCs w:val="20"/>
              </w:rPr>
              <w:t>Almost everyday</w:t>
            </w:r>
          </w:p>
        </w:tc>
        <w:tc>
          <w:tcPr>
            <w:tcW w:w="1039" w:type="dxa"/>
          </w:tcPr>
          <w:p w:rsidR="00423890" w:rsidRPr="007A15F6" w:rsidRDefault="00423890" w:rsidP="001E4771">
            <w:pPr>
              <w:spacing w:line="360" w:lineRule="auto"/>
              <w:jc w:val="center"/>
              <w:rPr>
                <w:rFonts w:ascii="Times New Roman" w:eastAsia="MS Mincho" w:hAnsi="Times New Roman" w:cs="Times New Roman"/>
                <w:sz w:val="20"/>
                <w:szCs w:val="20"/>
              </w:rPr>
            </w:pPr>
            <w:r>
              <w:rPr>
                <w:rFonts w:ascii="Times New Roman" w:eastAsia="MS Mincho" w:hAnsi="Times New Roman" w:cs="Times New Roman"/>
                <w:sz w:val="20"/>
                <w:szCs w:val="20"/>
              </w:rPr>
              <w:t>Everyday</w:t>
            </w:r>
          </w:p>
        </w:tc>
      </w:tr>
      <w:tr w:rsidR="00423890" w:rsidRPr="007A15F6" w:rsidTr="001E4771">
        <w:tc>
          <w:tcPr>
            <w:tcW w:w="3261" w:type="dxa"/>
          </w:tcPr>
          <w:p w:rsidR="00423890" w:rsidRPr="007A15F6" w:rsidRDefault="00423890" w:rsidP="001E4771">
            <w:pPr>
              <w:spacing w:line="360" w:lineRule="auto"/>
              <w:rPr>
                <w:rFonts w:ascii="Times New Roman" w:eastAsia="MS Mincho" w:hAnsi="Times New Roman" w:cs="Times New Roman"/>
                <w:sz w:val="20"/>
                <w:szCs w:val="20"/>
              </w:rPr>
            </w:pPr>
            <w:r>
              <w:rPr>
                <w:rFonts w:ascii="Times New Roman" w:eastAsia="MS Mincho" w:hAnsi="Times New Roman" w:cs="Times New Roman"/>
                <w:sz w:val="20"/>
                <w:szCs w:val="20"/>
              </w:rPr>
              <w:t>Using the Internet</w:t>
            </w:r>
            <w:r w:rsidR="00B65E36">
              <w:rPr>
                <w:rFonts w:ascii="Times New Roman" w:eastAsia="MS Mincho" w:hAnsi="Times New Roman" w:cs="Times New Roman"/>
                <w:sz w:val="20"/>
                <w:szCs w:val="20"/>
              </w:rPr>
              <w:t xml:space="preserve"> (%)</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42</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10</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8</w:t>
            </w:r>
          </w:p>
        </w:tc>
        <w:tc>
          <w:tcPr>
            <w:tcW w:w="1229"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6</w:t>
            </w:r>
          </w:p>
        </w:tc>
        <w:tc>
          <w:tcPr>
            <w:tcW w:w="1039"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34</w:t>
            </w:r>
          </w:p>
        </w:tc>
      </w:tr>
      <w:tr w:rsidR="00423890" w:rsidRPr="007A15F6" w:rsidTr="001E4771">
        <w:tc>
          <w:tcPr>
            <w:tcW w:w="3261" w:type="dxa"/>
          </w:tcPr>
          <w:p w:rsidR="00423890" w:rsidRPr="007A15F6" w:rsidRDefault="00423890" w:rsidP="001E4771">
            <w:pPr>
              <w:spacing w:line="360" w:lineRule="auto"/>
              <w:rPr>
                <w:rFonts w:ascii="Times New Roman" w:eastAsia="MS Mincho" w:hAnsi="Times New Roman" w:cs="Times New Roman"/>
                <w:sz w:val="20"/>
                <w:szCs w:val="20"/>
              </w:rPr>
            </w:pPr>
            <w:r>
              <w:rPr>
                <w:rFonts w:ascii="Times New Roman" w:eastAsia="MS Mincho" w:hAnsi="Times New Roman" w:cs="Times New Roman"/>
                <w:sz w:val="20"/>
                <w:szCs w:val="20"/>
              </w:rPr>
              <w:t>Working</w:t>
            </w:r>
            <w:r w:rsidR="00B65E36">
              <w:rPr>
                <w:rFonts w:ascii="Times New Roman" w:eastAsia="MS Mincho" w:hAnsi="Times New Roman" w:cs="Times New Roman"/>
                <w:sz w:val="20"/>
                <w:szCs w:val="20"/>
              </w:rPr>
              <w:t xml:space="preserve"> (%)</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83</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0</w:t>
            </w:r>
          </w:p>
        </w:tc>
        <w:tc>
          <w:tcPr>
            <w:tcW w:w="1229"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11</w:t>
            </w:r>
          </w:p>
        </w:tc>
        <w:tc>
          <w:tcPr>
            <w:tcW w:w="1039"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5</w:t>
            </w:r>
          </w:p>
        </w:tc>
      </w:tr>
      <w:tr w:rsidR="00423890" w:rsidRPr="007A15F6" w:rsidTr="001E4771">
        <w:tc>
          <w:tcPr>
            <w:tcW w:w="3261" w:type="dxa"/>
          </w:tcPr>
          <w:p w:rsidR="00423890" w:rsidRPr="007A15F6" w:rsidRDefault="00423890" w:rsidP="001E4771">
            <w:pPr>
              <w:spacing w:line="360" w:lineRule="auto"/>
              <w:rPr>
                <w:rFonts w:ascii="Times New Roman" w:eastAsia="MS Mincho" w:hAnsi="Times New Roman" w:cs="Times New Roman"/>
                <w:sz w:val="20"/>
                <w:szCs w:val="20"/>
              </w:rPr>
            </w:pPr>
            <w:r>
              <w:rPr>
                <w:rFonts w:ascii="Times New Roman" w:eastAsia="MS Mincho" w:hAnsi="Times New Roman" w:cs="Times New Roman"/>
                <w:sz w:val="20"/>
                <w:szCs w:val="20"/>
              </w:rPr>
              <w:t>Childrearing</w:t>
            </w:r>
            <w:r w:rsidR="00B65E36">
              <w:rPr>
                <w:rFonts w:ascii="Times New Roman" w:eastAsia="MS Mincho" w:hAnsi="Times New Roman" w:cs="Times New Roman"/>
                <w:sz w:val="20"/>
                <w:szCs w:val="20"/>
              </w:rPr>
              <w:t xml:space="preserve"> (%)</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45</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24</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13</w:t>
            </w:r>
          </w:p>
        </w:tc>
        <w:tc>
          <w:tcPr>
            <w:tcW w:w="1229"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4</w:t>
            </w:r>
          </w:p>
        </w:tc>
        <w:tc>
          <w:tcPr>
            <w:tcW w:w="1039"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14</w:t>
            </w:r>
          </w:p>
        </w:tc>
      </w:tr>
      <w:tr w:rsidR="00423890" w:rsidRPr="007A15F6" w:rsidTr="001E4771">
        <w:tc>
          <w:tcPr>
            <w:tcW w:w="3261" w:type="dxa"/>
          </w:tcPr>
          <w:p w:rsidR="00423890" w:rsidRPr="007A15F6" w:rsidRDefault="00423890" w:rsidP="001E4771">
            <w:pPr>
              <w:spacing w:line="360" w:lineRule="auto"/>
              <w:rPr>
                <w:rFonts w:ascii="Times New Roman" w:eastAsia="MS Mincho" w:hAnsi="Times New Roman" w:cs="Times New Roman"/>
                <w:sz w:val="20"/>
                <w:szCs w:val="20"/>
              </w:rPr>
            </w:pPr>
            <w:r>
              <w:rPr>
                <w:rFonts w:ascii="Times New Roman" w:eastAsia="MS Mincho" w:hAnsi="Times New Roman" w:cs="Times New Roman"/>
                <w:sz w:val="20"/>
                <w:szCs w:val="20"/>
              </w:rPr>
              <w:t>Caregiving</w:t>
            </w:r>
            <w:r w:rsidR="00B65E36">
              <w:rPr>
                <w:rFonts w:ascii="Times New Roman" w:eastAsia="MS Mincho" w:hAnsi="Times New Roman" w:cs="Times New Roman"/>
                <w:sz w:val="20"/>
                <w:szCs w:val="20"/>
              </w:rPr>
              <w:t xml:space="preserve"> (%)</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79</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11</w:t>
            </w:r>
          </w:p>
        </w:tc>
        <w:tc>
          <w:tcPr>
            <w:tcW w:w="1134"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3</w:t>
            </w:r>
          </w:p>
        </w:tc>
        <w:tc>
          <w:tcPr>
            <w:tcW w:w="1229"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1</w:t>
            </w:r>
          </w:p>
        </w:tc>
        <w:tc>
          <w:tcPr>
            <w:tcW w:w="1039" w:type="dxa"/>
          </w:tcPr>
          <w:p w:rsidR="00423890" w:rsidRPr="001C7531" w:rsidRDefault="00423890" w:rsidP="001E4771">
            <w:pPr>
              <w:spacing w:line="360" w:lineRule="auto"/>
              <w:jc w:val="center"/>
              <w:rPr>
                <w:rFonts w:ascii="Times New Roman" w:eastAsia="MS Mincho" w:hAnsi="Times New Roman" w:cs="Times New Roman"/>
                <w:sz w:val="22"/>
                <w:szCs w:val="20"/>
              </w:rPr>
            </w:pPr>
            <w:r w:rsidRPr="001C7531">
              <w:rPr>
                <w:rFonts w:ascii="Times New Roman" w:eastAsia="MS Mincho" w:hAnsi="Times New Roman" w:cs="Times New Roman"/>
                <w:sz w:val="22"/>
                <w:szCs w:val="20"/>
              </w:rPr>
              <w:t>5</w:t>
            </w:r>
          </w:p>
        </w:tc>
      </w:tr>
    </w:tbl>
    <w:p w:rsidR="000D78DC" w:rsidRDefault="000D78DC" w:rsidP="005D6C71">
      <w:pPr>
        <w:pStyle w:val="Heading3"/>
        <w:ind w:left="0" w:firstLine="0"/>
      </w:pPr>
      <w:bookmarkStart w:id="184" w:name="_Toc521184257"/>
      <w:r>
        <w:t>Analysis and Results</w:t>
      </w:r>
      <w:bookmarkEnd w:id="184"/>
    </w:p>
    <w:p w:rsidR="00053476" w:rsidRDefault="001C7531" w:rsidP="005C41B7">
      <w:pPr>
        <w:pStyle w:val="APAPar"/>
      </w:pPr>
      <w:r>
        <w:rPr>
          <w:lang w:val="en-US"/>
        </w:rPr>
        <w:t xml:space="preserve">Pearson correlation coefficient analysis </w:t>
      </w:r>
      <w:r w:rsidR="001F369C">
        <w:rPr>
          <w:lang w:val="en-US"/>
        </w:rPr>
        <w:t xml:space="preserve">of age with cognitive performance measures yielded statistically significant </w:t>
      </w:r>
      <w:r w:rsidR="00747957">
        <w:rPr>
          <w:lang w:val="en-US"/>
        </w:rPr>
        <w:t xml:space="preserve">results with TMT-B </w:t>
      </w:r>
      <w:r w:rsidR="00747957">
        <w:t>(</w:t>
      </w:r>
      <w:r w:rsidR="00747957" w:rsidRPr="001C7531">
        <w:rPr>
          <w:i/>
        </w:rPr>
        <w:t>r</w:t>
      </w:r>
      <w:r w:rsidR="00747957">
        <w:t xml:space="preserve"> = .345, </w:t>
      </w:r>
      <w:r w:rsidR="00747957" w:rsidRPr="001C7531">
        <w:rPr>
          <w:i/>
        </w:rPr>
        <w:t>p</w:t>
      </w:r>
      <w:r w:rsidR="00BB136A">
        <w:t xml:space="preserve"> = .001)</w:t>
      </w:r>
      <w:r w:rsidR="000D78DC">
        <w:t>, STM (</w:t>
      </w:r>
      <w:r w:rsidR="000D78DC" w:rsidRPr="001C7531">
        <w:rPr>
          <w:i/>
        </w:rPr>
        <w:t>r</w:t>
      </w:r>
      <w:r w:rsidR="000D78DC">
        <w:t xml:space="preserve"> = -.271, </w:t>
      </w:r>
      <w:r w:rsidR="000D78DC" w:rsidRPr="001C7531">
        <w:rPr>
          <w:i/>
        </w:rPr>
        <w:t>p</w:t>
      </w:r>
      <w:r w:rsidR="000D78DC">
        <w:t xml:space="preserve"> = .009)</w:t>
      </w:r>
      <w:r w:rsidR="00BB136A">
        <w:t xml:space="preserve"> </w:t>
      </w:r>
      <w:r w:rsidR="000D78DC">
        <w:t>and LTM (</w:t>
      </w:r>
      <w:r w:rsidR="000D78DC" w:rsidRPr="001C7531">
        <w:rPr>
          <w:i/>
        </w:rPr>
        <w:t>r</w:t>
      </w:r>
      <w:r w:rsidR="000D78DC">
        <w:t xml:space="preserve"> = -.308, </w:t>
      </w:r>
      <w:r w:rsidR="000D78DC" w:rsidRPr="001C7531">
        <w:rPr>
          <w:i/>
        </w:rPr>
        <w:t>p</w:t>
      </w:r>
      <w:r w:rsidR="000D78DC">
        <w:t xml:space="preserve"> = .003) </w:t>
      </w:r>
      <w:r w:rsidR="00747957">
        <w:t xml:space="preserve">but not with VF. </w:t>
      </w:r>
      <w:r w:rsidR="00747957">
        <w:rPr>
          <w:lang w:val="en-US"/>
        </w:rPr>
        <w:t>Pearson correlation coefficient analysis</w:t>
      </w:r>
      <w:r w:rsidR="001F369C">
        <w:rPr>
          <w:lang w:val="en-US"/>
        </w:rPr>
        <w:t xml:space="preserve"> </w:t>
      </w:r>
      <w:r>
        <w:rPr>
          <w:lang w:val="en-US"/>
        </w:rPr>
        <w:t xml:space="preserve">among </w:t>
      </w:r>
      <w:r>
        <w:t>social participation</w:t>
      </w:r>
      <w:r w:rsidR="00BB136A">
        <w:t>, Internet use</w:t>
      </w:r>
      <w:r>
        <w:t>, working, childrearing, caregiving</w:t>
      </w:r>
      <w:r w:rsidR="00904DC6">
        <w:t xml:space="preserve"> </w:t>
      </w:r>
      <w:r w:rsidR="00D617A7">
        <w:t>and exercise</w:t>
      </w:r>
      <w:r>
        <w:t xml:space="preserve"> with </w:t>
      </w:r>
      <w:r w:rsidR="00371755">
        <w:t>VF, TMT-B,</w:t>
      </w:r>
      <w:r w:rsidR="000D78DC">
        <w:t xml:space="preserve"> STM and LTM</w:t>
      </w:r>
      <w:r w:rsidR="00371755">
        <w:t xml:space="preserve"> </w:t>
      </w:r>
      <w:r>
        <w:t>yielded statistically significant results only for the relation of social participation with VF (</w:t>
      </w:r>
      <w:r w:rsidRPr="001C7531">
        <w:rPr>
          <w:i/>
        </w:rPr>
        <w:t>r</w:t>
      </w:r>
      <w:r>
        <w:t xml:space="preserve"> = .258, </w:t>
      </w:r>
      <w:r w:rsidRPr="001C7531">
        <w:rPr>
          <w:i/>
        </w:rPr>
        <w:t>p</w:t>
      </w:r>
      <w:r>
        <w:t xml:space="preserve"> = .013).</w:t>
      </w:r>
      <w:r w:rsidR="00BE3676">
        <w:t xml:space="preserve"> </w:t>
      </w:r>
      <w:r w:rsidR="00533232">
        <w:rPr>
          <w:lang w:val="en-US"/>
        </w:rPr>
        <w:t xml:space="preserve">Pearson correlation coefficient analysis of age with </w:t>
      </w:r>
      <w:r w:rsidR="00533232">
        <w:t>social participation</w:t>
      </w:r>
      <w:r w:rsidR="000D78DC">
        <w:t>,</w:t>
      </w:r>
      <w:r w:rsidR="00533232">
        <w:t xml:space="preserve"> </w:t>
      </w:r>
      <w:r w:rsidR="00BB136A">
        <w:t>Internet use</w:t>
      </w:r>
      <w:r w:rsidR="000D78DC">
        <w:t>,</w:t>
      </w:r>
      <w:r w:rsidR="00533232">
        <w:t xml:space="preserve"> and exercise revealed statistically </w:t>
      </w:r>
      <w:r w:rsidR="00533232" w:rsidRPr="000B6600">
        <w:t xml:space="preserve">significant relations </w:t>
      </w:r>
      <w:r w:rsidR="008208B7" w:rsidRPr="000B6600">
        <w:t xml:space="preserve">for age </w:t>
      </w:r>
      <w:r w:rsidR="00533232" w:rsidRPr="000B6600">
        <w:t xml:space="preserve">with </w:t>
      </w:r>
      <w:r w:rsidR="003A638F" w:rsidRPr="000B6600">
        <w:t>Internet use (</w:t>
      </w:r>
      <w:r w:rsidR="003A638F" w:rsidRPr="000B6600">
        <w:rPr>
          <w:i/>
        </w:rPr>
        <w:t>r</w:t>
      </w:r>
      <w:r w:rsidR="003A638F" w:rsidRPr="000B6600">
        <w:t xml:space="preserve"> = -.317, </w:t>
      </w:r>
      <w:r w:rsidR="003A638F" w:rsidRPr="000B6600">
        <w:rPr>
          <w:i/>
        </w:rPr>
        <w:t>p</w:t>
      </w:r>
      <w:r w:rsidR="003A638F" w:rsidRPr="000B6600">
        <w:t xml:space="preserve"> = .002), and exercise (</w:t>
      </w:r>
      <w:r w:rsidR="003A638F" w:rsidRPr="000B6600">
        <w:rPr>
          <w:i/>
        </w:rPr>
        <w:t>r</w:t>
      </w:r>
      <w:r w:rsidR="003A638F" w:rsidRPr="000B6600">
        <w:t xml:space="preserve"> = -.227, </w:t>
      </w:r>
      <w:r w:rsidR="003A638F" w:rsidRPr="000B6600">
        <w:rPr>
          <w:i/>
        </w:rPr>
        <w:t>p</w:t>
      </w:r>
      <w:r w:rsidR="003A638F" w:rsidRPr="000B6600">
        <w:t xml:space="preserve"> = .007)</w:t>
      </w:r>
      <w:r w:rsidR="00533232" w:rsidRPr="000B6600">
        <w:t>.</w:t>
      </w:r>
      <w:r w:rsidR="003A638F" w:rsidRPr="000B6600">
        <w:t xml:space="preserve"> </w:t>
      </w:r>
      <w:r w:rsidRPr="000B6600">
        <w:t xml:space="preserve">One way ANOVA analysis </w:t>
      </w:r>
      <w:r w:rsidR="00C85E15" w:rsidRPr="000B6600">
        <w:t>did not reveal</w:t>
      </w:r>
      <w:r w:rsidRPr="000B6600">
        <w:t xml:space="preserve"> statistically significant </w:t>
      </w:r>
      <w:r w:rsidR="00285EEC" w:rsidRPr="000B6600">
        <w:t>main effects of loneliness levels o</w:t>
      </w:r>
      <w:r w:rsidRPr="000B6600">
        <w:t xml:space="preserve">n the mean scores of </w:t>
      </w:r>
      <w:r w:rsidR="00C85E15" w:rsidRPr="000B6600">
        <w:t xml:space="preserve">any cognitive performance measures. </w:t>
      </w:r>
      <w:r w:rsidR="00E2200A" w:rsidRPr="000B6600">
        <w:t xml:space="preserve">Independent samples t-test did not reveal any </w:t>
      </w:r>
      <w:r w:rsidR="004B1F2E" w:rsidRPr="000B6600">
        <w:t>difference</w:t>
      </w:r>
      <w:r w:rsidR="00E2200A" w:rsidRPr="000B6600">
        <w:t xml:space="preserve"> in the </w:t>
      </w:r>
      <w:r w:rsidR="004B1F2E" w:rsidRPr="000B6600">
        <w:t>mean age</w:t>
      </w:r>
      <w:r w:rsidR="00660239" w:rsidRPr="000B6600">
        <w:t>, nor in the mean scores in any of the neuropsychological assessments</w:t>
      </w:r>
      <w:r w:rsidR="004B1F2E">
        <w:t xml:space="preserve"> between those that exercised adequately with those </w:t>
      </w:r>
      <w:r w:rsidR="00660239">
        <w:t xml:space="preserve">not </w:t>
      </w:r>
      <w:r w:rsidR="004B1F2E">
        <w:t>doing so</w:t>
      </w:r>
      <w:r w:rsidR="00660239">
        <w:t>.</w:t>
      </w:r>
      <w:r w:rsidR="00285EEC">
        <w:t xml:space="preserve"> </w:t>
      </w:r>
    </w:p>
    <w:p w:rsidR="00053476" w:rsidRDefault="00053476" w:rsidP="005C41B7">
      <w:pPr>
        <w:pStyle w:val="APAPar"/>
      </w:pPr>
      <w:r w:rsidRPr="00053476">
        <w:t xml:space="preserve">Regression analyses were performed to examine the potential moderation effect of </w:t>
      </w:r>
      <w:r w:rsidRPr="00053476">
        <w:rPr>
          <w:lang w:val="en-US"/>
        </w:rPr>
        <w:t xml:space="preserve">social participation, Internet use and exercise </w:t>
      </w:r>
      <w:r w:rsidRPr="00053476">
        <w:t>in the relation between age and the cognitive measures. No moderation effect emerged, except for the TMT-B scores. The results indicate a moderation effect for social participation, Internet use and exercise, but not of loneliness in the relation between age and TMT-B. A regression analysis was conducted in order to examine the potential moderation effect of education in the relation between age with cognitive performance. The results indicated that education moderates the relation between VF and TMT-B with age. No other moderation effect of education emerged.</w:t>
      </w:r>
    </w:p>
    <w:p w:rsidR="00CD6D43" w:rsidRPr="00513F25" w:rsidRDefault="00CD6D43" w:rsidP="00C31CE0">
      <w:pPr>
        <w:pStyle w:val="APAPar"/>
        <w:widowControl w:val="0"/>
        <w:spacing w:line="360" w:lineRule="auto"/>
        <w:ind w:left="1080" w:right="0" w:hanging="1080"/>
        <w:rPr>
          <w:rStyle w:val="IntenseEmphasis"/>
        </w:rPr>
      </w:pPr>
      <w:r>
        <w:rPr>
          <w:rStyle w:val="IntenseEmphasis"/>
        </w:rPr>
        <w:t>Table 7.10</w:t>
      </w:r>
      <w:r w:rsidRPr="00513F25">
        <w:rPr>
          <w:rStyle w:val="IntenseEmphasis"/>
        </w:rPr>
        <w:t xml:space="preserve"> Testing </w:t>
      </w:r>
      <w:r w:rsidR="00A174C4" w:rsidRPr="00513F25">
        <w:rPr>
          <w:rStyle w:val="IntenseEmphasis"/>
        </w:rPr>
        <w:t xml:space="preserve">The Moderation Effect Of </w:t>
      </w:r>
      <w:r>
        <w:rPr>
          <w:rStyle w:val="IntenseEmphasis"/>
        </w:rPr>
        <w:t xml:space="preserve">Internet </w:t>
      </w:r>
      <w:r w:rsidR="00A174C4">
        <w:rPr>
          <w:rStyle w:val="IntenseEmphasis"/>
        </w:rPr>
        <w:t>Use</w:t>
      </w:r>
      <w:r w:rsidR="00A174C4" w:rsidRPr="00513F25">
        <w:rPr>
          <w:rStyle w:val="IntenseEmphasis"/>
        </w:rPr>
        <w:t xml:space="preserve"> In The Relation Between </w:t>
      </w:r>
      <w:r w:rsidR="00A174C4">
        <w:rPr>
          <w:rStyle w:val="IntenseEmphasis"/>
        </w:rPr>
        <w:t xml:space="preserve">Age And </w:t>
      </w:r>
      <w:r w:rsidR="00A174C4" w:rsidRPr="00513F25">
        <w:rPr>
          <w:rStyle w:val="IntenseEmphasis"/>
        </w:rPr>
        <w:t xml:space="preserve">The Score Of </w:t>
      </w:r>
      <w:r w:rsidRPr="00513F25">
        <w:rPr>
          <w:rStyle w:val="IntenseEmphasis"/>
        </w:rPr>
        <w:t xml:space="preserve">Trail Making Test </w:t>
      </w:r>
      <w:r w:rsidR="00A174C4" w:rsidRPr="00513F25">
        <w:rPr>
          <w:rStyle w:val="IntenseEmphasis"/>
        </w:rPr>
        <w:t xml:space="preserve">Part </w:t>
      </w:r>
      <w:r w:rsidRPr="00513F25">
        <w:rPr>
          <w:rStyle w:val="IntenseEmphasis"/>
        </w:rPr>
        <w:t xml:space="preserve">B </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36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Default="00CD6D43" w:rsidP="00CD6D43">
            <w:pPr>
              <w:pStyle w:val="APAPar"/>
              <w:spacing w:before="0" w:line="360" w:lineRule="auto"/>
              <w:ind w:firstLine="0"/>
            </w:pPr>
            <w:r>
              <w:t>Step 1</w:t>
            </w:r>
          </w:p>
        </w:tc>
        <w:tc>
          <w:tcPr>
            <w:tcW w:w="1177" w:type="dxa"/>
            <w:tcBorders>
              <w:left w:val="nil"/>
              <w:bottom w:val="nil"/>
              <w:right w:val="nil"/>
            </w:tcBorders>
          </w:tcPr>
          <w:p w:rsidR="00CD6D43" w:rsidRDefault="00CD6D43" w:rsidP="00CD6D43">
            <w:pPr>
              <w:pStyle w:val="APAPar"/>
              <w:spacing w:before="0" w:line="360" w:lineRule="auto"/>
              <w:ind w:firstLine="0"/>
            </w:pPr>
          </w:p>
        </w:tc>
        <w:tc>
          <w:tcPr>
            <w:tcW w:w="1091" w:type="dxa"/>
            <w:tcBorders>
              <w:left w:val="nil"/>
              <w:bottom w:val="nil"/>
              <w:right w:val="nil"/>
            </w:tcBorders>
          </w:tcPr>
          <w:p w:rsidR="00CD6D43" w:rsidRDefault="00CD6D43" w:rsidP="00CD6D43">
            <w:pPr>
              <w:pStyle w:val="APAPar"/>
              <w:spacing w:before="0" w:line="360" w:lineRule="auto"/>
              <w:ind w:firstLine="0"/>
            </w:pPr>
          </w:p>
        </w:tc>
        <w:tc>
          <w:tcPr>
            <w:tcW w:w="1276" w:type="dxa"/>
            <w:tcBorders>
              <w:left w:val="nil"/>
              <w:bottom w:val="nil"/>
              <w:right w:val="nil"/>
            </w:tcBorders>
          </w:tcPr>
          <w:p w:rsidR="00CD6D43" w:rsidRDefault="00CD6D43" w:rsidP="00CD6D43">
            <w:pPr>
              <w:pStyle w:val="APAPar"/>
              <w:spacing w:before="0" w:line="360" w:lineRule="auto"/>
              <w:ind w:firstLine="0"/>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Age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19.049</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.321**</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Internet use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-4.413</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-.074</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r>
              <w:t>.124**</w:t>
            </w: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Step 2</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rPr>
          <w:trHeight w:val="67"/>
        </w:trPr>
        <w:tc>
          <w:tcPr>
            <w:tcW w:w="4644" w:type="dxa"/>
            <w:tcBorders>
              <w:top w:val="nil"/>
              <w:left w:val="nil"/>
              <w:right w:val="nil"/>
            </w:tcBorders>
          </w:tcPr>
          <w:p w:rsidR="00CD6D43" w:rsidRDefault="00CD6D43" w:rsidP="00CD6D43">
            <w:pPr>
              <w:pStyle w:val="APAPar"/>
              <w:spacing w:before="0" w:line="360" w:lineRule="auto"/>
              <w:ind w:firstLine="0"/>
            </w:pPr>
            <w:r>
              <w:t>Age x Internet use (</w:t>
            </w:r>
            <w:r w:rsidRPr="00F249B6">
              <w:rPr>
                <w:i/>
              </w:rPr>
              <w:t>z</w:t>
            </w:r>
            <w:r>
              <w:t xml:space="preserve"> scores)</w:t>
            </w:r>
          </w:p>
        </w:tc>
        <w:tc>
          <w:tcPr>
            <w:tcW w:w="1177" w:type="dxa"/>
            <w:tcBorders>
              <w:top w:val="nil"/>
              <w:left w:val="nil"/>
              <w:right w:val="nil"/>
            </w:tcBorders>
          </w:tcPr>
          <w:p w:rsidR="00CD6D43" w:rsidRDefault="00CD6D43" w:rsidP="00CD6D43">
            <w:pPr>
              <w:pStyle w:val="APAPar"/>
              <w:spacing w:before="0" w:line="360" w:lineRule="auto"/>
              <w:ind w:firstLine="0"/>
              <w:jc w:val="center"/>
            </w:pPr>
            <w:r>
              <w:t>15.035</w:t>
            </w:r>
          </w:p>
        </w:tc>
        <w:tc>
          <w:tcPr>
            <w:tcW w:w="1091" w:type="dxa"/>
            <w:tcBorders>
              <w:top w:val="nil"/>
              <w:left w:val="nil"/>
              <w:right w:val="nil"/>
            </w:tcBorders>
          </w:tcPr>
          <w:p w:rsidR="00CD6D43" w:rsidRDefault="00CD6D43" w:rsidP="00CD6D43">
            <w:pPr>
              <w:pStyle w:val="APAPar"/>
              <w:spacing w:before="0" w:line="360" w:lineRule="auto"/>
              <w:ind w:firstLine="0"/>
              <w:jc w:val="center"/>
            </w:pPr>
            <w:r>
              <w:t>.250*</w:t>
            </w:r>
          </w:p>
        </w:tc>
        <w:tc>
          <w:tcPr>
            <w:tcW w:w="1276" w:type="dxa"/>
            <w:tcBorders>
              <w:top w:val="nil"/>
              <w:left w:val="nil"/>
              <w:right w:val="nil"/>
            </w:tcBorders>
          </w:tcPr>
          <w:p w:rsidR="00CD6D43" w:rsidRDefault="00CD6D43" w:rsidP="00CD6D43">
            <w:pPr>
              <w:pStyle w:val="APAPar"/>
              <w:spacing w:before="0" w:line="360" w:lineRule="auto"/>
              <w:ind w:firstLine="0"/>
              <w:jc w:val="center"/>
            </w:pPr>
            <w:r>
              <w:t>.061*</w:t>
            </w:r>
          </w:p>
        </w:tc>
      </w:tr>
    </w:tbl>
    <w:p w:rsidR="004359CD" w:rsidRPr="00C31CE0" w:rsidRDefault="00CD6D43" w:rsidP="00C31CE0">
      <w:pPr>
        <w:pStyle w:val="APAPar"/>
        <w:spacing w:before="0" w:line="360" w:lineRule="auto"/>
        <w:ind w:right="960"/>
        <w:rPr>
          <w:rStyle w:val="IntenseEmphasis"/>
          <w:sz w:val="22"/>
        </w:rPr>
      </w:pPr>
      <w:r w:rsidRPr="004359CD">
        <w:rPr>
          <w:i/>
          <w:sz w:val="22"/>
        </w:rPr>
        <w:t>Note</w:t>
      </w:r>
      <w:r w:rsidRPr="004359CD">
        <w:rPr>
          <w:sz w:val="22"/>
        </w:rPr>
        <w:t>. **p&lt;.005, *p&lt;.05</w:t>
      </w:r>
    </w:p>
    <w:p w:rsidR="00CD6D43" w:rsidRPr="00513F25" w:rsidRDefault="00CD6D43" w:rsidP="00C31CE0">
      <w:pPr>
        <w:pStyle w:val="APAPar"/>
        <w:widowControl w:val="0"/>
        <w:spacing w:line="360" w:lineRule="auto"/>
        <w:ind w:left="1080" w:right="0" w:hanging="1080"/>
        <w:rPr>
          <w:rStyle w:val="IntenseEmphasis"/>
        </w:rPr>
      </w:pPr>
      <w:r>
        <w:rPr>
          <w:rStyle w:val="IntenseEmphasis"/>
        </w:rPr>
        <w:t>Table 7.11</w:t>
      </w:r>
      <w:r w:rsidRPr="00513F25">
        <w:rPr>
          <w:rStyle w:val="IntenseEmphasis"/>
        </w:rPr>
        <w:t xml:space="preserve"> Testing </w:t>
      </w:r>
      <w:r w:rsidR="00A174C4" w:rsidRPr="00513F25">
        <w:rPr>
          <w:rStyle w:val="IntenseEmphasis"/>
        </w:rPr>
        <w:t xml:space="preserve">The Moderation Effect Of </w:t>
      </w:r>
      <w:r w:rsidR="00A174C4">
        <w:rPr>
          <w:rStyle w:val="IntenseEmphasis"/>
        </w:rPr>
        <w:t>Social Participation</w:t>
      </w:r>
      <w:r w:rsidR="00A174C4" w:rsidRPr="00513F25">
        <w:rPr>
          <w:rStyle w:val="IntenseEmphasis"/>
        </w:rPr>
        <w:t xml:space="preserve"> In The Relation Between </w:t>
      </w:r>
      <w:r w:rsidR="00A174C4">
        <w:rPr>
          <w:rStyle w:val="IntenseEmphasis"/>
        </w:rPr>
        <w:t xml:space="preserve">Age And </w:t>
      </w:r>
      <w:r w:rsidR="00A174C4" w:rsidRPr="00513F25">
        <w:rPr>
          <w:rStyle w:val="IntenseEmphasis"/>
        </w:rPr>
        <w:t xml:space="preserve">The Score Of </w:t>
      </w:r>
      <w:r w:rsidRPr="00513F25">
        <w:rPr>
          <w:rStyle w:val="IntenseEmphasis"/>
        </w:rPr>
        <w:t xml:space="preserve">Trail Making Test </w:t>
      </w:r>
      <w:r w:rsidR="00A174C4" w:rsidRPr="00513F25">
        <w:rPr>
          <w:rStyle w:val="IntenseEmphasis"/>
        </w:rPr>
        <w:t xml:space="preserve">Part </w:t>
      </w:r>
      <w:r w:rsidRPr="00513F25">
        <w:rPr>
          <w:rStyle w:val="IntenseEmphasis"/>
        </w:rPr>
        <w:t xml:space="preserve">B </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36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Default="00CD6D43" w:rsidP="00CD6D43">
            <w:pPr>
              <w:pStyle w:val="APAPar"/>
              <w:spacing w:before="0" w:line="360" w:lineRule="auto"/>
              <w:ind w:firstLine="0"/>
            </w:pPr>
            <w:r>
              <w:t>Step 1</w:t>
            </w:r>
          </w:p>
        </w:tc>
        <w:tc>
          <w:tcPr>
            <w:tcW w:w="1177" w:type="dxa"/>
            <w:tcBorders>
              <w:left w:val="nil"/>
              <w:bottom w:val="nil"/>
              <w:right w:val="nil"/>
            </w:tcBorders>
          </w:tcPr>
          <w:p w:rsidR="00CD6D43" w:rsidRDefault="00CD6D43" w:rsidP="00CD6D43">
            <w:pPr>
              <w:pStyle w:val="APAPar"/>
              <w:spacing w:before="0" w:line="360" w:lineRule="auto"/>
              <w:ind w:firstLine="0"/>
            </w:pPr>
          </w:p>
        </w:tc>
        <w:tc>
          <w:tcPr>
            <w:tcW w:w="1091" w:type="dxa"/>
            <w:tcBorders>
              <w:left w:val="nil"/>
              <w:bottom w:val="nil"/>
              <w:right w:val="nil"/>
            </w:tcBorders>
          </w:tcPr>
          <w:p w:rsidR="00CD6D43" w:rsidRDefault="00CD6D43" w:rsidP="00CD6D43">
            <w:pPr>
              <w:pStyle w:val="APAPar"/>
              <w:spacing w:before="0" w:line="360" w:lineRule="auto"/>
              <w:ind w:firstLine="0"/>
            </w:pPr>
          </w:p>
        </w:tc>
        <w:tc>
          <w:tcPr>
            <w:tcW w:w="1276" w:type="dxa"/>
            <w:tcBorders>
              <w:left w:val="nil"/>
              <w:bottom w:val="nil"/>
              <w:right w:val="nil"/>
            </w:tcBorders>
          </w:tcPr>
          <w:p w:rsidR="00CD6D43" w:rsidRDefault="00CD6D43" w:rsidP="00CD6D43">
            <w:pPr>
              <w:pStyle w:val="APAPar"/>
              <w:spacing w:before="0" w:line="360" w:lineRule="auto"/>
              <w:ind w:firstLine="0"/>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Age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20.012</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.336**</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Social participation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-3.662</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-.062</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r>
              <w:t>.122**</w:t>
            </w: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Step 2</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rPr>
          <w:trHeight w:val="67"/>
        </w:trPr>
        <w:tc>
          <w:tcPr>
            <w:tcW w:w="4644" w:type="dxa"/>
            <w:tcBorders>
              <w:top w:val="nil"/>
              <w:left w:val="nil"/>
              <w:right w:val="nil"/>
            </w:tcBorders>
          </w:tcPr>
          <w:p w:rsidR="00CD6D43" w:rsidRDefault="00CD6D43" w:rsidP="00CD6D43">
            <w:pPr>
              <w:pStyle w:val="APAPar"/>
              <w:spacing w:before="0" w:line="360" w:lineRule="auto"/>
              <w:ind w:firstLine="0"/>
            </w:pPr>
            <w:r>
              <w:t>Age x social participation (narrow definition)</w:t>
            </w:r>
          </w:p>
        </w:tc>
        <w:tc>
          <w:tcPr>
            <w:tcW w:w="1177" w:type="dxa"/>
            <w:tcBorders>
              <w:top w:val="nil"/>
              <w:left w:val="nil"/>
              <w:right w:val="nil"/>
            </w:tcBorders>
          </w:tcPr>
          <w:p w:rsidR="00CD6D43" w:rsidRDefault="00CD6D43" w:rsidP="00CD6D43">
            <w:pPr>
              <w:pStyle w:val="APAPar"/>
              <w:spacing w:before="0" w:line="360" w:lineRule="auto"/>
              <w:ind w:firstLine="0"/>
              <w:jc w:val="center"/>
            </w:pPr>
            <w:r>
              <w:t>13.326</w:t>
            </w:r>
          </w:p>
        </w:tc>
        <w:tc>
          <w:tcPr>
            <w:tcW w:w="1091" w:type="dxa"/>
            <w:tcBorders>
              <w:top w:val="nil"/>
              <w:left w:val="nil"/>
              <w:right w:val="nil"/>
            </w:tcBorders>
          </w:tcPr>
          <w:p w:rsidR="00CD6D43" w:rsidRDefault="00CD6D43" w:rsidP="00CD6D43">
            <w:pPr>
              <w:pStyle w:val="APAPar"/>
              <w:spacing w:before="0" w:line="360" w:lineRule="auto"/>
              <w:ind w:firstLine="0"/>
              <w:jc w:val="center"/>
            </w:pPr>
            <w:r>
              <w:t>.221*</w:t>
            </w:r>
          </w:p>
        </w:tc>
        <w:tc>
          <w:tcPr>
            <w:tcW w:w="1276" w:type="dxa"/>
            <w:tcBorders>
              <w:top w:val="nil"/>
              <w:left w:val="nil"/>
              <w:right w:val="nil"/>
            </w:tcBorders>
          </w:tcPr>
          <w:p w:rsidR="00CD6D43" w:rsidRDefault="00CD6D43" w:rsidP="00CD6D43">
            <w:pPr>
              <w:pStyle w:val="APAPar"/>
              <w:spacing w:before="0" w:line="360" w:lineRule="auto"/>
              <w:ind w:firstLine="0"/>
              <w:jc w:val="center"/>
            </w:pPr>
            <w:r>
              <w:t>.045*</w:t>
            </w:r>
          </w:p>
        </w:tc>
      </w:tr>
    </w:tbl>
    <w:p w:rsidR="00CD6D43" w:rsidRPr="000D78DC" w:rsidRDefault="00CD6D43" w:rsidP="00CD6D43">
      <w:pPr>
        <w:pStyle w:val="APAPar"/>
        <w:spacing w:before="0" w:line="360" w:lineRule="auto"/>
        <w:rPr>
          <w:rStyle w:val="IntenseEmphasis"/>
          <w:sz w:val="22"/>
        </w:rPr>
      </w:pPr>
      <w:r w:rsidRPr="00D35916">
        <w:rPr>
          <w:i/>
          <w:sz w:val="22"/>
        </w:rPr>
        <w:t>Note</w:t>
      </w:r>
      <w:r w:rsidRPr="00D35916">
        <w:rPr>
          <w:sz w:val="22"/>
        </w:rPr>
        <w:t>. **p&lt;.005, *p&lt;.05</w:t>
      </w:r>
    </w:p>
    <w:p w:rsidR="00CD6D43" w:rsidRPr="00513F25" w:rsidRDefault="00CD6D43" w:rsidP="00C31CE0">
      <w:pPr>
        <w:pStyle w:val="APAPar"/>
        <w:widowControl w:val="0"/>
        <w:spacing w:line="360" w:lineRule="auto"/>
        <w:ind w:left="1080" w:right="0" w:hanging="1080"/>
        <w:rPr>
          <w:rStyle w:val="IntenseEmphasis"/>
        </w:rPr>
      </w:pPr>
      <w:r>
        <w:rPr>
          <w:rStyle w:val="IntenseEmphasis"/>
        </w:rPr>
        <w:t>Table 7.12</w:t>
      </w:r>
      <w:r w:rsidRPr="00513F25">
        <w:rPr>
          <w:rStyle w:val="IntenseEmphasis"/>
        </w:rPr>
        <w:t xml:space="preserve"> Testing </w:t>
      </w:r>
      <w:r w:rsidR="00A174C4" w:rsidRPr="00513F25">
        <w:rPr>
          <w:rStyle w:val="IntenseEmphasis"/>
        </w:rPr>
        <w:t xml:space="preserve">The Moderation Effect Of </w:t>
      </w:r>
      <w:r w:rsidR="00A174C4">
        <w:rPr>
          <w:rStyle w:val="IntenseEmphasis"/>
        </w:rPr>
        <w:t>Exercise</w:t>
      </w:r>
      <w:r w:rsidR="00A174C4" w:rsidRPr="00513F25">
        <w:rPr>
          <w:rStyle w:val="IntenseEmphasis"/>
        </w:rPr>
        <w:t xml:space="preserve"> In The Relation Between </w:t>
      </w:r>
      <w:r w:rsidR="00A174C4">
        <w:rPr>
          <w:rStyle w:val="IntenseEmphasis"/>
        </w:rPr>
        <w:t xml:space="preserve">Age And </w:t>
      </w:r>
      <w:r w:rsidR="00A174C4" w:rsidRPr="00513F25">
        <w:rPr>
          <w:rStyle w:val="IntenseEmphasis"/>
        </w:rPr>
        <w:t xml:space="preserve">The Score Of </w:t>
      </w:r>
      <w:r w:rsidRPr="00513F25">
        <w:rPr>
          <w:rStyle w:val="IntenseEmphasis"/>
        </w:rPr>
        <w:t xml:space="preserve">Trail Making Test </w:t>
      </w:r>
      <w:r w:rsidR="00A174C4" w:rsidRPr="00513F25">
        <w:rPr>
          <w:rStyle w:val="IntenseEmphasis"/>
        </w:rPr>
        <w:t xml:space="preserve">Part </w:t>
      </w:r>
      <w:r w:rsidRPr="00513F25">
        <w:rPr>
          <w:rStyle w:val="IntenseEmphasis"/>
        </w:rPr>
        <w:t xml:space="preserve">B </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36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Default="00CD6D43" w:rsidP="00CD6D43">
            <w:pPr>
              <w:pStyle w:val="APAPar"/>
              <w:spacing w:before="0" w:line="360" w:lineRule="auto"/>
              <w:ind w:firstLine="0"/>
            </w:pPr>
            <w:r>
              <w:t>Step 1</w:t>
            </w:r>
          </w:p>
        </w:tc>
        <w:tc>
          <w:tcPr>
            <w:tcW w:w="1177" w:type="dxa"/>
            <w:tcBorders>
              <w:left w:val="nil"/>
              <w:bottom w:val="nil"/>
              <w:right w:val="nil"/>
            </w:tcBorders>
          </w:tcPr>
          <w:p w:rsidR="00CD6D43" w:rsidRDefault="00CD6D43" w:rsidP="00CD6D43">
            <w:pPr>
              <w:pStyle w:val="APAPar"/>
              <w:spacing w:before="0" w:line="360" w:lineRule="auto"/>
              <w:ind w:firstLine="0"/>
            </w:pPr>
          </w:p>
        </w:tc>
        <w:tc>
          <w:tcPr>
            <w:tcW w:w="1091" w:type="dxa"/>
            <w:tcBorders>
              <w:left w:val="nil"/>
              <w:bottom w:val="nil"/>
              <w:right w:val="nil"/>
            </w:tcBorders>
          </w:tcPr>
          <w:p w:rsidR="00CD6D43" w:rsidRDefault="00CD6D43" w:rsidP="00CD6D43">
            <w:pPr>
              <w:pStyle w:val="APAPar"/>
              <w:spacing w:before="0" w:line="360" w:lineRule="auto"/>
              <w:ind w:firstLine="0"/>
            </w:pPr>
          </w:p>
        </w:tc>
        <w:tc>
          <w:tcPr>
            <w:tcW w:w="1276" w:type="dxa"/>
            <w:tcBorders>
              <w:left w:val="nil"/>
              <w:bottom w:val="nil"/>
              <w:right w:val="nil"/>
            </w:tcBorders>
          </w:tcPr>
          <w:p w:rsidR="00CD6D43" w:rsidRDefault="00CD6D43" w:rsidP="00CD6D43">
            <w:pPr>
              <w:pStyle w:val="APAPar"/>
              <w:spacing w:before="0" w:line="360" w:lineRule="auto"/>
              <w:ind w:firstLine="0"/>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Age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19.442</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.328**</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Exercise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3.539</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.060</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r>
              <w:t>.122**</w:t>
            </w: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Step 2</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rPr>
          <w:trHeight w:val="67"/>
        </w:trPr>
        <w:tc>
          <w:tcPr>
            <w:tcW w:w="4644" w:type="dxa"/>
            <w:tcBorders>
              <w:top w:val="nil"/>
              <w:left w:val="nil"/>
              <w:right w:val="nil"/>
            </w:tcBorders>
          </w:tcPr>
          <w:p w:rsidR="00CD6D43" w:rsidRDefault="00CD6D43" w:rsidP="00CD6D43">
            <w:pPr>
              <w:pStyle w:val="APAPar"/>
              <w:spacing w:before="0" w:line="360" w:lineRule="auto"/>
              <w:ind w:firstLine="0"/>
            </w:pPr>
            <w:r>
              <w:t>Age x exercise (</w:t>
            </w:r>
            <w:r w:rsidRPr="00F249B6">
              <w:rPr>
                <w:i/>
              </w:rPr>
              <w:t>z</w:t>
            </w:r>
            <w:r>
              <w:t xml:space="preserve"> scores)</w:t>
            </w:r>
          </w:p>
        </w:tc>
        <w:tc>
          <w:tcPr>
            <w:tcW w:w="1177" w:type="dxa"/>
            <w:tcBorders>
              <w:top w:val="nil"/>
              <w:left w:val="nil"/>
              <w:right w:val="nil"/>
            </w:tcBorders>
          </w:tcPr>
          <w:p w:rsidR="00CD6D43" w:rsidRDefault="00CD6D43" w:rsidP="00CD6D43">
            <w:pPr>
              <w:pStyle w:val="APAPar"/>
              <w:spacing w:before="0" w:line="360" w:lineRule="auto"/>
              <w:ind w:firstLine="0"/>
              <w:jc w:val="center"/>
            </w:pPr>
            <w:r>
              <w:t>-15.589</w:t>
            </w:r>
          </w:p>
        </w:tc>
        <w:tc>
          <w:tcPr>
            <w:tcW w:w="1091" w:type="dxa"/>
            <w:tcBorders>
              <w:top w:val="nil"/>
              <w:left w:val="nil"/>
              <w:right w:val="nil"/>
            </w:tcBorders>
          </w:tcPr>
          <w:p w:rsidR="00CD6D43" w:rsidRDefault="00CD6D43" w:rsidP="00CD6D43">
            <w:pPr>
              <w:pStyle w:val="APAPar"/>
              <w:spacing w:before="0" w:line="360" w:lineRule="auto"/>
              <w:ind w:firstLine="0"/>
              <w:jc w:val="center"/>
            </w:pPr>
            <w:r>
              <w:t>.287**</w:t>
            </w:r>
          </w:p>
        </w:tc>
        <w:tc>
          <w:tcPr>
            <w:tcW w:w="1276" w:type="dxa"/>
            <w:tcBorders>
              <w:top w:val="nil"/>
              <w:left w:val="nil"/>
              <w:right w:val="nil"/>
            </w:tcBorders>
          </w:tcPr>
          <w:p w:rsidR="00CD6D43" w:rsidRDefault="00CD6D43" w:rsidP="00CD6D43">
            <w:pPr>
              <w:pStyle w:val="APAPar"/>
              <w:spacing w:before="0" w:line="360" w:lineRule="auto"/>
              <w:ind w:firstLine="0"/>
              <w:jc w:val="center"/>
            </w:pPr>
            <w:r>
              <w:t>.080**</w:t>
            </w:r>
          </w:p>
        </w:tc>
      </w:tr>
    </w:tbl>
    <w:p w:rsidR="00CD6D43" w:rsidRPr="00D35916" w:rsidRDefault="00CD6D43" w:rsidP="00CD6D43">
      <w:pPr>
        <w:pStyle w:val="APAPar"/>
        <w:spacing w:before="0" w:line="360" w:lineRule="auto"/>
        <w:rPr>
          <w:sz w:val="22"/>
        </w:rPr>
      </w:pPr>
      <w:r w:rsidRPr="00D35916">
        <w:rPr>
          <w:i/>
          <w:sz w:val="22"/>
        </w:rPr>
        <w:t>Note</w:t>
      </w:r>
      <w:r w:rsidRPr="00D35916">
        <w:rPr>
          <w:sz w:val="22"/>
        </w:rPr>
        <w:t>. **p&lt;.005, *p&lt;.05</w:t>
      </w:r>
    </w:p>
    <w:p w:rsidR="00CD6D43" w:rsidRDefault="00CD6D43" w:rsidP="00CD6D43">
      <w:pPr>
        <w:pStyle w:val="APAPar"/>
        <w:spacing w:before="0" w:line="240" w:lineRule="auto"/>
        <w:ind w:firstLine="0"/>
        <w:rPr>
          <w:rStyle w:val="IntenseEmphasis"/>
        </w:rPr>
      </w:pPr>
    </w:p>
    <w:p w:rsidR="00C42801" w:rsidRDefault="00C42801" w:rsidP="00C31CE0">
      <w:pPr>
        <w:pStyle w:val="APAPar"/>
        <w:widowControl w:val="0"/>
        <w:spacing w:line="360" w:lineRule="auto"/>
        <w:ind w:left="1080" w:right="0" w:hanging="1080"/>
        <w:rPr>
          <w:rStyle w:val="IntenseEmphasis"/>
        </w:rPr>
      </w:pPr>
    </w:p>
    <w:p w:rsidR="00CD6D43" w:rsidRPr="00513F25" w:rsidRDefault="00CD6D43" w:rsidP="00C31CE0">
      <w:pPr>
        <w:pStyle w:val="APAPar"/>
        <w:widowControl w:val="0"/>
        <w:spacing w:line="360" w:lineRule="auto"/>
        <w:ind w:left="1080" w:right="0" w:hanging="1080"/>
        <w:rPr>
          <w:rStyle w:val="IntenseEmphasis"/>
        </w:rPr>
      </w:pPr>
      <w:r>
        <w:rPr>
          <w:rStyle w:val="IntenseEmphasis"/>
        </w:rPr>
        <w:t>Table 7.13</w:t>
      </w:r>
      <w:r w:rsidRPr="00513F25">
        <w:rPr>
          <w:rStyle w:val="IntenseEmphasis"/>
        </w:rPr>
        <w:t xml:space="preserve"> Testing </w:t>
      </w:r>
      <w:r w:rsidR="00A174C4" w:rsidRPr="00513F25">
        <w:rPr>
          <w:rStyle w:val="IntenseEmphasis"/>
        </w:rPr>
        <w:t xml:space="preserve">The Moderation Effect Of </w:t>
      </w:r>
      <w:r w:rsidR="00A174C4">
        <w:rPr>
          <w:rStyle w:val="IntenseEmphasis"/>
        </w:rPr>
        <w:t>Education</w:t>
      </w:r>
      <w:r w:rsidR="00A174C4" w:rsidRPr="00513F25">
        <w:rPr>
          <w:rStyle w:val="IntenseEmphasis"/>
        </w:rPr>
        <w:t xml:space="preserve"> In The Relation Between </w:t>
      </w:r>
      <w:r w:rsidR="00A174C4">
        <w:rPr>
          <w:rStyle w:val="IntenseEmphasis"/>
        </w:rPr>
        <w:t xml:space="preserve">Age And </w:t>
      </w:r>
      <w:r>
        <w:rPr>
          <w:rStyle w:val="IntenseEmphasis"/>
        </w:rPr>
        <w:t>Verbal Fluency</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36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Default="00CD6D43" w:rsidP="00CD6D43">
            <w:pPr>
              <w:pStyle w:val="APAPar"/>
              <w:spacing w:before="0" w:line="360" w:lineRule="auto"/>
              <w:ind w:firstLine="0"/>
            </w:pPr>
            <w:r>
              <w:t>Step 1</w:t>
            </w:r>
          </w:p>
        </w:tc>
        <w:tc>
          <w:tcPr>
            <w:tcW w:w="1177" w:type="dxa"/>
            <w:tcBorders>
              <w:left w:val="nil"/>
              <w:bottom w:val="nil"/>
              <w:right w:val="nil"/>
            </w:tcBorders>
          </w:tcPr>
          <w:p w:rsidR="00CD6D43" w:rsidRDefault="00CD6D43" w:rsidP="00CD6D43">
            <w:pPr>
              <w:pStyle w:val="APAPar"/>
              <w:spacing w:before="0" w:line="360" w:lineRule="auto"/>
              <w:ind w:firstLine="0"/>
            </w:pPr>
          </w:p>
        </w:tc>
        <w:tc>
          <w:tcPr>
            <w:tcW w:w="1091" w:type="dxa"/>
            <w:tcBorders>
              <w:left w:val="nil"/>
              <w:bottom w:val="nil"/>
              <w:right w:val="nil"/>
            </w:tcBorders>
          </w:tcPr>
          <w:p w:rsidR="00CD6D43" w:rsidRDefault="00CD6D43" w:rsidP="00CD6D43">
            <w:pPr>
              <w:pStyle w:val="APAPar"/>
              <w:spacing w:before="0" w:line="360" w:lineRule="auto"/>
              <w:ind w:firstLine="0"/>
            </w:pPr>
          </w:p>
        </w:tc>
        <w:tc>
          <w:tcPr>
            <w:tcW w:w="1276" w:type="dxa"/>
            <w:tcBorders>
              <w:left w:val="nil"/>
              <w:bottom w:val="nil"/>
              <w:right w:val="nil"/>
            </w:tcBorders>
          </w:tcPr>
          <w:p w:rsidR="00CD6D43" w:rsidRDefault="00CD6D43" w:rsidP="00CD6D43">
            <w:pPr>
              <w:pStyle w:val="APAPar"/>
              <w:spacing w:before="0" w:line="360" w:lineRule="auto"/>
              <w:ind w:firstLine="0"/>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Age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-.311</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-.081</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Education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1.023</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.268*</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r>
              <w:t>.087*</w:t>
            </w: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Step 2</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rPr>
          <w:trHeight w:val="67"/>
        </w:trPr>
        <w:tc>
          <w:tcPr>
            <w:tcW w:w="4644" w:type="dxa"/>
            <w:tcBorders>
              <w:top w:val="nil"/>
              <w:left w:val="nil"/>
              <w:right w:val="nil"/>
            </w:tcBorders>
          </w:tcPr>
          <w:p w:rsidR="00CD6D43" w:rsidRDefault="00CD6D43" w:rsidP="00CD6D43">
            <w:pPr>
              <w:pStyle w:val="APAPar"/>
              <w:spacing w:before="0" w:line="360" w:lineRule="auto"/>
              <w:ind w:firstLine="0"/>
            </w:pPr>
            <w:r>
              <w:t>Education x  Age (</w:t>
            </w:r>
            <w:r w:rsidRPr="00F249B6">
              <w:rPr>
                <w:i/>
              </w:rPr>
              <w:t>z</w:t>
            </w:r>
            <w:r>
              <w:t xml:space="preserve"> scores)</w:t>
            </w:r>
          </w:p>
        </w:tc>
        <w:tc>
          <w:tcPr>
            <w:tcW w:w="1177" w:type="dxa"/>
            <w:tcBorders>
              <w:top w:val="nil"/>
              <w:left w:val="nil"/>
              <w:right w:val="nil"/>
            </w:tcBorders>
          </w:tcPr>
          <w:p w:rsidR="00CD6D43" w:rsidRDefault="00CD6D43" w:rsidP="00CD6D43">
            <w:pPr>
              <w:pStyle w:val="APAPar"/>
              <w:spacing w:before="0" w:line="360" w:lineRule="auto"/>
              <w:ind w:firstLine="0"/>
              <w:jc w:val="center"/>
            </w:pPr>
            <w:r>
              <w:t>-1.219</w:t>
            </w:r>
          </w:p>
        </w:tc>
        <w:tc>
          <w:tcPr>
            <w:tcW w:w="1091" w:type="dxa"/>
            <w:tcBorders>
              <w:top w:val="nil"/>
              <w:left w:val="nil"/>
              <w:right w:val="nil"/>
            </w:tcBorders>
          </w:tcPr>
          <w:p w:rsidR="00CD6D43" w:rsidRDefault="00CD6D43" w:rsidP="00CD6D43">
            <w:pPr>
              <w:pStyle w:val="APAPar"/>
              <w:spacing w:before="0" w:line="360" w:lineRule="auto"/>
              <w:ind w:firstLine="0"/>
              <w:jc w:val="center"/>
            </w:pPr>
            <w:r>
              <w:t>-.344**</w:t>
            </w:r>
          </w:p>
        </w:tc>
        <w:tc>
          <w:tcPr>
            <w:tcW w:w="1276" w:type="dxa"/>
            <w:tcBorders>
              <w:top w:val="nil"/>
              <w:left w:val="nil"/>
              <w:right w:val="nil"/>
            </w:tcBorders>
          </w:tcPr>
          <w:p w:rsidR="00CD6D43" w:rsidRDefault="00CD6D43" w:rsidP="00CD6D43">
            <w:pPr>
              <w:pStyle w:val="APAPar"/>
              <w:spacing w:before="0" w:line="360" w:lineRule="auto"/>
              <w:ind w:firstLine="0"/>
              <w:jc w:val="center"/>
            </w:pPr>
            <w:r>
              <w:t>.107**</w:t>
            </w:r>
          </w:p>
        </w:tc>
      </w:tr>
    </w:tbl>
    <w:p w:rsidR="00CD6D43" w:rsidRPr="00D35916" w:rsidRDefault="00CD6D43" w:rsidP="00CD6D43">
      <w:pPr>
        <w:pStyle w:val="APAPar"/>
        <w:spacing w:before="0" w:line="360" w:lineRule="auto"/>
        <w:rPr>
          <w:sz w:val="22"/>
        </w:rPr>
      </w:pPr>
      <w:r w:rsidRPr="00D35916">
        <w:rPr>
          <w:i/>
          <w:sz w:val="22"/>
        </w:rPr>
        <w:t>Note</w:t>
      </w:r>
      <w:r w:rsidRPr="00D35916">
        <w:rPr>
          <w:sz w:val="22"/>
        </w:rPr>
        <w:t>. **p&lt;.005, *p&lt;.05</w:t>
      </w:r>
    </w:p>
    <w:p w:rsidR="00CD6D43" w:rsidRPr="00C31CE0" w:rsidRDefault="00CD6D43" w:rsidP="00C31CE0">
      <w:pPr>
        <w:pStyle w:val="APAPar"/>
        <w:widowControl w:val="0"/>
        <w:spacing w:line="360" w:lineRule="auto"/>
        <w:ind w:firstLine="0"/>
        <w:rPr>
          <w:rStyle w:val="IntenseEmphasis"/>
          <w:lang w:val="en-US"/>
        </w:rPr>
      </w:pPr>
    </w:p>
    <w:p w:rsidR="00CD6D43" w:rsidRPr="00513F25" w:rsidRDefault="00CD6D43" w:rsidP="00C31CE0">
      <w:pPr>
        <w:pStyle w:val="APAPar"/>
        <w:widowControl w:val="0"/>
        <w:spacing w:line="360" w:lineRule="auto"/>
        <w:ind w:left="1080" w:right="0" w:hanging="1080"/>
        <w:rPr>
          <w:rStyle w:val="IntenseEmphasis"/>
        </w:rPr>
      </w:pPr>
      <w:r>
        <w:rPr>
          <w:rStyle w:val="IntenseEmphasis"/>
        </w:rPr>
        <w:t>Table 7.14</w:t>
      </w:r>
      <w:r w:rsidRPr="00513F25">
        <w:rPr>
          <w:rStyle w:val="IntenseEmphasis"/>
        </w:rPr>
        <w:t xml:space="preserve"> Testing </w:t>
      </w:r>
      <w:r w:rsidR="00A174C4" w:rsidRPr="00513F25">
        <w:rPr>
          <w:rStyle w:val="IntenseEmphasis"/>
        </w:rPr>
        <w:t xml:space="preserve">The Moderation Effect Of </w:t>
      </w:r>
      <w:r w:rsidR="00A174C4">
        <w:rPr>
          <w:rStyle w:val="IntenseEmphasis"/>
        </w:rPr>
        <w:t>Education</w:t>
      </w:r>
      <w:r w:rsidR="00A174C4" w:rsidRPr="00513F25">
        <w:rPr>
          <w:rStyle w:val="IntenseEmphasis"/>
        </w:rPr>
        <w:t xml:space="preserve"> In The Relation Between </w:t>
      </w:r>
      <w:r w:rsidR="00A174C4">
        <w:rPr>
          <w:rStyle w:val="IntenseEmphasis"/>
        </w:rPr>
        <w:t xml:space="preserve">Age And </w:t>
      </w:r>
      <w:r>
        <w:rPr>
          <w:rStyle w:val="IntenseEmphasis"/>
        </w:rPr>
        <w:t xml:space="preserve">Trail Making Test </w:t>
      </w:r>
      <w:r w:rsidR="00A174C4">
        <w:rPr>
          <w:rStyle w:val="IntenseEmphasis"/>
        </w:rPr>
        <w:t xml:space="preserve">Part </w:t>
      </w:r>
      <w:r>
        <w:rPr>
          <w:rStyle w:val="IntenseEmphasis"/>
        </w:rPr>
        <w:t>B</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36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Default="00CD6D43" w:rsidP="00CD6D43">
            <w:pPr>
              <w:pStyle w:val="APAPar"/>
              <w:spacing w:before="0" w:line="360" w:lineRule="auto"/>
              <w:ind w:firstLine="0"/>
            </w:pPr>
            <w:r>
              <w:t>Step 1</w:t>
            </w:r>
          </w:p>
        </w:tc>
        <w:tc>
          <w:tcPr>
            <w:tcW w:w="1177" w:type="dxa"/>
            <w:tcBorders>
              <w:left w:val="nil"/>
              <w:bottom w:val="nil"/>
              <w:right w:val="nil"/>
            </w:tcBorders>
          </w:tcPr>
          <w:p w:rsidR="00CD6D43" w:rsidRDefault="00CD6D43" w:rsidP="00CD6D43">
            <w:pPr>
              <w:pStyle w:val="APAPar"/>
              <w:spacing w:before="0" w:line="360" w:lineRule="auto"/>
              <w:ind w:firstLine="0"/>
            </w:pPr>
          </w:p>
        </w:tc>
        <w:tc>
          <w:tcPr>
            <w:tcW w:w="1091" w:type="dxa"/>
            <w:tcBorders>
              <w:left w:val="nil"/>
              <w:bottom w:val="nil"/>
              <w:right w:val="nil"/>
            </w:tcBorders>
          </w:tcPr>
          <w:p w:rsidR="00CD6D43" w:rsidRDefault="00CD6D43" w:rsidP="00CD6D43">
            <w:pPr>
              <w:pStyle w:val="APAPar"/>
              <w:spacing w:before="0" w:line="360" w:lineRule="auto"/>
              <w:ind w:firstLine="0"/>
            </w:pPr>
          </w:p>
        </w:tc>
        <w:tc>
          <w:tcPr>
            <w:tcW w:w="1276" w:type="dxa"/>
            <w:tcBorders>
              <w:left w:val="nil"/>
              <w:bottom w:val="nil"/>
              <w:right w:val="nil"/>
            </w:tcBorders>
          </w:tcPr>
          <w:p w:rsidR="00CD6D43" w:rsidRDefault="00CD6D43" w:rsidP="00CD6D43">
            <w:pPr>
              <w:pStyle w:val="APAPar"/>
              <w:spacing w:before="0" w:line="360" w:lineRule="auto"/>
              <w:ind w:firstLine="0"/>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Age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20.323</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.343**</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Education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-.481</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-.008</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r>
              <w:t>.119**</w:t>
            </w: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Step 2</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rPr>
          <w:trHeight w:val="67"/>
        </w:trPr>
        <w:tc>
          <w:tcPr>
            <w:tcW w:w="4644" w:type="dxa"/>
            <w:tcBorders>
              <w:top w:val="nil"/>
              <w:left w:val="nil"/>
              <w:right w:val="nil"/>
            </w:tcBorders>
          </w:tcPr>
          <w:p w:rsidR="00CD6D43" w:rsidRDefault="00CD6D43" w:rsidP="00CD6D43">
            <w:pPr>
              <w:pStyle w:val="APAPar"/>
              <w:spacing w:before="0" w:line="360" w:lineRule="auto"/>
              <w:ind w:firstLine="0"/>
            </w:pPr>
            <w:r>
              <w:t>Age x education (</w:t>
            </w:r>
            <w:r w:rsidRPr="00F249B6">
              <w:rPr>
                <w:i/>
              </w:rPr>
              <w:t>z</w:t>
            </w:r>
            <w:r>
              <w:t xml:space="preserve"> scores)</w:t>
            </w:r>
          </w:p>
        </w:tc>
        <w:tc>
          <w:tcPr>
            <w:tcW w:w="1177" w:type="dxa"/>
            <w:tcBorders>
              <w:top w:val="nil"/>
              <w:left w:val="nil"/>
              <w:right w:val="nil"/>
            </w:tcBorders>
          </w:tcPr>
          <w:p w:rsidR="00CD6D43" w:rsidRDefault="00CD6D43" w:rsidP="00CD6D43">
            <w:pPr>
              <w:pStyle w:val="APAPar"/>
              <w:spacing w:before="0" w:line="360" w:lineRule="auto"/>
              <w:ind w:firstLine="0"/>
              <w:jc w:val="center"/>
            </w:pPr>
            <w:r>
              <w:t>19.439</w:t>
            </w:r>
          </w:p>
        </w:tc>
        <w:tc>
          <w:tcPr>
            <w:tcW w:w="1091" w:type="dxa"/>
            <w:tcBorders>
              <w:top w:val="nil"/>
              <w:left w:val="nil"/>
              <w:right w:val="nil"/>
            </w:tcBorders>
          </w:tcPr>
          <w:p w:rsidR="00CD6D43" w:rsidRDefault="00CD6D43" w:rsidP="00CD6D43">
            <w:pPr>
              <w:pStyle w:val="APAPar"/>
              <w:spacing w:before="0" w:line="360" w:lineRule="auto"/>
              <w:ind w:firstLine="0"/>
              <w:jc w:val="center"/>
            </w:pPr>
            <w:r>
              <w:t>.353**</w:t>
            </w:r>
          </w:p>
        </w:tc>
        <w:tc>
          <w:tcPr>
            <w:tcW w:w="1276" w:type="dxa"/>
            <w:tcBorders>
              <w:top w:val="nil"/>
              <w:left w:val="nil"/>
              <w:right w:val="nil"/>
            </w:tcBorders>
          </w:tcPr>
          <w:p w:rsidR="00CD6D43" w:rsidRDefault="00CD6D43" w:rsidP="00CD6D43">
            <w:pPr>
              <w:pStyle w:val="APAPar"/>
              <w:spacing w:before="0" w:line="360" w:lineRule="auto"/>
              <w:ind w:firstLine="0"/>
              <w:jc w:val="center"/>
            </w:pPr>
            <w:r>
              <w:t>.113**</w:t>
            </w:r>
          </w:p>
        </w:tc>
      </w:tr>
    </w:tbl>
    <w:p w:rsidR="00C31CE0" w:rsidRDefault="00CD6D43" w:rsidP="00C42801">
      <w:pPr>
        <w:pStyle w:val="APAPar"/>
        <w:spacing w:before="0" w:line="360" w:lineRule="auto"/>
        <w:rPr>
          <w:rStyle w:val="IntenseEmphasis"/>
          <w:sz w:val="22"/>
        </w:rPr>
      </w:pPr>
      <w:r w:rsidRPr="00D35916">
        <w:rPr>
          <w:i/>
          <w:sz w:val="22"/>
        </w:rPr>
        <w:t>Note</w:t>
      </w:r>
      <w:r w:rsidRPr="00D35916">
        <w:rPr>
          <w:sz w:val="22"/>
        </w:rPr>
        <w:t>. **p&lt;.005, *p&lt;.05</w:t>
      </w:r>
    </w:p>
    <w:p w:rsidR="00C42801" w:rsidRPr="00C42801" w:rsidRDefault="00C42801" w:rsidP="00C42801">
      <w:pPr>
        <w:pStyle w:val="APAPar"/>
        <w:spacing w:before="0" w:line="360" w:lineRule="auto"/>
        <w:rPr>
          <w:rStyle w:val="IntenseEmphasis"/>
          <w:sz w:val="22"/>
        </w:rPr>
      </w:pPr>
    </w:p>
    <w:p w:rsidR="00CD6D43" w:rsidRPr="00513F25" w:rsidRDefault="00CD6D43" w:rsidP="00C31CE0">
      <w:pPr>
        <w:pStyle w:val="APAPar"/>
        <w:widowControl w:val="0"/>
        <w:spacing w:line="360" w:lineRule="auto"/>
        <w:ind w:left="1080" w:right="0" w:hanging="1080"/>
        <w:rPr>
          <w:rStyle w:val="IntenseEmphasis"/>
        </w:rPr>
      </w:pPr>
      <w:r>
        <w:rPr>
          <w:rStyle w:val="IntenseEmphasis"/>
        </w:rPr>
        <w:t xml:space="preserve">Table </w:t>
      </w:r>
      <w:r w:rsidR="00A174C4">
        <w:rPr>
          <w:rStyle w:val="IntenseEmphasis"/>
        </w:rPr>
        <w:t>7.15</w:t>
      </w:r>
      <w:r w:rsidR="00A174C4" w:rsidRPr="00513F25">
        <w:rPr>
          <w:rStyle w:val="IntenseEmphasis"/>
        </w:rPr>
        <w:t xml:space="preserve"> </w:t>
      </w:r>
      <w:r w:rsidRPr="00513F25">
        <w:rPr>
          <w:rStyle w:val="IntenseEmphasis"/>
        </w:rPr>
        <w:t xml:space="preserve">Testing </w:t>
      </w:r>
      <w:r w:rsidR="00A174C4" w:rsidRPr="00513F25">
        <w:rPr>
          <w:rStyle w:val="IntenseEmphasis"/>
        </w:rPr>
        <w:t xml:space="preserve">The Moderation Effect Of </w:t>
      </w:r>
      <w:r w:rsidR="00A174C4">
        <w:rPr>
          <w:rStyle w:val="IntenseEmphasis"/>
        </w:rPr>
        <w:t>Education</w:t>
      </w:r>
      <w:r w:rsidR="00A174C4" w:rsidRPr="00513F25">
        <w:rPr>
          <w:rStyle w:val="IntenseEmphasis"/>
        </w:rPr>
        <w:t xml:space="preserve"> In The Relation Between </w:t>
      </w:r>
      <w:r w:rsidR="00A174C4">
        <w:rPr>
          <w:rStyle w:val="IntenseEmphasis"/>
        </w:rPr>
        <w:t xml:space="preserve">Social Participation And </w:t>
      </w:r>
      <w:r>
        <w:rPr>
          <w:rStyle w:val="IntenseEmphasis"/>
        </w:rPr>
        <w:t xml:space="preserve">Trail Making Test </w:t>
      </w:r>
      <w:r w:rsidR="00A174C4">
        <w:rPr>
          <w:rStyle w:val="IntenseEmphasis"/>
        </w:rPr>
        <w:t xml:space="preserve">Part </w:t>
      </w:r>
      <w:r>
        <w:rPr>
          <w:rStyle w:val="IntenseEmphasis"/>
        </w:rPr>
        <w:t>B</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36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Default="00CD6D43" w:rsidP="00CD6D43">
            <w:pPr>
              <w:pStyle w:val="APAPar"/>
              <w:spacing w:before="0" w:line="360" w:lineRule="auto"/>
              <w:ind w:firstLine="0"/>
            </w:pPr>
            <w:r>
              <w:t>Step 1</w:t>
            </w:r>
          </w:p>
        </w:tc>
        <w:tc>
          <w:tcPr>
            <w:tcW w:w="1177" w:type="dxa"/>
            <w:tcBorders>
              <w:left w:val="nil"/>
              <w:bottom w:val="nil"/>
              <w:right w:val="nil"/>
            </w:tcBorders>
          </w:tcPr>
          <w:p w:rsidR="00CD6D43" w:rsidRDefault="00CD6D43" w:rsidP="00CD6D43">
            <w:pPr>
              <w:pStyle w:val="APAPar"/>
              <w:spacing w:before="0" w:line="360" w:lineRule="auto"/>
              <w:ind w:firstLine="0"/>
            </w:pPr>
          </w:p>
        </w:tc>
        <w:tc>
          <w:tcPr>
            <w:tcW w:w="1091" w:type="dxa"/>
            <w:tcBorders>
              <w:left w:val="nil"/>
              <w:bottom w:val="nil"/>
              <w:right w:val="nil"/>
            </w:tcBorders>
          </w:tcPr>
          <w:p w:rsidR="00CD6D43" w:rsidRDefault="00CD6D43" w:rsidP="00CD6D43">
            <w:pPr>
              <w:pStyle w:val="APAPar"/>
              <w:spacing w:before="0" w:line="360" w:lineRule="auto"/>
              <w:ind w:firstLine="0"/>
            </w:pPr>
          </w:p>
        </w:tc>
        <w:tc>
          <w:tcPr>
            <w:tcW w:w="1276" w:type="dxa"/>
            <w:tcBorders>
              <w:left w:val="nil"/>
              <w:bottom w:val="nil"/>
              <w:right w:val="nil"/>
            </w:tcBorders>
          </w:tcPr>
          <w:p w:rsidR="00CD6D43" w:rsidRDefault="00CD6D43" w:rsidP="00CD6D43">
            <w:pPr>
              <w:pStyle w:val="APAPar"/>
              <w:spacing w:before="0" w:line="360" w:lineRule="auto"/>
              <w:ind w:firstLine="0"/>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Social participation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-4.977</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-.084</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Education (</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-2.938</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-.049</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r>
              <w:t>-.010</w:t>
            </w: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Step 2</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rPr>
          <w:trHeight w:val="67"/>
        </w:trPr>
        <w:tc>
          <w:tcPr>
            <w:tcW w:w="4644" w:type="dxa"/>
            <w:tcBorders>
              <w:top w:val="nil"/>
              <w:left w:val="nil"/>
              <w:right w:val="nil"/>
            </w:tcBorders>
          </w:tcPr>
          <w:p w:rsidR="00CD6D43" w:rsidRPr="00E041BC" w:rsidRDefault="00CD6D43" w:rsidP="00CD6D43">
            <w:pPr>
              <w:pStyle w:val="APAPar"/>
              <w:spacing w:before="0" w:line="360" w:lineRule="auto"/>
              <w:ind w:firstLine="0"/>
              <w:rPr>
                <w:lang w:val="fr-FR"/>
              </w:rPr>
            </w:pPr>
            <w:r w:rsidRPr="00E041BC">
              <w:rPr>
                <w:lang w:val="fr-FR"/>
              </w:rPr>
              <w:t>Social participation x education (</w:t>
            </w:r>
            <w:r w:rsidRPr="00E041BC">
              <w:rPr>
                <w:i/>
                <w:lang w:val="fr-FR"/>
              </w:rPr>
              <w:t>z</w:t>
            </w:r>
            <w:r w:rsidRPr="00E041BC">
              <w:rPr>
                <w:lang w:val="fr-FR"/>
              </w:rPr>
              <w:t xml:space="preserve"> scores)</w:t>
            </w:r>
          </w:p>
        </w:tc>
        <w:tc>
          <w:tcPr>
            <w:tcW w:w="1177" w:type="dxa"/>
            <w:tcBorders>
              <w:top w:val="nil"/>
              <w:left w:val="nil"/>
              <w:right w:val="nil"/>
            </w:tcBorders>
          </w:tcPr>
          <w:p w:rsidR="00CD6D43" w:rsidRDefault="00CD6D43" w:rsidP="00CD6D43">
            <w:pPr>
              <w:pStyle w:val="APAPar"/>
              <w:spacing w:before="0" w:line="360" w:lineRule="auto"/>
              <w:ind w:firstLine="0"/>
              <w:jc w:val="center"/>
            </w:pPr>
            <w:r>
              <w:t>19.238</w:t>
            </w:r>
          </w:p>
        </w:tc>
        <w:tc>
          <w:tcPr>
            <w:tcW w:w="1091" w:type="dxa"/>
            <w:tcBorders>
              <w:top w:val="nil"/>
              <w:left w:val="nil"/>
              <w:right w:val="nil"/>
            </w:tcBorders>
          </w:tcPr>
          <w:p w:rsidR="00CD6D43" w:rsidRDefault="00CD6D43" w:rsidP="00CD6D43">
            <w:pPr>
              <w:pStyle w:val="APAPar"/>
              <w:spacing w:before="0" w:line="360" w:lineRule="auto"/>
              <w:ind w:firstLine="0"/>
              <w:jc w:val="center"/>
            </w:pPr>
            <w:r>
              <w:t>.345**</w:t>
            </w:r>
          </w:p>
        </w:tc>
        <w:tc>
          <w:tcPr>
            <w:tcW w:w="1276" w:type="dxa"/>
            <w:tcBorders>
              <w:top w:val="nil"/>
              <w:left w:val="nil"/>
              <w:right w:val="nil"/>
            </w:tcBorders>
          </w:tcPr>
          <w:p w:rsidR="00CD6D43" w:rsidRDefault="00CD6D43" w:rsidP="00CD6D43">
            <w:pPr>
              <w:pStyle w:val="APAPar"/>
              <w:spacing w:before="0" w:line="360" w:lineRule="auto"/>
              <w:ind w:firstLine="0"/>
              <w:jc w:val="center"/>
            </w:pPr>
            <w:r>
              <w:t>.081**</w:t>
            </w:r>
          </w:p>
        </w:tc>
      </w:tr>
    </w:tbl>
    <w:p w:rsidR="00CD6D43" w:rsidRDefault="00CD6D43" w:rsidP="00CD6D43">
      <w:pPr>
        <w:pStyle w:val="APAPar"/>
        <w:spacing w:before="0" w:line="360" w:lineRule="auto"/>
        <w:rPr>
          <w:sz w:val="22"/>
        </w:rPr>
      </w:pPr>
      <w:r w:rsidRPr="00D35916">
        <w:rPr>
          <w:i/>
          <w:sz w:val="22"/>
        </w:rPr>
        <w:t>Note</w:t>
      </w:r>
      <w:r w:rsidRPr="00D35916">
        <w:rPr>
          <w:sz w:val="22"/>
        </w:rPr>
        <w:t>. **p&lt;.005, *p&lt;.05</w:t>
      </w:r>
    </w:p>
    <w:p w:rsidR="00CD6D43" w:rsidRDefault="00CD6D43" w:rsidP="00CD6D43">
      <w:pPr>
        <w:pStyle w:val="APAPar"/>
        <w:spacing w:before="0" w:line="360" w:lineRule="auto"/>
        <w:ind w:firstLine="0"/>
        <w:rPr>
          <w:sz w:val="22"/>
        </w:rPr>
      </w:pPr>
    </w:p>
    <w:p w:rsidR="00C42801" w:rsidRDefault="00C42801" w:rsidP="00CD6D43">
      <w:pPr>
        <w:pStyle w:val="APAPar"/>
        <w:spacing w:before="0" w:line="360" w:lineRule="auto"/>
        <w:ind w:firstLine="0"/>
        <w:rPr>
          <w:sz w:val="22"/>
        </w:rPr>
      </w:pPr>
    </w:p>
    <w:p w:rsidR="00C42801" w:rsidRDefault="00C42801" w:rsidP="00CD6D43">
      <w:pPr>
        <w:pStyle w:val="APAPar"/>
        <w:spacing w:before="0" w:line="360" w:lineRule="auto"/>
        <w:ind w:firstLine="0"/>
        <w:rPr>
          <w:sz w:val="22"/>
        </w:rPr>
      </w:pPr>
    </w:p>
    <w:p w:rsidR="00CD6D43" w:rsidRPr="00513F25" w:rsidRDefault="00CD6D43" w:rsidP="00C31CE0">
      <w:pPr>
        <w:pStyle w:val="APAPar"/>
        <w:widowControl w:val="0"/>
        <w:spacing w:line="360" w:lineRule="auto"/>
        <w:ind w:left="1080" w:right="0" w:hanging="1080"/>
        <w:rPr>
          <w:rStyle w:val="IntenseEmphasis"/>
        </w:rPr>
      </w:pPr>
      <w:r>
        <w:rPr>
          <w:rStyle w:val="IntenseEmphasis"/>
        </w:rPr>
        <w:t xml:space="preserve">Table </w:t>
      </w:r>
      <w:r w:rsidR="00A174C4">
        <w:rPr>
          <w:rStyle w:val="IntenseEmphasis"/>
        </w:rPr>
        <w:t>7.16</w:t>
      </w:r>
      <w:r w:rsidR="00A174C4" w:rsidRPr="00513F25">
        <w:rPr>
          <w:rStyle w:val="IntenseEmphasis"/>
        </w:rPr>
        <w:t xml:space="preserve"> </w:t>
      </w:r>
      <w:r w:rsidRPr="00513F25">
        <w:rPr>
          <w:rStyle w:val="IntenseEmphasis"/>
        </w:rPr>
        <w:t xml:space="preserve">Testing </w:t>
      </w:r>
      <w:r w:rsidR="00A174C4" w:rsidRPr="00513F25">
        <w:rPr>
          <w:rStyle w:val="IntenseEmphasis"/>
        </w:rPr>
        <w:t xml:space="preserve">The Moderation Effect Of </w:t>
      </w:r>
      <w:r w:rsidR="00A174C4">
        <w:rPr>
          <w:rStyle w:val="IntenseEmphasis"/>
        </w:rPr>
        <w:t>Exercising Adequately Or Not</w:t>
      </w:r>
      <w:r w:rsidR="00A174C4" w:rsidRPr="00513F25">
        <w:rPr>
          <w:rStyle w:val="IntenseEmphasis"/>
        </w:rPr>
        <w:t xml:space="preserve"> In The Relation Between </w:t>
      </w:r>
      <w:r w:rsidR="00A174C4">
        <w:rPr>
          <w:rStyle w:val="IntenseEmphasis"/>
        </w:rPr>
        <w:t xml:space="preserve">Age And </w:t>
      </w:r>
      <w:r>
        <w:rPr>
          <w:rStyle w:val="IntenseEmphasis"/>
        </w:rPr>
        <w:t xml:space="preserve">Trail Making Test </w:t>
      </w:r>
      <w:r w:rsidR="00A174C4">
        <w:rPr>
          <w:rStyle w:val="IntenseEmphasis"/>
        </w:rPr>
        <w:t xml:space="preserve">Part </w:t>
      </w:r>
      <w:r>
        <w:rPr>
          <w:rStyle w:val="IntenseEmphasis"/>
        </w:rPr>
        <w:t>B</w:t>
      </w:r>
    </w:p>
    <w:tbl>
      <w:tblPr>
        <w:tblStyle w:val="TableGrid"/>
        <w:tblW w:w="0" w:type="auto"/>
        <w:tblLook w:val="04A0" w:firstRow="1" w:lastRow="0" w:firstColumn="1" w:lastColumn="0" w:noHBand="0" w:noVBand="1"/>
      </w:tblPr>
      <w:tblGrid>
        <w:gridCol w:w="4644"/>
        <w:gridCol w:w="1177"/>
        <w:gridCol w:w="1091"/>
        <w:gridCol w:w="1276"/>
      </w:tblGrid>
      <w:tr w:rsidR="00CD6D43" w:rsidTr="00CD6D43">
        <w:tc>
          <w:tcPr>
            <w:tcW w:w="4644" w:type="dxa"/>
            <w:tcBorders>
              <w:top w:val="nil"/>
              <w:left w:val="nil"/>
              <w:bottom w:val="single" w:sz="4" w:space="0" w:color="auto"/>
              <w:right w:val="nil"/>
            </w:tcBorders>
          </w:tcPr>
          <w:p w:rsidR="00CD6D43" w:rsidRDefault="00CD6D43" w:rsidP="00CD6D43">
            <w:pPr>
              <w:pStyle w:val="APAPar"/>
              <w:spacing w:before="0" w:line="360" w:lineRule="auto"/>
              <w:ind w:firstLine="0"/>
            </w:pPr>
            <w:r>
              <w:t>Step and variable</w:t>
            </w:r>
          </w:p>
        </w:tc>
        <w:tc>
          <w:tcPr>
            <w:tcW w:w="1177"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rPr>
            </w:pPr>
            <w:r w:rsidRPr="00C64FF4">
              <w:rPr>
                <w:i/>
              </w:rPr>
              <w:t>B</w:t>
            </w:r>
          </w:p>
        </w:tc>
        <w:tc>
          <w:tcPr>
            <w:tcW w:w="1091"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i/>
                <w:lang w:val="el-GR"/>
              </w:rPr>
            </w:pPr>
            <w:r w:rsidRPr="00C64FF4">
              <w:rPr>
                <w:i/>
                <w:lang w:val="el-GR"/>
              </w:rPr>
              <w:t>β</w:t>
            </w:r>
          </w:p>
        </w:tc>
        <w:tc>
          <w:tcPr>
            <w:tcW w:w="1276" w:type="dxa"/>
            <w:tcBorders>
              <w:top w:val="nil"/>
              <w:left w:val="nil"/>
              <w:bottom w:val="single" w:sz="4" w:space="0" w:color="auto"/>
              <w:right w:val="nil"/>
            </w:tcBorders>
          </w:tcPr>
          <w:p w:rsidR="00CD6D43" w:rsidRPr="00C64FF4" w:rsidRDefault="00CD6D43" w:rsidP="00CD6D43">
            <w:pPr>
              <w:pStyle w:val="APAPar"/>
              <w:spacing w:before="0" w:line="360" w:lineRule="auto"/>
              <w:ind w:firstLine="0"/>
              <w:jc w:val="both"/>
              <w:rPr>
                <w:vertAlign w:val="subscript"/>
                <w:lang w:val="en-US"/>
              </w:rPr>
            </w:pPr>
            <w:r>
              <w:rPr>
                <w:lang w:val="en-US"/>
              </w:rPr>
              <w:t>R</w:t>
            </w:r>
            <w:r>
              <w:rPr>
                <w:vertAlign w:val="superscript"/>
                <w:lang w:val="en-US"/>
              </w:rPr>
              <w:t>2</w:t>
            </w:r>
            <w:r>
              <w:rPr>
                <w:vertAlign w:val="subscript"/>
                <w:lang w:val="en-US"/>
              </w:rPr>
              <w:t>change</w:t>
            </w:r>
          </w:p>
        </w:tc>
      </w:tr>
      <w:tr w:rsidR="00CD6D43" w:rsidTr="00CD6D43">
        <w:tc>
          <w:tcPr>
            <w:tcW w:w="4644" w:type="dxa"/>
            <w:tcBorders>
              <w:left w:val="nil"/>
              <w:bottom w:val="nil"/>
              <w:right w:val="nil"/>
            </w:tcBorders>
          </w:tcPr>
          <w:p w:rsidR="00CD6D43" w:rsidRDefault="00CD6D43" w:rsidP="00CD6D43">
            <w:pPr>
              <w:pStyle w:val="APAPar"/>
              <w:spacing w:before="0" w:line="360" w:lineRule="auto"/>
              <w:ind w:firstLine="0"/>
            </w:pPr>
            <w:r>
              <w:t>Step 1</w:t>
            </w:r>
          </w:p>
        </w:tc>
        <w:tc>
          <w:tcPr>
            <w:tcW w:w="1177" w:type="dxa"/>
            <w:tcBorders>
              <w:left w:val="nil"/>
              <w:bottom w:val="nil"/>
              <w:right w:val="nil"/>
            </w:tcBorders>
          </w:tcPr>
          <w:p w:rsidR="00CD6D43" w:rsidRDefault="00CD6D43" w:rsidP="00CD6D43">
            <w:pPr>
              <w:pStyle w:val="APAPar"/>
              <w:spacing w:before="0" w:line="360" w:lineRule="auto"/>
              <w:ind w:firstLine="0"/>
            </w:pPr>
          </w:p>
        </w:tc>
        <w:tc>
          <w:tcPr>
            <w:tcW w:w="1091" w:type="dxa"/>
            <w:tcBorders>
              <w:left w:val="nil"/>
              <w:bottom w:val="nil"/>
              <w:right w:val="nil"/>
            </w:tcBorders>
          </w:tcPr>
          <w:p w:rsidR="00CD6D43" w:rsidRDefault="00CD6D43" w:rsidP="00CD6D43">
            <w:pPr>
              <w:pStyle w:val="APAPar"/>
              <w:spacing w:before="0" w:line="360" w:lineRule="auto"/>
              <w:ind w:firstLine="0"/>
            </w:pPr>
          </w:p>
        </w:tc>
        <w:tc>
          <w:tcPr>
            <w:tcW w:w="1276" w:type="dxa"/>
            <w:tcBorders>
              <w:left w:val="nil"/>
              <w:bottom w:val="nil"/>
              <w:right w:val="nil"/>
            </w:tcBorders>
          </w:tcPr>
          <w:p w:rsidR="00CD6D43" w:rsidRDefault="00CD6D43" w:rsidP="00CD6D43">
            <w:pPr>
              <w:pStyle w:val="APAPar"/>
              <w:spacing w:before="0" w:line="360" w:lineRule="auto"/>
              <w:ind w:firstLine="0"/>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Age(</w:t>
            </w:r>
            <w:r w:rsidRPr="00F249B6">
              <w:rPr>
                <w:i/>
              </w:rPr>
              <w:t>z</w:t>
            </w:r>
            <w:r>
              <w:t xml:space="preserve"> score)</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18.746</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.316**</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 xml:space="preserve">Exercise </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r>
              <w:t>13.925</w:t>
            </w: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r>
              <w:t>.111</w:t>
            </w: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r>
              <w:t>.130**</w:t>
            </w:r>
          </w:p>
        </w:tc>
      </w:tr>
      <w:tr w:rsidR="00CD6D43" w:rsidTr="00CD6D43">
        <w:tc>
          <w:tcPr>
            <w:tcW w:w="4644" w:type="dxa"/>
            <w:tcBorders>
              <w:top w:val="nil"/>
              <w:left w:val="nil"/>
              <w:bottom w:val="nil"/>
              <w:right w:val="nil"/>
            </w:tcBorders>
          </w:tcPr>
          <w:p w:rsidR="00CD6D43" w:rsidRDefault="00CD6D43" w:rsidP="00CD6D43">
            <w:pPr>
              <w:pStyle w:val="APAPar"/>
              <w:spacing w:before="0" w:line="360" w:lineRule="auto"/>
              <w:ind w:firstLine="0"/>
            </w:pPr>
            <w:r>
              <w:t>Step 2</w:t>
            </w:r>
          </w:p>
        </w:tc>
        <w:tc>
          <w:tcPr>
            <w:tcW w:w="1177" w:type="dxa"/>
            <w:tcBorders>
              <w:top w:val="nil"/>
              <w:left w:val="nil"/>
              <w:bottom w:val="nil"/>
              <w:right w:val="nil"/>
            </w:tcBorders>
          </w:tcPr>
          <w:p w:rsidR="00CD6D43" w:rsidRDefault="00CD6D43" w:rsidP="00CD6D43">
            <w:pPr>
              <w:pStyle w:val="APAPar"/>
              <w:spacing w:before="0" w:line="360" w:lineRule="auto"/>
              <w:ind w:firstLine="0"/>
              <w:jc w:val="center"/>
            </w:pPr>
          </w:p>
        </w:tc>
        <w:tc>
          <w:tcPr>
            <w:tcW w:w="1091" w:type="dxa"/>
            <w:tcBorders>
              <w:top w:val="nil"/>
              <w:left w:val="nil"/>
              <w:bottom w:val="nil"/>
              <w:right w:val="nil"/>
            </w:tcBorders>
          </w:tcPr>
          <w:p w:rsidR="00CD6D43" w:rsidRDefault="00CD6D43" w:rsidP="00CD6D43">
            <w:pPr>
              <w:pStyle w:val="APAPar"/>
              <w:spacing w:before="0" w:line="360" w:lineRule="auto"/>
              <w:ind w:firstLine="0"/>
              <w:jc w:val="center"/>
            </w:pPr>
          </w:p>
        </w:tc>
        <w:tc>
          <w:tcPr>
            <w:tcW w:w="1276" w:type="dxa"/>
            <w:tcBorders>
              <w:top w:val="nil"/>
              <w:left w:val="nil"/>
              <w:bottom w:val="nil"/>
              <w:right w:val="nil"/>
            </w:tcBorders>
          </w:tcPr>
          <w:p w:rsidR="00CD6D43" w:rsidRDefault="00CD6D43" w:rsidP="00CD6D43">
            <w:pPr>
              <w:pStyle w:val="APAPar"/>
              <w:spacing w:before="0" w:line="360" w:lineRule="auto"/>
              <w:ind w:firstLine="0"/>
              <w:jc w:val="center"/>
            </w:pPr>
          </w:p>
        </w:tc>
      </w:tr>
      <w:tr w:rsidR="00CD6D43" w:rsidTr="00CD6D43">
        <w:trPr>
          <w:trHeight w:val="67"/>
        </w:trPr>
        <w:tc>
          <w:tcPr>
            <w:tcW w:w="4644" w:type="dxa"/>
            <w:tcBorders>
              <w:top w:val="nil"/>
              <w:left w:val="nil"/>
              <w:right w:val="nil"/>
            </w:tcBorders>
          </w:tcPr>
          <w:p w:rsidR="00CD6D43" w:rsidRDefault="00CD6D43" w:rsidP="00CD6D43">
            <w:pPr>
              <w:pStyle w:val="APAPar"/>
              <w:spacing w:before="0" w:line="360" w:lineRule="auto"/>
              <w:ind w:firstLine="0"/>
            </w:pPr>
            <w:r>
              <w:t>Age (</w:t>
            </w:r>
            <w:r w:rsidRPr="00F249B6">
              <w:rPr>
                <w:i/>
              </w:rPr>
              <w:t>z</w:t>
            </w:r>
            <w:r>
              <w:t xml:space="preserve"> score) x exercise </w:t>
            </w:r>
          </w:p>
        </w:tc>
        <w:tc>
          <w:tcPr>
            <w:tcW w:w="1177" w:type="dxa"/>
            <w:tcBorders>
              <w:top w:val="nil"/>
              <w:left w:val="nil"/>
              <w:right w:val="nil"/>
            </w:tcBorders>
          </w:tcPr>
          <w:p w:rsidR="00CD6D43" w:rsidRDefault="00CD6D43" w:rsidP="00CD6D43">
            <w:pPr>
              <w:pStyle w:val="APAPar"/>
              <w:spacing w:before="0" w:line="360" w:lineRule="auto"/>
              <w:ind w:firstLine="0"/>
              <w:jc w:val="center"/>
            </w:pPr>
            <w:r>
              <w:t>-35.159</w:t>
            </w:r>
          </w:p>
        </w:tc>
        <w:tc>
          <w:tcPr>
            <w:tcW w:w="1091" w:type="dxa"/>
            <w:tcBorders>
              <w:top w:val="nil"/>
              <w:left w:val="nil"/>
              <w:right w:val="nil"/>
            </w:tcBorders>
          </w:tcPr>
          <w:p w:rsidR="00CD6D43" w:rsidRDefault="00CD6D43" w:rsidP="00CD6D43">
            <w:pPr>
              <w:pStyle w:val="APAPar"/>
              <w:spacing w:before="0" w:line="360" w:lineRule="auto"/>
              <w:ind w:firstLine="0"/>
              <w:jc w:val="center"/>
            </w:pPr>
            <w:r>
              <w:t>-.912**</w:t>
            </w:r>
          </w:p>
        </w:tc>
        <w:tc>
          <w:tcPr>
            <w:tcW w:w="1276" w:type="dxa"/>
            <w:tcBorders>
              <w:top w:val="nil"/>
              <w:left w:val="nil"/>
              <w:right w:val="nil"/>
            </w:tcBorders>
          </w:tcPr>
          <w:p w:rsidR="00CD6D43" w:rsidRDefault="00CD6D43" w:rsidP="00CD6D43">
            <w:pPr>
              <w:pStyle w:val="APAPar"/>
              <w:spacing w:before="0" w:line="360" w:lineRule="auto"/>
              <w:ind w:firstLine="0"/>
              <w:jc w:val="center"/>
            </w:pPr>
            <w:r>
              <w:t>.081**</w:t>
            </w:r>
          </w:p>
        </w:tc>
      </w:tr>
    </w:tbl>
    <w:p w:rsidR="00CD6D43" w:rsidRPr="004F345B" w:rsidRDefault="00CD6D43" w:rsidP="00CD6D43">
      <w:pPr>
        <w:pStyle w:val="APAPar"/>
        <w:spacing w:before="0" w:line="360" w:lineRule="auto"/>
        <w:rPr>
          <w:sz w:val="22"/>
        </w:rPr>
      </w:pPr>
      <w:r w:rsidRPr="00D35916">
        <w:rPr>
          <w:i/>
          <w:sz w:val="22"/>
        </w:rPr>
        <w:t>Note</w:t>
      </w:r>
      <w:r w:rsidRPr="00D35916">
        <w:rPr>
          <w:sz w:val="22"/>
        </w:rPr>
        <w:t>. **p&lt;.005, *p&lt;.05</w:t>
      </w:r>
    </w:p>
    <w:p w:rsidR="004359CD" w:rsidRDefault="004359CD" w:rsidP="005C41B7">
      <w:pPr>
        <w:pStyle w:val="APAPar"/>
        <w:rPr>
          <w:rStyle w:val="IntenseEmphasis"/>
          <w:lang w:val="el-GR"/>
        </w:rPr>
      </w:pPr>
    </w:p>
    <w:p w:rsidR="006364C6" w:rsidRDefault="006364C6" w:rsidP="00546D49">
      <w:pPr>
        <w:pStyle w:val="APAPar"/>
        <w:ind w:left="960" w:firstLine="0"/>
      </w:pPr>
    </w:p>
    <w:p w:rsidR="00C31CE0" w:rsidRPr="004F345B" w:rsidRDefault="00C31CE0" w:rsidP="00546D49">
      <w:pPr>
        <w:pStyle w:val="APAPar"/>
        <w:ind w:left="960" w:firstLine="0"/>
      </w:pPr>
    </w:p>
    <w:p w:rsidR="00C70065" w:rsidRPr="00AB099B" w:rsidRDefault="00EC509F" w:rsidP="00C42801">
      <w:pPr>
        <w:pStyle w:val="APAPar"/>
        <w:jc w:val="center"/>
        <w:rPr>
          <w:lang w:val="en-US"/>
        </w:rPr>
      </w:pPr>
      <w:r w:rsidRPr="00572235">
        <w:rPr>
          <w:noProof/>
          <w:lang w:eastAsia="zh-CN"/>
        </w:rPr>
        <w:drawing>
          <wp:inline distT="0" distB="0" distL="0" distR="0">
            <wp:extent cx="4338973" cy="29830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400748" cy="3025513"/>
                    </a:xfrm>
                    <a:prstGeom prst="rect">
                      <a:avLst/>
                    </a:prstGeom>
                  </pic:spPr>
                </pic:pic>
              </a:graphicData>
            </a:graphic>
          </wp:inline>
        </w:drawing>
      </w:r>
    </w:p>
    <w:p w:rsidR="00904DC6" w:rsidRPr="00CD6D43" w:rsidRDefault="00BC07E3" w:rsidP="005E0740">
      <w:pPr>
        <w:pStyle w:val="APAPar"/>
        <w:ind w:firstLine="0"/>
        <w:rPr>
          <w:rStyle w:val="IntenseEmphasis"/>
        </w:rPr>
      </w:pPr>
      <w:r w:rsidRPr="000B6600">
        <w:rPr>
          <w:rStyle w:val="IntenseEmphasis"/>
        </w:rPr>
        <w:t>Figure 7.4</w:t>
      </w:r>
      <w:r w:rsidR="00AB099B" w:rsidRPr="000B6600">
        <w:rPr>
          <w:rStyle w:val="IntenseEmphasis"/>
        </w:rPr>
        <w:t xml:space="preserve"> </w:t>
      </w:r>
      <w:r w:rsidR="00934468" w:rsidRPr="000B6600">
        <w:rPr>
          <w:rStyle w:val="IntenseEmphasis"/>
        </w:rPr>
        <w:t>Trail Making Test part B scores as a function of social participation levels and age</w:t>
      </w:r>
    </w:p>
    <w:p w:rsidR="00430B19" w:rsidRPr="00F503E6" w:rsidRDefault="00F503E6" w:rsidP="00C42801">
      <w:pPr>
        <w:pStyle w:val="APAPar"/>
        <w:jc w:val="center"/>
        <w:rPr>
          <w:lang w:val="en-US"/>
        </w:rPr>
      </w:pPr>
      <w:r w:rsidRPr="00F503E6">
        <w:rPr>
          <w:noProof/>
          <w:lang w:eastAsia="zh-CN"/>
        </w:rPr>
        <w:drawing>
          <wp:inline distT="0" distB="0" distL="0" distR="0">
            <wp:extent cx="4266463" cy="344161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90637" cy="3461111"/>
                    </a:xfrm>
                    <a:prstGeom prst="rect">
                      <a:avLst/>
                    </a:prstGeom>
                  </pic:spPr>
                </pic:pic>
              </a:graphicData>
            </a:graphic>
          </wp:inline>
        </w:drawing>
      </w:r>
    </w:p>
    <w:p w:rsidR="00934468" w:rsidRDefault="00BC07E3" w:rsidP="00E17A8A">
      <w:pPr>
        <w:pStyle w:val="APAPar"/>
        <w:ind w:firstLine="0"/>
        <w:rPr>
          <w:rStyle w:val="IntenseEmphasis"/>
        </w:rPr>
      </w:pPr>
      <w:r>
        <w:rPr>
          <w:rStyle w:val="IntenseEmphasis"/>
        </w:rPr>
        <w:t>Figure 7.5</w:t>
      </w:r>
      <w:r w:rsidR="00430B19" w:rsidRPr="00513F25">
        <w:rPr>
          <w:rStyle w:val="IntenseEmphasis"/>
        </w:rPr>
        <w:t xml:space="preserve"> </w:t>
      </w:r>
      <w:r w:rsidR="00934468" w:rsidRPr="000B6600">
        <w:rPr>
          <w:rStyle w:val="IntenseEmphasis"/>
        </w:rPr>
        <w:t>Trail Making Test part B scores as a function of Internet use levels and age</w:t>
      </w:r>
    </w:p>
    <w:p w:rsidR="00430B19" w:rsidRPr="00934468" w:rsidRDefault="00430B19" w:rsidP="005C41B7">
      <w:pPr>
        <w:pStyle w:val="APAPar"/>
      </w:pPr>
    </w:p>
    <w:p w:rsidR="006E0468" w:rsidRPr="00E4001E" w:rsidRDefault="006E0468" w:rsidP="00C42801">
      <w:pPr>
        <w:pStyle w:val="APAPar"/>
        <w:jc w:val="center"/>
      </w:pPr>
      <w:r w:rsidRPr="006E0468">
        <w:rPr>
          <w:noProof/>
          <w:lang w:eastAsia="zh-CN"/>
        </w:rPr>
        <w:drawing>
          <wp:inline distT="0" distB="0" distL="0" distR="0">
            <wp:extent cx="4275455" cy="34392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04197" cy="3462320"/>
                    </a:xfrm>
                    <a:prstGeom prst="rect">
                      <a:avLst/>
                    </a:prstGeom>
                  </pic:spPr>
                </pic:pic>
              </a:graphicData>
            </a:graphic>
          </wp:inline>
        </w:drawing>
      </w:r>
    </w:p>
    <w:p w:rsidR="00934468" w:rsidRDefault="0059143C" w:rsidP="00E17A8A">
      <w:pPr>
        <w:pStyle w:val="APAPar"/>
        <w:spacing w:before="0"/>
        <w:ind w:firstLine="0"/>
        <w:rPr>
          <w:rStyle w:val="IntenseEmphasis"/>
        </w:rPr>
      </w:pPr>
      <w:r>
        <w:rPr>
          <w:rStyle w:val="IntenseEmphasis"/>
        </w:rPr>
        <w:t>Figure 7.</w:t>
      </w:r>
      <w:r w:rsidR="00BC07E3" w:rsidRPr="000B6600">
        <w:rPr>
          <w:rStyle w:val="IntenseEmphasis"/>
        </w:rPr>
        <w:t>6</w:t>
      </w:r>
      <w:r w:rsidRPr="000B6600">
        <w:rPr>
          <w:rStyle w:val="IntenseEmphasis"/>
        </w:rPr>
        <w:t xml:space="preserve"> </w:t>
      </w:r>
      <w:r w:rsidR="00934468" w:rsidRPr="000B6600">
        <w:rPr>
          <w:rStyle w:val="IntenseEmphasis"/>
        </w:rPr>
        <w:t>Trail Making Test part B scores as a function of exercise and age</w:t>
      </w:r>
    </w:p>
    <w:p w:rsidR="006364C6" w:rsidRPr="00AB099B" w:rsidRDefault="006364C6" w:rsidP="00E17A8A">
      <w:pPr>
        <w:pStyle w:val="APAPar"/>
        <w:spacing w:before="0"/>
        <w:ind w:left="960" w:firstLine="0"/>
        <w:rPr>
          <w:rStyle w:val="IntenseEmphasis"/>
          <w:lang w:val="en-US"/>
        </w:rPr>
      </w:pPr>
    </w:p>
    <w:p w:rsidR="004F345B" w:rsidRDefault="00AF150C" w:rsidP="00C42801">
      <w:pPr>
        <w:pStyle w:val="APAPar"/>
        <w:jc w:val="center"/>
        <w:rPr>
          <w:rStyle w:val="IntenseEmphasis"/>
        </w:rPr>
      </w:pPr>
      <w:r w:rsidRPr="00AF150C">
        <w:rPr>
          <w:rStyle w:val="IntenseEmphasis"/>
          <w:noProof/>
          <w:lang w:eastAsia="zh-CN"/>
        </w:rPr>
        <w:drawing>
          <wp:inline distT="0" distB="0" distL="0" distR="0">
            <wp:extent cx="3962400" cy="3314700"/>
            <wp:effectExtent l="0" t="0" r="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62400" cy="3314700"/>
                    </a:xfrm>
                    <a:prstGeom prst="rect">
                      <a:avLst/>
                    </a:prstGeom>
                  </pic:spPr>
                </pic:pic>
              </a:graphicData>
            </a:graphic>
          </wp:inline>
        </w:drawing>
      </w:r>
    </w:p>
    <w:p w:rsidR="004F345B" w:rsidRPr="00CD6D43" w:rsidRDefault="004F345B" w:rsidP="00E17A8A">
      <w:pPr>
        <w:pStyle w:val="APAPar"/>
        <w:ind w:firstLine="0"/>
        <w:rPr>
          <w:rStyle w:val="IntenseEmphasis"/>
        </w:rPr>
      </w:pPr>
      <w:r>
        <w:rPr>
          <w:rStyle w:val="IntenseEmphasis"/>
        </w:rPr>
        <w:t>Figure 7.</w:t>
      </w:r>
      <w:r w:rsidR="004E6516">
        <w:rPr>
          <w:rStyle w:val="IntenseEmphasis"/>
        </w:rPr>
        <w:t>7</w:t>
      </w:r>
      <w:r w:rsidRPr="00513F25">
        <w:rPr>
          <w:rStyle w:val="IntenseEmphasis"/>
        </w:rPr>
        <w:t xml:space="preserve"> </w:t>
      </w:r>
      <w:r w:rsidR="00934468" w:rsidRPr="000B6600">
        <w:rPr>
          <w:rStyle w:val="IntenseEmphasis"/>
        </w:rPr>
        <w:t>Trail Making Test part B scores as a function of education and age</w:t>
      </w:r>
    </w:p>
    <w:p w:rsidR="004F345B" w:rsidRPr="000B6600" w:rsidRDefault="00AF150C" w:rsidP="005D6C71">
      <w:pPr>
        <w:pStyle w:val="APAPar"/>
        <w:jc w:val="center"/>
        <w:rPr>
          <w:rStyle w:val="IntenseEmphasis"/>
        </w:rPr>
      </w:pPr>
      <w:r w:rsidRPr="000B6600">
        <w:rPr>
          <w:rStyle w:val="IntenseEmphasis"/>
          <w:noProof/>
          <w:lang w:eastAsia="zh-CN"/>
        </w:rPr>
        <w:drawing>
          <wp:inline distT="0" distB="0" distL="0" distR="0">
            <wp:extent cx="3962400" cy="3314700"/>
            <wp:effectExtent l="0" t="0" r="0" b="0"/>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62400" cy="3314700"/>
                    </a:xfrm>
                    <a:prstGeom prst="rect">
                      <a:avLst/>
                    </a:prstGeom>
                  </pic:spPr>
                </pic:pic>
              </a:graphicData>
            </a:graphic>
          </wp:inline>
        </w:drawing>
      </w:r>
    </w:p>
    <w:p w:rsidR="00934468" w:rsidRDefault="004F345B" w:rsidP="00E17A8A">
      <w:pPr>
        <w:pStyle w:val="APAPar"/>
        <w:ind w:firstLine="0"/>
        <w:rPr>
          <w:rStyle w:val="IntenseEmphasis"/>
        </w:rPr>
      </w:pPr>
      <w:r w:rsidRPr="000B6600">
        <w:rPr>
          <w:rStyle w:val="IntenseEmphasis"/>
        </w:rPr>
        <w:t>Figure 7.</w:t>
      </w:r>
      <w:r w:rsidR="004E6516" w:rsidRPr="000B6600">
        <w:rPr>
          <w:rStyle w:val="IntenseEmphasis"/>
        </w:rPr>
        <w:t>8</w:t>
      </w:r>
      <w:r w:rsidRPr="000B6600">
        <w:rPr>
          <w:rStyle w:val="IntenseEmphasis"/>
        </w:rPr>
        <w:t xml:space="preserve"> </w:t>
      </w:r>
      <w:r w:rsidR="00934468" w:rsidRPr="000B6600">
        <w:rPr>
          <w:rStyle w:val="IntenseEmphasis"/>
        </w:rPr>
        <w:t>Verbal Fluency scores as a function of education and age</w:t>
      </w:r>
    </w:p>
    <w:p w:rsidR="004F345B" w:rsidRPr="00934468" w:rsidRDefault="004F345B" w:rsidP="005C41B7">
      <w:pPr>
        <w:pStyle w:val="APAPar"/>
        <w:rPr>
          <w:rStyle w:val="IntenseEmphasis"/>
        </w:rPr>
      </w:pPr>
    </w:p>
    <w:p w:rsidR="004F345B" w:rsidRDefault="001334D7" w:rsidP="005D6C71">
      <w:pPr>
        <w:pStyle w:val="APAPar"/>
        <w:jc w:val="center"/>
      </w:pPr>
      <w:r w:rsidRPr="001334D7">
        <w:rPr>
          <w:noProof/>
          <w:lang w:eastAsia="zh-CN"/>
        </w:rPr>
        <w:drawing>
          <wp:inline distT="0" distB="0" distL="0" distR="0">
            <wp:extent cx="3962400" cy="3314700"/>
            <wp:effectExtent l="0" t="0" r="0" b="0"/>
            <wp:docPr id="1312" name="Picture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62400" cy="3314700"/>
                    </a:xfrm>
                    <a:prstGeom prst="rect">
                      <a:avLst/>
                    </a:prstGeom>
                  </pic:spPr>
                </pic:pic>
              </a:graphicData>
            </a:graphic>
          </wp:inline>
        </w:drawing>
      </w:r>
    </w:p>
    <w:p w:rsidR="004359CD" w:rsidRPr="00FA06BD" w:rsidRDefault="001334D7" w:rsidP="00CD6D43">
      <w:pPr>
        <w:pStyle w:val="APAPar"/>
        <w:ind w:firstLine="0"/>
      </w:pPr>
      <w:r>
        <w:rPr>
          <w:rStyle w:val="IntenseEmphasis"/>
        </w:rPr>
        <w:t>Figure 7.</w:t>
      </w:r>
      <w:r w:rsidR="004E6516">
        <w:rPr>
          <w:rStyle w:val="IntenseEmphasis"/>
        </w:rPr>
        <w:t>9</w:t>
      </w:r>
      <w:r w:rsidRPr="00513F25">
        <w:rPr>
          <w:rStyle w:val="IntenseEmphasis"/>
        </w:rPr>
        <w:t xml:space="preserve"> </w:t>
      </w:r>
      <w:r w:rsidR="00934468" w:rsidRPr="000B6600">
        <w:rPr>
          <w:rStyle w:val="IntenseEmphasis"/>
        </w:rPr>
        <w:t>Trail Making Test part B scores as a function of social participation and education</w:t>
      </w:r>
    </w:p>
    <w:p w:rsidR="00C03E31" w:rsidRDefault="00934468" w:rsidP="00C31CE0">
      <w:pPr>
        <w:pStyle w:val="Heading3"/>
      </w:pPr>
      <w:bookmarkStart w:id="185" w:name="_Toc521184258"/>
      <w:r>
        <w:t>Discussion</w:t>
      </w:r>
      <w:bookmarkEnd w:id="185"/>
    </w:p>
    <w:p w:rsidR="00EC509F" w:rsidRDefault="00325989" w:rsidP="005C41B7">
      <w:pPr>
        <w:pStyle w:val="APAPar"/>
      </w:pPr>
      <w:r>
        <w:t xml:space="preserve">The results </w:t>
      </w:r>
      <w:r w:rsidR="0090617E" w:rsidRPr="000B6600">
        <w:t>depict</w:t>
      </w:r>
      <w:r w:rsidR="00622F3E" w:rsidRPr="000B6600">
        <w:t>ed</w:t>
      </w:r>
      <w:r w:rsidR="0090617E" w:rsidRPr="000B6600">
        <w:t xml:space="preserve"> </w:t>
      </w:r>
      <w:r w:rsidR="00686D51" w:rsidRPr="000B6600">
        <w:t>a</w:t>
      </w:r>
      <w:r w:rsidR="00686D51">
        <w:t xml:space="preserve"> negative</w:t>
      </w:r>
      <w:r w:rsidR="0090617E">
        <w:t xml:space="preserve"> </w:t>
      </w:r>
      <w:r w:rsidR="00686D51">
        <w:t>relationship of age with</w:t>
      </w:r>
      <w:r w:rsidR="0090617E">
        <w:t xml:space="preserve"> Internet use</w:t>
      </w:r>
      <w:r w:rsidR="00686D51">
        <w:t xml:space="preserve"> and exercise</w:t>
      </w:r>
      <w:r w:rsidR="0090617E">
        <w:t>, the latter possibly reflecting a cohort effect (i.e., older gene</w:t>
      </w:r>
      <w:r w:rsidR="00686D51">
        <w:t xml:space="preserve">rations use less the Internet and are less keen to exercise). The findings of this </w:t>
      </w:r>
      <w:r w:rsidR="00525F58">
        <w:t>analysis</w:t>
      </w:r>
      <w:r w:rsidR="00F2519F">
        <w:t xml:space="preserve"> </w:t>
      </w:r>
      <w:r w:rsidR="00F023EE">
        <w:t>support</w:t>
      </w:r>
      <w:r>
        <w:t xml:space="preserve"> the hypothesis that </w:t>
      </w:r>
      <w:r w:rsidR="00712B76">
        <w:t xml:space="preserve">education, </w:t>
      </w:r>
      <w:r>
        <w:t xml:space="preserve">social participation, exercise, </w:t>
      </w:r>
      <w:r w:rsidR="00EC509F">
        <w:t xml:space="preserve">and Internet use </w:t>
      </w:r>
      <w:r>
        <w:t>moderat</w:t>
      </w:r>
      <w:r w:rsidR="00EC509F">
        <w:t xml:space="preserve">e the relation between age </w:t>
      </w:r>
      <w:r w:rsidR="00622F3E">
        <w:t xml:space="preserve">and </w:t>
      </w:r>
      <w:r w:rsidR="00EC509F">
        <w:t>cognitive performance.</w:t>
      </w:r>
      <w:r w:rsidR="000642EC">
        <w:t xml:space="preserve"> </w:t>
      </w:r>
      <w:r w:rsidR="006E2C07">
        <w:t xml:space="preserve">Their moderation effects however do not point to a clear beneficial effect. The interpretation of the </w:t>
      </w:r>
      <w:r w:rsidR="00225227">
        <w:t>corresponding</w:t>
      </w:r>
      <w:r w:rsidR="006E2C07">
        <w:t xml:space="preserve"> findings can be </w:t>
      </w:r>
      <w:r w:rsidR="0086548F">
        <w:t>understood</w:t>
      </w:r>
      <w:r w:rsidR="006E2C07">
        <w:t xml:space="preserve"> through the </w:t>
      </w:r>
      <w:r w:rsidR="00225227">
        <w:t xml:space="preserve">prism </w:t>
      </w:r>
      <w:r w:rsidR="006E2C07">
        <w:t xml:space="preserve">of </w:t>
      </w:r>
      <w:r w:rsidR="00225227">
        <w:t xml:space="preserve">temporal </w:t>
      </w:r>
      <w:r w:rsidR="00660239">
        <w:t xml:space="preserve">or developmental </w:t>
      </w:r>
      <w:r w:rsidR="00225227">
        <w:t xml:space="preserve">effects, pointing to the relevant discussion in </w:t>
      </w:r>
      <w:r w:rsidR="00FA06BD">
        <w:t>C</w:t>
      </w:r>
      <w:r w:rsidR="00225227">
        <w:t>hapter</w:t>
      </w:r>
      <w:r w:rsidR="00F2519F">
        <w:t xml:space="preserve"> 3</w:t>
      </w:r>
      <w:r w:rsidR="00686D51">
        <w:t xml:space="preserve"> </w:t>
      </w:r>
      <w:r w:rsidR="00F2519F">
        <w:t>concerning</w:t>
      </w:r>
      <w:r w:rsidR="00225227">
        <w:t xml:space="preserve"> the ability of cross-sectional data to depict (or not) developmental processes.</w:t>
      </w:r>
    </w:p>
    <w:p w:rsidR="00712B76" w:rsidRDefault="00CA1478" w:rsidP="005C41B7">
      <w:pPr>
        <w:pStyle w:val="APAPar"/>
      </w:pPr>
      <w:r w:rsidRPr="00CA1478">
        <w:rPr>
          <w:b/>
          <w:i/>
        </w:rPr>
        <w:t>Social participation:</w:t>
      </w:r>
      <w:r>
        <w:t xml:space="preserve"> </w:t>
      </w:r>
      <w:r w:rsidR="00225227">
        <w:t xml:space="preserve">Examining the evidence </w:t>
      </w:r>
      <w:r w:rsidR="00660239">
        <w:t>for</w:t>
      </w:r>
      <w:r w:rsidR="0000176A">
        <w:t xml:space="preserve"> social participation </w:t>
      </w:r>
      <w:r w:rsidR="00480EAA">
        <w:t>through</w:t>
      </w:r>
      <w:r w:rsidR="00225227">
        <w:t xml:space="preserve"> the lens of temporal effects, the findings depict an expected </w:t>
      </w:r>
      <w:r w:rsidR="00C0030A">
        <w:t>poorer</w:t>
      </w:r>
      <w:r w:rsidR="00225227">
        <w:t xml:space="preserve"> performance in TMT-B </w:t>
      </w:r>
      <w:r w:rsidR="0000176A">
        <w:t xml:space="preserve">in older age, with </w:t>
      </w:r>
      <w:r w:rsidR="00C0030A">
        <w:t xml:space="preserve">those </w:t>
      </w:r>
      <w:r w:rsidR="0000176A">
        <w:t>participating</w:t>
      </w:r>
      <w:r w:rsidR="00C0030A">
        <w:t xml:space="preserve"> more frequently in social activities </w:t>
      </w:r>
      <w:r w:rsidR="0086548F">
        <w:t>having</w:t>
      </w:r>
      <w:r w:rsidR="0000176A">
        <w:t xml:space="preserve"> a better performance in TMT-B. The examination of the results through the lens of developmental processes lead</w:t>
      </w:r>
      <w:r w:rsidR="00660239">
        <w:t>s</w:t>
      </w:r>
      <w:r w:rsidR="0000176A">
        <w:t xml:space="preserve"> to the same conclusion, </w:t>
      </w:r>
      <w:r w:rsidR="0086548F">
        <w:t>indicating</w:t>
      </w:r>
      <w:r w:rsidR="00660239">
        <w:t xml:space="preserve"> that</w:t>
      </w:r>
      <w:r w:rsidR="0000176A">
        <w:t xml:space="preserve"> social participation does not influence the rate of cognitive decline with age. The last is consistent with the preserved differentiation hypothesis of Salthouse (2006), stating that </w:t>
      </w:r>
      <w:r w:rsidR="0000176A" w:rsidRPr="007A15F6">
        <w:t xml:space="preserve">having </w:t>
      </w:r>
      <w:r w:rsidR="0086548F">
        <w:t>greater</w:t>
      </w:r>
      <w:r w:rsidR="0000176A" w:rsidRPr="007A15F6">
        <w:t xml:space="preserve"> </w:t>
      </w:r>
      <w:r w:rsidR="0000176A">
        <w:t>social participation</w:t>
      </w:r>
      <w:r w:rsidR="0000176A" w:rsidRPr="007A15F6">
        <w:t xml:space="preserve"> </w:t>
      </w:r>
      <w:r w:rsidR="0000176A">
        <w:t>may</w:t>
      </w:r>
      <w:r w:rsidR="0000176A" w:rsidRPr="007A15F6">
        <w:t xml:space="preserve"> not discriminate</w:t>
      </w:r>
      <w:r w:rsidR="0086548F">
        <w:t xml:space="preserve"> older adults in</w:t>
      </w:r>
      <w:r w:rsidR="0000176A" w:rsidRPr="007A15F6">
        <w:t xml:space="preserve"> the</w:t>
      </w:r>
      <w:r w:rsidR="0086548F">
        <w:t>ir</w:t>
      </w:r>
      <w:r w:rsidR="0000176A" w:rsidRPr="007A15F6">
        <w:t xml:space="preserve"> rate of cognitive decline, but only the</w:t>
      </w:r>
      <w:r w:rsidR="0086548F">
        <w:t>ir</w:t>
      </w:r>
      <w:r w:rsidR="0000176A" w:rsidRPr="007A15F6">
        <w:t xml:space="preserve"> level of </w:t>
      </w:r>
      <w:r w:rsidR="0000176A">
        <w:t>cognitive performance at each time point.</w:t>
      </w:r>
      <w:r w:rsidR="00712B76">
        <w:t xml:space="preserve"> </w:t>
      </w:r>
      <w:r w:rsidR="000D78DC">
        <w:t>T</w:t>
      </w:r>
      <w:r w:rsidR="00712B76">
        <w:t xml:space="preserve">he findings also indicate that increased social participation has a beneficial effect on TMT-B </w:t>
      </w:r>
      <w:r w:rsidR="000D78DC">
        <w:t xml:space="preserve">only </w:t>
      </w:r>
      <w:r w:rsidR="00712B76">
        <w:t xml:space="preserve">among those </w:t>
      </w:r>
      <w:r w:rsidR="00C42801">
        <w:t>who had</w:t>
      </w:r>
      <w:r w:rsidR="00712B76">
        <w:t xml:space="preserve"> completed primary education. This effect does not seem to be evident among those </w:t>
      </w:r>
      <w:r w:rsidR="00C42801">
        <w:t>who completed</w:t>
      </w:r>
      <w:r w:rsidR="00712B76">
        <w:t xml:space="preserve"> higher levels of educational, as participating more or less </w:t>
      </w:r>
      <w:r w:rsidR="000D78DC">
        <w:t xml:space="preserve">frequently </w:t>
      </w:r>
      <w:r w:rsidR="00712B76">
        <w:t xml:space="preserve">than the mean </w:t>
      </w:r>
      <w:r w:rsidR="000D78DC">
        <w:t xml:space="preserve">in social activities </w:t>
      </w:r>
      <w:r w:rsidR="00712B76">
        <w:t>d</w:t>
      </w:r>
      <w:r w:rsidR="000D78DC">
        <w:t>id</w:t>
      </w:r>
      <w:r w:rsidR="00712B76">
        <w:t xml:space="preserve"> not discriminate their performance in TMT- B significantly</w:t>
      </w:r>
      <w:r w:rsidR="000D78DC">
        <w:t>.</w:t>
      </w:r>
    </w:p>
    <w:p w:rsidR="009C6623" w:rsidRDefault="00CA1478" w:rsidP="005C41B7">
      <w:pPr>
        <w:pStyle w:val="APAPar"/>
      </w:pPr>
      <w:r w:rsidRPr="00CA1478">
        <w:rPr>
          <w:b/>
          <w:i/>
        </w:rPr>
        <w:t>Internet use:</w:t>
      </w:r>
      <w:r>
        <w:rPr>
          <w:b/>
          <w:i/>
        </w:rPr>
        <w:t xml:space="preserve"> </w:t>
      </w:r>
      <w:r w:rsidR="0061043D">
        <w:t xml:space="preserve">Through the lens of temporal effects, the evidence </w:t>
      </w:r>
      <w:r w:rsidR="009C6623">
        <w:t xml:space="preserve">on Internet use </w:t>
      </w:r>
      <w:r w:rsidR="0061043D">
        <w:t xml:space="preserve">depicts that younger participants who </w:t>
      </w:r>
      <w:r w:rsidR="009C6623">
        <w:t>are frequent users</w:t>
      </w:r>
      <w:r w:rsidR="0061043D">
        <w:t xml:space="preserve"> have better performance in TMT-B than those who use the Internet once or twice</w:t>
      </w:r>
      <w:r w:rsidR="001912DE">
        <w:t xml:space="preserve"> a week,</w:t>
      </w:r>
      <w:r w:rsidR="0061043D">
        <w:t xml:space="preserve"> or never. The inverse relation emerges </w:t>
      </w:r>
      <w:r w:rsidR="001912DE">
        <w:t>among</w:t>
      </w:r>
      <w:r w:rsidR="0061043D">
        <w:t xml:space="preserve"> older participants; those who use the Internet</w:t>
      </w:r>
      <w:r w:rsidR="0086548F">
        <w:t xml:space="preserve"> frequently</w:t>
      </w:r>
      <w:r w:rsidR="0061043D">
        <w:t xml:space="preserve"> have poorer performance in TMT-B than those who use the Internet once or twice</w:t>
      </w:r>
      <w:r w:rsidR="001912DE">
        <w:t xml:space="preserve"> a week,</w:t>
      </w:r>
      <w:r w:rsidR="0061043D">
        <w:t xml:space="preserve"> or never. The examination of the results through the lens of developmental processes indicates that </w:t>
      </w:r>
      <w:r w:rsidR="009C6623">
        <w:t>those who do not use</w:t>
      </w:r>
      <w:r w:rsidR="0061043D">
        <w:t xml:space="preserve"> the Internet</w:t>
      </w:r>
      <w:r w:rsidR="009C6623">
        <w:t xml:space="preserve">, or do so once or twice a </w:t>
      </w:r>
      <w:r w:rsidR="0061043D">
        <w:t>w</w:t>
      </w:r>
      <w:r w:rsidR="00660239">
        <w:t>eek</w:t>
      </w:r>
      <w:r w:rsidR="0061043D">
        <w:t xml:space="preserve"> </w:t>
      </w:r>
      <w:r w:rsidR="009C6623">
        <w:t>ret</w:t>
      </w:r>
      <w:r w:rsidR="00924048">
        <w:t>ain their TMT-B levels with age, whereas m</w:t>
      </w:r>
      <w:r w:rsidR="009C6623">
        <w:t xml:space="preserve">ore frequent or </w:t>
      </w:r>
      <w:r w:rsidR="0061043D">
        <w:t xml:space="preserve">everyday </w:t>
      </w:r>
      <w:r w:rsidR="009C6623">
        <w:t xml:space="preserve">use </w:t>
      </w:r>
      <w:r w:rsidR="0061043D">
        <w:t xml:space="preserve">leads to poorer performance in TMT-B with age. </w:t>
      </w:r>
      <w:r w:rsidR="00924048">
        <w:t xml:space="preserve">This evidence argues </w:t>
      </w:r>
      <w:r w:rsidR="009C6623">
        <w:t xml:space="preserve">in favour of the preservation differentiation hypothesis </w:t>
      </w:r>
      <w:r w:rsidR="00924048">
        <w:t xml:space="preserve">(Hertzog et al., </w:t>
      </w:r>
      <w:r w:rsidR="009C6623">
        <w:t xml:space="preserve">2009), namely that </w:t>
      </w:r>
      <w:r w:rsidR="00AF150C">
        <w:t>modest use of Internet</w:t>
      </w:r>
      <w:r w:rsidR="009C6623">
        <w:t xml:space="preserve"> may lead to more favourable cognitive decline trajectories with ageing.</w:t>
      </w:r>
    </w:p>
    <w:p w:rsidR="006314E9" w:rsidRPr="00F07F81" w:rsidRDefault="00D568D9" w:rsidP="005C41B7">
      <w:pPr>
        <w:pStyle w:val="APAPar"/>
        <w:rPr>
          <w:lang w:val="en-US"/>
        </w:rPr>
      </w:pPr>
      <w:r>
        <w:t xml:space="preserve"> </w:t>
      </w:r>
      <w:r w:rsidR="00EF6F7B">
        <w:t>Under the</w:t>
      </w:r>
      <w:r w:rsidR="0059450C">
        <w:t xml:space="preserve"> lens of </w:t>
      </w:r>
      <w:r w:rsidR="0086548F">
        <w:t>examining</w:t>
      </w:r>
      <w:r w:rsidR="00893F9D">
        <w:t xml:space="preserve"> </w:t>
      </w:r>
      <w:r w:rsidR="00EF6F7B">
        <w:t>developmental processes</w:t>
      </w:r>
      <w:r w:rsidR="00893F9D">
        <w:t>, the findings indicate that using</w:t>
      </w:r>
      <w:r w:rsidR="00EF6F7B">
        <w:t xml:space="preserve"> the Internet</w:t>
      </w:r>
      <w:r w:rsidR="0059450C">
        <w:t xml:space="preserve"> </w:t>
      </w:r>
      <w:r w:rsidR="00AF150C">
        <w:t>more than</w:t>
      </w:r>
      <w:r w:rsidR="0059450C">
        <w:t xml:space="preserve"> once or twice a week </w:t>
      </w:r>
      <w:r w:rsidR="00AF150C">
        <w:t>may</w:t>
      </w:r>
      <w:r w:rsidR="0059450C">
        <w:t xml:space="preserve"> initially </w:t>
      </w:r>
      <w:r w:rsidR="00AF150C">
        <w:t>produce benefits</w:t>
      </w:r>
      <w:r w:rsidR="0059450C">
        <w:t xml:space="preserve"> in TMT-B scores,</w:t>
      </w:r>
      <w:r w:rsidR="00AF150C">
        <w:t xml:space="preserve"> but does not help in retaining </w:t>
      </w:r>
      <w:r w:rsidR="0059450C">
        <w:t xml:space="preserve">levels of </w:t>
      </w:r>
      <w:r w:rsidR="00E47FD4">
        <w:t>cognitive performance in older age</w:t>
      </w:r>
      <w:r w:rsidR="00924048">
        <w:t xml:space="preserve">. </w:t>
      </w:r>
      <w:r>
        <w:t xml:space="preserve">A potential explanation would be that excessive Internet use may lead to more sedentary lifestyles, and therefore to worse cognitive decline trajectories. </w:t>
      </w:r>
      <w:r w:rsidR="00AF150C">
        <w:t>Yet, p</w:t>
      </w:r>
      <w:r>
        <w:t>ost-hoc Pearson corre</w:t>
      </w:r>
      <w:r w:rsidR="00AF150C">
        <w:t xml:space="preserve">lation analysis </w:t>
      </w:r>
      <w:r w:rsidR="00F07F81">
        <w:t>revealed that those who use the Internet more frequently are also more socially active (</w:t>
      </w:r>
      <w:r w:rsidR="00F07F81" w:rsidRPr="001C7531">
        <w:rPr>
          <w:i/>
        </w:rPr>
        <w:t>r</w:t>
      </w:r>
      <w:r w:rsidR="00F07F81">
        <w:t xml:space="preserve"> = .247, </w:t>
      </w:r>
      <w:r w:rsidR="00F07F81" w:rsidRPr="001C7531">
        <w:rPr>
          <w:i/>
        </w:rPr>
        <w:t>p</w:t>
      </w:r>
      <w:r w:rsidR="00F07F81">
        <w:t xml:space="preserve"> = .018)</w:t>
      </w:r>
      <w:r w:rsidR="00F07F81">
        <w:rPr>
          <w:lang w:val="en-US"/>
        </w:rPr>
        <w:t xml:space="preserve">, whereas the relationship between Internet use and exercise was not statistically significant </w:t>
      </w:r>
      <w:r w:rsidR="00F07F81">
        <w:t>(</w:t>
      </w:r>
      <w:r w:rsidR="00F07F81" w:rsidRPr="001C7531">
        <w:rPr>
          <w:i/>
        </w:rPr>
        <w:t>r</w:t>
      </w:r>
      <w:r w:rsidR="00F07F81">
        <w:t xml:space="preserve"> = -.134, </w:t>
      </w:r>
      <w:r w:rsidR="00F07F81" w:rsidRPr="001C7531">
        <w:rPr>
          <w:i/>
        </w:rPr>
        <w:t>p</w:t>
      </w:r>
      <w:r w:rsidR="00F07F81">
        <w:t xml:space="preserve"> = .203). Therefore, no such </w:t>
      </w:r>
      <w:r w:rsidR="00C42801">
        <w:t>conclusion</w:t>
      </w:r>
      <w:r w:rsidR="00F07F81">
        <w:t xml:space="preserve"> could be made based on the findings of this thesis.</w:t>
      </w:r>
      <w:r w:rsidR="0059450C">
        <w:t xml:space="preserve"> </w:t>
      </w:r>
    </w:p>
    <w:p w:rsidR="00E47FD4" w:rsidRDefault="00CA1478" w:rsidP="005C41B7">
      <w:pPr>
        <w:pStyle w:val="APAPar"/>
      </w:pPr>
      <w:r w:rsidRPr="00CA1478">
        <w:rPr>
          <w:b/>
          <w:i/>
          <w:lang w:val="en-US"/>
        </w:rPr>
        <w:t>Exercise:</w:t>
      </w:r>
      <w:r w:rsidR="006314E9">
        <w:t xml:space="preserve"> </w:t>
      </w:r>
      <w:r>
        <w:rPr>
          <w:lang w:val="en-US"/>
        </w:rPr>
        <w:t>T</w:t>
      </w:r>
      <w:r w:rsidR="006314E9">
        <w:rPr>
          <w:lang w:val="en-US"/>
        </w:rPr>
        <w:t xml:space="preserve">he interpretation of the result for the effect of exercise through the lens of </w:t>
      </w:r>
      <w:r w:rsidR="00EF6F7B">
        <w:rPr>
          <w:lang w:val="en-US"/>
        </w:rPr>
        <w:t>tempora</w:t>
      </w:r>
      <w:r w:rsidR="0086548F">
        <w:rPr>
          <w:lang w:val="en-US"/>
        </w:rPr>
        <w:t xml:space="preserve">ry </w:t>
      </w:r>
      <w:r w:rsidR="006314E9">
        <w:rPr>
          <w:lang w:val="en-US"/>
        </w:rPr>
        <w:t xml:space="preserve">effects indicate that </w:t>
      </w:r>
      <w:r w:rsidR="00F07F81">
        <w:rPr>
          <w:lang w:val="en-US"/>
        </w:rPr>
        <w:t xml:space="preserve">more </w:t>
      </w:r>
      <w:r w:rsidR="006314E9">
        <w:rPr>
          <w:lang w:val="en-US"/>
        </w:rPr>
        <w:t xml:space="preserve">exercise </w:t>
      </w:r>
      <w:r w:rsidR="00EF6F7B">
        <w:rPr>
          <w:lang w:val="en-US"/>
        </w:rPr>
        <w:t>is related</w:t>
      </w:r>
      <w:r w:rsidR="00F07F81">
        <w:rPr>
          <w:lang w:val="en-US"/>
        </w:rPr>
        <w:t xml:space="preserve"> to </w:t>
      </w:r>
      <w:r w:rsidR="00EB5245" w:rsidRPr="00EB5245">
        <w:rPr>
          <w:i/>
          <w:lang w:val="en-US"/>
        </w:rPr>
        <w:t>worse</w:t>
      </w:r>
      <w:r w:rsidR="00EB5245">
        <w:rPr>
          <w:lang w:val="en-US"/>
        </w:rPr>
        <w:t xml:space="preserve"> </w:t>
      </w:r>
      <w:r w:rsidR="00F07F81">
        <w:rPr>
          <w:lang w:val="en-US"/>
        </w:rPr>
        <w:t>TMT-B performance</w:t>
      </w:r>
      <w:r w:rsidR="006314E9">
        <w:rPr>
          <w:lang w:val="en-US"/>
        </w:rPr>
        <w:t xml:space="preserve"> among </w:t>
      </w:r>
      <w:r w:rsidR="0086548F">
        <w:rPr>
          <w:lang w:val="en-US"/>
        </w:rPr>
        <w:t xml:space="preserve">the </w:t>
      </w:r>
      <w:r w:rsidR="006314E9">
        <w:rPr>
          <w:lang w:val="en-US"/>
        </w:rPr>
        <w:t xml:space="preserve">younger, but this effect dissipates when examining </w:t>
      </w:r>
      <w:r w:rsidR="00F07F81">
        <w:rPr>
          <w:lang w:val="en-US"/>
        </w:rPr>
        <w:t xml:space="preserve">exercise among </w:t>
      </w:r>
      <w:r w:rsidR="0086548F">
        <w:rPr>
          <w:lang w:val="en-US"/>
        </w:rPr>
        <w:t xml:space="preserve">the </w:t>
      </w:r>
      <w:r w:rsidR="006314E9">
        <w:rPr>
          <w:lang w:val="en-US"/>
        </w:rPr>
        <w:t xml:space="preserve">older </w:t>
      </w:r>
      <w:r w:rsidR="0086548F">
        <w:rPr>
          <w:lang w:val="en-US"/>
        </w:rPr>
        <w:t>age group</w:t>
      </w:r>
      <w:r w:rsidR="006314E9">
        <w:rPr>
          <w:lang w:val="en-US"/>
        </w:rPr>
        <w:t xml:space="preserve">. </w:t>
      </w:r>
      <w:r w:rsidR="006314E9">
        <w:t xml:space="preserve">The examination of the results through the lens of developmental processes indicates that exercising has a beneficial effect in retaining performance in TMT-B, as those who exercise less manifest steeper cognitive decline trajectories. This pattern argues </w:t>
      </w:r>
      <w:r w:rsidR="003E6209">
        <w:t xml:space="preserve">again </w:t>
      </w:r>
      <w:r w:rsidR="006314E9">
        <w:t xml:space="preserve">in favour of the preservation differentiation </w:t>
      </w:r>
      <w:r w:rsidR="00F07F81">
        <w:t xml:space="preserve">hypothesis </w:t>
      </w:r>
      <w:r w:rsidR="006314E9">
        <w:t>as argued by Hertzog et al. (2009), namely that exercising may lead to more favourable cognitive decline trajectories with ageing.</w:t>
      </w:r>
    </w:p>
    <w:p w:rsidR="00AF150C" w:rsidRDefault="00AF150C" w:rsidP="005C41B7">
      <w:pPr>
        <w:pStyle w:val="APAPar"/>
        <w:rPr>
          <w:lang w:val="en-US"/>
        </w:rPr>
      </w:pPr>
      <w:r w:rsidRPr="00AF150C">
        <w:rPr>
          <w:b/>
          <w:i/>
        </w:rPr>
        <w:t>Education:</w:t>
      </w:r>
      <w:r>
        <w:t xml:space="preserve"> </w:t>
      </w:r>
      <w:r>
        <w:rPr>
          <w:lang w:val="en-US"/>
        </w:rPr>
        <w:t>The interpretation of the result for the effect of education through the lens of temporary effects indicate that having completed an educational level higher than primary school leads to better scores in TMT-B and VF</w:t>
      </w:r>
      <w:r w:rsidR="00C42801">
        <w:rPr>
          <w:lang w:val="en-US"/>
        </w:rPr>
        <w:t xml:space="preserve"> performance,</w:t>
      </w:r>
      <w:r>
        <w:rPr>
          <w:lang w:val="en-US"/>
        </w:rPr>
        <w:t xml:space="preserve"> independent from age. Through the lens of developmental process</w:t>
      </w:r>
      <w:r w:rsidR="00C42801">
        <w:rPr>
          <w:lang w:val="en-US"/>
        </w:rPr>
        <w:t>, it</w:t>
      </w:r>
      <w:r>
        <w:rPr>
          <w:lang w:val="en-US"/>
        </w:rPr>
        <w:t xml:space="preserve"> seems that performance of TMT-</w:t>
      </w:r>
      <w:r w:rsidR="00C42801">
        <w:rPr>
          <w:lang w:val="en-US"/>
        </w:rPr>
        <w:t>B in</w:t>
      </w:r>
      <w:r>
        <w:rPr>
          <w:lang w:val="en-US"/>
        </w:rPr>
        <w:t xml:space="preserve"> younger age is better among those who are more educated, with this effect dissipating in older age. Contrarily</w:t>
      </w:r>
      <w:r w:rsidR="00C42801">
        <w:rPr>
          <w:lang w:val="en-US"/>
        </w:rPr>
        <w:t>, performance</w:t>
      </w:r>
      <w:r>
        <w:rPr>
          <w:lang w:val="en-US"/>
        </w:rPr>
        <w:t xml:space="preserve"> </w:t>
      </w:r>
      <w:r w:rsidR="008F2A21">
        <w:rPr>
          <w:lang w:val="en-US"/>
        </w:rPr>
        <w:t xml:space="preserve">differences </w:t>
      </w:r>
      <w:r>
        <w:rPr>
          <w:lang w:val="en-US"/>
        </w:rPr>
        <w:t xml:space="preserve">in VF </w:t>
      </w:r>
      <w:r w:rsidR="002B2CC1">
        <w:rPr>
          <w:lang w:val="en-US"/>
        </w:rPr>
        <w:t>seem to be more pronounced in older age.</w:t>
      </w:r>
    </w:p>
    <w:p w:rsidR="00A83BE0" w:rsidRPr="00F2519F" w:rsidRDefault="002B2CC1" w:rsidP="00F2519F">
      <w:pPr>
        <w:pStyle w:val="APAPar"/>
        <w:rPr>
          <w:lang w:val="en-US"/>
        </w:rPr>
      </w:pPr>
      <w:r>
        <w:t>The moderation effect of education in the relation between age a</w:t>
      </w:r>
      <w:r w:rsidR="00EF6F7B">
        <w:t xml:space="preserve">nd cognitive performance could </w:t>
      </w:r>
      <w:r>
        <w:t xml:space="preserve">indicate that education is a resource that benefits cognitive performance with age, as postulated by the cognitive reserve hypothesis </w:t>
      </w:r>
      <w:r w:rsidRPr="007A15F6">
        <w:t>(Mortiner, 1988; Perry, 2002).</w:t>
      </w:r>
      <w:r w:rsidR="00EF6F7B">
        <w:t xml:space="preserve"> Given that education is a resource that accumulates</w:t>
      </w:r>
      <w:r w:rsidR="0086548F">
        <w:t xml:space="preserve"> at</w:t>
      </w:r>
      <w:r w:rsidR="00EF6F7B">
        <w:t xml:space="preserve"> younger stages of life, and that education could not serve as a predictor of cognitive performance (i.e., there were no </w:t>
      </w:r>
      <w:r w:rsidR="00EF6F7B" w:rsidRPr="00EF6F7B">
        <w:rPr>
          <w:i/>
        </w:rPr>
        <w:t xml:space="preserve">direct </w:t>
      </w:r>
      <w:r w:rsidR="00EF6F7B">
        <w:t xml:space="preserve">statistically significant relationship with cognitive performance), this hypothesis cannot be supported in the population of examination (i.e., 50+ of age).  </w:t>
      </w:r>
      <w:r>
        <w:t xml:space="preserve">At the same time however, </w:t>
      </w:r>
      <w:r w:rsidR="00A83BE0">
        <w:t xml:space="preserve">the moderation effect of education in the relation between age and cognitive </w:t>
      </w:r>
      <w:r w:rsidR="008F2A21">
        <w:t>performance</w:t>
      </w:r>
      <w:r>
        <w:t xml:space="preserve"> may indicate that those of lower education are </w:t>
      </w:r>
      <w:r w:rsidR="00057328">
        <w:t xml:space="preserve">more challenged in completing the neuropsychological assessments, due to their unfamiliarity </w:t>
      </w:r>
      <w:r w:rsidR="008F2A21">
        <w:t>with</w:t>
      </w:r>
      <w:r w:rsidR="00057328">
        <w:t xml:space="preserve"> such types of cognitive tasks (Marcotte et al., 2010). The findings of this study could argue </w:t>
      </w:r>
      <w:r w:rsidR="00A83BE0">
        <w:t xml:space="preserve">for a conditional effect of this type, namely that it is evident in certain age groups </w:t>
      </w:r>
      <w:r w:rsidR="002D0EEF">
        <w:t xml:space="preserve">and only </w:t>
      </w:r>
      <w:r w:rsidR="00A83BE0">
        <w:t xml:space="preserve">for the TMT-B and VF. </w:t>
      </w:r>
    </w:p>
    <w:p w:rsidR="00CA1478" w:rsidRDefault="00CA1478" w:rsidP="00C31CE0">
      <w:pPr>
        <w:pStyle w:val="Heading3"/>
      </w:pPr>
      <w:bookmarkStart w:id="186" w:name="_Toc521184259"/>
      <w:r>
        <w:t>Conclusion</w:t>
      </w:r>
      <w:bookmarkEnd w:id="186"/>
    </w:p>
    <w:p w:rsidR="002B2CC1" w:rsidRDefault="00CA1478" w:rsidP="005C41B7">
      <w:pPr>
        <w:pStyle w:val="APAPar"/>
      </w:pPr>
      <w:r>
        <w:t>As a conclusion,</w:t>
      </w:r>
      <w:r w:rsidR="002B2CC1">
        <w:t xml:space="preserve"> more education,</w:t>
      </w:r>
      <w:r>
        <w:t xml:space="preserve"> social participation, </w:t>
      </w:r>
      <w:r w:rsidR="00525F58">
        <w:t>Internet use</w:t>
      </w:r>
      <w:r>
        <w:t xml:space="preserve"> and physical exercise seem to benefit cognitive performance only in the domain of EF</w:t>
      </w:r>
      <w:r w:rsidR="00A83BE0">
        <w:t xml:space="preserve"> and VF</w:t>
      </w:r>
      <w:r w:rsidR="006314E9">
        <w:t>.</w:t>
      </w:r>
      <w:r>
        <w:t xml:space="preserve"> The interpretation of the findings varies depending on the lens of examination, namely whethe</w:t>
      </w:r>
      <w:r w:rsidR="00622F3E">
        <w:t xml:space="preserve">r the results depict temporal </w:t>
      </w:r>
      <w:r w:rsidR="00622F3E" w:rsidRPr="000B6600">
        <w:t>or</w:t>
      </w:r>
      <w:r w:rsidRPr="000B6600">
        <w:t xml:space="preserve"> developmental effects.</w:t>
      </w:r>
      <w:r w:rsidR="006314E9" w:rsidRPr="000B6600">
        <w:t xml:space="preserve"> </w:t>
      </w:r>
      <w:r w:rsidR="006364C6" w:rsidRPr="000B6600">
        <w:t xml:space="preserve">Overall, the evidence </w:t>
      </w:r>
      <w:r w:rsidR="00622F3E" w:rsidRPr="000B6600">
        <w:t>is</w:t>
      </w:r>
      <w:r w:rsidR="006364C6" w:rsidRPr="000B6600">
        <w:t xml:space="preserve"> consistent</w:t>
      </w:r>
      <w:r w:rsidR="006364C6">
        <w:t xml:space="preserve"> with the hypothesis that those with more education, social participation, and physical exercise have higher levels of cognitive performance in older age. </w:t>
      </w:r>
      <w:r w:rsidR="002B2CC1">
        <w:t>The relation of</w:t>
      </w:r>
      <w:r w:rsidR="006364C6">
        <w:t xml:space="preserve"> age,</w:t>
      </w:r>
      <w:r w:rsidR="002B2CC1">
        <w:t xml:space="preserve"> Internet use </w:t>
      </w:r>
      <w:r w:rsidR="006364C6">
        <w:t xml:space="preserve">and </w:t>
      </w:r>
      <w:r w:rsidR="0086548F">
        <w:t>EF is more complicated</w:t>
      </w:r>
      <w:r w:rsidR="002B2CC1">
        <w:t xml:space="preserve"> as the findings indicate a beneficial effect only if the specific </w:t>
      </w:r>
      <w:r w:rsidR="00057328">
        <w:t>frequency of use</w:t>
      </w:r>
      <w:r w:rsidR="006364C6">
        <w:t xml:space="preserve"> is restrict</w:t>
      </w:r>
      <w:r w:rsidR="0086548F">
        <w:t>ed</w:t>
      </w:r>
      <w:r w:rsidR="006364C6">
        <w:t xml:space="preserve"> </w:t>
      </w:r>
      <w:r w:rsidR="008F2A21">
        <w:t>to</w:t>
      </w:r>
      <w:r w:rsidR="006364C6">
        <w:t xml:space="preserve"> certain levels</w:t>
      </w:r>
      <w:r w:rsidR="00057328">
        <w:t xml:space="preserve"> </w:t>
      </w:r>
      <w:r w:rsidR="00A83BE0">
        <w:t xml:space="preserve">of use </w:t>
      </w:r>
      <w:r w:rsidR="00057328">
        <w:t>per week</w:t>
      </w:r>
      <w:r w:rsidR="002B2CC1">
        <w:t xml:space="preserve">. </w:t>
      </w:r>
      <w:r w:rsidR="00850181">
        <w:t>In addition, m</w:t>
      </w:r>
      <w:r w:rsidR="00057328">
        <w:t>ore s</w:t>
      </w:r>
      <w:r w:rsidR="002B2CC1">
        <w:t xml:space="preserve">ocial participation seems to </w:t>
      </w:r>
      <w:r w:rsidR="00057328">
        <w:t xml:space="preserve">be </w:t>
      </w:r>
      <w:r w:rsidR="002B2CC1">
        <w:t xml:space="preserve">beneficial to those </w:t>
      </w:r>
      <w:r w:rsidR="008F2A21">
        <w:t>who</w:t>
      </w:r>
      <w:r w:rsidR="002B2CC1">
        <w:t xml:space="preserve"> are of lower education, with the evidence not providing support for such an effect among those who have completed more than 6 years of education (i.e., primary schools in the Greek context).</w:t>
      </w:r>
    </w:p>
    <w:p w:rsidR="001D4E5D" w:rsidRDefault="00484A5C" w:rsidP="005C41B7">
      <w:pPr>
        <w:pStyle w:val="APAPar"/>
      </w:pPr>
      <w:r>
        <w:t>T</w:t>
      </w:r>
      <w:r w:rsidR="0009272F">
        <w:t xml:space="preserve">he next </w:t>
      </w:r>
      <w:r w:rsidR="00525F58">
        <w:t>analysis</w:t>
      </w:r>
      <w:r w:rsidR="0009272F">
        <w:t xml:space="preserve"> will examine whether </w:t>
      </w:r>
      <w:r w:rsidR="00A83BE0">
        <w:t xml:space="preserve">age, </w:t>
      </w:r>
      <w:r w:rsidR="0009272F">
        <w:t>social network size, SES,</w:t>
      </w:r>
      <w:r w:rsidR="0086548F">
        <w:t xml:space="preserve"> and gender have an influence on</w:t>
      </w:r>
      <w:r w:rsidR="0009272F">
        <w:t xml:space="preserve"> Gree</w:t>
      </w:r>
      <w:r w:rsidR="0012652E">
        <w:t xml:space="preserve">k seniors’ social participation, </w:t>
      </w:r>
      <w:r w:rsidR="00FE7E07">
        <w:t>exercise and Internet use,</w:t>
      </w:r>
      <w:r w:rsidR="0009272F">
        <w:t xml:space="preserve"> which in turn may influence their </w:t>
      </w:r>
      <w:r w:rsidR="002F5729">
        <w:t xml:space="preserve">cognitive performance. </w:t>
      </w:r>
    </w:p>
    <w:p w:rsidR="00F20BD7" w:rsidRPr="00161D61" w:rsidRDefault="00EF7100" w:rsidP="00FE028D">
      <w:pPr>
        <w:pStyle w:val="Heading2"/>
      </w:pPr>
      <w:bookmarkStart w:id="187" w:name="_Toc521184260"/>
      <w:r>
        <w:t xml:space="preserve">Analysis </w:t>
      </w:r>
      <w:r w:rsidR="00F20BD7" w:rsidRPr="00161D61">
        <w:t xml:space="preserve">4 Social Factors that </w:t>
      </w:r>
      <w:r w:rsidR="00106A62" w:rsidRPr="00161D61">
        <w:t>Influence Older Adults’ Social P</w:t>
      </w:r>
      <w:r w:rsidR="00F20BD7" w:rsidRPr="00161D61">
        <w:t>articipation</w:t>
      </w:r>
      <w:r w:rsidR="006A427E">
        <w:t>, Internet use, and Exercise</w:t>
      </w:r>
      <w:bookmarkEnd w:id="187"/>
    </w:p>
    <w:p w:rsidR="004F027D" w:rsidRDefault="004F027D" w:rsidP="00C31CE0">
      <w:pPr>
        <w:pStyle w:val="Heading3"/>
      </w:pPr>
      <w:bookmarkStart w:id="188" w:name="_Toc521184261"/>
      <w:r>
        <w:t>Introduction</w:t>
      </w:r>
      <w:bookmarkEnd w:id="188"/>
    </w:p>
    <w:p w:rsidR="00B30068" w:rsidRDefault="00FA06BD" w:rsidP="005C41B7">
      <w:pPr>
        <w:pStyle w:val="APAPar"/>
      </w:pPr>
      <w:r>
        <w:t xml:space="preserve">Earlier </w:t>
      </w:r>
      <w:r w:rsidR="00F2519F">
        <w:t>in this c</w:t>
      </w:r>
      <w:r w:rsidR="00F20BD7">
        <w:t xml:space="preserve">hapter, it was described how participation in activities that benefit cognitive performance cannot be considered solely a personal choice for older adults. As </w:t>
      </w:r>
      <w:r w:rsidR="00F20BD7" w:rsidRPr="007A15F6">
        <w:t xml:space="preserve">Aichenbaum and Brengston (1994) </w:t>
      </w:r>
      <w:r w:rsidR="00AA3143">
        <w:t xml:space="preserve">and Sharf et al. (2004) </w:t>
      </w:r>
      <w:r w:rsidR="00403BD5" w:rsidRPr="007A15F6">
        <w:t>argued</w:t>
      </w:r>
      <w:r w:rsidR="00403BD5">
        <w:t xml:space="preserve">, </w:t>
      </w:r>
      <w:r w:rsidR="00403BD5" w:rsidRPr="007A15F6">
        <w:t>income</w:t>
      </w:r>
      <w:r w:rsidR="00F20BD7" w:rsidRPr="007A15F6">
        <w:t xml:space="preserve">, gender, and education are </w:t>
      </w:r>
      <w:r w:rsidR="00106A62">
        <w:t>some of the</w:t>
      </w:r>
      <w:r w:rsidR="00F20BD7" w:rsidRPr="007A15F6">
        <w:t xml:space="preserve"> factors </w:t>
      </w:r>
      <w:r w:rsidR="00F20BD7">
        <w:t>that diversify developmental</w:t>
      </w:r>
      <w:r w:rsidR="00F20BD7" w:rsidRPr="007A15F6">
        <w:t xml:space="preserve"> pathways </w:t>
      </w:r>
      <w:r w:rsidR="00057328">
        <w:t>with</w:t>
      </w:r>
      <w:r w:rsidR="00F20BD7">
        <w:t xml:space="preserve"> </w:t>
      </w:r>
      <w:r w:rsidR="00295E25">
        <w:t xml:space="preserve">ageing, </w:t>
      </w:r>
      <w:r w:rsidR="00467324">
        <w:t xml:space="preserve">leading to variation in older adults’ </w:t>
      </w:r>
      <w:r w:rsidR="00AA3143">
        <w:t>social participation</w:t>
      </w:r>
      <w:r w:rsidR="00F20BD7">
        <w:t>. The</w:t>
      </w:r>
      <w:r w:rsidR="00AA3143">
        <w:t>refore, the</w:t>
      </w:r>
      <w:r w:rsidR="00622F3E">
        <w:t xml:space="preserve"> </w:t>
      </w:r>
      <w:r w:rsidR="00F2519F">
        <w:t>fourth</w:t>
      </w:r>
      <w:r w:rsidR="00F20BD7">
        <w:t xml:space="preserve"> </w:t>
      </w:r>
      <w:r w:rsidR="00525F58">
        <w:t>an</w:t>
      </w:r>
      <w:r w:rsidR="00622F3E">
        <w:t>alysis</w:t>
      </w:r>
      <w:r w:rsidR="00F20BD7">
        <w:t xml:space="preserve"> examine</w:t>
      </w:r>
      <w:r w:rsidR="00622F3E">
        <w:t>d</w:t>
      </w:r>
      <w:r w:rsidR="00F20BD7">
        <w:t xml:space="preserve"> how </w:t>
      </w:r>
      <w:r w:rsidR="00F20BD7" w:rsidRPr="000B6600">
        <w:t xml:space="preserve">various social factors (i.e., age, SES, gender, social network) may </w:t>
      </w:r>
      <w:r w:rsidR="00CF763B" w:rsidRPr="000B6600">
        <w:t xml:space="preserve">influence </w:t>
      </w:r>
      <w:r w:rsidR="00F20BD7" w:rsidRPr="000B6600">
        <w:t>Greek olde</w:t>
      </w:r>
      <w:r w:rsidR="00106A62" w:rsidRPr="000B6600">
        <w:t>r adults’ social participation</w:t>
      </w:r>
      <w:r w:rsidR="00403BD5" w:rsidRPr="000B6600">
        <w:t>, exercise and Internet use</w:t>
      </w:r>
      <w:r w:rsidR="00106A62" w:rsidRPr="000B6600">
        <w:t>.</w:t>
      </w:r>
      <w:r w:rsidR="0053094A" w:rsidRPr="000B6600">
        <w:t xml:space="preserve"> In this analysis, SES </w:t>
      </w:r>
      <w:r w:rsidR="00622F3E" w:rsidRPr="000B6600">
        <w:t>was</w:t>
      </w:r>
      <w:r w:rsidR="0053094A" w:rsidRPr="000B6600">
        <w:t xml:space="preserve"> represented by income, education, and the SES of the residing neighbourhood, following the suggestions of Oakes (2017). </w:t>
      </w:r>
      <w:r w:rsidR="0018313F" w:rsidRPr="000B6600">
        <w:t xml:space="preserve">Social participation </w:t>
      </w:r>
      <w:r w:rsidR="00622F3E" w:rsidRPr="000B6600">
        <w:t>was</w:t>
      </w:r>
      <w:r w:rsidR="0018313F" w:rsidRPr="000B6600">
        <w:t xml:space="preserve"> represented from the measures of loneliness and social participation frequency following the narrow description of</w:t>
      </w:r>
      <w:r w:rsidR="00525F58" w:rsidRPr="000B6600">
        <w:t xml:space="preserve"> Christelis and Dobresku (2012)</w:t>
      </w:r>
      <w:r w:rsidR="0018313F" w:rsidRPr="000B6600">
        <w:t xml:space="preserve">. Exercise </w:t>
      </w:r>
      <w:r w:rsidR="00622F3E" w:rsidRPr="000B6600">
        <w:t>was</w:t>
      </w:r>
      <w:r w:rsidR="0018313F" w:rsidRPr="000B6600">
        <w:t xml:space="preserve"> measured with a continuous index (i.e., as o</w:t>
      </w:r>
      <w:r w:rsidRPr="000B6600">
        <w:t>perationalized in the previous C</w:t>
      </w:r>
      <w:r w:rsidR="0018313F" w:rsidRPr="000B6600">
        <w:t>hapter)</w:t>
      </w:r>
      <w:r w:rsidR="0018313F" w:rsidRPr="000B6600">
        <w:rPr>
          <w:lang w:val="en-US"/>
        </w:rPr>
        <w:t>, including a categorical index as well to describe those that exercise sufficiently and those not doing so.</w:t>
      </w:r>
      <w:r w:rsidR="00B30068" w:rsidRPr="000B6600">
        <w:rPr>
          <w:lang w:val="en-US"/>
        </w:rPr>
        <w:t xml:space="preserve"> The preliminary analysis describe</w:t>
      </w:r>
      <w:r w:rsidR="00622F3E" w:rsidRPr="000B6600">
        <w:rPr>
          <w:lang w:val="en-US"/>
        </w:rPr>
        <w:t>d</w:t>
      </w:r>
      <w:r w:rsidR="00B30068" w:rsidRPr="000B6600">
        <w:rPr>
          <w:lang w:val="en-US"/>
        </w:rPr>
        <w:t xml:space="preserve"> the interrelations between the predictors of this analysis, namely </w:t>
      </w:r>
      <w:r w:rsidR="00B30068" w:rsidRPr="000B6600">
        <w:t xml:space="preserve">age, income, education, gender, social network, and the SES of the residing </w:t>
      </w:r>
      <w:r w:rsidR="008F2A21" w:rsidRPr="000B6600">
        <w:t>neighbourhood</w:t>
      </w:r>
      <w:r w:rsidR="00B30068" w:rsidRPr="000B6600">
        <w:rPr>
          <w:lang w:val="en-US"/>
        </w:rPr>
        <w:t xml:space="preserve">. </w:t>
      </w:r>
      <w:r w:rsidR="00B30068" w:rsidRPr="000B6600">
        <w:t xml:space="preserve">As with </w:t>
      </w:r>
      <w:r w:rsidR="00622F3E" w:rsidRPr="000B6600">
        <w:t>the analyses</w:t>
      </w:r>
      <w:r w:rsidR="00B30068" w:rsidRPr="000B6600">
        <w:t xml:space="preserve"> 2 and 3, the </w:t>
      </w:r>
      <w:r w:rsidR="008F2A21">
        <w:t xml:space="preserve">current </w:t>
      </w:r>
      <w:r w:rsidR="00B30068" w:rsidRPr="000B6600">
        <w:t xml:space="preserve">main analysis </w:t>
      </w:r>
      <w:r w:rsidR="00622F3E" w:rsidRPr="000B6600">
        <w:t>was</w:t>
      </w:r>
      <w:r w:rsidR="00B30068" w:rsidRPr="000B6600">
        <w:t xml:space="preserve"> conducted in two steps</w:t>
      </w:r>
      <w:r w:rsidR="008F2A21">
        <w:t xml:space="preserve"> in line with</w:t>
      </w:r>
      <w:r w:rsidR="00B30068" w:rsidRPr="000B6600">
        <w:t xml:space="preserve"> the suggestions of Salthouse and Pink (2008).</w:t>
      </w:r>
      <w:r w:rsidR="00B30068">
        <w:t xml:space="preserve"> </w:t>
      </w:r>
    </w:p>
    <w:p w:rsidR="008F2A21" w:rsidRDefault="008F2A21" w:rsidP="005C41B7">
      <w:pPr>
        <w:pStyle w:val="APAPar"/>
      </w:pPr>
    </w:p>
    <w:p w:rsidR="008F2A21" w:rsidRDefault="008F2A21" w:rsidP="00C31CE0">
      <w:pPr>
        <w:pStyle w:val="APAPar"/>
        <w:spacing w:line="360" w:lineRule="auto"/>
        <w:ind w:left="1080" w:right="0" w:hanging="1080"/>
        <w:rPr>
          <w:rStyle w:val="IntenseEmphasis"/>
        </w:rPr>
      </w:pPr>
    </w:p>
    <w:p w:rsidR="008F2A21" w:rsidRDefault="008F2A21" w:rsidP="00C31CE0">
      <w:pPr>
        <w:pStyle w:val="APAPar"/>
        <w:spacing w:line="360" w:lineRule="auto"/>
        <w:ind w:left="1080" w:right="0" w:hanging="1080"/>
        <w:rPr>
          <w:rStyle w:val="IntenseEmphasis"/>
        </w:rPr>
      </w:pPr>
    </w:p>
    <w:p w:rsidR="008F2A21" w:rsidRDefault="008F2A21" w:rsidP="00C31CE0">
      <w:pPr>
        <w:pStyle w:val="APAPar"/>
        <w:spacing w:line="360" w:lineRule="auto"/>
        <w:ind w:left="1080" w:right="0" w:hanging="1080"/>
        <w:rPr>
          <w:rStyle w:val="IntenseEmphasis"/>
        </w:rPr>
      </w:pPr>
    </w:p>
    <w:p w:rsidR="00CD6D43" w:rsidRPr="004A79CC" w:rsidRDefault="00CD6D43" w:rsidP="00C31CE0">
      <w:pPr>
        <w:pStyle w:val="APAPar"/>
        <w:spacing w:line="360" w:lineRule="auto"/>
        <w:ind w:left="1080" w:right="0" w:hanging="1080"/>
      </w:pPr>
      <w:r>
        <w:rPr>
          <w:rStyle w:val="IntenseEmphasis"/>
        </w:rPr>
        <w:t>Table</w:t>
      </w:r>
      <w:r w:rsidRPr="009D04BE">
        <w:rPr>
          <w:rStyle w:val="IntenseEmphasis"/>
        </w:rPr>
        <w:t xml:space="preserve"> </w:t>
      </w:r>
      <w:r w:rsidR="00A174C4">
        <w:rPr>
          <w:rStyle w:val="IntenseEmphasis"/>
        </w:rPr>
        <w:t>7.17</w:t>
      </w:r>
      <w:r w:rsidR="00A174C4" w:rsidRPr="009D04BE">
        <w:rPr>
          <w:rStyle w:val="IntenseEmphasis"/>
        </w:rPr>
        <w:t xml:space="preserve"> </w:t>
      </w:r>
      <w:r>
        <w:rPr>
          <w:rStyle w:val="IntenseEmphasis"/>
        </w:rPr>
        <w:t xml:space="preserve">Predictors </w:t>
      </w:r>
      <w:r w:rsidR="00A174C4">
        <w:rPr>
          <w:rStyle w:val="IntenseEmphasis"/>
        </w:rPr>
        <w:t>And Outcomes Included In The R</w:t>
      </w:r>
      <w:r w:rsidR="00A174C4" w:rsidRPr="004A79CC">
        <w:rPr>
          <w:rStyle w:val="IntenseEmphasis"/>
        </w:rPr>
        <w:t xml:space="preserve">egression Models </w:t>
      </w:r>
      <w:r w:rsidR="00A174C4">
        <w:rPr>
          <w:rStyle w:val="IntenseEmphasis"/>
        </w:rPr>
        <w:t>In This Analysis</w:t>
      </w:r>
    </w:p>
    <w:tbl>
      <w:tblPr>
        <w:tblStyle w:val="TableGrid"/>
        <w:tblW w:w="6001" w:type="dxa"/>
        <w:jc w:val="center"/>
        <w:tblLayout w:type="fixed"/>
        <w:tblLook w:val="04A0" w:firstRow="1" w:lastRow="0" w:firstColumn="1" w:lastColumn="0" w:noHBand="0" w:noVBand="1"/>
      </w:tblPr>
      <w:tblGrid>
        <w:gridCol w:w="3544"/>
        <w:gridCol w:w="2457"/>
      </w:tblGrid>
      <w:tr w:rsidR="00CD6D43" w:rsidTr="00CD6D43">
        <w:trPr>
          <w:trHeight w:hRule="exact" w:val="567"/>
          <w:jc w:val="center"/>
        </w:trPr>
        <w:tc>
          <w:tcPr>
            <w:tcW w:w="3544" w:type="dxa"/>
            <w:tcBorders>
              <w:top w:val="nil"/>
              <w:left w:val="nil"/>
              <w:bottom w:val="dashSmallGap" w:sz="4" w:space="0" w:color="auto"/>
              <w:right w:val="dashSmallGap" w:sz="4" w:space="0" w:color="auto"/>
            </w:tcBorders>
          </w:tcPr>
          <w:p w:rsidR="00CD6D43" w:rsidRPr="00B42ED3" w:rsidRDefault="00CD6D43" w:rsidP="00CD6D43">
            <w:pPr>
              <w:pStyle w:val="APAPar"/>
              <w:spacing w:line="240" w:lineRule="auto"/>
            </w:pPr>
            <w:r w:rsidRPr="00B42ED3">
              <w:t>Predictor</w:t>
            </w:r>
            <w:r>
              <w:t>s</w:t>
            </w:r>
          </w:p>
        </w:tc>
        <w:tc>
          <w:tcPr>
            <w:tcW w:w="2457" w:type="dxa"/>
            <w:tcBorders>
              <w:top w:val="nil"/>
              <w:left w:val="dashSmallGap" w:sz="4" w:space="0" w:color="auto"/>
              <w:bottom w:val="dashSmallGap" w:sz="4" w:space="0" w:color="auto"/>
              <w:right w:val="nil"/>
            </w:tcBorders>
          </w:tcPr>
          <w:p w:rsidR="00CD6D43" w:rsidRPr="00B42ED3" w:rsidRDefault="00CD6D43" w:rsidP="00CD6D43">
            <w:pPr>
              <w:pStyle w:val="APAPar"/>
              <w:spacing w:line="240" w:lineRule="auto"/>
            </w:pPr>
            <w:r w:rsidRPr="00B42ED3">
              <w:t>Outcome</w:t>
            </w:r>
            <w:r>
              <w:t>s</w:t>
            </w:r>
          </w:p>
        </w:tc>
      </w:tr>
      <w:tr w:rsidR="00CD6D43" w:rsidRPr="00E041BC" w:rsidTr="00CD6D43">
        <w:trPr>
          <w:trHeight w:val="2812"/>
          <w:jc w:val="center"/>
        </w:trPr>
        <w:tc>
          <w:tcPr>
            <w:tcW w:w="3544" w:type="dxa"/>
            <w:tcBorders>
              <w:top w:val="dashSmallGap" w:sz="4" w:space="0" w:color="auto"/>
              <w:left w:val="nil"/>
              <w:bottom w:val="single" w:sz="4" w:space="0" w:color="auto"/>
              <w:right w:val="dashSmallGap" w:sz="4" w:space="0" w:color="auto"/>
            </w:tcBorders>
          </w:tcPr>
          <w:p w:rsidR="00CD6D43" w:rsidRDefault="00CD6D43" w:rsidP="00CD6D43">
            <w:pPr>
              <w:pStyle w:val="APAPar"/>
              <w:spacing w:before="0" w:line="276" w:lineRule="auto"/>
            </w:pPr>
          </w:p>
          <w:p w:rsidR="00CD6D43" w:rsidRDefault="00CD6D43" w:rsidP="00546D49">
            <w:pPr>
              <w:pStyle w:val="APAPar"/>
              <w:numPr>
                <w:ilvl w:val="0"/>
                <w:numId w:val="47"/>
              </w:numPr>
              <w:spacing w:before="0" w:line="276" w:lineRule="auto"/>
              <w:ind w:left="1320"/>
            </w:pPr>
            <w:r>
              <w:t>Age</w:t>
            </w:r>
          </w:p>
          <w:p w:rsidR="00CD6D43" w:rsidRDefault="00CD6D43" w:rsidP="00546D49">
            <w:pPr>
              <w:pStyle w:val="APAPar"/>
              <w:numPr>
                <w:ilvl w:val="0"/>
                <w:numId w:val="47"/>
              </w:numPr>
              <w:spacing w:before="0" w:line="276" w:lineRule="auto"/>
              <w:ind w:left="1320"/>
            </w:pPr>
            <w:r>
              <w:t>Education</w:t>
            </w:r>
          </w:p>
          <w:p w:rsidR="00CD6D43" w:rsidRDefault="00CD6D43" w:rsidP="00546D49">
            <w:pPr>
              <w:pStyle w:val="APAPar"/>
              <w:numPr>
                <w:ilvl w:val="0"/>
                <w:numId w:val="47"/>
              </w:numPr>
              <w:spacing w:before="0" w:line="276" w:lineRule="auto"/>
              <w:ind w:left="1320"/>
            </w:pPr>
            <w:r>
              <w:t>Gender</w:t>
            </w:r>
          </w:p>
          <w:p w:rsidR="00CD6D43" w:rsidRDefault="00CD6D43" w:rsidP="00546D49">
            <w:pPr>
              <w:pStyle w:val="APAPar"/>
              <w:numPr>
                <w:ilvl w:val="0"/>
                <w:numId w:val="47"/>
              </w:numPr>
              <w:spacing w:before="0" w:line="276" w:lineRule="auto"/>
              <w:ind w:left="1320"/>
            </w:pPr>
            <w:r>
              <w:t>Social Network Size</w:t>
            </w:r>
          </w:p>
          <w:p w:rsidR="00CD6D43" w:rsidRDefault="00CD6D43" w:rsidP="00546D49">
            <w:pPr>
              <w:pStyle w:val="APAPar"/>
              <w:numPr>
                <w:ilvl w:val="0"/>
                <w:numId w:val="47"/>
              </w:numPr>
              <w:spacing w:before="0" w:line="276" w:lineRule="auto"/>
              <w:ind w:left="1320"/>
            </w:pPr>
            <w:r>
              <w:t>Income</w:t>
            </w:r>
          </w:p>
          <w:p w:rsidR="00CD6D43" w:rsidRDefault="00CD6D43" w:rsidP="00546D49">
            <w:pPr>
              <w:pStyle w:val="APAPar"/>
              <w:numPr>
                <w:ilvl w:val="0"/>
                <w:numId w:val="47"/>
              </w:numPr>
              <w:spacing w:before="0" w:line="240" w:lineRule="auto"/>
              <w:ind w:left="1320"/>
            </w:pPr>
            <w:r>
              <w:t>Socioeconomic Status of the Residing Neighbourhood</w:t>
            </w:r>
          </w:p>
        </w:tc>
        <w:tc>
          <w:tcPr>
            <w:tcW w:w="2457" w:type="dxa"/>
            <w:tcBorders>
              <w:top w:val="dashSmallGap" w:sz="4" w:space="0" w:color="auto"/>
              <w:left w:val="dashSmallGap" w:sz="4" w:space="0" w:color="auto"/>
              <w:bottom w:val="single" w:sz="4" w:space="0" w:color="auto"/>
              <w:right w:val="nil"/>
            </w:tcBorders>
            <w:vAlign w:val="center"/>
          </w:tcPr>
          <w:p w:rsidR="00CD6D43" w:rsidRPr="00E041BC" w:rsidRDefault="00CD6D43" w:rsidP="00CD6D43">
            <w:pPr>
              <w:pStyle w:val="APAPar"/>
              <w:spacing w:line="240" w:lineRule="auto"/>
              <w:ind w:firstLine="0"/>
              <w:jc w:val="center"/>
              <w:rPr>
                <w:lang w:val="fr-FR"/>
              </w:rPr>
            </w:pPr>
            <w:r w:rsidRPr="00E041BC">
              <w:rPr>
                <w:lang w:val="fr-FR"/>
              </w:rPr>
              <w:t xml:space="preserve">Social Participation </w:t>
            </w:r>
          </w:p>
          <w:p w:rsidR="00CD6D43" w:rsidRPr="00E041BC" w:rsidRDefault="00CD6D43" w:rsidP="00CD6D43">
            <w:pPr>
              <w:pStyle w:val="APAPar"/>
              <w:spacing w:line="240" w:lineRule="auto"/>
              <w:ind w:firstLine="0"/>
              <w:jc w:val="center"/>
              <w:rPr>
                <w:lang w:val="fr-FR"/>
              </w:rPr>
            </w:pPr>
            <w:r w:rsidRPr="00E041BC">
              <w:rPr>
                <w:lang w:val="fr-FR"/>
              </w:rPr>
              <w:t>Internet use</w:t>
            </w:r>
          </w:p>
          <w:p w:rsidR="00CD6D43" w:rsidRPr="00E041BC" w:rsidRDefault="00CD6D43" w:rsidP="00CD6D43">
            <w:pPr>
              <w:pStyle w:val="APAPar"/>
              <w:spacing w:line="240" w:lineRule="auto"/>
              <w:ind w:firstLine="0"/>
              <w:jc w:val="center"/>
              <w:rPr>
                <w:lang w:val="fr-FR"/>
              </w:rPr>
            </w:pPr>
            <w:r w:rsidRPr="00E041BC">
              <w:rPr>
                <w:lang w:val="fr-FR"/>
              </w:rPr>
              <w:t>Exercise</w:t>
            </w:r>
          </w:p>
        </w:tc>
      </w:tr>
    </w:tbl>
    <w:p w:rsidR="00F77D21" w:rsidRPr="00E041BC" w:rsidRDefault="00F77D21" w:rsidP="005C41B7">
      <w:pPr>
        <w:pStyle w:val="APAPar"/>
        <w:rPr>
          <w:lang w:val="fr-FR"/>
        </w:rPr>
      </w:pPr>
    </w:p>
    <w:p w:rsidR="003E785D" w:rsidRDefault="003E785D" w:rsidP="00C31CE0">
      <w:pPr>
        <w:pStyle w:val="Heading3"/>
      </w:pPr>
      <w:bookmarkStart w:id="189" w:name="_Toc521184262"/>
      <w:r>
        <w:t>Preliminary analysis</w:t>
      </w:r>
      <w:bookmarkEnd w:id="189"/>
    </w:p>
    <w:p w:rsidR="00467324" w:rsidRDefault="00467324" w:rsidP="005C41B7">
      <w:pPr>
        <w:pStyle w:val="APAPar"/>
        <w:rPr>
          <w:rFonts w:eastAsia="Times New Roman"/>
          <w:lang w:eastAsia="en-GB"/>
        </w:rPr>
      </w:pPr>
      <w:r>
        <w:t>The mean and standard deviations s</w:t>
      </w:r>
      <w:r w:rsidR="008F2A21">
        <w:t>izes for social network size were</w:t>
      </w:r>
      <w:r>
        <w:t xml:space="preserve"> </w:t>
      </w:r>
      <w:r w:rsidRPr="008778CF">
        <w:rPr>
          <w:i/>
        </w:rPr>
        <w:t>M</w:t>
      </w:r>
      <w:r>
        <w:t xml:space="preserve"> = 7.48, </w:t>
      </w:r>
      <w:r w:rsidRPr="008778CF">
        <w:rPr>
          <w:i/>
        </w:rPr>
        <w:t>SD</w:t>
      </w:r>
      <w:r>
        <w:t xml:space="preserve"> = 4.17, and for income </w:t>
      </w:r>
      <w:r w:rsidRPr="008778CF">
        <w:rPr>
          <w:i/>
        </w:rPr>
        <w:t>M</w:t>
      </w:r>
      <w:r>
        <w:t xml:space="preserve"> = 1169.42, </w:t>
      </w:r>
      <w:r w:rsidRPr="008778CF">
        <w:rPr>
          <w:i/>
        </w:rPr>
        <w:t>SD</w:t>
      </w:r>
      <w:r>
        <w:t xml:space="preserve"> = 963.58. </w:t>
      </w:r>
      <w:r w:rsidRPr="007A15F6">
        <w:t xml:space="preserve">Independent sample t-test revealed that there were statistical significant differences between the </w:t>
      </w:r>
      <w:r>
        <w:t>residen</w:t>
      </w:r>
      <w:r w:rsidR="0086548F">
        <w:t xml:space="preserve">ts </w:t>
      </w:r>
      <w:r>
        <w:t xml:space="preserve">of </w:t>
      </w:r>
      <w:r w:rsidRPr="007A15F6">
        <w:t xml:space="preserve">two locations </w:t>
      </w:r>
      <w:r>
        <w:t xml:space="preserve">(City Centre </w:t>
      </w:r>
      <w:r w:rsidRPr="00DD0A73">
        <w:rPr>
          <w:i/>
        </w:rPr>
        <w:t xml:space="preserve">N </w:t>
      </w:r>
      <w:r>
        <w:t xml:space="preserve">= 51, and Neapel </w:t>
      </w:r>
      <w:r w:rsidRPr="00DD0A73">
        <w:rPr>
          <w:i/>
        </w:rPr>
        <w:t>N</w:t>
      </w:r>
      <w:r>
        <w:t xml:space="preserve"> =36) </w:t>
      </w:r>
      <w:r w:rsidRPr="007A15F6">
        <w:t xml:space="preserve">in </w:t>
      </w:r>
      <w:r>
        <w:t xml:space="preserve">the mean </w:t>
      </w:r>
      <w:r w:rsidRPr="007A15F6">
        <w:t>income</w:t>
      </w:r>
      <w:r>
        <w:t xml:space="preserve"> </w:t>
      </w:r>
      <w:r w:rsidRPr="007A15F6">
        <w:t>[</w:t>
      </w:r>
      <w:r w:rsidRPr="007A15F6">
        <w:rPr>
          <w:i/>
        </w:rPr>
        <w:t>t</w:t>
      </w:r>
      <w:r w:rsidRPr="007A15F6">
        <w:t>(</w:t>
      </w:r>
      <w:r>
        <w:t>80</w:t>
      </w:r>
      <w:r w:rsidRPr="007A15F6">
        <w:t>) = 2.</w:t>
      </w:r>
      <w:r>
        <w:t>887</w:t>
      </w:r>
      <w:r w:rsidRPr="007A15F6">
        <w:t xml:space="preserve">, </w:t>
      </w:r>
      <w:r w:rsidRPr="007A15F6">
        <w:rPr>
          <w:i/>
        </w:rPr>
        <w:t>p</w:t>
      </w:r>
      <w:r>
        <w:t xml:space="preserve"> = .005</w:t>
      </w:r>
      <w:r w:rsidRPr="007A15F6">
        <w:t xml:space="preserve">, </w:t>
      </w:r>
      <w:r w:rsidRPr="007A15F6">
        <w:rPr>
          <w:i/>
        </w:rPr>
        <w:t>M</w:t>
      </w:r>
      <w:r>
        <w:rPr>
          <w:vertAlign w:val="subscript"/>
        </w:rPr>
        <w:t>City Centre</w:t>
      </w:r>
      <w:r>
        <w:t xml:space="preserve"> = 1244.91</w:t>
      </w:r>
      <w:r w:rsidRPr="007A15F6">
        <w:t xml:space="preserve">, </w:t>
      </w:r>
      <w:r w:rsidRPr="007A15F6">
        <w:rPr>
          <w:i/>
        </w:rPr>
        <w:t>M</w:t>
      </w:r>
      <w:r>
        <w:rPr>
          <w:vertAlign w:val="subscript"/>
        </w:rPr>
        <w:t>Neapel</w:t>
      </w:r>
      <w:r w:rsidRPr="007A15F6">
        <w:rPr>
          <w:vertAlign w:val="subscript"/>
        </w:rPr>
        <w:t xml:space="preserve"> </w:t>
      </w:r>
      <w:r w:rsidRPr="007A15F6">
        <w:t xml:space="preserve">= </w:t>
      </w:r>
      <w:r>
        <w:t>854.52</w:t>
      </w:r>
      <w:r w:rsidRPr="007A15F6">
        <w:t>]</w:t>
      </w:r>
      <w:r>
        <w:t xml:space="preserve"> and the mean age </w:t>
      </w:r>
      <w:r w:rsidRPr="007A15F6">
        <w:t>[</w:t>
      </w:r>
      <w:r w:rsidRPr="007A15F6">
        <w:rPr>
          <w:i/>
        </w:rPr>
        <w:t>t</w:t>
      </w:r>
      <w:r w:rsidRPr="007A15F6">
        <w:t>(</w:t>
      </w:r>
      <w:r>
        <w:t>80</w:t>
      </w:r>
      <w:r w:rsidRPr="007A15F6">
        <w:t xml:space="preserve">) = </w:t>
      </w:r>
      <w:r>
        <w:t>-</w:t>
      </w:r>
      <w:r w:rsidRPr="007A15F6">
        <w:t>2.</w:t>
      </w:r>
      <w:r>
        <w:t>489</w:t>
      </w:r>
      <w:r w:rsidRPr="007A15F6">
        <w:t xml:space="preserve">, </w:t>
      </w:r>
      <w:r w:rsidRPr="007A15F6">
        <w:rPr>
          <w:i/>
        </w:rPr>
        <w:t>p</w:t>
      </w:r>
      <w:r>
        <w:t xml:space="preserve"> = .015</w:t>
      </w:r>
      <w:r w:rsidRPr="007A15F6">
        <w:t xml:space="preserve">, </w:t>
      </w:r>
      <w:r w:rsidRPr="007A15F6">
        <w:rPr>
          <w:i/>
        </w:rPr>
        <w:t>M</w:t>
      </w:r>
      <w:r>
        <w:rPr>
          <w:vertAlign w:val="subscript"/>
        </w:rPr>
        <w:t>City Centre</w:t>
      </w:r>
      <w:r>
        <w:t xml:space="preserve"> = 60.79</w:t>
      </w:r>
      <w:r w:rsidRPr="007A15F6">
        <w:t xml:space="preserve">, </w:t>
      </w:r>
      <w:r w:rsidRPr="007A15F6">
        <w:rPr>
          <w:i/>
        </w:rPr>
        <w:t>M</w:t>
      </w:r>
      <w:r>
        <w:rPr>
          <w:vertAlign w:val="subscript"/>
        </w:rPr>
        <w:t>Neapel</w:t>
      </w:r>
      <w:r w:rsidRPr="007A15F6">
        <w:rPr>
          <w:vertAlign w:val="subscript"/>
        </w:rPr>
        <w:t xml:space="preserve"> </w:t>
      </w:r>
      <w:r w:rsidRPr="007A15F6">
        <w:t xml:space="preserve">= </w:t>
      </w:r>
      <w:r>
        <w:t>64.65</w:t>
      </w:r>
      <w:r w:rsidRPr="007A15F6">
        <w:t>]</w:t>
      </w:r>
      <w:r>
        <w:t xml:space="preserve"> . Chi square analysis on the levels of education with the location of residence revealed a statistically significant dependency [</w:t>
      </w:r>
      <w:r w:rsidRPr="001C33CE">
        <w:rPr>
          <w:rFonts w:eastAsia="Times New Roman"/>
          <w:lang w:eastAsia="en-GB"/>
        </w:rPr>
        <w:t>X</w:t>
      </w:r>
      <w:r w:rsidRPr="001C33CE">
        <w:rPr>
          <w:rFonts w:eastAsia="Times New Roman"/>
          <w:vertAlign w:val="superscript"/>
          <w:lang w:eastAsia="en-GB"/>
        </w:rPr>
        <w:t>2</w:t>
      </w:r>
      <w:r w:rsidRPr="001C33CE">
        <w:rPr>
          <w:rFonts w:eastAsia="Times New Roman"/>
          <w:lang w:eastAsia="en-GB"/>
        </w:rPr>
        <w:t xml:space="preserve"> (</w:t>
      </w:r>
      <w:r>
        <w:rPr>
          <w:rFonts w:eastAsia="Times New Roman"/>
          <w:lang w:eastAsia="en-GB"/>
        </w:rPr>
        <w:t>1</w:t>
      </w:r>
      <w:r w:rsidRPr="001C33CE">
        <w:rPr>
          <w:rFonts w:eastAsia="Times New Roman"/>
          <w:lang w:eastAsia="en-GB"/>
        </w:rPr>
        <w:t xml:space="preserve">2, </w:t>
      </w:r>
      <w:r w:rsidRPr="001C33CE">
        <w:rPr>
          <w:rFonts w:eastAsia="Times New Roman"/>
          <w:i/>
          <w:lang w:eastAsia="en-GB"/>
        </w:rPr>
        <w:t>N</w:t>
      </w:r>
      <w:r w:rsidRPr="001C33CE">
        <w:rPr>
          <w:rFonts w:eastAsia="Times New Roman"/>
          <w:lang w:eastAsia="en-GB"/>
        </w:rPr>
        <w:t xml:space="preserve"> = </w:t>
      </w:r>
      <w:r>
        <w:rPr>
          <w:rFonts w:eastAsia="Times New Roman"/>
          <w:lang w:eastAsia="en-GB"/>
        </w:rPr>
        <w:t>87</w:t>
      </w:r>
      <w:r w:rsidRPr="001C33CE">
        <w:rPr>
          <w:rFonts w:eastAsia="Times New Roman"/>
          <w:lang w:eastAsia="en-GB"/>
        </w:rPr>
        <w:t xml:space="preserve">) = </w:t>
      </w:r>
      <w:r>
        <w:rPr>
          <w:rFonts w:eastAsia="Times New Roman"/>
          <w:lang w:eastAsia="en-GB"/>
        </w:rPr>
        <w:t>28.303</w:t>
      </w:r>
      <w:r w:rsidRPr="001C33CE">
        <w:rPr>
          <w:rFonts w:eastAsia="Times New Roman"/>
          <w:lang w:eastAsia="en-GB"/>
        </w:rPr>
        <w:t xml:space="preserve">, </w:t>
      </w:r>
      <w:r w:rsidRPr="001C33CE">
        <w:rPr>
          <w:rFonts w:eastAsia="Times New Roman"/>
          <w:i/>
          <w:lang w:eastAsia="en-GB"/>
        </w:rPr>
        <w:t>p</w:t>
      </w:r>
      <w:r w:rsidRPr="001C33CE">
        <w:rPr>
          <w:rFonts w:eastAsia="Times New Roman"/>
          <w:lang w:eastAsia="en-GB"/>
        </w:rPr>
        <w:t xml:space="preserve"> </w:t>
      </w:r>
      <w:r>
        <w:rPr>
          <w:rFonts w:eastAsia="Times New Roman"/>
          <w:lang w:eastAsia="en-GB"/>
        </w:rPr>
        <w:t>= .0</w:t>
      </w:r>
      <w:r w:rsidR="008269D1">
        <w:rPr>
          <w:rFonts w:eastAsia="Times New Roman"/>
          <w:lang w:eastAsia="en-GB"/>
        </w:rPr>
        <w:t>0</w:t>
      </w:r>
      <w:r>
        <w:rPr>
          <w:rFonts w:eastAsia="Times New Roman"/>
          <w:lang w:eastAsia="en-GB"/>
        </w:rPr>
        <w:t xml:space="preserve">5]. A </w:t>
      </w:r>
      <w:r w:rsidR="00CD6D43">
        <w:rPr>
          <w:rFonts w:eastAsia="Times New Roman"/>
          <w:lang w:eastAsia="en-GB"/>
        </w:rPr>
        <w:t>visual examination of table 7.18</w:t>
      </w:r>
      <w:r>
        <w:rPr>
          <w:rFonts w:eastAsia="Times New Roman"/>
          <w:lang w:eastAsia="en-GB"/>
        </w:rPr>
        <w:t xml:space="preserve"> reveals that those residing in the city centre were comparatively more likely to have completed higher education, with those in the Neapel area to be more likely to have completed only primary education. This pattern of results indicates that the City Centre and Neapel areas have a different SES in terms of income and </w:t>
      </w:r>
      <w:r w:rsidRPr="000B6600">
        <w:rPr>
          <w:rFonts w:eastAsia="Times New Roman"/>
          <w:lang w:eastAsia="en-GB"/>
        </w:rPr>
        <w:t xml:space="preserve">education, thus </w:t>
      </w:r>
      <w:r w:rsidR="00622F3E" w:rsidRPr="000B6600">
        <w:rPr>
          <w:rFonts w:eastAsia="Times New Roman"/>
          <w:lang w:eastAsia="en-GB"/>
        </w:rPr>
        <w:t xml:space="preserve">they are </w:t>
      </w:r>
      <w:r w:rsidRPr="000B6600">
        <w:rPr>
          <w:rFonts w:eastAsia="Times New Roman"/>
          <w:lang w:eastAsia="en-GB"/>
        </w:rPr>
        <w:t>two areas of different SES.</w:t>
      </w:r>
      <w:r>
        <w:rPr>
          <w:rFonts w:eastAsia="Times New Roman"/>
          <w:lang w:eastAsia="en-GB"/>
        </w:rPr>
        <w:t xml:space="preserve"> </w:t>
      </w:r>
    </w:p>
    <w:p w:rsidR="0086548F" w:rsidRDefault="0086548F" w:rsidP="005C41B7">
      <w:pPr>
        <w:pStyle w:val="APAPar"/>
        <w:rPr>
          <w:rFonts w:eastAsia="Times New Roman"/>
          <w:lang w:eastAsia="en-GB"/>
        </w:rPr>
      </w:pPr>
    </w:p>
    <w:p w:rsidR="0086548F" w:rsidRDefault="0086548F" w:rsidP="005C41B7">
      <w:pPr>
        <w:pStyle w:val="APAPar"/>
        <w:rPr>
          <w:rFonts w:eastAsia="Times New Roman"/>
          <w:lang w:eastAsia="en-GB"/>
        </w:rPr>
      </w:pPr>
    </w:p>
    <w:p w:rsidR="00865BE4" w:rsidRPr="00C72B75" w:rsidRDefault="00865BE4" w:rsidP="004A79CC">
      <w:pPr>
        <w:spacing w:line="360" w:lineRule="auto"/>
        <w:ind w:left="1077" w:hanging="1077"/>
        <w:rPr>
          <w:rFonts w:ascii="Times New Roman" w:eastAsia="Times New Roman" w:hAnsi="Times New Roman" w:cs="Times New Roman"/>
          <w:color w:val="000000"/>
          <w:szCs w:val="20"/>
          <w:lang w:eastAsia="en-US"/>
        </w:rPr>
      </w:pPr>
      <w:r>
        <w:rPr>
          <w:rFonts w:ascii="Times New Roman" w:eastAsia="Times New Roman" w:hAnsi="Times New Roman" w:cs="Times New Roman"/>
          <w:color w:val="000000"/>
          <w:szCs w:val="20"/>
          <w:lang w:eastAsia="en-US"/>
        </w:rPr>
        <w:t>Table</w:t>
      </w:r>
      <w:r w:rsidR="00CD6D43">
        <w:rPr>
          <w:rFonts w:ascii="Times New Roman" w:eastAsia="Times New Roman" w:hAnsi="Times New Roman" w:cs="Times New Roman"/>
          <w:color w:val="000000"/>
          <w:szCs w:val="20"/>
          <w:lang w:eastAsia="en-US"/>
        </w:rPr>
        <w:t xml:space="preserve"> </w:t>
      </w:r>
      <w:r w:rsidR="00A174C4">
        <w:rPr>
          <w:rFonts w:ascii="Times New Roman" w:eastAsia="Times New Roman" w:hAnsi="Times New Roman" w:cs="Times New Roman"/>
          <w:color w:val="000000"/>
          <w:szCs w:val="20"/>
          <w:lang w:eastAsia="en-US"/>
        </w:rPr>
        <w:t>7.18</w:t>
      </w:r>
      <w:r w:rsidR="00A174C4" w:rsidRPr="007A15F6">
        <w:rPr>
          <w:rFonts w:ascii="Times New Roman" w:eastAsia="Times New Roman" w:hAnsi="Times New Roman" w:cs="Times New Roman"/>
          <w:color w:val="000000"/>
          <w:szCs w:val="20"/>
          <w:lang w:eastAsia="en-US"/>
        </w:rPr>
        <w:t xml:space="preserve"> </w:t>
      </w:r>
      <w:r w:rsidRPr="004A79CC">
        <w:rPr>
          <w:rFonts w:ascii="Times New Roman" w:eastAsia="Times New Roman" w:hAnsi="Times New Roman" w:cs="Times New Roman"/>
          <w:color w:val="000000"/>
          <w:szCs w:val="20"/>
          <w:lang w:eastAsia="en-US"/>
        </w:rPr>
        <w:t xml:space="preserve">Chi </w:t>
      </w:r>
      <w:r w:rsidR="00A174C4" w:rsidRPr="004A79CC">
        <w:rPr>
          <w:rFonts w:ascii="Times New Roman" w:eastAsia="Times New Roman" w:hAnsi="Times New Roman" w:cs="Times New Roman"/>
          <w:color w:val="000000"/>
          <w:szCs w:val="20"/>
          <w:lang w:eastAsia="en-US"/>
        </w:rPr>
        <w:t>Square Analysis Of The Cross-Tabulation For Education</w:t>
      </w:r>
      <w:r w:rsidR="00A174C4">
        <w:rPr>
          <w:rFonts w:ascii="Times New Roman" w:eastAsia="Times New Roman" w:hAnsi="Times New Roman" w:cs="Times New Roman"/>
          <w:color w:val="000000"/>
          <w:szCs w:val="20"/>
          <w:lang w:eastAsia="en-US"/>
        </w:rPr>
        <w:t>al</w:t>
      </w:r>
      <w:r w:rsidR="00A174C4" w:rsidRPr="004A79CC">
        <w:rPr>
          <w:rFonts w:ascii="Times New Roman" w:eastAsia="Times New Roman" w:hAnsi="Times New Roman" w:cs="Times New Roman"/>
          <w:color w:val="000000"/>
          <w:szCs w:val="20"/>
          <w:lang w:eastAsia="en-US"/>
        </w:rPr>
        <w:t xml:space="preserve"> Level And Location Of Residence</w:t>
      </w:r>
    </w:p>
    <w:tbl>
      <w:tblPr>
        <w:tblStyle w:val="TableGrid1"/>
        <w:tblW w:w="9072"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2694"/>
        <w:gridCol w:w="1701"/>
        <w:gridCol w:w="2693"/>
        <w:gridCol w:w="1984"/>
      </w:tblGrid>
      <w:tr w:rsidR="00865BE4" w:rsidRPr="007A15F6" w:rsidTr="00865BE4">
        <w:tc>
          <w:tcPr>
            <w:tcW w:w="2694" w:type="dxa"/>
          </w:tcPr>
          <w:p w:rsidR="00865BE4" w:rsidRPr="007A15F6" w:rsidRDefault="00865BE4" w:rsidP="00161D61">
            <w:pPr>
              <w:spacing w:line="360" w:lineRule="auto"/>
              <w:rPr>
                <w:rFonts w:ascii="Times New Roman" w:eastAsia="MS Mincho" w:hAnsi="Times New Roman" w:cs="Times New Roman"/>
                <w:sz w:val="20"/>
                <w:szCs w:val="20"/>
              </w:rPr>
            </w:pPr>
          </w:p>
        </w:tc>
        <w:tc>
          <w:tcPr>
            <w:tcW w:w="1701" w:type="dxa"/>
          </w:tcPr>
          <w:p w:rsidR="00865BE4" w:rsidRPr="007A15F6" w:rsidRDefault="00865BE4" w:rsidP="00161D61">
            <w:pPr>
              <w:spacing w:line="360" w:lineRule="auto"/>
              <w:jc w:val="center"/>
              <w:rPr>
                <w:rFonts w:ascii="Times New Roman" w:eastAsia="MS Mincho" w:hAnsi="Times New Roman" w:cs="Times New Roman"/>
                <w:sz w:val="20"/>
                <w:szCs w:val="20"/>
              </w:rPr>
            </w:pPr>
            <w:r>
              <w:rPr>
                <w:rFonts w:ascii="Times New Roman" w:eastAsia="MS Mincho" w:hAnsi="Times New Roman" w:cs="Times New Roman"/>
                <w:sz w:val="20"/>
                <w:szCs w:val="20"/>
              </w:rPr>
              <w:t>Unidentified</w:t>
            </w:r>
          </w:p>
        </w:tc>
        <w:tc>
          <w:tcPr>
            <w:tcW w:w="2693" w:type="dxa"/>
          </w:tcPr>
          <w:p w:rsidR="00865BE4" w:rsidRPr="007A15F6" w:rsidRDefault="00865BE4" w:rsidP="00161D61">
            <w:pPr>
              <w:jc w:val="center"/>
              <w:rPr>
                <w:rFonts w:ascii="Times New Roman" w:eastAsia="MS Mincho" w:hAnsi="Times New Roman" w:cs="Times New Roman"/>
                <w:sz w:val="20"/>
                <w:szCs w:val="20"/>
              </w:rPr>
            </w:pPr>
            <w:r>
              <w:rPr>
                <w:rFonts w:ascii="Times New Roman" w:eastAsia="MS Mincho" w:hAnsi="Times New Roman" w:cs="Times New Roman"/>
                <w:sz w:val="20"/>
                <w:szCs w:val="20"/>
              </w:rPr>
              <w:t>City Centre</w:t>
            </w:r>
          </w:p>
        </w:tc>
        <w:tc>
          <w:tcPr>
            <w:tcW w:w="1984" w:type="dxa"/>
          </w:tcPr>
          <w:p w:rsidR="00865BE4" w:rsidRPr="007A15F6" w:rsidRDefault="00865BE4" w:rsidP="00161D61">
            <w:pPr>
              <w:spacing w:line="360" w:lineRule="auto"/>
              <w:jc w:val="center"/>
              <w:rPr>
                <w:rFonts w:ascii="Times New Roman" w:eastAsia="MS Mincho" w:hAnsi="Times New Roman" w:cs="Times New Roman"/>
                <w:sz w:val="20"/>
                <w:szCs w:val="20"/>
              </w:rPr>
            </w:pPr>
            <w:r>
              <w:rPr>
                <w:rFonts w:ascii="Times New Roman" w:eastAsia="MS Mincho" w:hAnsi="Times New Roman" w:cs="Times New Roman"/>
                <w:sz w:val="20"/>
                <w:szCs w:val="20"/>
              </w:rPr>
              <w:t>Neapel</w:t>
            </w:r>
          </w:p>
        </w:tc>
      </w:tr>
      <w:tr w:rsidR="00865BE4" w:rsidRPr="007A15F6" w:rsidTr="00865BE4">
        <w:tc>
          <w:tcPr>
            <w:tcW w:w="2694" w:type="dxa"/>
          </w:tcPr>
          <w:p w:rsidR="00865BE4" w:rsidRPr="00E01083" w:rsidRDefault="00865BE4" w:rsidP="00161D61">
            <w:pPr>
              <w:spacing w:line="360" w:lineRule="auto"/>
              <w:rPr>
                <w:rFonts w:ascii="Times New Roman" w:eastAsia="MS Mincho" w:hAnsi="Times New Roman" w:cs="Times New Roman"/>
                <w:szCs w:val="20"/>
              </w:rPr>
            </w:pPr>
            <w:r w:rsidRPr="00E01083">
              <w:rPr>
                <w:rFonts w:ascii="Times New Roman" w:eastAsia="MS Mincho" w:hAnsi="Times New Roman" w:cs="Times New Roman"/>
                <w:szCs w:val="20"/>
              </w:rPr>
              <w:t>Primary education</w:t>
            </w:r>
          </w:p>
        </w:tc>
        <w:tc>
          <w:tcPr>
            <w:tcW w:w="1701"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0</w:t>
            </w:r>
          </w:p>
        </w:tc>
        <w:tc>
          <w:tcPr>
            <w:tcW w:w="2693"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2</w:t>
            </w:r>
          </w:p>
        </w:tc>
        <w:tc>
          <w:tcPr>
            <w:tcW w:w="1984"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9</w:t>
            </w:r>
          </w:p>
        </w:tc>
      </w:tr>
      <w:tr w:rsidR="00865BE4" w:rsidRPr="007A15F6" w:rsidTr="00865BE4">
        <w:tc>
          <w:tcPr>
            <w:tcW w:w="2694" w:type="dxa"/>
          </w:tcPr>
          <w:p w:rsidR="00865BE4" w:rsidRPr="00E01083" w:rsidRDefault="00865BE4" w:rsidP="00161D61">
            <w:pPr>
              <w:spacing w:line="360" w:lineRule="auto"/>
              <w:rPr>
                <w:rFonts w:ascii="Times New Roman" w:eastAsia="MS Mincho" w:hAnsi="Times New Roman" w:cs="Times New Roman"/>
                <w:szCs w:val="20"/>
              </w:rPr>
            </w:pPr>
            <w:r w:rsidRPr="00E01083">
              <w:rPr>
                <w:rFonts w:ascii="Times New Roman" w:eastAsia="MS Mincho" w:hAnsi="Times New Roman" w:cs="Times New Roman"/>
                <w:szCs w:val="20"/>
              </w:rPr>
              <w:t>High school</w:t>
            </w:r>
          </w:p>
        </w:tc>
        <w:tc>
          <w:tcPr>
            <w:tcW w:w="1701"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0</w:t>
            </w:r>
          </w:p>
        </w:tc>
        <w:tc>
          <w:tcPr>
            <w:tcW w:w="2693"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1</w:t>
            </w:r>
          </w:p>
        </w:tc>
        <w:tc>
          <w:tcPr>
            <w:tcW w:w="1984"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3</w:t>
            </w:r>
          </w:p>
        </w:tc>
      </w:tr>
      <w:tr w:rsidR="00865BE4" w:rsidRPr="007A15F6" w:rsidTr="00865BE4">
        <w:tc>
          <w:tcPr>
            <w:tcW w:w="2694" w:type="dxa"/>
          </w:tcPr>
          <w:p w:rsidR="00865BE4" w:rsidRPr="00E01083" w:rsidRDefault="00865BE4" w:rsidP="00161D61">
            <w:pPr>
              <w:spacing w:line="360" w:lineRule="auto"/>
              <w:rPr>
                <w:rFonts w:ascii="Times New Roman" w:eastAsia="MS Mincho" w:hAnsi="Times New Roman" w:cs="Times New Roman"/>
                <w:szCs w:val="20"/>
              </w:rPr>
            </w:pPr>
            <w:r w:rsidRPr="00E01083">
              <w:rPr>
                <w:rFonts w:ascii="Times New Roman" w:eastAsia="MS Mincho" w:hAnsi="Times New Roman" w:cs="Times New Roman"/>
                <w:szCs w:val="20"/>
              </w:rPr>
              <w:t>Lyceum</w:t>
            </w:r>
          </w:p>
        </w:tc>
        <w:tc>
          <w:tcPr>
            <w:tcW w:w="1701"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0</w:t>
            </w:r>
          </w:p>
        </w:tc>
        <w:tc>
          <w:tcPr>
            <w:tcW w:w="2693"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22</w:t>
            </w:r>
          </w:p>
        </w:tc>
        <w:tc>
          <w:tcPr>
            <w:tcW w:w="1984"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15</w:t>
            </w:r>
          </w:p>
        </w:tc>
      </w:tr>
      <w:tr w:rsidR="00865BE4" w:rsidRPr="007A15F6" w:rsidTr="00865BE4">
        <w:tc>
          <w:tcPr>
            <w:tcW w:w="2694" w:type="dxa"/>
          </w:tcPr>
          <w:p w:rsidR="00865BE4" w:rsidRPr="00E01083" w:rsidRDefault="00865BE4" w:rsidP="00161D61">
            <w:pPr>
              <w:spacing w:line="360" w:lineRule="auto"/>
              <w:rPr>
                <w:rFonts w:ascii="Times New Roman" w:eastAsia="MS Mincho" w:hAnsi="Times New Roman" w:cs="Times New Roman"/>
                <w:szCs w:val="20"/>
              </w:rPr>
            </w:pPr>
            <w:r w:rsidRPr="00E01083">
              <w:rPr>
                <w:rFonts w:ascii="Times New Roman" w:eastAsia="MS Mincho" w:hAnsi="Times New Roman" w:cs="Times New Roman"/>
                <w:szCs w:val="20"/>
              </w:rPr>
              <w:t>Technical School</w:t>
            </w:r>
          </w:p>
        </w:tc>
        <w:tc>
          <w:tcPr>
            <w:tcW w:w="1701"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2</w:t>
            </w:r>
          </w:p>
        </w:tc>
        <w:tc>
          <w:tcPr>
            <w:tcW w:w="2693"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9</w:t>
            </w:r>
          </w:p>
        </w:tc>
        <w:tc>
          <w:tcPr>
            <w:tcW w:w="1984"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2</w:t>
            </w:r>
          </w:p>
        </w:tc>
      </w:tr>
      <w:tr w:rsidR="00865BE4" w:rsidRPr="007A15F6" w:rsidTr="00865BE4">
        <w:tc>
          <w:tcPr>
            <w:tcW w:w="2694" w:type="dxa"/>
          </w:tcPr>
          <w:p w:rsidR="00865BE4" w:rsidRPr="00E01083" w:rsidRDefault="00865BE4" w:rsidP="00161D61">
            <w:pPr>
              <w:spacing w:line="360" w:lineRule="auto"/>
              <w:rPr>
                <w:rFonts w:ascii="Times New Roman" w:eastAsia="MS Mincho" w:hAnsi="Times New Roman" w:cs="Times New Roman"/>
                <w:szCs w:val="20"/>
              </w:rPr>
            </w:pPr>
            <w:r w:rsidRPr="00E01083">
              <w:rPr>
                <w:rFonts w:ascii="Times New Roman" w:eastAsia="MS Mincho" w:hAnsi="Times New Roman" w:cs="Times New Roman"/>
                <w:szCs w:val="20"/>
              </w:rPr>
              <w:t>University</w:t>
            </w:r>
          </w:p>
        </w:tc>
        <w:tc>
          <w:tcPr>
            <w:tcW w:w="1701"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1</w:t>
            </w:r>
          </w:p>
        </w:tc>
        <w:tc>
          <w:tcPr>
            <w:tcW w:w="2693"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15</w:t>
            </w:r>
          </w:p>
        </w:tc>
        <w:tc>
          <w:tcPr>
            <w:tcW w:w="1984"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8</w:t>
            </w:r>
          </w:p>
        </w:tc>
      </w:tr>
      <w:tr w:rsidR="00865BE4" w:rsidRPr="007A15F6" w:rsidTr="00865BE4">
        <w:tc>
          <w:tcPr>
            <w:tcW w:w="2694" w:type="dxa"/>
          </w:tcPr>
          <w:p w:rsidR="00865BE4" w:rsidRPr="00E01083" w:rsidRDefault="00865BE4" w:rsidP="00161D61">
            <w:pPr>
              <w:spacing w:line="360" w:lineRule="auto"/>
              <w:rPr>
                <w:rFonts w:ascii="Times New Roman" w:eastAsia="MS Mincho" w:hAnsi="Times New Roman" w:cs="Times New Roman"/>
                <w:szCs w:val="20"/>
              </w:rPr>
            </w:pPr>
            <w:r w:rsidRPr="00E01083">
              <w:rPr>
                <w:rFonts w:ascii="Times New Roman" w:eastAsia="MS Mincho" w:hAnsi="Times New Roman" w:cs="Times New Roman"/>
                <w:szCs w:val="20"/>
              </w:rPr>
              <w:t>Masters</w:t>
            </w:r>
          </w:p>
        </w:tc>
        <w:tc>
          <w:tcPr>
            <w:tcW w:w="1701"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4</w:t>
            </w:r>
          </w:p>
        </w:tc>
        <w:tc>
          <w:tcPr>
            <w:tcW w:w="2693"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1</w:t>
            </w:r>
          </w:p>
        </w:tc>
        <w:tc>
          <w:tcPr>
            <w:tcW w:w="1984"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6</w:t>
            </w:r>
          </w:p>
        </w:tc>
      </w:tr>
      <w:tr w:rsidR="00865BE4" w:rsidRPr="007A15F6" w:rsidTr="00865BE4">
        <w:trPr>
          <w:trHeight w:val="408"/>
        </w:trPr>
        <w:tc>
          <w:tcPr>
            <w:tcW w:w="2694" w:type="dxa"/>
          </w:tcPr>
          <w:p w:rsidR="00865BE4" w:rsidRPr="00E01083" w:rsidRDefault="00865BE4" w:rsidP="00161D61">
            <w:pPr>
              <w:spacing w:line="360" w:lineRule="auto"/>
              <w:rPr>
                <w:rFonts w:ascii="Times New Roman" w:eastAsia="MS Mincho" w:hAnsi="Times New Roman" w:cs="Times New Roman"/>
                <w:szCs w:val="20"/>
              </w:rPr>
            </w:pPr>
            <w:r w:rsidRPr="00E01083">
              <w:rPr>
                <w:rFonts w:ascii="Times New Roman" w:eastAsia="MS Mincho" w:hAnsi="Times New Roman" w:cs="Times New Roman"/>
                <w:szCs w:val="20"/>
              </w:rPr>
              <w:t>Doctoral</w:t>
            </w:r>
          </w:p>
        </w:tc>
        <w:tc>
          <w:tcPr>
            <w:tcW w:w="1701"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0</w:t>
            </w:r>
          </w:p>
        </w:tc>
        <w:tc>
          <w:tcPr>
            <w:tcW w:w="2693"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1</w:t>
            </w:r>
          </w:p>
        </w:tc>
        <w:tc>
          <w:tcPr>
            <w:tcW w:w="1984" w:type="dxa"/>
          </w:tcPr>
          <w:p w:rsidR="00865BE4" w:rsidRPr="001C7531" w:rsidRDefault="00865BE4" w:rsidP="00161D61">
            <w:pPr>
              <w:spacing w:line="360" w:lineRule="auto"/>
              <w:jc w:val="center"/>
              <w:rPr>
                <w:rFonts w:ascii="Times New Roman" w:eastAsia="MS Mincho" w:hAnsi="Times New Roman" w:cs="Times New Roman"/>
                <w:sz w:val="22"/>
                <w:szCs w:val="20"/>
              </w:rPr>
            </w:pPr>
            <w:r>
              <w:rPr>
                <w:rFonts w:ascii="Times New Roman" w:eastAsia="MS Mincho" w:hAnsi="Times New Roman" w:cs="Times New Roman"/>
                <w:sz w:val="22"/>
                <w:szCs w:val="20"/>
              </w:rPr>
              <w:t>0</w:t>
            </w:r>
          </w:p>
        </w:tc>
      </w:tr>
    </w:tbl>
    <w:p w:rsidR="0014669E" w:rsidRDefault="00C07159" w:rsidP="005C41B7">
      <w:pPr>
        <w:pStyle w:val="APAPar"/>
      </w:pPr>
      <w:r>
        <w:rPr>
          <w:lang w:val="en-US"/>
        </w:rPr>
        <w:t xml:space="preserve">Pearson correlation coefficient analysis revealed a statistically significant relation </w:t>
      </w:r>
      <w:r w:rsidR="00295E25">
        <w:rPr>
          <w:lang w:val="en-US"/>
        </w:rPr>
        <w:t xml:space="preserve">between </w:t>
      </w:r>
      <w:r>
        <w:rPr>
          <w:lang w:val="en-US"/>
        </w:rPr>
        <w:t xml:space="preserve">age </w:t>
      </w:r>
      <w:r w:rsidR="00295E25">
        <w:rPr>
          <w:lang w:val="en-US"/>
        </w:rPr>
        <w:t>and</w:t>
      </w:r>
      <w:r>
        <w:t xml:space="preserve"> social network size (</w:t>
      </w:r>
      <w:r w:rsidRPr="00AA3143">
        <w:rPr>
          <w:i/>
        </w:rPr>
        <w:t>r</w:t>
      </w:r>
      <w:r>
        <w:t xml:space="preserve"> = -.222, </w:t>
      </w:r>
      <w:r w:rsidRPr="00AA3143">
        <w:rPr>
          <w:i/>
        </w:rPr>
        <w:t>p</w:t>
      </w:r>
      <w:r>
        <w:t xml:space="preserve"> = .030), but </w:t>
      </w:r>
      <w:r w:rsidR="00604DAB">
        <w:t>not between</w:t>
      </w:r>
      <w:r w:rsidR="00132EE7">
        <w:t xml:space="preserve"> age and </w:t>
      </w:r>
      <w:r>
        <w:t>income</w:t>
      </w:r>
      <w:r w:rsidR="00132EE7">
        <w:t>, or income and social network size</w:t>
      </w:r>
      <w:r>
        <w:t xml:space="preserve">. </w:t>
      </w:r>
      <w:r w:rsidRPr="007A15F6">
        <w:t xml:space="preserve">One-way ANOVA </w:t>
      </w:r>
      <w:r>
        <w:t>on the mean scores of social network size among participants having different educational level revealed</w:t>
      </w:r>
      <w:r w:rsidRPr="007A15F6">
        <w:t xml:space="preserve"> </w:t>
      </w:r>
      <w:r w:rsidR="0086548F">
        <w:t xml:space="preserve">a </w:t>
      </w:r>
      <w:r w:rsidRPr="007A15F6">
        <w:t>stati</w:t>
      </w:r>
      <w:r>
        <w:t>stically significant difference</w:t>
      </w:r>
      <w:r w:rsidRPr="007A15F6">
        <w:t xml:space="preserve"> [</w:t>
      </w:r>
      <w:r w:rsidRPr="007A15F6">
        <w:rPr>
          <w:i/>
        </w:rPr>
        <w:t>F</w:t>
      </w:r>
      <w:r>
        <w:t>(3</w:t>
      </w:r>
      <w:r w:rsidRPr="007A15F6">
        <w:t>,8</w:t>
      </w:r>
      <w:r>
        <w:t>4) = 3.500</w:t>
      </w:r>
      <w:r w:rsidRPr="007A15F6">
        <w:t xml:space="preserve">, </w:t>
      </w:r>
      <w:r w:rsidRPr="007A15F6">
        <w:rPr>
          <w:i/>
        </w:rPr>
        <w:t>p</w:t>
      </w:r>
      <w:r>
        <w:t xml:space="preserve"> = .019]. S</w:t>
      </w:r>
      <w:r w:rsidRPr="007A15F6">
        <w:t>ubsequent post-hoc analyses (Tukey HSD)</w:t>
      </w:r>
      <w:r>
        <w:t xml:space="preserve"> revealed that these differences were between those who completed primary education with those completing the Lyceum (</w:t>
      </w:r>
      <w:r w:rsidRPr="00766B47">
        <w:rPr>
          <w:i/>
        </w:rPr>
        <w:t>p</w:t>
      </w:r>
      <w:r>
        <w:t xml:space="preserve"> = .025, </w:t>
      </w:r>
      <w:r w:rsidRPr="00D8623D">
        <w:rPr>
          <w:i/>
        </w:rPr>
        <w:t>M</w:t>
      </w:r>
      <w:r w:rsidRPr="00D8623D">
        <w:rPr>
          <w:vertAlign w:val="subscript"/>
        </w:rPr>
        <w:t xml:space="preserve">primary education </w:t>
      </w:r>
      <w:r>
        <w:t>= 4.38, S</w:t>
      </w:r>
      <w:r w:rsidRPr="00D8623D">
        <w:rPr>
          <w:i/>
        </w:rPr>
        <w:t>D</w:t>
      </w:r>
      <w:r>
        <w:t xml:space="preserve"> = 1.58, </w:t>
      </w:r>
      <w:r w:rsidRPr="00D8623D">
        <w:rPr>
          <w:i/>
        </w:rPr>
        <w:t>M</w:t>
      </w:r>
      <w:r>
        <w:rPr>
          <w:vertAlign w:val="subscript"/>
        </w:rPr>
        <w:t>Lyc</w:t>
      </w:r>
      <w:r>
        <w:rPr>
          <w:i/>
          <w:vertAlign w:val="subscript"/>
        </w:rPr>
        <w:t xml:space="preserve">eum </w:t>
      </w:r>
      <w:r w:rsidRPr="00D8623D">
        <w:rPr>
          <w:i/>
        </w:rPr>
        <w:t>M</w:t>
      </w:r>
      <w:r>
        <w:t xml:space="preserve"> = 8.20, S</w:t>
      </w:r>
      <w:r w:rsidRPr="00D8623D">
        <w:rPr>
          <w:i/>
        </w:rPr>
        <w:t>D</w:t>
      </w:r>
      <w:r>
        <w:t xml:space="preserve"> = 4.68) or a technical school (</w:t>
      </w:r>
      <w:r w:rsidRPr="00766B47">
        <w:rPr>
          <w:i/>
        </w:rPr>
        <w:t>p</w:t>
      </w:r>
      <w:r>
        <w:t xml:space="preserve"> = .035, </w:t>
      </w:r>
      <w:r w:rsidRPr="00D8623D">
        <w:rPr>
          <w:i/>
        </w:rPr>
        <w:t>M</w:t>
      </w:r>
      <w:r>
        <w:rPr>
          <w:vertAlign w:val="subscript"/>
        </w:rPr>
        <w:t xml:space="preserve">Technical </w:t>
      </w:r>
      <w:r>
        <w:rPr>
          <w:i/>
          <w:vertAlign w:val="subscript"/>
        </w:rPr>
        <w:t xml:space="preserve">school, </w:t>
      </w:r>
      <w:r w:rsidRPr="00D8623D">
        <w:rPr>
          <w:i/>
        </w:rPr>
        <w:t>M</w:t>
      </w:r>
      <w:r>
        <w:t xml:space="preserve"> = 8.68, S</w:t>
      </w:r>
      <w:r w:rsidRPr="00D8623D">
        <w:rPr>
          <w:i/>
        </w:rPr>
        <w:t>D</w:t>
      </w:r>
      <w:r>
        <w:t xml:space="preserve"> = 4.05), but not with university graduates. No statistically significant differences emerged for income between participants of different educational level.</w:t>
      </w:r>
    </w:p>
    <w:p w:rsidR="00C07159" w:rsidRDefault="00C07159" w:rsidP="005C41B7">
      <w:pPr>
        <w:pStyle w:val="APAPar"/>
      </w:pPr>
      <w:r w:rsidRPr="00E47FD4">
        <w:rPr>
          <w:noProof/>
          <w:lang w:eastAsia="zh-CN"/>
        </w:rPr>
        <w:drawing>
          <wp:inline distT="0" distB="0" distL="0" distR="0">
            <wp:extent cx="4241800" cy="3548429"/>
            <wp:effectExtent l="0" t="0" r="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41800" cy="3548429"/>
                    </a:xfrm>
                    <a:prstGeom prst="rect">
                      <a:avLst/>
                    </a:prstGeom>
                  </pic:spPr>
                </pic:pic>
              </a:graphicData>
            </a:graphic>
          </wp:inline>
        </w:drawing>
      </w:r>
    </w:p>
    <w:p w:rsidR="00751D62" w:rsidRPr="000B6600" w:rsidRDefault="00C07159" w:rsidP="00A174C4">
      <w:pPr>
        <w:pStyle w:val="APAPar"/>
        <w:ind w:firstLine="0"/>
        <w:rPr>
          <w:lang w:val="en-US"/>
        </w:rPr>
      </w:pPr>
      <w:r w:rsidRPr="000B6600">
        <w:rPr>
          <w:rStyle w:val="IntenseEmphasis"/>
        </w:rPr>
        <w:t xml:space="preserve">Figure 7.10 Mean scores of social networks size </w:t>
      </w:r>
      <w:r w:rsidR="00622F3E" w:rsidRPr="000B6600">
        <w:rPr>
          <w:rStyle w:val="IntenseEmphasis"/>
        </w:rPr>
        <w:t xml:space="preserve">as a function of </w:t>
      </w:r>
      <w:r w:rsidRPr="000B6600">
        <w:rPr>
          <w:rStyle w:val="IntenseEmphasis"/>
        </w:rPr>
        <w:t>levels of education</w:t>
      </w:r>
    </w:p>
    <w:p w:rsidR="00751D62" w:rsidRDefault="00751D62" w:rsidP="005C41B7">
      <w:pPr>
        <w:pStyle w:val="APAPar"/>
      </w:pPr>
      <w:r w:rsidRPr="000B6600">
        <w:t>Cross tabulation and subsequent Chi square analysis did not reveal any statistically</w:t>
      </w:r>
      <w:r w:rsidRPr="005F32C3">
        <w:t xml:space="preserve"> significant dependency of </w:t>
      </w:r>
      <w:r>
        <w:t>gender</w:t>
      </w:r>
      <w:r w:rsidRPr="005F32C3">
        <w:t xml:space="preserve"> with the educational level of the participants.</w:t>
      </w:r>
      <w:r>
        <w:t xml:space="preserve"> Independent samples t-tests examining statistically significant differences among men and women in the mean scores of social network size, age and income (in euros) revealed statistically significant results only for income </w:t>
      </w:r>
      <w:r w:rsidRPr="007A15F6">
        <w:t>[</w:t>
      </w:r>
      <w:r w:rsidRPr="007A15F6">
        <w:rPr>
          <w:i/>
        </w:rPr>
        <w:t>t</w:t>
      </w:r>
      <w:r w:rsidRPr="007A15F6">
        <w:t>(</w:t>
      </w:r>
      <w:r>
        <w:t>84) = 4.361</w:t>
      </w:r>
      <w:r w:rsidRPr="007A15F6">
        <w:t xml:space="preserve">, </w:t>
      </w:r>
      <w:r w:rsidRPr="007A15F6">
        <w:rPr>
          <w:i/>
        </w:rPr>
        <w:t>p</w:t>
      </w:r>
      <w:r>
        <w:t xml:space="preserve"> </w:t>
      </w:r>
      <w:r w:rsidR="008269D1">
        <w:t>&lt;</w:t>
      </w:r>
      <w:r>
        <w:t xml:space="preserve"> </w:t>
      </w:r>
      <w:r w:rsidR="008269D1">
        <w:t>.001</w:t>
      </w:r>
      <w:r w:rsidRPr="007A15F6">
        <w:t xml:space="preserve">, </w:t>
      </w:r>
      <w:r w:rsidRPr="007A15F6">
        <w:rPr>
          <w:i/>
        </w:rPr>
        <w:t>M</w:t>
      </w:r>
      <w:r>
        <w:rPr>
          <w:vertAlign w:val="subscript"/>
        </w:rPr>
        <w:t>men</w:t>
      </w:r>
      <w:r>
        <w:t>= 1744.13</w:t>
      </w:r>
      <w:r w:rsidRPr="007A15F6">
        <w:t xml:space="preserve">, </w:t>
      </w:r>
      <w:r w:rsidRPr="007A15F6">
        <w:rPr>
          <w:i/>
        </w:rPr>
        <w:t>M</w:t>
      </w:r>
      <w:r>
        <w:rPr>
          <w:vertAlign w:val="subscript"/>
        </w:rPr>
        <w:t>women</w:t>
      </w:r>
      <w:r w:rsidRPr="007A15F6">
        <w:rPr>
          <w:vertAlign w:val="subscript"/>
        </w:rPr>
        <w:t xml:space="preserve"> </w:t>
      </w:r>
      <w:r w:rsidRPr="007A15F6">
        <w:t xml:space="preserve">= </w:t>
      </w:r>
      <w:r>
        <w:t>869.47</w:t>
      </w:r>
      <w:r w:rsidRPr="007A15F6">
        <w:t>]</w:t>
      </w:r>
      <w:r>
        <w:t>.</w:t>
      </w:r>
    </w:p>
    <w:p w:rsidR="005F32C3" w:rsidRDefault="00E46ADA" w:rsidP="005C41B7">
      <w:pPr>
        <w:pStyle w:val="APAPar"/>
      </w:pPr>
      <w:r w:rsidRPr="00E46ADA">
        <w:rPr>
          <w:b/>
          <w:i/>
        </w:rPr>
        <w:t>Age:</w:t>
      </w:r>
      <w:r>
        <w:t xml:space="preserve"> </w:t>
      </w:r>
      <w:r w:rsidR="0032498B">
        <w:rPr>
          <w:lang w:val="en-US"/>
        </w:rPr>
        <w:t xml:space="preserve">Pearson correlation coefficient analysis of age with </w:t>
      </w:r>
      <w:r w:rsidR="004A6E5B">
        <w:rPr>
          <w:lang w:val="en-US"/>
        </w:rPr>
        <w:t xml:space="preserve">social participation and </w:t>
      </w:r>
      <w:r w:rsidR="0032498B">
        <w:t xml:space="preserve">exercise revealed </w:t>
      </w:r>
      <w:r w:rsidR="00D727A7">
        <w:t xml:space="preserve">a </w:t>
      </w:r>
      <w:r w:rsidR="0032498B">
        <w:t>statistically significant relations</w:t>
      </w:r>
      <w:r w:rsidR="00D727A7">
        <w:t>hip</w:t>
      </w:r>
      <w:r w:rsidR="004A6E5B">
        <w:t xml:space="preserve"> only </w:t>
      </w:r>
      <w:r w:rsidR="00295E25">
        <w:t>between</w:t>
      </w:r>
      <w:r w:rsidR="00B60A9F">
        <w:t xml:space="preserve"> </w:t>
      </w:r>
      <w:r w:rsidR="004A6E5B">
        <w:t>exercise and age</w:t>
      </w:r>
      <w:r w:rsidR="0032498B">
        <w:t xml:space="preserve"> (</w:t>
      </w:r>
      <w:r w:rsidR="0032498B" w:rsidRPr="001C7531">
        <w:rPr>
          <w:i/>
        </w:rPr>
        <w:t>r</w:t>
      </w:r>
      <w:r w:rsidR="0032498B">
        <w:t xml:space="preserve"> = -.227, </w:t>
      </w:r>
      <w:r w:rsidR="0032498B" w:rsidRPr="001C7531">
        <w:rPr>
          <w:i/>
        </w:rPr>
        <w:t>p</w:t>
      </w:r>
      <w:r w:rsidR="0032498B">
        <w:t xml:space="preserve"> = .007)</w:t>
      </w:r>
      <w:r w:rsidR="00295E25">
        <w:t xml:space="preserve"> but not between</w:t>
      </w:r>
      <w:r w:rsidR="00C36BB7">
        <w:t xml:space="preserve"> age and social participation</w:t>
      </w:r>
      <w:r w:rsidR="0032498B">
        <w:t>.</w:t>
      </w:r>
      <w:r w:rsidR="00680D84">
        <w:t xml:space="preserve"> </w:t>
      </w:r>
      <w:r w:rsidR="00D727A7" w:rsidRPr="007A15F6">
        <w:t>One-way ANOVA and subsequent post-hoc analyses (Tukey HSD)</w:t>
      </w:r>
      <w:r w:rsidR="00D727A7">
        <w:t xml:space="preserve"> on the mean age of </w:t>
      </w:r>
      <w:r w:rsidR="00751D62">
        <w:t xml:space="preserve">various levels of Internet use (as described in Table 7.8) revealed statistically significant differences among </w:t>
      </w:r>
      <w:r w:rsidR="00D727A7">
        <w:t>those never using the Internet and</w:t>
      </w:r>
      <w:r w:rsidR="00D727A7" w:rsidRPr="007A15F6">
        <w:t xml:space="preserve"> those </w:t>
      </w:r>
      <w:r w:rsidR="00D727A7">
        <w:t xml:space="preserve">doing so everyday </w:t>
      </w:r>
      <w:r w:rsidR="00D727A7" w:rsidRPr="007A15F6">
        <w:t>[</w:t>
      </w:r>
      <w:r w:rsidR="00D727A7" w:rsidRPr="007A15F6">
        <w:rPr>
          <w:i/>
        </w:rPr>
        <w:t>F</w:t>
      </w:r>
      <w:r w:rsidR="00D727A7">
        <w:t>(4</w:t>
      </w:r>
      <w:r w:rsidR="00D727A7" w:rsidRPr="007A15F6">
        <w:t>,</w:t>
      </w:r>
      <w:r w:rsidR="00D0298E">
        <w:t xml:space="preserve"> 87</w:t>
      </w:r>
      <w:r w:rsidR="00D727A7">
        <w:t xml:space="preserve">) = </w:t>
      </w:r>
      <w:r w:rsidR="00D0298E">
        <w:t>2.749</w:t>
      </w:r>
      <w:r w:rsidR="00D727A7" w:rsidRPr="007A15F6">
        <w:t xml:space="preserve">, </w:t>
      </w:r>
      <w:r w:rsidR="00D727A7" w:rsidRPr="007A15F6">
        <w:rPr>
          <w:i/>
        </w:rPr>
        <w:t>p</w:t>
      </w:r>
      <w:r w:rsidR="00D0298E">
        <w:t xml:space="preserve"> = .033</w:t>
      </w:r>
      <w:r w:rsidR="00D727A7">
        <w:t xml:space="preserve">, </w:t>
      </w:r>
      <w:r w:rsidR="00D727A7" w:rsidRPr="00D8623D">
        <w:rPr>
          <w:i/>
        </w:rPr>
        <w:t>M</w:t>
      </w:r>
      <w:r w:rsidR="00D0298E">
        <w:rPr>
          <w:vertAlign w:val="subscript"/>
        </w:rPr>
        <w:t>never</w:t>
      </w:r>
      <w:r w:rsidR="00D727A7" w:rsidRPr="00D8623D">
        <w:rPr>
          <w:vertAlign w:val="subscript"/>
        </w:rPr>
        <w:t xml:space="preserve"> </w:t>
      </w:r>
      <w:r w:rsidR="00D727A7">
        <w:t xml:space="preserve">= </w:t>
      </w:r>
      <w:r w:rsidR="00D0298E">
        <w:t>65.08</w:t>
      </w:r>
      <w:r w:rsidR="00D727A7">
        <w:t>, S</w:t>
      </w:r>
      <w:r w:rsidR="00D727A7" w:rsidRPr="00D8623D">
        <w:rPr>
          <w:i/>
        </w:rPr>
        <w:t>D</w:t>
      </w:r>
      <w:r w:rsidR="00D727A7">
        <w:t xml:space="preserve"> = </w:t>
      </w:r>
      <w:r w:rsidR="00D0298E">
        <w:t>6.32</w:t>
      </w:r>
      <w:r w:rsidR="00D727A7">
        <w:t xml:space="preserve">, </w:t>
      </w:r>
      <w:r w:rsidR="00D727A7" w:rsidRPr="00D8623D">
        <w:rPr>
          <w:i/>
        </w:rPr>
        <w:t>M</w:t>
      </w:r>
      <w:r w:rsidR="00D0298E">
        <w:rPr>
          <w:vertAlign w:val="subscript"/>
        </w:rPr>
        <w:t>everyday</w:t>
      </w:r>
      <w:r w:rsidR="00D727A7">
        <w:rPr>
          <w:i/>
          <w:vertAlign w:val="subscript"/>
        </w:rPr>
        <w:t xml:space="preserve"> </w:t>
      </w:r>
      <w:r w:rsidR="00D727A7" w:rsidRPr="00D8623D">
        <w:rPr>
          <w:i/>
        </w:rPr>
        <w:t>M</w:t>
      </w:r>
      <w:r w:rsidR="00D727A7">
        <w:t xml:space="preserve"> = </w:t>
      </w:r>
      <w:r w:rsidR="00D0298E">
        <w:t>59.87</w:t>
      </w:r>
      <w:r w:rsidR="00D727A7">
        <w:t>, S</w:t>
      </w:r>
      <w:r w:rsidR="00D727A7" w:rsidRPr="00D8623D">
        <w:rPr>
          <w:i/>
        </w:rPr>
        <w:t>D</w:t>
      </w:r>
      <w:r w:rsidR="00D0298E">
        <w:t xml:space="preserve"> = 7</w:t>
      </w:r>
      <w:r w:rsidR="00D727A7">
        <w:t>.</w:t>
      </w:r>
      <w:r w:rsidR="00D0298E">
        <w:t>61</w:t>
      </w:r>
      <w:r w:rsidR="00D727A7" w:rsidRPr="007A15F6">
        <w:t>]</w:t>
      </w:r>
      <w:r w:rsidR="00D727A7">
        <w:t>. No such difference</w:t>
      </w:r>
      <w:r w:rsidR="00751D62">
        <w:t>s</w:t>
      </w:r>
      <w:r w:rsidR="00D727A7">
        <w:t xml:space="preserve"> emerged for the </w:t>
      </w:r>
      <w:r w:rsidR="00D0298E">
        <w:t xml:space="preserve">mean </w:t>
      </w:r>
      <w:r w:rsidR="00D727A7">
        <w:t>age a</w:t>
      </w:r>
      <w:r w:rsidR="008F2A21">
        <w:t>s a function</w:t>
      </w:r>
      <w:r w:rsidR="00D0298E">
        <w:t xml:space="preserve"> of </w:t>
      </w:r>
      <w:r w:rsidR="00D727A7">
        <w:t>loneliness</w:t>
      </w:r>
      <w:r w:rsidR="008F2A21">
        <w:t xml:space="preserve"> levels</w:t>
      </w:r>
      <w:r w:rsidR="004A6E5B">
        <w:t>.</w:t>
      </w:r>
      <w:r w:rsidR="0012652E">
        <w:t xml:space="preserve"> </w:t>
      </w:r>
    </w:p>
    <w:p w:rsidR="006E7821" w:rsidRDefault="00E46ADA" w:rsidP="005C41B7">
      <w:pPr>
        <w:pStyle w:val="APAPar"/>
      </w:pPr>
      <w:r w:rsidRPr="00E46ADA">
        <w:rPr>
          <w:b/>
          <w:i/>
        </w:rPr>
        <w:t>Education:</w:t>
      </w:r>
      <w:r w:rsidR="00680D84">
        <w:t xml:space="preserve"> </w:t>
      </w:r>
      <w:r w:rsidR="0003017A" w:rsidRPr="007A15F6">
        <w:t>One-way ANOVA and subsequent post-hoc analyses (Tukey HSD)</w:t>
      </w:r>
      <w:r w:rsidR="00D8623D">
        <w:t xml:space="preserve"> on the mean scores of social participation</w:t>
      </w:r>
      <w:r w:rsidR="00295E25">
        <w:t xml:space="preserve"> between the participants of different educational level</w:t>
      </w:r>
      <w:r w:rsidR="00295404">
        <w:t xml:space="preserve"> </w:t>
      </w:r>
      <w:r w:rsidR="0003017A" w:rsidRPr="007A15F6">
        <w:t xml:space="preserve">revealed statistically significant differences </w:t>
      </w:r>
      <w:r w:rsidR="00295404" w:rsidRPr="007A15F6">
        <w:t xml:space="preserve">between those that </w:t>
      </w:r>
      <w:r w:rsidR="00295404">
        <w:t xml:space="preserve">completed primary school, with those having a university degree </w:t>
      </w:r>
      <w:r w:rsidR="0003017A" w:rsidRPr="007A15F6">
        <w:t>[</w:t>
      </w:r>
      <w:r w:rsidR="0003017A" w:rsidRPr="007A15F6">
        <w:rPr>
          <w:i/>
        </w:rPr>
        <w:t>F</w:t>
      </w:r>
      <w:r w:rsidR="0003017A">
        <w:t>(3</w:t>
      </w:r>
      <w:r w:rsidR="0003017A" w:rsidRPr="007A15F6">
        <w:t>,8</w:t>
      </w:r>
      <w:r w:rsidR="0003017A">
        <w:t>4) = 4.100</w:t>
      </w:r>
      <w:r w:rsidR="0003017A" w:rsidRPr="007A15F6">
        <w:t xml:space="preserve">, </w:t>
      </w:r>
      <w:r w:rsidR="0003017A" w:rsidRPr="007A15F6">
        <w:rPr>
          <w:i/>
        </w:rPr>
        <w:t>p</w:t>
      </w:r>
      <w:r w:rsidR="0003017A">
        <w:t xml:space="preserve"> = .009</w:t>
      </w:r>
      <w:r w:rsidR="00D8623D">
        <w:t xml:space="preserve">, </w:t>
      </w:r>
      <w:r w:rsidR="00D8623D" w:rsidRPr="00D8623D">
        <w:rPr>
          <w:i/>
        </w:rPr>
        <w:t>M</w:t>
      </w:r>
      <w:r w:rsidR="00D8623D" w:rsidRPr="00D8623D">
        <w:rPr>
          <w:vertAlign w:val="subscript"/>
        </w:rPr>
        <w:t xml:space="preserve">primary education </w:t>
      </w:r>
      <w:r w:rsidR="00D8623D">
        <w:t>= 5.72, S</w:t>
      </w:r>
      <w:r w:rsidR="00D8623D" w:rsidRPr="00D8623D">
        <w:rPr>
          <w:i/>
        </w:rPr>
        <w:t>D</w:t>
      </w:r>
      <w:r w:rsidR="00D8623D">
        <w:t xml:space="preserve"> = 1.10, </w:t>
      </w:r>
      <w:r w:rsidR="00D8623D" w:rsidRPr="00D8623D">
        <w:rPr>
          <w:i/>
        </w:rPr>
        <w:t>M</w:t>
      </w:r>
      <w:r w:rsidR="00D8623D">
        <w:rPr>
          <w:vertAlign w:val="subscript"/>
        </w:rPr>
        <w:t xml:space="preserve">university </w:t>
      </w:r>
      <w:r w:rsidR="00D8623D">
        <w:rPr>
          <w:i/>
          <w:vertAlign w:val="subscript"/>
        </w:rPr>
        <w:t xml:space="preserve">degree </w:t>
      </w:r>
      <w:r w:rsidR="00D8623D" w:rsidRPr="00D8623D">
        <w:rPr>
          <w:i/>
        </w:rPr>
        <w:t>M</w:t>
      </w:r>
      <w:r w:rsidR="00D8623D">
        <w:t xml:space="preserve"> = 7.78, S</w:t>
      </w:r>
      <w:r w:rsidR="00D8623D" w:rsidRPr="00D8623D">
        <w:rPr>
          <w:i/>
        </w:rPr>
        <w:t>D</w:t>
      </w:r>
      <w:r w:rsidR="00D8623D">
        <w:t xml:space="preserve"> = 2.08</w:t>
      </w:r>
      <w:r w:rsidR="0003017A" w:rsidRPr="007A15F6">
        <w:t>]</w:t>
      </w:r>
      <w:r w:rsidR="00295404">
        <w:t xml:space="preserve">. </w:t>
      </w:r>
      <w:r w:rsidR="00D8623D">
        <w:t xml:space="preserve"> </w:t>
      </w:r>
      <w:r w:rsidR="0059450C">
        <w:t xml:space="preserve">No statistically significant differences emerged for </w:t>
      </w:r>
      <w:r w:rsidR="00886B91">
        <w:t>exercise</w:t>
      </w:r>
      <w:r w:rsidR="0059450C">
        <w:t xml:space="preserve"> between participants</w:t>
      </w:r>
      <w:r w:rsidR="005F32C3">
        <w:t xml:space="preserve"> of different educational level. </w:t>
      </w:r>
      <w:r w:rsidR="005F32C3" w:rsidRPr="005F32C3">
        <w:t>Cross tabulation and subsequent Chi square analysis did not reveal any statistically significant dependency of</w:t>
      </w:r>
      <w:r w:rsidR="000556BA">
        <w:t xml:space="preserve"> educational level with</w:t>
      </w:r>
      <w:r w:rsidR="004A6E5B">
        <w:t xml:space="preserve"> Internet use frequency </w:t>
      </w:r>
      <w:r w:rsidR="00896EC3">
        <w:t>(as described in categories in Tables 7.8</w:t>
      </w:r>
      <w:r w:rsidR="004A6E5B">
        <w:t>)</w:t>
      </w:r>
      <w:r w:rsidR="00896EC3">
        <w:t xml:space="preserve">, as well as </w:t>
      </w:r>
      <w:r w:rsidR="000556BA">
        <w:t>with levels of</w:t>
      </w:r>
      <w:r w:rsidR="00896EC3">
        <w:t xml:space="preserve"> </w:t>
      </w:r>
      <w:r w:rsidR="00F84067">
        <w:t>loneliness</w:t>
      </w:r>
      <w:r w:rsidR="000556BA">
        <w:t>.</w:t>
      </w:r>
    </w:p>
    <w:p w:rsidR="00D44A0D" w:rsidRDefault="00E46ADA" w:rsidP="005C41B7">
      <w:pPr>
        <w:pStyle w:val="APAPar"/>
      </w:pPr>
      <w:r w:rsidRPr="00E46ADA">
        <w:rPr>
          <w:b/>
          <w:i/>
        </w:rPr>
        <w:t>Gender:</w:t>
      </w:r>
      <w:r>
        <w:t xml:space="preserve"> Independent samples t-tests examining statistically significant differences among men and women in the mean scores of social participations</w:t>
      </w:r>
      <w:r w:rsidR="000556BA">
        <w:t xml:space="preserve"> and</w:t>
      </w:r>
      <w:r>
        <w:t xml:space="preserve"> </w:t>
      </w:r>
      <w:r w:rsidR="000556BA">
        <w:t>exercise</w:t>
      </w:r>
      <w:r>
        <w:t xml:space="preserve"> </w:t>
      </w:r>
      <w:r w:rsidR="0014669E">
        <w:t xml:space="preserve">did not reveal any </w:t>
      </w:r>
      <w:r>
        <w:t xml:space="preserve">statistically significant </w:t>
      </w:r>
      <w:r w:rsidR="0014669E">
        <w:t xml:space="preserve">results. </w:t>
      </w:r>
      <w:r w:rsidR="001C41D9" w:rsidRPr="005F32C3">
        <w:t xml:space="preserve">Cross tabulation and subsequent Chi square analysis </w:t>
      </w:r>
      <w:r w:rsidR="00295E25">
        <w:t>examining</w:t>
      </w:r>
      <w:r w:rsidR="001C41D9">
        <w:t xml:space="preserve"> the </w:t>
      </w:r>
      <w:r w:rsidR="001C41D9" w:rsidRPr="005F32C3">
        <w:t xml:space="preserve">dependency of </w:t>
      </w:r>
      <w:r w:rsidR="000556BA">
        <w:t xml:space="preserve">gender with </w:t>
      </w:r>
      <w:r w:rsidR="001C41D9" w:rsidRPr="005F32C3">
        <w:t xml:space="preserve">Internet use frequency, </w:t>
      </w:r>
      <w:r w:rsidR="001C41D9">
        <w:t>(as des</w:t>
      </w:r>
      <w:r w:rsidR="004A6E5B">
        <w:t>cribed in categories in Table</w:t>
      </w:r>
      <w:r w:rsidR="001C41D9">
        <w:t xml:space="preserve"> 7.8), as well as for </w:t>
      </w:r>
      <w:r w:rsidR="000556BA">
        <w:t xml:space="preserve">levels of </w:t>
      </w:r>
      <w:r w:rsidR="001C41D9">
        <w:t xml:space="preserve">loneliness, revealed statistically significant results </w:t>
      </w:r>
      <w:r w:rsidR="0014669E">
        <w:t xml:space="preserve">only </w:t>
      </w:r>
      <w:r w:rsidR="001C41D9">
        <w:t xml:space="preserve">for </w:t>
      </w:r>
      <w:r w:rsidR="00794F3A">
        <w:t>Internet use [</w:t>
      </w:r>
      <w:r w:rsidR="00794F3A" w:rsidRPr="001C33CE">
        <w:rPr>
          <w:rFonts w:eastAsia="Times New Roman"/>
          <w:lang w:eastAsia="en-GB"/>
        </w:rPr>
        <w:t>X</w:t>
      </w:r>
      <w:r w:rsidR="00794F3A" w:rsidRPr="001C33CE">
        <w:rPr>
          <w:rFonts w:eastAsia="Times New Roman"/>
          <w:vertAlign w:val="superscript"/>
          <w:lang w:eastAsia="en-GB"/>
        </w:rPr>
        <w:t>2</w:t>
      </w:r>
      <w:r w:rsidR="00794F3A" w:rsidRPr="001C33CE">
        <w:rPr>
          <w:rFonts w:eastAsia="Times New Roman"/>
          <w:lang w:eastAsia="en-GB"/>
        </w:rPr>
        <w:t xml:space="preserve"> (</w:t>
      </w:r>
      <w:r w:rsidR="00794F3A">
        <w:rPr>
          <w:rFonts w:eastAsia="Times New Roman"/>
          <w:lang w:eastAsia="en-GB"/>
        </w:rPr>
        <w:t>4</w:t>
      </w:r>
      <w:r w:rsidR="00794F3A" w:rsidRPr="001C33CE">
        <w:rPr>
          <w:rFonts w:eastAsia="Times New Roman"/>
          <w:lang w:eastAsia="en-GB"/>
        </w:rPr>
        <w:t xml:space="preserve">, </w:t>
      </w:r>
      <w:r w:rsidR="00794F3A" w:rsidRPr="001C33CE">
        <w:rPr>
          <w:rFonts w:eastAsia="Times New Roman"/>
          <w:i/>
          <w:lang w:eastAsia="en-GB"/>
        </w:rPr>
        <w:t>N</w:t>
      </w:r>
      <w:r w:rsidR="00794F3A" w:rsidRPr="001C33CE">
        <w:rPr>
          <w:rFonts w:eastAsia="Times New Roman"/>
          <w:lang w:eastAsia="en-GB"/>
        </w:rPr>
        <w:t xml:space="preserve"> = </w:t>
      </w:r>
      <w:r w:rsidR="00794F3A">
        <w:rPr>
          <w:rFonts w:eastAsia="Times New Roman"/>
          <w:lang w:eastAsia="en-GB"/>
        </w:rPr>
        <w:t>91</w:t>
      </w:r>
      <w:r w:rsidR="00794F3A" w:rsidRPr="001C33CE">
        <w:rPr>
          <w:rFonts w:eastAsia="Times New Roman"/>
          <w:lang w:eastAsia="en-GB"/>
        </w:rPr>
        <w:t xml:space="preserve">) = </w:t>
      </w:r>
      <w:r w:rsidR="00794F3A">
        <w:rPr>
          <w:rFonts w:eastAsia="Times New Roman"/>
          <w:lang w:eastAsia="en-GB"/>
        </w:rPr>
        <w:t>11.938</w:t>
      </w:r>
      <w:r w:rsidR="00794F3A" w:rsidRPr="001C33CE">
        <w:rPr>
          <w:rFonts w:eastAsia="Times New Roman"/>
          <w:lang w:eastAsia="en-GB"/>
        </w:rPr>
        <w:t xml:space="preserve">, </w:t>
      </w:r>
      <w:r w:rsidR="00794F3A" w:rsidRPr="001C33CE">
        <w:rPr>
          <w:rFonts w:eastAsia="Times New Roman"/>
          <w:i/>
          <w:lang w:eastAsia="en-GB"/>
        </w:rPr>
        <w:t>p</w:t>
      </w:r>
      <w:r w:rsidR="00794F3A" w:rsidRPr="001C33CE">
        <w:rPr>
          <w:rFonts w:eastAsia="Times New Roman"/>
          <w:lang w:eastAsia="en-GB"/>
        </w:rPr>
        <w:t xml:space="preserve"> </w:t>
      </w:r>
      <w:r w:rsidR="00794F3A">
        <w:rPr>
          <w:rFonts w:eastAsia="Times New Roman"/>
          <w:lang w:eastAsia="en-GB"/>
        </w:rPr>
        <w:t>= .018]</w:t>
      </w:r>
      <w:r w:rsidR="00794F3A">
        <w:t>.  A visual e</w:t>
      </w:r>
      <w:r w:rsidR="00CD6D43">
        <w:t>xamination of table 7.19</w:t>
      </w:r>
      <w:r w:rsidR="00295E25">
        <w:t xml:space="preserve"> revealed</w:t>
      </w:r>
      <w:r w:rsidR="00794F3A">
        <w:t xml:space="preserve"> that </w:t>
      </w:r>
      <w:r w:rsidR="00F84067">
        <w:t xml:space="preserve">women were more likely </w:t>
      </w:r>
      <w:r w:rsidR="00886B91">
        <w:t xml:space="preserve">than men </w:t>
      </w:r>
      <w:r w:rsidR="00F84067">
        <w:t xml:space="preserve">to report </w:t>
      </w:r>
      <w:r w:rsidR="00295E25">
        <w:t xml:space="preserve">never </w:t>
      </w:r>
      <w:r w:rsidR="00F84067">
        <w:t xml:space="preserve">using the Internet, once or twice </w:t>
      </w:r>
      <w:r w:rsidR="000556BA">
        <w:t xml:space="preserve">a week </w:t>
      </w:r>
      <w:r w:rsidR="00886B91">
        <w:t xml:space="preserve">or </w:t>
      </w:r>
      <w:r w:rsidR="00F84067">
        <w:t xml:space="preserve">most days. </w:t>
      </w:r>
    </w:p>
    <w:p w:rsidR="00794F3A" w:rsidRPr="00C72B75" w:rsidRDefault="00CD6D43" w:rsidP="00E17A8A">
      <w:pPr>
        <w:spacing w:after="240" w:line="360" w:lineRule="auto"/>
        <w:ind w:left="1077" w:hanging="1077"/>
        <w:rPr>
          <w:rFonts w:ascii="Times New Roman" w:eastAsia="Times New Roman" w:hAnsi="Times New Roman" w:cs="Times New Roman"/>
          <w:color w:val="000000"/>
          <w:szCs w:val="20"/>
          <w:lang w:eastAsia="en-US"/>
        </w:rPr>
      </w:pPr>
      <w:r>
        <w:rPr>
          <w:rFonts w:ascii="Times New Roman" w:eastAsia="Times New Roman" w:hAnsi="Times New Roman" w:cs="Times New Roman"/>
          <w:color w:val="000000"/>
          <w:szCs w:val="20"/>
          <w:lang w:eastAsia="en-US"/>
        </w:rPr>
        <w:t>Table 7.19</w:t>
      </w:r>
      <w:r w:rsidR="00794F3A" w:rsidRPr="007A15F6">
        <w:rPr>
          <w:rFonts w:ascii="Times New Roman" w:eastAsia="Times New Roman" w:hAnsi="Times New Roman" w:cs="Times New Roman"/>
          <w:color w:val="000000"/>
          <w:szCs w:val="20"/>
          <w:lang w:eastAsia="en-US"/>
        </w:rPr>
        <w:t xml:space="preserve"> </w:t>
      </w:r>
      <w:r w:rsidR="00794F3A" w:rsidRPr="004A79CC">
        <w:rPr>
          <w:rFonts w:ascii="Times New Roman" w:eastAsia="Times New Roman" w:hAnsi="Times New Roman" w:cs="Times New Roman"/>
          <w:color w:val="000000"/>
          <w:szCs w:val="20"/>
          <w:lang w:eastAsia="en-US"/>
        </w:rPr>
        <w:t xml:space="preserve">Chi </w:t>
      </w:r>
      <w:r w:rsidR="00A174C4" w:rsidRPr="004A79CC">
        <w:rPr>
          <w:rFonts w:ascii="Times New Roman" w:eastAsia="Times New Roman" w:hAnsi="Times New Roman" w:cs="Times New Roman"/>
          <w:color w:val="000000"/>
          <w:szCs w:val="20"/>
          <w:lang w:eastAsia="en-US"/>
        </w:rPr>
        <w:t xml:space="preserve">Square Analysis Of The Cross-Tabulation </w:t>
      </w:r>
      <w:r w:rsidR="00A174C4">
        <w:rPr>
          <w:rFonts w:ascii="Times New Roman" w:eastAsia="Times New Roman" w:hAnsi="Times New Roman" w:cs="Times New Roman"/>
          <w:color w:val="000000"/>
          <w:szCs w:val="20"/>
          <w:lang w:eastAsia="en-US"/>
        </w:rPr>
        <w:t xml:space="preserve">For </w:t>
      </w:r>
      <w:r w:rsidR="00794F3A">
        <w:rPr>
          <w:rFonts w:ascii="Times New Roman" w:eastAsia="Times New Roman" w:hAnsi="Times New Roman" w:cs="Times New Roman"/>
          <w:color w:val="000000"/>
          <w:szCs w:val="20"/>
          <w:lang w:eastAsia="en-US"/>
        </w:rPr>
        <w:t xml:space="preserve">Internet </w:t>
      </w:r>
      <w:r w:rsidR="00A174C4">
        <w:rPr>
          <w:rFonts w:ascii="Times New Roman" w:eastAsia="Times New Roman" w:hAnsi="Times New Roman" w:cs="Times New Roman"/>
          <w:color w:val="000000"/>
          <w:szCs w:val="20"/>
          <w:lang w:eastAsia="en-US"/>
        </w:rPr>
        <w:t>Use Per Gender</w:t>
      </w:r>
    </w:p>
    <w:tbl>
      <w:tblPr>
        <w:tblStyle w:val="TableGrid1"/>
        <w:tblW w:w="8931"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1384"/>
        <w:gridCol w:w="851"/>
        <w:gridCol w:w="2126"/>
        <w:gridCol w:w="1276"/>
        <w:gridCol w:w="1984"/>
        <w:gridCol w:w="1310"/>
      </w:tblGrid>
      <w:tr w:rsidR="00794F3A" w:rsidRPr="007A15F6" w:rsidTr="00FA1280">
        <w:trPr>
          <w:trHeight w:val="491"/>
        </w:trPr>
        <w:tc>
          <w:tcPr>
            <w:tcW w:w="1384" w:type="dxa"/>
          </w:tcPr>
          <w:p w:rsidR="00794F3A" w:rsidRPr="00FA1280" w:rsidRDefault="00794F3A" w:rsidP="005252AE">
            <w:pPr>
              <w:spacing w:line="360" w:lineRule="auto"/>
              <w:rPr>
                <w:rFonts w:ascii="Times New Roman" w:eastAsia="MS Mincho" w:hAnsi="Times New Roman" w:cs="Times New Roman"/>
                <w:szCs w:val="20"/>
              </w:rPr>
            </w:pPr>
          </w:p>
        </w:tc>
        <w:tc>
          <w:tcPr>
            <w:tcW w:w="851" w:type="dxa"/>
          </w:tcPr>
          <w:p w:rsidR="00794F3A" w:rsidRPr="00FA1280" w:rsidRDefault="00794F3A" w:rsidP="005252AE">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Never</w:t>
            </w:r>
          </w:p>
        </w:tc>
        <w:tc>
          <w:tcPr>
            <w:tcW w:w="2126" w:type="dxa"/>
          </w:tcPr>
          <w:p w:rsidR="00794F3A" w:rsidRPr="00FA1280" w:rsidRDefault="00794F3A" w:rsidP="005252AE">
            <w:pPr>
              <w:jc w:val="center"/>
              <w:rPr>
                <w:rFonts w:ascii="Times New Roman" w:eastAsia="MS Mincho" w:hAnsi="Times New Roman" w:cs="Times New Roman"/>
                <w:szCs w:val="20"/>
              </w:rPr>
            </w:pPr>
            <w:r w:rsidRPr="00FA1280">
              <w:rPr>
                <w:rFonts w:ascii="Times New Roman" w:eastAsia="MS Mincho" w:hAnsi="Times New Roman" w:cs="Times New Roman"/>
                <w:szCs w:val="20"/>
              </w:rPr>
              <w:t>Once/twice a week</w:t>
            </w:r>
          </w:p>
        </w:tc>
        <w:tc>
          <w:tcPr>
            <w:tcW w:w="1276" w:type="dxa"/>
          </w:tcPr>
          <w:p w:rsidR="00794F3A" w:rsidRPr="00FA1280" w:rsidRDefault="00794F3A" w:rsidP="005252AE">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Most days</w:t>
            </w:r>
          </w:p>
        </w:tc>
        <w:tc>
          <w:tcPr>
            <w:tcW w:w="1984" w:type="dxa"/>
          </w:tcPr>
          <w:p w:rsidR="00794F3A" w:rsidRPr="00FA1280" w:rsidRDefault="00794F3A" w:rsidP="005252AE">
            <w:pPr>
              <w:jc w:val="center"/>
              <w:rPr>
                <w:rFonts w:ascii="Times New Roman" w:eastAsia="MS Mincho" w:hAnsi="Times New Roman" w:cs="Times New Roman"/>
                <w:szCs w:val="20"/>
              </w:rPr>
            </w:pPr>
            <w:r w:rsidRPr="00FA1280">
              <w:rPr>
                <w:rFonts w:ascii="Times New Roman" w:eastAsia="MS Mincho" w:hAnsi="Times New Roman" w:cs="Times New Roman"/>
                <w:szCs w:val="20"/>
              </w:rPr>
              <w:t>Almost everyday</w:t>
            </w:r>
          </w:p>
        </w:tc>
        <w:tc>
          <w:tcPr>
            <w:tcW w:w="1310" w:type="dxa"/>
          </w:tcPr>
          <w:p w:rsidR="00794F3A" w:rsidRPr="00FA1280" w:rsidRDefault="00794F3A" w:rsidP="005252AE">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Everyday</w:t>
            </w:r>
          </w:p>
        </w:tc>
      </w:tr>
      <w:tr w:rsidR="00794F3A" w:rsidRPr="007A15F6" w:rsidTr="00FA1280">
        <w:tc>
          <w:tcPr>
            <w:tcW w:w="1384" w:type="dxa"/>
          </w:tcPr>
          <w:p w:rsidR="00794F3A" w:rsidRPr="00FA1280" w:rsidRDefault="00794F3A" w:rsidP="005252AE">
            <w:pPr>
              <w:spacing w:line="360" w:lineRule="auto"/>
              <w:rPr>
                <w:rFonts w:ascii="Times New Roman" w:eastAsia="MS Mincho" w:hAnsi="Times New Roman" w:cs="Times New Roman"/>
                <w:szCs w:val="20"/>
              </w:rPr>
            </w:pPr>
            <w:r w:rsidRPr="00FA1280">
              <w:rPr>
                <w:rFonts w:ascii="Times New Roman" w:eastAsia="MS Mincho" w:hAnsi="Times New Roman" w:cs="Times New Roman"/>
                <w:szCs w:val="20"/>
              </w:rPr>
              <w:t>Men (n)</w:t>
            </w:r>
          </w:p>
        </w:tc>
        <w:tc>
          <w:tcPr>
            <w:tcW w:w="851"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8</w:t>
            </w:r>
          </w:p>
        </w:tc>
        <w:tc>
          <w:tcPr>
            <w:tcW w:w="2126"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2</w:t>
            </w:r>
          </w:p>
        </w:tc>
        <w:tc>
          <w:tcPr>
            <w:tcW w:w="1276"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1</w:t>
            </w:r>
          </w:p>
        </w:tc>
        <w:tc>
          <w:tcPr>
            <w:tcW w:w="1984"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2</w:t>
            </w:r>
          </w:p>
        </w:tc>
        <w:tc>
          <w:tcPr>
            <w:tcW w:w="1310"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17</w:t>
            </w:r>
          </w:p>
        </w:tc>
      </w:tr>
      <w:tr w:rsidR="00794F3A" w:rsidRPr="007A15F6" w:rsidTr="00FA1280">
        <w:tc>
          <w:tcPr>
            <w:tcW w:w="1384" w:type="dxa"/>
          </w:tcPr>
          <w:p w:rsidR="00794F3A" w:rsidRPr="00FA1280" w:rsidRDefault="00794F3A" w:rsidP="005252AE">
            <w:pPr>
              <w:spacing w:line="360" w:lineRule="auto"/>
              <w:rPr>
                <w:rFonts w:ascii="Times New Roman" w:eastAsia="MS Mincho" w:hAnsi="Times New Roman" w:cs="Times New Roman"/>
                <w:szCs w:val="20"/>
              </w:rPr>
            </w:pPr>
            <w:r w:rsidRPr="00FA1280">
              <w:rPr>
                <w:rFonts w:ascii="Times New Roman" w:eastAsia="MS Mincho" w:hAnsi="Times New Roman" w:cs="Times New Roman"/>
                <w:szCs w:val="20"/>
              </w:rPr>
              <w:t>Women (n)</w:t>
            </w:r>
          </w:p>
        </w:tc>
        <w:tc>
          <w:tcPr>
            <w:tcW w:w="851"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31</w:t>
            </w:r>
          </w:p>
        </w:tc>
        <w:tc>
          <w:tcPr>
            <w:tcW w:w="2126"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7</w:t>
            </w:r>
          </w:p>
        </w:tc>
        <w:tc>
          <w:tcPr>
            <w:tcW w:w="1276"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6</w:t>
            </w:r>
          </w:p>
        </w:tc>
        <w:tc>
          <w:tcPr>
            <w:tcW w:w="1984"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4</w:t>
            </w:r>
          </w:p>
        </w:tc>
        <w:tc>
          <w:tcPr>
            <w:tcW w:w="1310" w:type="dxa"/>
            <w:vAlign w:val="center"/>
          </w:tcPr>
          <w:p w:rsidR="00794F3A" w:rsidRPr="00FA1280" w:rsidRDefault="00F84067" w:rsidP="00FA1280">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13</w:t>
            </w:r>
          </w:p>
        </w:tc>
      </w:tr>
    </w:tbl>
    <w:p w:rsidR="00B60A9F" w:rsidRDefault="00C07159" w:rsidP="005C41B7">
      <w:pPr>
        <w:pStyle w:val="APAPar"/>
      </w:pPr>
      <w:r>
        <w:rPr>
          <w:b/>
          <w:i/>
          <w:lang w:val="en-US"/>
        </w:rPr>
        <w:t xml:space="preserve">Social Network size: </w:t>
      </w:r>
      <w:r>
        <w:rPr>
          <w:lang w:val="en-US"/>
        </w:rPr>
        <w:t xml:space="preserve">Pearson correlation coefficient analysis of </w:t>
      </w:r>
      <w:r>
        <w:t>social network size</w:t>
      </w:r>
      <w:r>
        <w:rPr>
          <w:lang w:val="en-US"/>
        </w:rPr>
        <w:t xml:space="preserve"> with </w:t>
      </w:r>
      <w:r>
        <w:t xml:space="preserve">social participation and exercise revealed statistically significant relations only </w:t>
      </w:r>
      <w:r w:rsidR="00450BDA">
        <w:t>between</w:t>
      </w:r>
      <w:r>
        <w:t xml:space="preserve"> social participation</w:t>
      </w:r>
      <w:r w:rsidR="008B6CB1">
        <w:t xml:space="preserve"> an</w:t>
      </w:r>
      <w:r w:rsidR="00450BDA">
        <w:t>d</w:t>
      </w:r>
      <w:r w:rsidR="008B6CB1">
        <w:t xml:space="preserve"> social network size</w:t>
      </w:r>
      <w:r>
        <w:t xml:space="preserve"> (</w:t>
      </w:r>
      <w:r w:rsidRPr="001C7531">
        <w:rPr>
          <w:i/>
        </w:rPr>
        <w:t>r</w:t>
      </w:r>
      <w:r>
        <w:t xml:space="preserve"> = .358, </w:t>
      </w:r>
      <w:r w:rsidRPr="001C7531">
        <w:rPr>
          <w:i/>
        </w:rPr>
        <w:t>p</w:t>
      </w:r>
      <w:r>
        <w:t xml:space="preserve"> = .001).</w:t>
      </w:r>
      <w:r w:rsidR="00D44A0D">
        <w:t xml:space="preserve"> </w:t>
      </w:r>
      <w:r w:rsidR="00D44A0D" w:rsidRPr="007A15F6">
        <w:t>One-way ANOVA</w:t>
      </w:r>
      <w:r w:rsidR="00BB5736">
        <w:t xml:space="preserve"> did not reveal any</w:t>
      </w:r>
      <w:r w:rsidR="00D44A0D" w:rsidRPr="007A15F6">
        <w:t xml:space="preserve"> statistically significant differences </w:t>
      </w:r>
      <w:r w:rsidR="00D44A0D">
        <w:t>in the mean soci</w:t>
      </w:r>
      <w:r w:rsidR="00B60A9F">
        <w:t xml:space="preserve">al network size </w:t>
      </w:r>
      <w:r w:rsidR="00BB5736">
        <w:t>among different levels of Internet use or</w:t>
      </w:r>
      <w:r w:rsidR="00B60A9F">
        <w:t xml:space="preserve"> loneliness.</w:t>
      </w:r>
    </w:p>
    <w:p w:rsidR="0003017A" w:rsidRDefault="00B60A9F" w:rsidP="005C41B7">
      <w:pPr>
        <w:pStyle w:val="APAPar"/>
      </w:pPr>
      <w:r>
        <w:t xml:space="preserve"> </w:t>
      </w:r>
      <w:r w:rsidR="00E46ADA" w:rsidRPr="00E46ADA">
        <w:rPr>
          <w:b/>
          <w:i/>
          <w:lang w:val="en-US"/>
        </w:rPr>
        <w:t>Income:</w:t>
      </w:r>
      <w:r w:rsidR="00E46ADA">
        <w:rPr>
          <w:lang w:val="en-US"/>
        </w:rPr>
        <w:t xml:space="preserve"> </w:t>
      </w:r>
      <w:r w:rsidR="00F84067">
        <w:rPr>
          <w:lang w:val="en-US"/>
        </w:rPr>
        <w:t xml:space="preserve">Pearson correlation coefficient analysis of income with </w:t>
      </w:r>
      <w:r w:rsidR="00886B91">
        <w:t>social participation</w:t>
      </w:r>
      <w:r w:rsidR="00F84067">
        <w:t xml:space="preserve"> and exercise revealed statistically significant relations only for social participation (</w:t>
      </w:r>
      <w:r w:rsidR="00F84067" w:rsidRPr="001C7531">
        <w:rPr>
          <w:i/>
        </w:rPr>
        <w:t>r</w:t>
      </w:r>
      <w:r w:rsidR="00F84067">
        <w:t xml:space="preserve"> = .358, </w:t>
      </w:r>
      <w:r w:rsidR="00F84067" w:rsidRPr="001C7531">
        <w:rPr>
          <w:i/>
        </w:rPr>
        <w:t>p</w:t>
      </w:r>
      <w:r w:rsidR="00F84067">
        <w:t xml:space="preserve"> = .001). </w:t>
      </w:r>
      <w:r w:rsidR="00886B91" w:rsidRPr="007A15F6">
        <w:t>One-way ANOVA and subsequent post-hoc analyses (Tukey HSD)</w:t>
      </w:r>
      <w:r w:rsidR="00886B91">
        <w:t xml:space="preserve"> </w:t>
      </w:r>
      <w:r w:rsidR="00886B91" w:rsidRPr="007A15F6">
        <w:t xml:space="preserve">revealed statistically significant differences </w:t>
      </w:r>
      <w:r w:rsidR="00886B91">
        <w:t xml:space="preserve">in the mean income between those who never used the Internet with those who did everyday </w:t>
      </w:r>
      <w:r w:rsidR="00886B91" w:rsidRPr="007A15F6">
        <w:t>[</w:t>
      </w:r>
      <w:r w:rsidR="00886B91" w:rsidRPr="007A15F6">
        <w:rPr>
          <w:i/>
        </w:rPr>
        <w:t>F</w:t>
      </w:r>
      <w:r w:rsidR="00886B91">
        <w:t xml:space="preserve">(4, </w:t>
      </w:r>
      <w:r w:rsidR="00886B91" w:rsidRPr="007A15F6">
        <w:t>8</w:t>
      </w:r>
      <w:r w:rsidR="00886B91">
        <w:t>6) = 3.191</w:t>
      </w:r>
      <w:r w:rsidR="00886B91" w:rsidRPr="007A15F6">
        <w:t xml:space="preserve">, </w:t>
      </w:r>
      <w:r w:rsidR="00886B91" w:rsidRPr="007A15F6">
        <w:rPr>
          <w:i/>
        </w:rPr>
        <w:t>p</w:t>
      </w:r>
      <w:r w:rsidR="00886B91">
        <w:t xml:space="preserve"> = .017, </w:t>
      </w:r>
      <w:r w:rsidR="00886B91" w:rsidRPr="00D8623D">
        <w:rPr>
          <w:i/>
        </w:rPr>
        <w:t>M</w:t>
      </w:r>
      <w:r w:rsidR="00886B91">
        <w:rPr>
          <w:vertAlign w:val="subscript"/>
        </w:rPr>
        <w:t>never</w:t>
      </w:r>
      <w:r w:rsidR="00886B91" w:rsidRPr="00D8623D">
        <w:rPr>
          <w:vertAlign w:val="subscript"/>
        </w:rPr>
        <w:t xml:space="preserve"> </w:t>
      </w:r>
      <w:r w:rsidR="00886B91">
        <w:t>= 789</w:t>
      </w:r>
      <w:r w:rsidR="00E46ADA">
        <w:t>.29</w:t>
      </w:r>
      <w:r w:rsidR="00886B91">
        <w:t xml:space="preserve">, </w:t>
      </w:r>
      <w:r w:rsidR="00886B91" w:rsidRPr="00D8623D">
        <w:rPr>
          <w:i/>
        </w:rPr>
        <w:t>M</w:t>
      </w:r>
      <w:r w:rsidR="00886B91">
        <w:rPr>
          <w:vertAlign w:val="subscript"/>
        </w:rPr>
        <w:t>everyday</w:t>
      </w:r>
      <w:r w:rsidR="00886B91">
        <w:rPr>
          <w:i/>
          <w:vertAlign w:val="subscript"/>
        </w:rPr>
        <w:t xml:space="preserve"> </w:t>
      </w:r>
      <w:r w:rsidR="00886B91">
        <w:t xml:space="preserve"> = </w:t>
      </w:r>
      <w:r w:rsidR="00E46ADA">
        <w:t>1588.86</w:t>
      </w:r>
      <w:r w:rsidR="00886B91" w:rsidRPr="007A15F6">
        <w:t>]</w:t>
      </w:r>
      <w:r w:rsidR="00886B91">
        <w:t>.</w:t>
      </w:r>
      <w:r w:rsidR="00E46ADA">
        <w:t xml:space="preserve"> No statistically significant differences emerged in </w:t>
      </w:r>
      <w:r w:rsidR="006F3708">
        <w:t>levels of loneliness.</w:t>
      </w:r>
    </w:p>
    <w:p w:rsidR="00D44A0D" w:rsidRDefault="00D44A0D" w:rsidP="00A174C4">
      <w:pPr>
        <w:pStyle w:val="APAPar"/>
        <w:spacing w:after="240"/>
        <w:rPr>
          <w:rFonts w:eastAsia="Times New Roman"/>
          <w:lang w:eastAsia="en-GB"/>
        </w:rPr>
      </w:pPr>
      <w:r w:rsidRPr="00D44A0D">
        <w:rPr>
          <w:b/>
          <w:i/>
        </w:rPr>
        <w:t>Socioeconomic Status of the Residing Neighbourhood</w:t>
      </w:r>
      <w:r>
        <w:rPr>
          <w:b/>
          <w:i/>
        </w:rPr>
        <w:t xml:space="preserve">: </w:t>
      </w:r>
      <w:r>
        <w:t xml:space="preserve">Independent sample t-test did not reveal any statistically significant differences in social participation and exercise among those who resided in the two neighbourhoods </w:t>
      </w:r>
      <w:r w:rsidR="0086548F">
        <w:t>examined</w:t>
      </w:r>
      <w:r>
        <w:t xml:space="preserve">. </w:t>
      </w:r>
      <w:r w:rsidRPr="005F32C3">
        <w:t xml:space="preserve">Cross tabulation and subsequent Chi square analysis </w:t>
      </w:r>
      <w:r w:rsidR="00BB5736">
        <w:t>examining the</w:t>
      </w:r>
      <w:r w:rsidRPr="005F32C3">
        <w:t xml:space="preserve"> dependency of </w:t>
      </w:r>
      <w:r>
        <w:t xml:space="preserve">the residing neighbourhood with </w:t>
      </w:r>
      <w:r w:rsidR="006F3708">
        <w:t>Internet use frequency</w:t>
      </w:r>
      <w:r>
        <w:t xml:space="preserve"> revealed statistically significant results [</w:t>
      </w:r>
      <w:r w:rsidRPr="001C33CE">
        <w:rPr>
          <w:rFonts w:eastAsia="Times New Roman"/>
          <w:lang w:eastAsia="en-GB"/>
        </w:rPr>
        <w:t>X</w:t>
      </w:r>
      <w:r w:rsidRPr="001C33CE">
        <w:rPr>
          <w:rFonts w:eastAsia="Times New Roman"/>
          <w:vertAlign w:val="superscript"/>
          <w:lang w:eastAsia="en-GB"/>
        </w:rPr>
        <w:t>2</w:t>
      </w:r>
      <w:r w:rsidRPr="001C33CE">
        <w:rPr>
          <w:rFonts w:eastAsia="Times New Roman"/>
          <w:lang w:eastAsia="en-GB"/>
        </w:rPr>
        <w:t xml:space="preserve"> (</w:t>
      </w:r>
      <w:r>
        <w:rPr>
          <w:rFonts w:eastAsia="Times New Roman"/>
          <w:lang w:eastAsia="en-GB"/>
        </w:rPr>
        <w:t>8</w:t>
      </w:r>
      <w:r w:rsidRPr="001C33CE">
        <w:rPr>
          <w:rFonts w:eastAsia="Times New Roman"/>
          <w:lang w:eastAsia="en-GB"/>
        </w:rPr>
        <w:t xml:space="preserve">, </w:t>
      </w:r>
      <w:r w:rsidRPr="001C33CE">
        <w:rPr>
          <w:rFonts w:eastAsia="Times New Roman"/>
          <w:i/>
          <w:lang w:eastAsia="en-GB"/>
        </w:rPr>
        <w:t>N</w:t>
      </w:r>
      <w:r w:rsidRPr="001C33CE">
        <w:rPr>
          <w:rFonts w:eastAsia="Times New Roman"/>
          <w:lang w:eastAsia="en-GB"/>
        </w:rPr>
        <w:t xml:space="preserve"> = </w:t>
      </w:r>
      <w:r>
        <w:rPr>
          <w:rFonts w:eastAsia="Times New Roman"/>
          <w:lang w:eastAsia="en-GB"/>
        </w:rPr>
        <w:t>91</w:t>
      </w:r>
      <w:r w:rsidRPr="001C33CE">
        <w:rPr>
          <w:rFonts w:eastAsia="Times New Roman"/>
          <w:lang w:eastAsia="en-GB"/>
        </w:rPr>
        <w:t xml:space="preserve">) = </w:t>
      </w:r>
      <w:r>
        <w:rPr>
          <w:rFonts w:eastAsia="Times New Roman"/>
          <w:lang w:eastAsia="en-GB"/>
        </w:rPr>
        <w:t>19.191</w:t>
      </w:r>
      <w:r w:rsidRPr="001C33CE">
        <w:rPr>
          <w:rFonts w:eastAsia="Times New Roman"/>
          <w:lang w:eastAsia="en-GB"/>
        </w:rPr>
        <w:t xml:space="preserve">, </w:t>
      </w:r>
      <w:r w:rsidRPr="001C33CE">
        <w:rPr>
          <w:rFonts w:eastAsia="Times New Roman"/>
          <w:i/>
          <w:lang w:eastAsia="en-GB"/>
        </w:rPr>
        <w:t>p</w:t>
      </w:r>
      <w:r w:rsidRPr="001C33CE">
        <w:rPr>
          <w:rFonts w:eastAsia="Times New Roman"/>
          <w:lang w:eastAsia="en-GB"/>
        </w:rPr>
        <w:t xml:space="preserve"> </w:t>
      </w:r>
      <w:r>
        <w:rPr>
          <w:rFonts w:eastAsia="Times New Roman"/>
          <w:lang w:eastAsia="en-GB"/>
        </w:rPr>
        <w:t>= .014]. A visual examination of Table 7.</w:t>
      </w:r>
      <w:r w:rsidR="00CD6D43">
        <w:rPr>
          <w:rFonts w:eastAsia="Times New Roman"/>
          <w:lang w:eastAsia="en-GB"/>
        </w:rPr>
        <w:t>20</w:t>
      </w:r>
      <w:r>
        <w:rPr>
          <w:rFonts w:eastAsia="Times New Roman"/>
          <w:lang w:eastAsia="en-GB"/>
        </w:rPr>
        <w:t xml:space="preserve"> reveals that</w:t>
      </w:r>
      <w:r w:rsidR="008F2A21">
        <w:rPr>
          <w:rFonts w:eastAsia="Times New Roman"/>
          <w:lang w:eastAsia="en-GB"/>
        </w:rPr>
        <w:t xml:space="preserve"> a greater percentage of</w:t>
      </w:r>
      <w:r>
        <w:rPr>
          <w:rFonts w:eastAsia="Times New Roman"/>
          <w:lang w:eastAsia="en-GB"/>
        </w:rPr>
        <w:t xml:space="preserve"> those re</w:t>
      </w:r>
      <w:r w:rsidR="00BB5736">
        <w:rPr>
          <w:rFonts w:eastAsia="Times New Roman"/>
          <w:lang w:eastAsia="en-GB"/>
        </w:rPr>
        <w:t>siding</w:t>
      </w:r>
      <w:r>
        <w:rPr>
          <w:rFonts w:eastAsia="Times New Roman"/>
          <w:lang w:eastAsia="en-GB"/>
        </w:rPr>
        <w:t xml:space="preserve"> in Neapel (i.e., lower SES</w:t>
      </w:r>
      <w:r w:rsidR="00BB5736">
        <w:rPr>
          <w:rFonts w:eastAsia="Times New Roman"/>
          <w:lang w:eastAsia="en-GB"/>
        </w:rPr>
        <w:t xml:space="preserve"> </w:t>
      </w:r>
      <w:r w:rsidR="00BB4A5B">
        <w:rPr>
          <w:rFonts w:eastAsia="Times New Roman"/>
          <w:lang w:eastAsia="en-GB"/>
        </w:rPr>
        <w:t>neighbourhood</w:t>
      </w:r>
      <w:r w:rsidR="008F2A21">
        <w:rPr>
          <w:rFonts w:eastAsia="Times New Roman"/>
          <w:lang w:eastAsia="en-GB"/>
        </w:rPr>
        <w:t xml:space="preserve">) </w:t>
      </w:r>
      <w:r>
        <w:rPr>
          <w:rFonts w:eastAsia="Times New Roman"/>
          <w:lang w:eastAsia="en-GB"/>
        </w:rPr>
        <w:t>report</w:t>
      </w:r>
      <w:r w:rsidR="008F2A21">
        <w:rPr>
          <w:rFonts w:eastAsia="Times New Roman"/>
          <w:lang w:eastAsia="en-GB"/>
        </w:rPr>
        <w:t>ed</w:t>
      </w:r>
      <w:r>
        <w:rPr>
          <w:rFonts w:eastAsia="Times New Roman"/>
          <w:lang w:eastAsia="en-GB"/>
        </w:rPr>
        <w:t xml:space="preserve"> not </w:t>
      </w:r>
      <w:r w:rsidR="0086548F">
        <w:rPr>
          <w:rFonts w:eastAsia="Times New Roman"/>
          <w:lang w:eastAsia="en-GB"/>
        </w:rPr>
        <w:t>using</w:t>
      </w:r>
      <w:r>
        <w:rPr>
          <w:rFonts w:eastAsia="Times New Roman"/>
          <w:lang w:eastAsia="en-GB"/>
        </w:rPr>
        <w:t xml:space="preserve"> the Intern</w:t>
      </w:r>
      <w:r w:rsidR="0086548F">
        <w:rPr>
          <w:rFonts w:eastAsia="Times New Roman"/>
          <w:lang w:eastAsia="en-GB"/>
        </w:rPr>
        <w:t>et or using</w:t>
      </w:r>
      <w:r>
        <w:rPr>
          <w:rFonts w:eastAsia="Times New Roman"/>
          <w:lang w:eastAsia="en-GB"/>
        </w:rPr>
        <w:t xml:space="preserve"> it once/twice a week, </w:t>
      </w:r>
      <w:r w:rsidR="008F2A21">
        <w:rPr>
          <w:rFonts w:eastAsia="Times New Roman"/>
          <w:lang w:eastAsia="en-GB"/>
        </w:rPr>
        <w:t xml:space="preserve">while a greater percentage of </w:t>
      </w:r>
      <w:r>
        <w:rPr>
          <w:rFonts w:eastAsia="Times New Roman"/>
          <w:lang w:eastAsia="en-GB"/>
        </w:rPr>
        <w:t xml:space="preserve">those residing in the </w:t>
      </w:r>
      <w:r w:rsidR="00815D13">
        <w:rPr>
          <w:rFonts w:eastAsia="Times New Roman"/>
          <w:lang w:eastAsia="en-GB"/>
        </w:rPr>
        <w:t>City-centre report</w:t>
      </w:r>
      <w:r w:rsidR="0086548F">
        <w:rPr>
          <w:rFonts w:eastAsia="Times New Roman"/>
          <w:lang w:eastAsia="en-GB"/>
        </w:rPr>
        <w:t>ed</w:t>
      </w:r>
      <w:r w:rsidR="00815D13">
        <w:rPr>
          <w:rFonts w:eastAsia="Times New Roman"/>
          <w:lang w:eastAsia="en-GB"/>
        </w:rPr>
        <w:t xml:space="preserve"> using the Internet everyday. </w:t>
      </w:r>
    </w:p>
    <w:p w:rsidR="008F2A21" w:rsidRDefault="008F2A21" w:rsidP="00A174C4">
      <w:pPr>
        <w:pStyle w:val="APAPar"/>
        <w:spacing w:after="240"/>
        <w:rPr>
          <w:rFonts w:eastAsia="Times New Roman"/>
          <w:lang w:eastAsia="en-GB"/>
        </w:rPr>
      </w:pPr>
    </w:p>
    <w:p w:rsidR="008F2A21" w:rsidRDefault="008F2A21" w:rsidP="00A174C4">
      <w:pPr>
        <w:pStyle w:val="APAPar"/>
        <w:spacing w:after="240"/>
        <w:rPr>
          <w:rFonts w:eastAsia="Times New Roman"/>
          <w:lang w:eastAsia="en-GB"/>
        </w:rPr>
      </w:pPr>
    </w:p>
    <w:p w:rsidR="00D44A0D" w:rsidRPr="00C72B75" w:rsidRDefault="00CD6D43" w:rsidP="00D44A0D">
      <w:pPr>
        <w:spacing w:line="360" w:lineRule="auto"/>
        <w:ind w:left="1077" w:hanging="1077"/>
        <w:rPr>
          <w:rFonts w:ascii="Times New Roman" w:eastAsia="Times New Roman" w:hAnsi="Times New Roman" w:cs="Times New Roman"/>
          <w:color w:val="000000"/>
          <w:szCs w:val="20"/>
          <w:lang w:eastAsia="en-US"/>
        </w:rPr>
      </w:pPr>
      <w:r>
        <w:rPr>
          <w:rFonts w:ascii="Times New Roman" w:eastAsia="Times New Roman" w:hAnsi="Times New Roman" w:cs="Times New Roman"/>
          <w:color w:val="000000"/>
          <w:szCs w:val="20"/>
          <w:lang w:eastAsia="en-US"/>
        </w:rPr>
        <w:t>Table 7.20</w:t>
      </w:r>
      <w:r w:rsidR="00D44A0D" w:rsidRPr="007A15F6">
        <w:rPr>
          <w:rFonts w:ascii="Times New Roman" w:eastAsia="Times New Roman" w:hAnsi="Times New Roman" w:cs="Times New Roman"/>
          <w:color w:val="000000"/>
          <w:szCs w:val="20"/>
          <w:lang w:eastAsia="en-US"/>
        </w:rPr>
        <w:t xml:space="preserve"> </w:t>
      </w:r>
      <w:r w:rsidR="00D44A0D" w:rsidRPr="004A79CC">
        <w:rPr>
          <w:rFonts w:ascii="Times New Roman" w:eastAsia="Times New Roman" w:hAnsi="Times New Roman" w:cs="Times New Roman"/>
          <w:color w:val="000000"/>
          <w:szCs w:val="20"/>
          <w:lang w:eastAsia="en-US"/>
        </w:rPr>
        <w:t xml:space="preserve">Chi </w:t>
      </w:r>
      <w:r w:rsidR="00A174C4" w:rsidRPr="004A79CC">
        <w:rPr>
          <w:rFonts w:ascii="Times New Roman" w:eastAsia="Times New Roman" w:hAnsi="Times New Roman" w:cs="Times New Roman"/>
          <w:color w:val="000000"/>
          <w:szCs w:val="20"/>
          <w:lang w:eastAsia="en-US"/>
        </w:rPr>
        <w:t xml:space="preserve">Square Analysis Of The Cross-Tabulation </w:t>
      </w:r>
      <w:r w:rsidR="00A174C4">
        <w:rPr>
          <w:rFonts w:ascii="Times New Roman" w:eastAsia="Times New Roman" w:hAnsi="Times New Roman" w:cs="Times New Roman"/>
          <w:color w:val="000000"/>
          <w:szCs w:val="20"/>
          <w:lang w:eastAsia="en-US"/>
        </w:rPr>
        <w:t xml:space="preserve">For </w:t>
      </w:r>
      <w:r w:rsidR="00D44A0D">
        <w:rPr>
          <w:rFonts w:ascii="Times New Roman" w:eastAsia="Times New Roman" w:hAnsi="Times New Roman" w:cs="Times New Roman"/>
          <w:color w:val="000000"/>
          <w:szCs w:val="20"/>
          <w:lang w:eastAsia="en-US"/>
        </w:rPr>
        <w:t xml:space="preserve">Internet </w:t>
      </w:r>
      <w:r w:rsidR="00A174C4">
        <w:rPr>
          <w:rFonts w:ascii="Times New Roman" w:eastAsia="Times New Roman" w:hAnsi="Times New Roman" w:cs="Times New Roman"/>
          <w:color w:val="000000"/>
          <w:szCs w:val="20"/>
          <w:lang w:eastAsia="en-US"/>
        </w:rPr>
        <w:t>Use Per Neighbourhood</w:t>
      </w:r>
    </w:p>
    <w:tbl>
      <w:tblPr>
        <w:tblStyle w:val="TableGrid1"/>
        <w:tblW w:w="8755"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1809"/>
        <w:gridCol w:w="851"/>
        <w:gridCol w:w="1701"/>
        <w:gridCol w:w="1276"/>
        <w:gridCol w:w="1559"/>
        <w:gridCol w:w="1559"/>
      </w:tblGrid>
      <w:tr w:rsidR="00D44A0D" w:rsidRPr="007A15F6" w:rsidTr="00D44A0D">
        <w:trPr>
          <w:trHeight w:val="491"/>
        </w:trPr>
        <w:tc>
          <w:tcPr>
            <w:tcW w:w="1809" w:type="dxa"/>
          </w:tcPr>
          <w:p w:rsidR="00D44A0D" w:rsidRPr="00FA1280" w:rsidRDefault="00D44A0D" w:rsidP="005252AE">
            <w:pPr>
              <w:spacing w:line="360" w:lineRule="auto"/>
              <w:rPr>
                <w:rFonts w:ascii="Times New Roman" w:eastAsia="MS Mincho" w:hAnsi="Times New Roman" w:cs="Times New Roman"/>
                <w:szCs w:val="20"/>
              </w:rPr>
            </w:pPr>
          </w:p>
        </w:tc>
        <w:tc>
          <w:tcPr>
            <w:tcW w:w="851" w:type="dxa"/>
          </w:tcPr>
          <w:p w:rsidR="00D44A0D" w:rsidRPr="00FA1280" w:rsidRDefault="00D44A0D" w:rsidP="005252AE">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Never</w:t>
            </w:r>
          </w:p>
        </w:tc>
        <w:tc>
          <w:tcPr>
            <w:tcW w:w="1701" w:type="dxa"/>
          </w:tcPr>
          <w:p w:rsidR="00D44A0D" w:rsidRPr="00FA1280" w:rsidRDefault="00D44A0D" w:rsidP="005252AE">
            <w:pPr>
              <w:jc w:val="center"/>
              <w:rPr>
                <w:rFonts w:ascii="Times New Roman" w:eastAsia="MS Mincho" w:hAnsi="Times New Roman" w:cs="Times New Roman"/>
                <w:szCs w:val="20"/>
              </w:rPr>
            </w:pPr>
            <w:r w:rsidRPr="00FA1280">
              <w:rPr>
                <w:rFonts w:ascii="Times New Roman" w:eastAsia="MS Mincho" w:hAnsi="Times New Roman" w:cs="Times New Roman"/>
                <w:szCs w:val="20"/>
              </w:rPr>
              <w:t>Once/twice a week</w:t>
            </w:r>
          </w:p>
        </w:tc>
        <w:tc>
          <w:tcPr>
            <w:tcW w:w="1276" w:type="dxa"/>
          </w:tcPr>
          <w:p w:rsidR="00D44A0D" w:rsidRPr="00FA1280" w:rsidRDefault="00D44A0D" w:rsidP="005252AE">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Most days</w:t>
            </w:r>
          </w:p>
        </w:tc>
        <w:tc>
          <w:tcPr>
            <w:tcW w:w="1559" w:type="dxa"/>
          </w:tcPr>
          <w:p w:rsidR="00D44A0D" w:rsidRPr="00FA1280" w:rsidRDefault="00D44A0D" w:rsidP="005252AE">
            <w:pPr>
              <w:jc w:val="center"/>
              <w:rPr>
                <w:rFonts w:ascii="Times New Roman" w:eastAsia="MS Mincho" w:hAnsi="Times New Roman" w:cs="Times New Roman"/>
                <w:szCs w:val="20"/>
              </w:rPr>
            </w:pPr>
            <w:r w:rsidRPr="00FA1280">
              <w:rPr>
                <w:rFonts w:ascii="Times New Roman" w:eastAsia="MS Mincho" w:hAnsi="Times New Roman" w:cs="Times New Roman"/>
                <w:szCs w:val="20"/>
              </w:rPr>
              <w:t>Almost everyday</w:t>
            </w:r>
          </w:p>
        </w:tc>
        <w:tc>
          <w:tcPr>
            <w:tcW w:w="1559" w:type="dxa"/>
          </w:tcPr>
          <w:p w:rsidR="00D44A0D" w:rsidRPr="00FA1280" w:rsidRDefault="00D44A0D" w:rsidP="005252AE">
            <w:pPr>
              <w:spacing w:line="360" w:lineRule="auto"/>
              <w:jc w:val="center"/>
              <w:rPr>
                <w:rFonts w:ascii="Times New Roman" w:eastAsia="MS Mincho" w:hAnsi="Times New Roman" w:cs="Times New Roman"/>
                <w:szCs w:val="20"/>
              </w:rPr>
            </w:pPr>
            <w:r w:rsidRPr="00FA1280">
              <w:rPr>
                <w:rFonts w:ascii="Times New Roman" w:eastAsia="MS Mincho" w:hAnsi="Times New Roman" w:cs="Times New Roman"/>
                <w:szCs w:val="20"/>
              </w:rPr>
              <w:t>Everyday</w:t>
            </w:r>
          </w:p>
        </w:tc>
      </w:tr>
      <w:tr w:rsidR="00D44A0D" w:rsidRPr="007A15F6" w:rsidTr="00D44A0D">
        <w:tc>
          <w:tcPr>
            <w:tcW w:w="1809" w:type="dxa"/>
          </w:tcPr>
          <w:p w:rsidR="00D44A0D" w:rsidRPr="00FA1280" w:rsidRDefault="00D44A0D" w:rsidP="005252AE">
            <w:pPr>
              <w:spacing w:line="360" w:lineRule="auto"/>
              <w:rPr>
                <w:rFonts w:ascii="Times New Roman" w:eastAsia="MS Mincho" w:hAnsi="Times New Roman" w:cs="Times New Roman"/>
                <w:szCs w:val="20"/>
              </w:rPr>
            </w:pPr>
            <w:r>
              <w:rPr>
                <w:rFonts w:ascii="Times New Roman" w:eastAsia="MS Mincho" w:hAnsi="Times New Roman" w:cs="Times New Roman"/>
                <w:szCs w:val="20"/>
              </w:rPr>
              <w:t xml:space="preserve">City Centre </w:t>
            </w:r>
            <w:r w:rsidRPr="00FA1280">
              <w:rPr>
                <w:rFonts w:ascii="Times New Roman" w:eastAsia="MS Mincho" w:hAnsi="Times New Roman" w:cs="Times New Roman"/>
                <w:szCs w:val="20"/>
              </w:rPr>
              <w:t>(n)</w:t>
            </w:r>
          </w:p>
        </w:tc>
        <w:tc>
          <w:tcPr>
            <w:tcW w:w="851"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15</w:t>
            </w:r>
          </w:p>
        </w:tc>
        <w:tc>
          <w:tcPr>
            <w:tcW w:w="1701"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7</w:t>
            </w:r>
          </w:p>
        </w:tc>
        <w:tc>
          <w:tcPr>
            <w:tcW w:w="1276"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3</w:t>
            </w:r>
          </w:p>
        </w:tc>
        <w:tc>
          <w:tcPr>
            <w:tcW w:w="1559"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4</w:t>
            </w:r>
          </w:p>
        </w:tc>
        <w:tc>
          <w:tcPr>
            <w:tcW w:w="1559"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22</w:t>
            </w:r>
          </w:p>
        </w:tc>
      </w:tr>
      <w:tr w:rsidR="00D44A0D" w:rsidRPr="007A15F6" w:rsidTr="00D44A0D">
        <w:tc>
          <w:tcPr>
            <w:tcW w:w="1809" w:type="dxa"/>
          </w:tcPr>
          <w:p w:rsidR="00D44A0D" w:rsidRPr="00FA1280" w:rsidRDefault="00D44A0D" w:rsidP="005252AE">
            <w:pPr>
              <w:spacing w:line="360" w:lineRule="auto"/>
              <w:rPr>
                <w:rFonts w:ascii="Times New Roman" w:eastAsia="MS Mincho" w:hAnsi="Times New Roman" w:cs="Times New Roman"/>
                <w:szCs w:val="20"/>
              </w:rPr>
            </w:pPr>
            <w:r>
              <w:rPr>
                <w:rFonts w:ascii="Times New Roman" w:eastAsia="MS Mincho" w:hAnsi="Times New Roman" w:cs="Times New Roman"/>
                <w:szCs w:val="20"/>
              </w:rPr>
              <w:t>Neapel</w:t>
            </w:r>
            <w:r w:rsidRPr="00FA1280">
              <w:rPr>
                <w:rFonts w:ascii="Times New Roman" w:eastAsia="MS Mincho" w:hAnsi="Times New Roman" w:cs="Times New Roman"/>
                <w:szCs w:val="20"/>
              </w:rPr>
              <w:t xml:space="preserve"> (n)</w:t>
            </w:r>
          </w:p>
        </w:tc>
        <w:tc>
          <w:tcPr>
            <w:tcW w:w="851"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23</w:t>
            </w:r>
          </w:p>
        </w:tc>
        <w:tc>
          <w:tcPr>
            <w:tcW w:w="1701"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1</w:t>
            </w:r>
          </w:p>
        </w:tc>
        <w:tc>
          <w:tcPr>
            <w:tcW w:w="1276"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4</w:t>
            </w:r>
          </w:p>
        </w:tc>
        <w:tc>
          <w:tcPr>
            <w:tcW w:w="1559"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2</w:t>
            </w:r>
          </w:p>
        </w:tc>
        <w:tc>
          <w:tcPr>
            <w:tcW w:w="1559" w:type="dxa"/>
            <w:vAlign w:val="center"/>
          </w:tcPr>
          <w:p w:rsidR="00D44A0D" w:rsidRPr="00FA1280" w:rsidRDefault="00D44A0D" w:rsidP="005252AE">
            <w:pPr>
              <w:spacing w:line="360" w:lineRule="auto"/>
              <w:jc w:val="center"/>
              <w:rPr>
                <w:rFonts w:ascii="Times New Roman" w:eastAsia="MS Mincho" w:hAnsi="Times New Roman" w:cs="Times New Roman"/>
                <w:szCs w:val="20"/>
              </w:rPr>
            </w:pPr>
            <w:r>
              <w:rPr>
                <w:rFonts w:ascii="Times New Roman" w:eastAsia="MS Mincho" w:hAnsi="Times New Roman" w:cs="Times New Roman"/>
                <w:szCs w:val="20"/>
              </w:rPr>
              <w:t>6</w:t>
            </w:r>
          </w:p>
        </w:tc>
      </w:tr>
    </w:tbl>
    <w:p w:rsidR="00CE0183" w:rsidRPr="00CE0183" w:rsidRDefault="00CE0183" w:rsidP="00CE0183">
      <w:pPr>
        <w:rPr>
          <w:lang w:val="en-US"/>
        </w:rPr>
      </w:pPr>
    </w:p>
    <w:p w:rsidR="00CE0183" w:rsidRDefault="008B6CB1" w:rsidP="005C41B7">
      <w:pPr>
        <w:pStyle w:val="APAPar"/>
        <w:rPr>
          <w:lang w:val="en-US"/>
        </w:rPr>
      </w:pPr>
      <w:r w:rsidRPr="008B6CB1">
        <w:rPr>
          <w:b/>
          <w:i/>
        </w:rPr>
        <w:t>Regression analysis predicting social participation:</w:t>
      </w:r>
      <w:r>
        <w:t xml:space="preserve"> Social participation was statistically significant</w:t>
      </w:r>
      <w:r w:rsidR="00F2519F">
        <w:t>ly</w:t>
      </w:r>
      <w:r>
        <w:t xml:space="preserve"> related with education, social network size, and income, and not with age, gender and the residing neighbourhood. Following the suggestions of Salthouse and Pink (2008), education, social network size, and income were introduced in a regression model, in order to examine their predictive</w:t>
      </w:r>
      <w:r w:rsidR="004E439E">
        <w:t xml:space="preserve"> validity.</w:t>
      </w:r>
      <w:r w:rsidR="00BE7F6E">
        <w:t xml:space="preserve"> </w:t>
      </w:r>
      <w:r w:rsidR="00BB5736">
        <w:t xml:space="preserve">Education was entered as a continuous variable, with higher scores representing higher levels of education. </w:t>
      </w:r>
      <w:r>
        <w:t xml:space="preserve">The regression analysis resulted </w:t>
      </w:r>
      <w:r w:rsidR="0086548F">
        <w:t>in</w:t>
      </w:r>
      <w:r>
        <w:t xml:space="preserve"> a statistically significant model that explained </w:t>
      </w:r>
      <w:r w:rsidRPr="008B6CB1">
        <w:rPr>
          <w:i/>
        </w:rPr>
        <w:t>A</w:t>
      </w:r>
      <w:r>
        <w:t>R</w:t>
      </w:r>
      <w:r>
        <w:rPr>
          <w:vertAlign w:val="superscript"/>
        </w:rPr>
        <w:t xml:space="preserve">2 </w:t>
      </w:r>
      <w:r>
        <w:t>= 14% (</w:t>
      </w:r>
      <w:r w:rsidRPr="008B6CB1">
        <w:rPr>
          <w:i/>
        </w:rPr>
        <w:t>R</w:t>
      </w:r>
      <w:r w:rsidR="00BE7F6E">
        <w:rPr>
          <w:i/>
          <w:vertAlign w:val="superscript"/>
        </w:rPr>
        <w:t>2</w:t>
      </w:r>
      <w:r>
        <w:t xml:space="preserve"> = .171, </w:t>
      </w:r>
      <w:r w:rsidRPr="008B6CB1">
        <w:rPr>
          <w:i/>
        </w:rPr>
        <w:t xml:space="preserve">p </w:t>
      </w:r>
      <w:r>
        <w:t xml:space="preserve">= .001) of the variance in social participation, with income being the only statistically significant </w:t>
      </w:r>
      <w:r w:rsidR="00BB5736">
        <w:t xml:space="preserve">independent </w:t>
      </w:r>
      <w:r>
        <w:t>predictor (</w:t>
      </w:r>
      <w:r w:rsidR="00450BDA" w:rsidRPr="00450BDA">
        <w:rPr>
          <w:i/>
          <w:lang w:val="el-GR"/>
        </w:rPr>
        <w:t>β</w:t>
      </w:r>
      <w:r w:rsidR="00450BDA" w:rsidRPr="00450BDA">
        <w:rPr>
          <w:lang w:val="en-US"/>
        </w:rPr>
        <w:t xml:space="preserve"> </w:t>
      </w:r>
      <w:r w:rsidR="00450BDA">
        <w:rPr>
          <w:lang w:val="en-US"/>
        </w:rPr>
        <w:t xml:space="preserve">= .295, </w:t>
      </w:r>
      <w:r w:rsidR="00450BDA" w:rsidRPr="00450BDA">
        <w:rPr>
          <w:i/>
          <w:lang w:val="en-US"/>
        </w:rPr>
        <w:t>p</w:t>
      </w:r>
      <w:r w:rsidR="00450BDA">
        <w:rPr>
          <w:lang w:val="en-US"/>
        </w:rPr>
        <w:t xml:space="preserve"> = .001). </w:t>
      </w:r>
    </w:p>
    <w:p w:rsidR="004C2E4A" w:rsidRDefault="00450BDA" w:rsidP="005C41B7">
      <w:pPr>
        <w:pStyle w:val="APAPar"/>
        <w:rPr>
          <w:lang w:val="en-US"/>
        </w:rPr>
      </w:pPr>
      <w:r w:rsidRPr="008B6CB1">
        <w:rPr>
          <w:b/>
          <w:i/>
        </w:rPr>
        <w:t xml:space="preserve">Regression analysis predicting </w:t>
      </w:r>
      <w:r>
        <w:rPr>
          <w:b/>
          <w:i/>
        </w:rPr>
        <w:t>Internet use</w:t>
      </w:r>
      <w:r w:rsidRPr="008B6CB1">
        <w:rPr>
          <w:b/>
          <w:i/>
        </w:rPr>
        <w:t>:</w:t>
      </w:r>
      <w:r>
        <w:t xml:space="preserve"> Internet use was statistically significant</w:t>
      </w:r>
      <w:r w:rsidR="00F2519F">
        <w:t>ly</w:t>
      </w:r>
      <w:r>
        <w:t xml:space="preserve"> related with age, gender, income, and the residing neighbourhood, but not with education and social network size. </w:t>
      </w:r>
      <w:r w:rsidR="004C2E4A">
        <w:t xml:space="preserve">Therefore, age, gender, income, and the residing neighbourhood, were introduced in a regression model, in order to examine their predictive validity on Internet use. </w:t>
      </w:r>
      <w:r w:rsidR="00866DBC">
        <w:t xml:space="preserve">Internet use was used as a continuous variable with higher scores representing more frequent use of Internet. </w:t>
      </w:r>
      <w:r w:rsidR="004C2E4A">
        <w:t xml:space="preserve">The regression analysis resulted to a statistically significant model that explained </w:t>
      </w:r>
      <w:r w:rsidR="004C2E4A" w:rsidRPr="008B6CB1">
        <w:rPr>
          <w:i/>
        </w:rPr>
        <w:t>A</w:t>
      </w:r>
      <w:r w:rsidR="004C2E4A">
        <w:t>R</w:t>
      </w:r>
      <w:r w:rsidR="004C2E4A">
        <w:rPr>
          <w:vertAlign w:val="superscript"/>
        </w:rPr>
        <w:t xml:space="preserve">2 </w:t>
      </w:r>
      <w:r w:rsidR="004C2E4A">
        <w:t>= 23% (</w:t>
      </w:r>
      <w:r w:rsidR="004C2E4A" w:rsidRPr="008B6CB1">
        <w:rPr>
          <w:i/>
        </w:rPr>
        <w:t>R</w:t>
      </w:r>
      <w:r w:rsidR="00BE7F6E">
        <w:rPr>
          <w:i/>
          <w:vertAlign w:val="superscript"/>
        </w:rPr>
        <w:t>2</w:t>
      </w:r>
      <w:r w:rsidR="004C2E4A">
        <w:t xml:space="preserve"> = .270, </w:t>
      </w:r>
      <w:r w:rsidR="004C2E4A" w:rsidRPr="008B6CB1">
        <w:rPr>
          <w:i/>
        </w:rPr>
        <w:t xml:space="preserve">p </w:t>
      </w:r>
      <w:r w:rsidR="008269D1">
        <w:t>&lt;</w:t>
      </w:r>
      <w:r w:rsidR="00BE7F6E">
        <w:t xml:space="preserve"> </w:t>
      </w:r>
      <w:r w:rsidR="008269D1">
        <w:t>.001</w:t>
      </w:r>
      <w:r w:rsidR="004C2E4A">
        <w:t>) of the variance in Internet use, with gender (</w:t>
      </w:r>
      <w:r w:rsidR="004C2E4A" w:rsidRPr="00450BDA">
        <w:rPr>
          <w:i/>
          <w:lang w:val="el-GR"/>
        </w:rPr>
        <w:t>β</w:t>
      </w:r>
      <w:r w:rsidR="004C2E4A" w:rsidRPr="00450BDA">
        <w:rPr>
          <w:lang w:val="en-US"/>
        </w:rPr>
        <w:t xml:space="preserve"> </w:t>
      </w:r>
      <w:r w:rsidR="004C2E4A">
        <w:rPr>
          <w:lang w:val="en-US"/>
        </w:rPr>
        <w:t xml:space="preserve">= -.257, </w:t>
      </w:r>
      <w:r w:rsidR="004C2E4A" w:rsidRPr="00450BDA">
        <w:rPr>
          <w:i/>
          <w:lang w:val="en-US"/>
        </w:rPr>
        <w:t>p</w:t>
      </w:r>
      <w:r w:rsidR="004C2E4A">
        <w:rPr>
          <w:lang w:val="en-US"/>
        </w:rPr>
        <w:t xml:space="preserve"> = .020) and age </w:t>
      </w:r>
      <w:r w:rsidR="004C2E4A">
        <w:t>(</w:t>
      </w:r>
      <w:r w:rsidR="004C2E4A" w:rsidRPr="00450BDA">
        <w:rPr>
          <w:i/>
          <w:lang w:val="el-GR"/>
        </w:rPr>
        <w:t>β</w:t>
      </w:r>
      <w:r w:rsidR="004C2E4A" w:rsidRPr="00450BDA">
        <w:rPr>
          <w:lang w:val="en-US"/>
        </w:rPr>
        <w:t xml:space="preserve"> </w:t>
      </w:r>
      <w:r w:rsidR="004C2E4A">
        <w:rPr>
          <w:lang w:val="en-US"/>
        </w:rPr>
        <w:t xml:space="preserve">= -.272, </w:t>
      </w:r>
      <w:r w:rsidR="004C2E4A" w:rsidRPr="00450BDA">
        <w:rPr>
          <w:i/>
          <w:lang w:val="en-US"/>
        </w:rPr>
        <w:t>p</w:t>
      </w:r>
      <w:r w:rsidR="004C2E4A">
        <w:rPr>
          <w:lang w:val="en-US"/>
        </w:rPr>
        <w:t xml:space="preserve"> = .007) </w:t>
      </w:r>
      <w:r w:rsidR="004C2E4A">
        <w:t xml:space="preserve">being the independent statistically significant predictors. </w:t>
      </w:r>
    </w:p>
    <w:p w:rsidR="00C31CE0" w:rsidRPr="008F2A21" w:rsidRDefault="004C2E4A" w:rsidP="008F2A21">
      <w:pPr>
        <w:pStyle w:val="APAPar"/>
        <w:rPr>
          <w:lang w:val="en-US"/>
        </w:rPr>
      </w:pPr>
      <w:r w:rsidRPr="008B6CB1">
        <w:rPr>
          <w:b/>
          <w:i/>
        </w:rPr>
        <w:t xml:space="preserve">Regression analysis predicting </w:t>
      </w:r>
      <w:r>
        <w:rPr>
          <w:b/>
          <w:i/>
        </w:rPr>
        <w:t>Exercise and Loneliness</w:t>
      </w:r>
      <w:r w:rsidRPr="008B6CB1">
        <w:rPr>
          <w:b/>
          <w:i/>
        </w:rPr>
        <w:t>:</w:t>
      </w:r>
      <w:r>
        <w:t xml:space="preserve"> Exercise was statistically significant</w:t>
      </w:r>
      <w:r w:rsidR="00F2519F">
        <w:t>ly</w:t>
      </w:r>
      <w:r>
        <w:t xml:space="preserve"> related only with age, whereas loneliness was not statistically significant</w:t>
      </w:r>
      <w:r w:rsidR="00F2519F">
        <w:t>ly</w:t>
      </w:r>
      <w:r>
        <w:t xml:space="preserve"> related with any of the variables examined </w:t>
      </w:r>
      <w:r w:rsidR="00624C1E">
        <w:t xml:space="preserve">in this </w:t>
      </w:r>
      <w:r w:rsidR="00525F58">
        <w:t>analysis</w:t>
      </w:r>
      <w:r>
        <w:t xml:space="preserve">. </w:t>
      </w:r>
      <w:r w:rsidR="00CF466E">
        <w:t>Therefore, no regression analysi</w:t>
      </w:r>
      <w:r>
        <w:t xml:space="preserve">s </w:t>
      </w:r>
      <w:r w:rsidR="00CF466E">
        <w:t>was</w:t>
      </w:r>
      <w:r>
        <w:t xml:space="preserve"> performed </w:t>
      </w:r>
      <w:r w:rsidR="00624C1E">
        <w:t xml:space="preserve">to identify predictors of </w:t>
      </w:r>
      <w:r>
        <w:t xml:space="preserve">exercise and loneliness.  </w:t>
      </w:r>
    </w:p>
    <w:p w:rsidR="000D0AD4" w:rsidRPr="00AA3143" w:rsidRDefault="00622F3E" w:rsidP="00C31CE0">
      <w:pPr>
        <w:pStyle w:val="Heading3"/>
        <w:rPr>
          <w:lang w:val="en-GB"/>
        </w:rPr>
      </w:pPr>
      <w:bookmarkStart w:id="190" w:name="_Toc521184263"/>
      <w:r w:rsidRPr="000B6600">
        <w:t>Discussion</w:t>
      </w:r>
      <w:bookmarkEnd w:id="190"/>
    </w:p>
    <w:p w:rsidR="00BE7F6E" w:rsidRDefault="00604DAB" w:rsidP="005C41B7">
      <w:pPr>
        <w:pStyle w:val="APAPar"/>
      </w:pPr>
      <w:r>
        <w:t xml:space="preserve">Consistent with </w:t>
      </w:r>
      <w:r w:rsidR="008F2A21">
        <w:t xml:space="preserve">the </w:t>
      </w:r>
      <w:r>
        <w:t xml:space="preserve">postulation of </w:t>
      </w:r>
      <w:r w:rsidR="008247A4">
        <w:t xml:space="preserve">Walker (1981), </w:t>
      </w:r>
      <w:r w:rsidR="00BB5736">
        <w:t xml:space="preserve">the findings of this study indicate that </w:t>
      </w:r>
      <w:r w:rsidR="008247A4">
        <w:t>Greek older women have a substantial lower income th</w:t>
      </w:r>
      <w:r w:rsidR="00BB5736">
        <w:t>an men. This trend exists even</w:t>
      </w:r>
      <w:r w:rsidR="008247A4">
        <w:t xml:space="preserve"> </w:t>
      </w:r>
      <w:r w:rsidR="00622F3E">
        <w:t xml:space="preserve">when </w:t>
      </w:r>
      <w:r w:rsidR="008247A4">
        <w:t xml:space="preserve">there is no evidence that </w:t>
      </w:r>
      <w:r w:rsidR="008F2A21">
        <w:t xml:space="preserve">Greek older </w:t>
      </w:r>
      <w:r w:rsidR="008247A4">
        <w:t>women have completed lower levels of education than Greek older men</w:t>
      </w:r>
      <w:r w:rsidR="00F77D21">
        <w:t xml:space="preserve">. </w:t>
      </w:r>
      <w:r w:rsidR="006F3708">
        <w:t>The findings indicate</w:t>
      </w:r>
      <w:r w:rsidR="008F2A21">
        <w:t>d</w:t>
      </w:r>
      <w:r w:rsidR="006F3708">
        <w:t xml:space="preserve"> that </w:t>
      </w:r>
      <w:r w:rsidR="008247A4">
        <w:t>increased</w:t>
      </w:r>
      <w:r w:rsidR="006F3708">
        <w:t xml:space="preserve"> age</w:t>
      </w:r>
      <w:r w:rsidR="008247A4">
        <w:t xml:space="preserve"> and lower income is related with</w:t>
      </w:r>
      <w:r w:rsidR="006F3708">
        <w:t xml:space="preserve"> </w:t>
      </w:r>
      <w:r w:rsidR="008247A4">
        <w:t>a decreased</w:t>
      </w:r>
      <w:r w:rsidR="006F3708">
        <w:t xml:space="preserve"> social network size</w:t>
      </w:r>
      <w:r w:rsidR="00B60A9F">
        <w:t>.</w:t>
      </w:r>
      <w:r w:rsidR="00BE7F6E">
        <w:t xml:space="preserve"> The evidence also suggests that those having completed only primary education may</w:t>
      </w:r>
      <w:r w:rsidR="00BB5736">
        <w:t xml:space="preserve"> have a decreased social network </w:t>
      </w:r>
      <w:r w:rsidR="00BE7F6E">
        <w:t>compared to those wit</w:t>
      </w:r>
      <w:r w:rsidR="00622F3E">
        <w:t xml:space="preserve">h higher educational attainment. </w:t>
      </w:r>
      <w:r w:rsidR="00BE7F6E">
        <w:t xml:space="preserve">This relationship however appears to have an </w:t>
      </w:r>
      <w:r w:rsidR="00AB608E">
        <w:t>inverse</w:t>
      </w:r>
      <w:r w:rsidR="00BE7F6E">
        <w:t xml:space="preserve"> U-shape, as those with a University degree do not have statistically significant different social network size </w:t>
      </w:r>
      <w:r w:rsidR="00AB608E">
        <w:t>from</w:t>
      </w:r>
      <w:r w:rsidR="00BE7F6E">
        <w:t xml:space="preserve"> those completing only primary school. As such, the evidence suggests tentatively that having a poorer or higher than </w:t>
      </w:r>
      <w:r w:rsidR="00BB5736">
        <w:t>secondary</w:t>
      </w:r>
      <w:r w:rsidR="00BE7F6E">
        <w:t xml:space="preserve"> education may be related with poorer social network size.</w:t>
      </w:r>
    </w:p>
    <w:p w:rsidR="00BE7F6E" w:rsidRDefault="00B60A9F" w:rsidP="005C41B7">
      <w:pPr>
        <w:pStyle w:val="APAPar"/>
      </w:pPr>
      <w:r>
        <w:t xml:space="preserve"> H</w:t>
      </w:r>
      <w:r w:rsidR="006F3708">
        <w:t xml:space="preserve">owever, </w:t>
      </w:r>
      <w:r>
        <w:t>there is no evidence that</w:t>
      </w:r>
      <w:r w:rsidR="006F3708">
        <w:t xml:space="preserve"> </w:t>
      </w:r>
      <w:r w:rsidR="00BB5736">
        <w:t xml:space="preserve">increased age and </w:t>
      </w:r>
      <w:r w:rsidR="00BE7F6E">
        <w:t>social network size</w:t>
      </w:r>
      <w:r w:rsidR="00F77D21">
        <w:t xml:space="preserve"> decline</w:t>
      </w:r>
      <w:r w:rsidR="008F2A21">
        <w:t xml:space="preserve"> leads</w:t>
      </w:r>
      <w:r>
        <w:t xml:space="preserve"> to decreased social </w:t>
      </w:r>
      <w:r w:rsidR="006F3708">
        <w:t>participation</w:t>
      </w:r>
      <w:r w:rsidR="00BE7F6E">
        <w:t xml:space="preserve">. </w:t>
      </w:r>
      <w:r w:rsidR="006F3708">
        <w:t xml:space="preserve">These findings </w:t>
      </w:r>
      <w:r w:rsidR="00624C1E">
        <w:t>are inconsistent with</w:t>
      </w:r>
      <w:r w:rsidR="006F3708">
        <w:t xml:space="preserve"> the arguments of Cummings and Henry (1961) who advocated the manifestation of social withdrawal in older age, with the loss of social </w:t>
      </w:r>
      <w:r w:rsidR="00624C1E">
        <w:t xml:space="preserve">ties </w:t>
      </w:r>
      <w:r w:rsidR="006F3708">
        <w:t xml:space="preserve">to be a plausible explanation for </w:t>
      </w:r>
      <w:r w:rsidR="00624C1E">
        <w:t>a reduction in social participation</w:t>
      </w:r>
      <w:r w:rsidR="006F3708">
        <w:t>.</w:t>
      </w:r>
      <w:r w:rsidR="00BE7F6E">
        <w:t xml:space="preserve"> The relevant evidence </w:t>
      </w:r>
      <w:r w:rsidR="00624C1E">
        <w:t>points</w:t>
      </w:r>
      <w:r w:rsidR="00BE7F6E">
        <w:t xml:space="preserve"> to increased income influencing one’s social participation frequency positively, suggesting that </w:t>
      </w:r>
      <w:r w:rsidR="00624C1E">
        <w:t xml:space="preserve">it may help in retaining </w:t>
      </w:r>
      <w:r w:rsidR="00BE7F6E">
        <w:t xml:space="preserve">social participation </w:t>
      </w:r>
      <w:r w:rsidR="00624C1E">
        <w:t xml:space="preserve">in the face of social ties losses with age. </w:t>
      </w:r>
    </w:p>
    <w:p w:rsidR="00624C1E" w:rsidRDefault="00F2519F" w:rsidP="005C41B7">
      <w:pPr>
        <w:pStyle w:val="APAPar"/>
      </w:pPr>
      <w:r>
        <w:t>In re</w:t>
      </w:r>
      <w:r w:rsidR="008F2A21">
        <w:t>lation</w:t>
      </w:r>
      <w:r>
        <w:t xml:space="preserve"> to </w:t>
      </w:r>
      <w:r w:rsidR="00624C1E">
        <w:t xml:space="preserve">Internet use, the predictive ability of age may reflect a cohort effect, namely that older cohorts have lower rates of Internet use than younger generations. </w:t>
      </w:r>
      <w:r w:rsidR="00CE6495">
        <w:t>These findings are consistent with evidence depicting that globally, older adults have the lowest percentages of Internet use compared to all other age groups (Zi</w:t>
      </w:r>
      <w:r w:rsidR="00604DAB">
        <w:t>c</w:t>
      </w:r>
      <w:r w:rsidR="00CE6495">
        <w:t>khur and Madden, 20</w:t>
      </w:r>
      <w:r w:rsidR="00604DAB">
        <w:t xml:space="preserve">12). The evidence however also depicts that being an older woman in Greece predicts even less Internet use. </w:t>
      </w:r>
    </w:p>
    <w:p w:rsidR="00866DBC" w:rsidRPr="00866DBC" w:rsidRDefault="00866DBC" w:rsidP="005C41B7">
      <w:pPr>
        <w:pStyle w:val="APAPar"/>
      </w:pPr>
      <w:r>
        <w:t xml:space="preserve">The evidence deriving from the </w:t>
      </w:r>
      <w:r w:rsidR="00F2519F">
        <w:t>regression analyses in this c</w:t>
      </w:r>
      <w:r>
        <w:t xml:space="preserve">hapter should be taken under consideration with </w:t>
      </w:r>
      <w:r w:rsidRPr="000B6600">
        <w:t>ext</w:t>
      </w:r>
      <w:r w:rsidR="00622F3E" w:rsidRPr="000B6600">
        <w:t>reme caution. As the model</w:t>
      </w:r>
      <w:r w:rsidRPr="000B6600">
        <w:t xml:space="preserve"> in</w:t>
      </w:r>
      <w:r>
        <w:t xml:space="preserve"> total explained </w:t>
      </w:r>
      <w:r w:rsidR="00F77D21">
        <w:t>a variance between .171 and .270</w:t>
      </w:r>
      <w:r>
        <w:t xml:space="preserve">, </w:t>
      </w:r>
      <w:r w:rsidR="00F77D21">
        <w:t xml:space="preserve">the </w:t>
      </w:r>
      <w:r>
        <w:t>inclu</w:t>
      </w:r>
      <w:r w:rsidR="00F77D21">
        <w:t xml:space="preserve">sion of </w:t>
      </w:r>
      <w:r>
        <w:t>3</w:t>
      </w:r>
      <w:r w:rsidR="00F77D21">
        <w:t xml:space="preserve"> to 4</w:t>
      </w:r>
      <w:r>
        <w:t xml:space="preserve"> predictors </w:t>
      </w:r>
      <w:r w:rsidR="00F77D21">
        <w:t xml:space="preserve">with the </w:t>
      </w:r>
      <w:r>
        <w:t xml:space="preserve">sample size </w:t>
      </w:r>
      <w:r w:rsidR="00F77D21">
        <w:t xml:space="preserve">available </w:t>
      </w:r>
      <w:r>
        <w:t>(</w:t>
      </w:r>
      <w:r w:rsidRPr="00866DBC">
        <w:rPr>
          <w:i/>
        </w:rPr>
        <w:t xml:space="preserve">N </w:t>
      </w:r>
      <w:r>
        <w:t>= 92) d</w:t>
      </w:r>
      <w:r w:rsidR="00F77D21">
        <w:t xml:space="preserve">oes </w:t>
      </w:r>
      <w:r>
        <w:t>not offer enough statistical pow</w:t>
      </w:r>
      <w:r w:rsidR="00F77D21">
        <w:t xml:space="preserve">er for a good prediction level </w:t>
      </w:r>
      <w:r w:rsidR="00C1326B">
        <w:t>(</w:t>
      </w:r>
      <w:r w:rsidR="00C1326B">
        <w:rPr>
          <w:rStyle w:val="IntenseEmphasis"/>
        </w:rPr>
        <w:t>Knofczynski &amp; Mundfrom, 2017)</w:t>
      </w:r>
      <w:r>
        <w:t xml:space="preserve">. As such, the risk </w:t>
      </w:r>
      <w:r w:rsidR="00AB608E">
        <w:t>of having</w:t>
      </w:r>
      <w:r>
        <w:t xml:space="preserve"> produced a type II error</w:t>
      </w:r>
      <w:r w:rsidR="00C1326B">
        <w:t xml:space="preserve"> has been comparat</w:t>
      </w:r>
      <w:r w:rsidR="00E31701">
        <w:t>ively higher in these analyses</w:t>
      </w:r>
      <w:r w:rsidR="00F77D21">
        <w:t xml:space="preserve">. </w:t>
      </w:r>
    </w:p>
    <w:p w:rsidR="00604DAB" w:rsidRPr="00CE6495" w:rsidRDefault="008247A4" w:rsidP="00C31CE0">
      <w:pPr>
        <w:pStyle w:val="Heading3"/>
      </w:pPr>
      <w:bookmarkStart w:id="191" w:name="_Toc521184264"/>
      <w:r>
        <w:t>Conclusion</w:t>
      </w:r>
      <w:bookmarkEnd w:id="191"/>
    </w:p>
    <w:p w:rsidR="008247A4" w:rsidRDefault="008247A4" w:rsidP="005C41B7">
      <w:pPr>
        <w:pStyle w:val="APAPar"/>
      </w:pPr>
      <w:r>
        <w:t>The evidence of this study indicates that women are in dis</w:t>
      </w:r>
      <w:r w:rsidR="00F77D21">
        <w:t>advantaged</w:t>
      </w:r>
      <w:r>
        <w:t xml:space="preserve"> position </w:t>
      </w:r>
      <w:r w:rsidR="00AB608E">
        <w:t xml:space="preserve">in terms of </w:t>
      </w:r>
      <w:r>
        <w:t>financial resources in older age. Independent</w:t>
      </w:r>
      <w:r w:rsidR="00866DBC">
        <w:t>ly</w:t>
      </w:r>
      <w:r>
        <w:t xml:space="preserve"> from gender, increased income seems to benefit social participation in older age</w:t>
      </w:r>
      <w:r w:rsidR="00F77D21">
        <w:t>, in the face of age-related loss of social ties</w:t>
      </w:r>
      <w:r>
        <w:t>. Older women seem to use the Internet less than older men, with the evidence suggesting that older generations of older adults have lower rates of Internet use.</w:t>
      </w:r>
      <w:r w:rsidR="008624A3">
        <w:t xml:space="preserve"> </w:t>
      </w:r>
    </w:p>
    <w:p w:rsidR="00B04962" w:rsidRDefault="00EF7100" w:rsidP="00FE028D">
      <w:pPr>
        <w:pStyle w:val="Heading2"/>
      </w:pPr>
      <w:bookmarkStart w:id="192" w:name="_Toc521184265"/>
      <w:r>
        <w:t>Analysis</w:t>
      </w:r>
      <w:r w:rsidR="00367C0C">
        <w:t xml:space="preserve"> </w:t>
      </w:r>
      <w:r w:rsidR="00B04962">
        <w:t>5 Examining Mediation effects in a Holistic Model</w:t>
      </w:r>
      <w:bookmarkEnd w:id="192"/>
    </w:p>
    <w:p w:rsidR="000F34E8" w:rsidRDefault="000F34E8" w:rsidP="00C31CE0">
      <w:pPr>
        <w:pStyle w:val="Heading3"/>
      </w:pPr>
      <w:bookmarkStart w:id="193" w:name="_Toc521184266"/>
      <w:r>
        <w:t>Introduction</w:t>
      </w:r>
      <w:bookmarkEnd w:id="193"/>
    </w:p>
    <w:p w:rsidR="00024228" w:rsidRDefault="00B04962" w:rsidP="00CD6D43">
      <w:pPr>
        <w:pStyle w:val="APAPar"/>
      </w:pPr>
      <w:r w:rsidRPr="000B6600">
        <w:rPr>
          <w:lang w:val="en-US"/>
        </w:rPr>
        <w:t xml:space="preserve">The final </w:t>
      </w:r>
      <w:r w:rsidR="000B6600">
        <w:rPr>
          <w:lang w:val="en-US"/>
        </w:rPr>
        <w:t xml:space="preserve">set of analyses </w:t>
      </w:r>
      <w:r w:rsidRPr="000B6600">
        <w:rPr>
          <w:lang w:val="en-US"/>
        </w:rPr>
        <w:t>take</w:t>
      </w:r>
      <w:r w:rsidR="00E31701" w:rsidRPr="000B6600">
        <w:rPr>
          <w:lang w:val="en-US"/>
        </w:rPr>
        <w:t>s</w:t>
      </w:r>
      <w:r w:rsidRPr="000B6600">
        <w:rPr>
          <w:lang w:val="en-US"/>
        </w:rPr>
        <w:t xml:space="preserve"> advantage of the evidence produced in the first </w:t>
      </w:r>
      <w:r w:rsidR="00F2519F">
        <w:rPr>
          <w:lang w:val="en-US"/>
        </w:rPr>
        <w:t>four</w:t>
      </w:r>
      <w:r w:rsidRPr="000B6600">
        <w:rPr>
          <w:lang w:val="en-US"/>
        </w:rPr>
        <w:t xml:space="preserve"> </w:t>
      </w:r>
      <w:r w:rsidR="00E31701" w:rsidRPr="000B6600">
        <w:rPr>
          <w:lang w:val="en-US"/>
        </w:rPr>
        <w:t>set</w:t>
      </w:r>
      <w:r w:rsidR="00F2519F">
        <w:rPr>
          <w:lang w:val="en-US"/>
        </w:rPr>
        <w:t>s</w:t>
      </w:r>
      <w:r w:rsidR="00E31701" w:rsidRPr="000B6600">
        <w:rPr>
          <w:lang w:val="en-US"/>
        </w:rPr>
        <w:t xml:space="preserve"> of analyses </w:t>
      </w:r>
      <w:r w:rsidRPr="000B6600">
        <w:rPr>
          <w:lang w:val="en-US"/>
        </w:rPr>
        <w:t>and examine</w:t>
      </w:r>
      <w:r w:rsidR="00E31701" w:rsidRPr="000B6600">
        <w:rPr>
          <w:lang w:val="en-US"/>
        </w:rPr>
        <w:t>s</w:t>
      </w:r>
      <w:r>
        <w:rPr>
          <w:lang w:val="en-US"/>
        </w:rPr>
        <w:t xml:space="preserve"> t</w:t>
      </w:r>
      <w:r>
        <w:t xml:space="preserve">he mediation effects </w:t>
      </w:r>
      <w:r w:rsidR="00B545EF">
        <w:t xml:space="preserve">of cognitive performance in the relation between age and everyday functioning. </w:t>
      </w:r>
      <w:r w:rsidR="004B362E">
        <w:t xml:space="preserve">As </w:t>
      </w:r>
      <w:r w:rsidR="00DB6086">
        <w:t xml:space="preserve">described </w:t>
      </w:r>
      <w:r w:rsidR="004B362E">
        <w:t xml:space="preserve">in Chapter 3, </w:t>
      </w:r>
      <w:r w:rsidR="000F34E8">
        <w:t>a strong relationship between cognitive vitality and everyday functioning is an influential assumption in the political dialogue and in the discourse of gerontology.</w:t>
      </w:r>
      <w:r w:rsidR="00DB6086">
        <w:t xml:space="preserve"> The findings of the </w:t>
      </w:r>
      <w:r w:rsidR="00F2519F">
        <w:t>first</w:t>
      </w:r>
      <w:r w:rsidR="00DB6086">
        <w:t xml:space="preserve"> </w:t>
      </w:r>
      <w:r w:rsidR="00525F58">
        <w:t>analysis</w:t>
      </w:r>
      <w:r w:rsidR="00DB6086">
        <w:t xml:space="preserve"> depicted that everyday functioning is an ability that declines with age in the healthy spectrum of cognitive performance.</w:t>
      </w:r>
      <w:r w:rsidR="000F34E8">
        <w:t xml:space="preserve"> The findings of the </w:t>
      </w:r>
      <w:r w:rsidR="00F2519F">
        <w:t>second</w:t>
      </w:r>
      <w:r w:rsidR="000F34E8">
        <w:t xml:space="preserve"> </w:t>
      </w:r>
      <w:r w:rsidR="00525F58">
        <w:t>analysis</w:t>
      </w:r>
      <w:r w:rsidR="00F2519F">
        <w:t xml:space="preserve"> indicate</w:t>
      </w:r>
      <w:r w:rsidR="000F34E8">
        <w:t xml:space="preserve"> that VF, TMT-B, STM and LTM are statistically significant correlated with both everyday functioning measur</w:t>
      </w:r>
      <w:r w:rsidR="00E31701">
        <w:t xml:space="preserve">es. Therefore, they </w:t>
      </w:r>
      <w:r w:rsidR="00E31701" w:rsidRPr="000B6600">
        <w:t>satisfy the</w:t>
      </w:r>
      <w:r w:rsidR="000F34E8" w:rsidRPr="000B6600">
        <w:t xml:space="preserve"> first criterion</w:t>
      </w:r>
      <w:r w:rsidR="000F34E8">
        <w:t xml:space="preserve"> to be inc</w:t>
      </w:r>
      <w:r w:rsidR="00E31701">
        <w:t xml:space="preserve">luded as mediators in a model, </w:t>
      </w:r>
      <w:r w:rsidR="000F34E8">
        <w:t xml:space="preserve">as posed by </w:t>
      </w:r>
      <w:r w:rsidR="00DB6086">
        <w:t>Frazier</w:t>
      </w:r>
      <w:r w:rsidR="000F34E8">
        <w:t xml:space="preserve"> et al., (2004). </w:t>
      </w:r>
      <w:r w:rsidR="00F17DB0">
        <w:t xml:space="preserve">The </w:t>
      </w:r>
      <w:r w:rsidR="00E31701">
        <w:t>result of the 3rd analysis revealed that age was</w:t>
      </w:r>
      <w:r w:rsidR="000F34E8">
        <w:t xml:space="preserve"> statistically significant correlated with </w:t>
      </w:r>
      <w:r w:rsidR="00F17DB0">
        <w:t>TMT-B, STM, and LTM</w:t>
      </w:r>
      <w:r w:rsidR="000F34E8">
        <w:t xml:space="preserve">, </w:t>
      </w:r>
      <w:r w:rsidR="00F17DB0">
        <w:t xml:space="preserve">but not with </w:t>
      </w:r>
      <w:r w:rsidR="000F34E8">
        <w:t xml:space="preserve">VF. </w:t>
      </w:r>
      <w:r w:rsidR="00B545EF">
        <w:t xml:space="preserve">The mediation analysis was performed using SEM. </w:t>
      </w:r>
    </w:p>
    <w:p w:rsidR="00B545EF" w:rsidRDefault="00024228" w:rsidP="00C31CE0">
      <w:pPr>
        <w:pStyle w:val="Heading3"/>
      </w:pPr>
      <w:bookmarkStart w:id="194" w:name="_Toc521184267"/>
      <w:r>
        <w:t>Analysis</w:t>
      </w:r>
      <w:r w:rsidR="003B1655">
        <w:t xml:space="preserve"> and Results</w:t>
      </w:r>
      <w:bookmarkEnd w:id="194"/>
    </w:p>
    <w:p w:rsidR="00B545EF" w:rsidRDefault="00024228" w:rsidP="005C41B7">
      <w:pPr>
        <w:pStyle w:val="APAPar"/>
      </w:pPr>
      <w:r>
        <w:t>In a SEM, the OTDL-G and the EPT-G were placed as the outcome variables</w:t>
      </w:r>
      <w:r w:rsidR="00961263">
        <w:t xml:space="preserve"> (</w:t>
      </w:r>
      <w:r w:rsidR="00961263" w:rsidRPr="00961263">
        <w:rPr>
          <w:i/>
        </w:rPr>
        <w:t>y</w:t>
      </w:r>
      <w:r w:rsidR="00961263">
        <w:t>)</w:t>
      </w:r>
      <w:r>
        <w:t>, with TMT-B, VF, STM and LTM placed as endogenous variables</w:t>
      </w:r>
      <w:r w:rsidR="00961263">
        <w:t xml:space="preserve"> (</w:t>
      </w:r>
      <w:r w:rsidR="00961263" w:rsidRPr="00961263">
        <w:rPr>
          <w:i/>
        </w:rPr>
        <w:t>M</w:t>
      </w:r>
      <w:r w:rsidR="00961263">
        <w:t>)</w:t>
      </w:r>
      <w:r>
        <w:t>, and age</w:t>
      </w:r>
      <w:r w:rsidR="00961263">
        <w:t xml:space="preserve"> as the predictor (</w:t>
      </w:r>
      <w:r w:rsidR="00961263" w:rsidRPr="00961263">
        <w:rPr>
          <w:i/>
        </w:rPr>
        <w:t>x</w:t>
      </w:r>
      <w:r w:rsidR="00961263">
        <w:t xml:space="preserve">). The error variance of STM and LTM were correlated to depict their shared variance. </w:t>
      </w:r>
      <w:r w:rsidR="003B1655">
        <w:t xml:space="preserve">Due to missing data, 11 participants were eliminated </w:t>
      </w:r>
      <w:r w:rsidR="00AB608E">
        <w:t>from</w:t>
      </w:r>
      <w:r w:rsidR="003B1655">
        <w:t xml:space="preserve"> this analysis. </w:t>
      </w:r>
      <w:r w:rsidR="00961263">
        <w:t xml:space="preserve">The analysis included the direct effects of age in both OTDL-G and EPT-G, as well as the corresponding indirect effects though the cognitive measures. The first analysis did not yield a good fit of the data, with LTM and STM not predicting the scores in OTDL-G and EPT-G over and above age. Therefore, the LTM and then the STM were removed sequentially from the model in two subsequent </w:t>
      </w:r>
      <w:r w:rsidR="004338A8">
        <w:t>analyses</w:t>
      </w:r>
      <w:r w:rsidR="00961263">
        <w:t xml:space="preserve">. The model not including STM and LTM provided a good fit of the data </w:t>
      </w:r>
      <w:r w:rsidR="00961263" w:rsidRPr="00A23451">
        <w:t>[χ</w:t>
      </w:r>
      <w:hyperlink r:id="rId38" w:anchor="FN2" w:history="1">
        <w:r w:rsidR="00961263" w:rsidRPr="00A23451">
          <w:rPr>
            <w:rStyle w:val="Hyperlink"/>
            <w:vertAlign w:val="superscript"/>
          </w:rPr>
          <w:t>2</w:t>
        </w:r>
      </w:hyperlink>
      <w:r w:rsidR="00961263" w:rsidRPr="00A23451">
        <w:t> (</w:t>
      </w:r>
      <w:r w:rsidR="007F7D6A">
        <w:t>1</w:t>
      </w:r>
      <w:r w:rsidR="00961263" w:rsidRPr="00A23451">
        <w:t>, </w:t>
      </w:r>
      <w:r w:rsidR="00961263" w:rsidRPr="00A23451">
        <w:rPr>
          <w:i/>
          <w:iCs/>
        </w:rPr>
        <w:t>N</w:t>
      </w:r>
      <w:r w:rsidR="00961263" w:rsidRPr="00A23451">
        <w:t xml:space="preserve"> = </w:t>
      </w:r>
      <w:r w:rsidR="003B1655">
        <w:t>82</w:t>
      </w:r>
      <w:r w:rsidR="00961263" w:rsidRPr="00A23451">
        <w:t xml:space="preserve">) = </w:t>
      </w:r>
      <w:r w:rsidR="003B1655">
        <w:t>1.179</w:t>
      </w:r>
      <w:r w:rsidR="00961263" w:rsidRPr="00A23451">
        <w:t>, </w:t>
      </w:r>
      <w:r w:rsidR="00961263" w:rsidRPr="00A23451">
        <w:rPr>
          <w:i/>
          <w:iCs/>
        </w:rPr>
        <w:t>p</w:t>
      </w:r>
      <w:r w:rsidR="003B1655">
        <w:t> = .278, RMSEA = .047, RMR = .032</w:t>
      </w:r>
      <w:r w:rsidR="00961263" w:rsidRPr="00A23451">
        <w:t xml:space="preserve">, CFI = </w:t>
      </w:r>
      <w:r w:rsidR="00961263">
        <w:t>.998</w:t>
      </w:r>
      <w:r w:rsidR="00961263" w:rsidRPr="00A23451">
        <w:t>]</w:t>
      </w:r>
      <w:r w:rsidR="003B1655">
        <w:t xml:space="preserve">. </w:t>
      </w:r>
      <w:r w:rsidR="007C7F38">
        <w:t>The direct and indirect effects of age on everyday functioning are presented in table 7.</w:t>
      </w:r>
      <w:r w:rsidR="00CD6D43">
        <w:t>21</w:t>
      </w:r>
      <w:r w:rsidR="007C7F38">
        <w:t>.</w:t>
      </w:r>
    </w:p>
    <w:p w:rsidR="008F2A21" w:rsidRDefault="008F2A21" w:rsidP="005C41B7">
      <w:pPr>
        <w:pStyle w:val="APAPar"/>
      </w:pPr>
    </w:p>
    <w:p w:rsidR="008F2A21" w:rsidRDefault="008F2A21" w:rsidP="005C41B7">
      <w:pPr>
        <w:pStyle w:val="APAPar"/>
      </w:pPr>
    </w:p>
    <w:p w:rsidR="00CD6D43" w:rsidRPr="00513F25" w:rsidRDefault="00CD6D43" w:rsidP="00C31CE0">
      <w:pPr>
        <w:pStyle w:val="APAPar"/>
        <w:widowControl w:val="0"/>
        <w:spacing w:after="120" w:line="360" w:lineRule="auto"/>
        <w:ind w:left="1080" w:right="0" w:hanging="1080"/>
        <w:rPr>
          <w:rStyle w:val="IntenseEmphasis"/>
        </w:rPr>
      </w:pPr>
      <w:r>
        <w:rPr>
          <w:rStyle w:val="IntenseEmphasis"/>
        </w:rPr>
        <w:t>Table 7.21</w:t>
      </w:r>
      <w:r w:rsidRPr="00513F25">
        <w:rPr>
          <w:rStyle w:val="IntenseEmphasis"/>
        </w:rPr>
        <w:t xml:space="preserve"> </w:t>
      </w:r>
      <w:r>
        <w:rPr>
          <w:rStyle w:val="IntenseEmphasis"/>
        </w:rPr>
        <w:t>Direct</w:t>
      </w:r>
      <w:r w:rsidR="00A174C4">
        <w:rPr>
          <w:rStyle w:val="IntenseEmphasis"/>
        </w:rPr>
        <w:t>, Indirect, And Total Effects (Standardized)</w:t>
      </w:r>
      <w:r w:rsidR="00A174C4" w:rsidRPr="00513F25">
        <w:rPr>
          <w:rStyle w:val="IntenseEmphasis"/>
        </w:rPr>
        <w:t xml:space="preserve"> Of </w:t>
      </w:r>
      <w:r w:rsidR="00A174C4">
        <w:rPr>
          <w:rStyle w:val="IntenseEmphasis"/>
        </w:rPr>
        <w:t xml:space="preserve">Age On </w:t>
      </w:r>
      <w:r>
        <w:rPr>
          <w:rStyle w:val="IntenseEmphasis"/>
        </w:rPr>
        <w:t xml:space="preserve">Everyday Problem Test </w:t>
      </w:r>
      <w:r w:rsidR="00A174C4">
        <w:rPr>
          <w:rStyle w:val="IntenseEmphasis"/>
        </w:rPr>
        <w:t xml:space="preserve">– </w:t>
      </w:r>
      <w:r>
        <w:rPr>
          <w:rStyle w:val="IntenseEmphasis"/>
        </w:rPr>
        <w:t xml:space="preserve">Greek </w:t>
      </w:r>
      <w:r w:rsidR="00A174C4">
        <w:rPr>
          <w:rStyle w:val="IntenseEmphasis"/>
        </w:rPr>
        <w:t xml:space="preserve">Version And </w:t>
      </w:r>
      <w:r>
        <w:rPr>
          <w:rStyle w:val="IntenseEmphasis"/>
        </w:rPr>
        <w:t xml:space="preserve">Observed Tasks </w:t>
      </w:r>
      <w:r w:rsidR="00A174C4">
        <w:rPr>
          <w:rStyle w:val="IntenseEmphasis"/>
        </w:rPr>
        <w:t xml:space="preserve">Of </w:t>
      </w:r>
      <w:r>
        <w:rPr>
          <w:rStyle w:val="IntenseEmphasis"/>
        </w:rPr>
        <w:t xml:space="preserve">Daily Living </w:t>
      </w:r>
      <w:r w:rsidR="00A174C4">
        <w:rPr>
          <w:rStyle w:val="IntenseEmphasis"/>
        </w:rPr>
        <w:t xml:space="preserve">– </w:t>
      </w:r>
      <w:r>
        <w:rPr>
          <w:rStyle w:val="IntenseEmphasis"/>
        </w:rPr>
        <w:t xml:space="preserve">Greek </w:t>
      </w:r>
      <w:r w:rsidR="00A174C4">
        <w:rPr>
          <w:rStyle w:val="IntenseEmphasis"/>
        </w:rPr>
        <w:t xml:space="preserve">Versions, Through </w:t>
      </w:r>
      <w:r>
        <w:rPr>
          <w:rStyle w:val="IntenseEmphasis"/>
        </w:rPr>
        <w:t xml:space="preserve">Trail Making Test </w:t>
      </w:r>
      <w:r w:rsidR="00A174C4">
        <w:rPr>
          <w:rStyle w:val="IntenseEmphasis"/>
        </w:rPr>
        <w:t xml:space="preserve">Part </w:t>
      </w:r>
      <w:r>
        <w:rPr>
          <w:rStyle w:val="IntenseEmphasis"/>
        </w:rPr>
        <w:t xml:space="preserve">B </w:t>
      </w:r>
      <w:r w:rsidR="00A174C4">
        <w:rPr>
          <w:rStyle w:val="IntenseEmphasis"/>
        </w:rPr>
        <w:t xml:space="preserve">And </w:t>
      </w:r>
      <w:r>
        <w:rPr>
          <w:rStyle w:val="IntenseEmphasis"/>
        </w:rPr>
        <w:t>Verbal Fluency</w:t>
      </w:r>
    </w:p>
    <w:tbl>
      <w:tblPr>
        <w:tblStyle w:val="TableGrid"/>
        <w:tblW w:w="0" w:type="auto"/>
        <w:tblInd w:w="250"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977"/>
        <w:gridCol w:w="1701"/>
        <w:gridCol w:w="1559"/>
        <w:gridCol w:w="1344"/>
        <w:gridCol w:w="1405"/>
      </w:tblGrid>
      <w:tr w:rsidR="00CD6D43" w:rsidTr="00CD6D43">
        <w:tc>
          <w:tcPr>
            <w:tcW w:w="2977" w:type="dxa"/>
            <w:tcBorders>
              <w:bottom w:val="single" w:sz="4" w:space="0" w:color="auto"/>
            </w:tcBorders>
          </w:tcPr>
          <w:p w:rsidR="00CD6D43" w:rsidRDefault="00CD6D43" w:rsidP="00CD6D43">
            <w:pPr>
              <w:pStyle w:val="APAPar"/>
              <w:spacing w:before="0" w:line="360" w:lineRule="auto"/>
              <w:ind w:firstLine="0"/>
            </w:pPr>
            <w:r>
              <w:t xml:space="preserve">Predictor </w:t>
            </w:r>
          </w:p>
        </w:tc>
        <w:tc>
          <w:tcPr>
            <w:tcW w:w="1701" w:type="dxa"/>
            <w:tcBorders>
              <w:bottom w:val="single" w:sz="4" w:space="0" w:color="auto"/>
            </w:tcBorders>
          </w:tcPr>
          <w:p w:rsidR="00CD6D43" w:rsidRDefault="00CD6D43" w:rsidP="00CD6D43">
            <w:pPr>
              <w:pStyle w:val="APAPar"/>
              <w:spacing w:before="0" w:line="360" w:lineRule="auto"/>
              <w:ind w:firstLine="0"/>
              <w:jc w:val="center"/>
              <w:rPr>
                <w:i/>
              </w:rPr>
            </w:pPr>
            <w:r>
              <w:rPr>
                <w:i/>
              </w:rPr>
              <w:t>Total</w:t>
            </w:r>
          </w:p>
        </w:tc>
        <w:tc>
          <w:tcPr>
            <w:tcW w:w="1559" w:type="dxa"/>
            <w:tcBorders>
              <w:bottom w:val="single" w:sz="4" w:space="0" w:color="auto"/>
            </w:tcBorders>
          </w:tcPr>
          <w:p w:rsidR="00CD6D43" w:rsidRPr="00C64FF4" w:rsidRDefault="00CD6D43" w:rsidP="00CD6D43">
            <w:pPr>
              <w:pStyle w:val="APAPar"/>
              <w:spacing w:before="0" w:line="360" w:lineRule="auto"/>
              <w:ind w:firstLine="0"/>
              <w:jc w:val="center"/>
              <w:rPr>
                <w:i/>
              </w:rPr>
            </w:pPr>
            <w:r>
              <w:rPr>
                <w:i/>
              </w:rPr>
              <w:t>Direct</w:t>
            </w:r>
          </w:p>
        </w:tc>
        <w:tc>
          <w:tcPr>
            <w:tcW w:w="1344" w:type="dxa"/>
            <w:tcBorders>
              <w:bottom w:val="single" w:sz="4" w:space="0" w:color="auto"/>
            </w:tcBorders>
          </w:tcPr>
          <w:p w:rsidR="00CD6D43" w:rsidRPr="007C7F38" w:rsidRDefault="00CD6D43" w:rsidP="00CD6D43">
            <w:pPr>
              <w:pStyle w:val="APAPar"/>
              <w:spacing w:before="0" w:line="360" w:lineRule="auto"/>
              <w:ind w:firstLine="0"/>
              <w:jc w:val="center"/>
              <w:rPr>
                <w:i/>
                <w:lang w:val="en-US"/>
              </w:rPr>
            </w:pPr>
            <w:r>
              <w:rPr>
                <w:i/>
                <w:lang w:val="en-US"/>
              </w:rPr>
              <w:t>Indirect</w:t>
            </w:r>
          </w:p>
        </w:tc>
        <w:tc>
          <w:tcPr>
            <w:tcW w:w="1405" w:type="dxa"/>
            <w:tcBorders>
              <w:bottom w:val="single" w:sz="4" w:space="0" w:color="auto"/>
            </w:tcBorders>
          </w:tcPr>
          <w:p w:rsidR="00CD6D43" w:rsidRPr="00C64FF4" w:rsidRDefault="00CD6D43" w:rsidP="00CD6D43">
            <w:pPr>
              <w:pStyle w:val="APAPar"/>
              <w:spacing w:before="0" w:line="360" w:lineRule="auto"/>
              <w:ind w:firstLine="0"/>
              <w:jc w:val="both"/>
              <w:rPr>
                <w:vertAlign w:val="subscript"/>
                <w:lang w:val="en-US"/>
              </w:rPr>
            </w:pPr>
            <w:r>
              <w:rPr>
                <w:lang w:val="en-US"/>
              </w:rPr>
              <w:t>Outcome</w:t>
            </w:r>
          </w:p>
        </w:tc>
      </w:tr>
      <w:tr w:rsidR="00CD6D43" w:rsidTr="00CD6D43">
        <w:tc>
          <w:tcPr>
            <w:tcW w:w="2977" w:type="dxa"/>
            <w:tcBorders>
              <w:top w:val="single" w:sz="4" w:space="0" w:color="auto"/>
              <w:bottom w:val="nil"/>
            </w:tcBorders>
          </w:tcPr>
          <w:p w:rsidR="00CD6D43" w:rsidRDefault="00CD6D43" w:rsidP="00CD6D43">
            <w:pPr>
              <w:pStyle w:val="APAPar"/>
              <w:spacing w:before="0" w:line="360" w:lineRule="auto"/>
              <w:ind w:firstLine="0"/>
            </w:pPr>
            <w:r>
              <w:t>Age</w:t>
            </w:r>
          </w:p>
        </w:tc>
        <w:tc>
          <w:tcPr>
            <w:tcW w:w="1701" w:type="dxa"/>
            <w:tcBorders>
              <w:top w:val="single" w:sz="4" w:space="0" w:color="auto"/>
              <w:bottom w:val="nil"/>
            </w:tcBorders>
          </w:tcPr>
          <w:p w:rsidR="00CD6D43" w:rsidRDefault="00CD6D43" w:rsidP="00CD6D43">
            <w:pPr>
              <w:pStyle w:val="APAPar"/>
              <w:spacing w:before="0" w:line="360" w:lineRule="auto"/>
              <w:ind w:firstLine="0"/>
              <w:jc w:val="center"/>
            </w:pPr>
            <w:r>
              <w:t>-.456</w:t>
            </w:r>
          </w:p>
        </w:tc>
        <w:tc>
          <w:tcPr>
            <w:tcW w:w="1559" w:type="dxa"/>
            <w:tcBorders>
              <w:top w:val="single" w:sz="4" w:space="0" w:color="auto"/>
              <w:bottom w:val="nil"/>
            </w:tcBorders>
          </w:tcPr>
          <w:p w:rsidR="00CD6D43" w:rsidRDefault="00CD6D43" w:rsidP="00CD6D43">
            <w:pPr>
              <w:pStyle w:val="APAPar"/>
              <w:spacing w:before="0" w:line="360" w:lineRule="auto"/>
              <w:ind w:firstLine="0"/>
              <w:jc w:val="center"/>
            </w:pPr>
            <w:r>
              <w:t>-.358</w:t>
            </w:r>
          </w:p>
        </w:tc>
        <w:tc>
          <w:tcPr>
            <w:tcW w:w="1344" w:type="dxa"/>
            <w:tcBorders>
              <w:top w:val="single" w:sz="4" w:space="0" w:color="auto"/>
              <w:bottom w:val="nil"/>
            </w:tcBorders>
          </w:tcPr>
          <w:p w:rsidR="00CD6D43" w:rsidRDefault="00CD6D43" w:rsidP="00CD6D43">
            <w:pPr>
              <w:pStyle w:val="APAPar"/>
              <w:spacing w:before="0" w:line="360" w:lineRule="auto"/>
              <w:ind w:firstLine="0"/>
              <w:jc w:val="center"/>
            </w:pPr>
            <w:r>
              <w:t>-.098</w:t>
            </w:r>
          </w:p>
        </w:tc>
        <w:tc>
          <w:tcPr>
            <w:tcW w:w="1405" w:type="dxa"/>
            <w:tcBorders>
              <w:top w:val="single" w:sz="4" w:space="0" w:color="auto"/>
              <w:bottom w:val="nil"/>
            </w:tcBorders>
          </w:tcPr>
          <w:p w:rsidR="00CD6D43" w:rsidRDefault="00CD6D43" w:rsidP="00CD6D43">
            <w:pPr>
              <w:pStyle w:val="APAPar"/>
              <w:spacing w:before="0" w:line="360" w:lineRule="auto"/>
              <w:ind w:firstLine="0"/>
              <w:jc w:val="center"/>
            </w:pPr>
            <w:r>
              <w:t>EPT-G</w:t>
            </w:r>
          </w:p>
        </w:tc>
      </w:tr>
      <w:tr w:rsidR="00CD6D43" w:rsidTr="00CD6D43">
        <w:tc>
          <w:tcPr>
            <w:tcW w:w="2977" w:type="dxa"/>
            <w:tcBorders>
              <w:top w:val="nil"/>
              <w:bottom w:val="single" w:sz="4" w:space="0" w:color="auto"/>
            </w:tcBorders>
          </w:tcPr>
          <w:p w:rsidR="00CD6D43" w:rsidRDefault="00CD6D43" w:rsidP="00CD6D43">
            <w:pPr>
              <w:pStyle w:val="APAPar"/>
              <w:spacing w:before="0" w:line="360" w:lineRule="auto"/>
              <w:ind w:firstLine="0"/>
            </w:pPr>
          </w:p>
        </w:tc>
        <w:tc>
          <w:tcPr>
            <w:tcW w:w="1701" w:type="dxa"/>
            <w:tcBorders>
              <w:top w:val="nil"/>
              <w:bottom w:val="single" w:sz="4" w:space="0" w:color="auto"/>
            </w:tcBorders>
          </w:tcPr>
          <w:p w:rsidR="00CD6D43" w:rsidRDefault="00CD6D43" w:rsidP="00CD6D43">
            <w:pPr>
              <w:pStyle w:val="APAPar"/>
              <w:spacing w:before="0" w:line="360" w:lineRule="auto"/>
              <w:ind w:firstLine="0"/>
              <w:jc w:val="center"/>
            </w:pPr>
            <w:r>
              <w:t>-.529</w:t>
            </w:r>
          </w:p>
        </w:tc>
        <w:tc>
          <w:tcPr>
            <w:tcW w:w="1559" w:type="dxa"/>
            <w:tcBorders>
              <w:top w:val="nil"/>
              <w:bottom w:val="single" w:sz="4" w:space="0" w:color="auto"/>
            </w:tcBorders>
          </w:tcPr>
          <w:p w:rsidR="00CD6D43" w:rsidRDefault="00CD6D43" w:rsidP="00CD6D43">
            <w:pPr>
              <w:pStyle w:val="APAPar"/>
              <w:spacing w:before="0" w:line="360" w:lineRule="auto"/>
              <w:ind w:firstLine="0"/>
              <w:jc w:val="center"/>
            </w:pPr>
            <w:r>
              <w:t>-.468</w:t>
            </w:r>
          </w:p>
        </w:tc>
        <w:tc>
          <w:tcPr>
            <w:tcW w:w="1344" w:type="dxa"/>
            <w:tcBorders>
              <w:top w:val="nil"/>
              <w:bottom w:val="single" w:sz="4" w:space="0" w:color="auto"/>
            </w:tcBorders>
          </w:tcPr>
          <w:p w:rsidR="00CD6D43" w:rsidRDefault="00CD6D43" w:rsidP="00CD6D43">
            <w:pPr>
              <w:pStyle w:val="APAPar"/>
              <w:spacing w:before="0" w:line="360" w:lineRule="auto"/>
              <w:ind w:firstLine="0"/>
              <w:jc w:val="center"/>
            </w:pPr>
            <w:r>
              <w:t>-.062</w:t>
            </w:r>
          </w:p>
        </w:tc>
        <w:tc>
          <w:tcPr>
            <w:tcW w:w="1405" w:type="dxa"/>
            <w:tcBorders>
              <w:top w:val="nil"/>
              <w:bottom w:val="single" w:sz="4" w:space="0" w:color="auto"/>
            </w:tcBorders>
          </w:tcPr>
          <w:p w:rsidR="00CD6D43" w:rsidRDefault="00CD6D43" w:rsidP="00CD6D43">
            <w:pPr>
              <w:pStyle w:val="APAPar"/>
              <w:spacing w:before="0" w:line="360" w:lineRule="auto"/>
              <w:ind w:firstLine="0"/>
              <w:jc w:val="center"/>
            </w:pPr>
            <w:r>
              <w:t>OTDL-G</w:t>
            </w:r>
          </w:p>
        </w:tc>
      </w:tr>
    </w:tbl>
    <w:p w:rsidR="00E17A8A" w:rsidRPr="00C31CE0" w:rsidRDefault="00CD6D43" w:rsidP="00C31CE0">
      <w:pPr>
        <w:pStyle w:val="APAPar"/>
        <w:spacing w:before="0" w:line="360" w:lineRule="auto"/>
        <w:ind w:left="960" w:firstLine="0"/>
        <w:rPr>
          <w:sz w:val="22"/>
        </w:rPr>
      </w:pPr>
      <w:r w:rsidRPr="00D35916">
        <w:rPr>
          <w:i/>
          <w:sz w:val="22"/>
        </w:rPr>
        <w:t>Note</w:t>
      </w:r>
      <w:r w:rsidRPr="00D35916">
        <w:rPr>
          <w:sz w:val="22"/>
        </w:rPr>
        <w:t>. **p&lt;.005, *p&lt;.05</w:t>
      </w:r>
      <w:r>
        <w:rPr>
          <w:sz w:val="22"/>
        </w:rPr>
        <w:t xml:space="preserve">, EPT-G = Everyday Problem Tests – Greek version, OTDL-G =      Observed Tasks of Daily Living – Greek version  </w:t>
      </w:r>
    </w:p>
    <w:p w:rsidR="005A6A17" w:rsidRDefault="003B1655" w:rsidP="005C41B7">
      <w:pPr>
        <w:pStyle w:val="APAPar"/>
      </w:pPr>
      <w:r>
        <w:rPr>
          <w:noProof/>
          <w:lang w:eastAsia="zh-CN"/>
        </w:rPr>
        <w:drawing>
          <wp:inline distT="0" distB="0" distL="0" distR="0">
            <wp:extent cx="4346575" cy="3759200"/>
            <wp:effectExtent l="19050" t="0" r="0" b="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Capture.JPG"/>
                    <pic:cNvPicPr/>
                  </pic:nvPicPr>
                  <pic:blipFill>
                    <a:blip r:embed="rId39"/>
                    <a:stretch>
                      <a:fillRect/>
                    </a:stretch>
                  </pic:blipFill>
                  <pic:spPr>
                    <a:xfrm>
                      <a:off x="0" y="0"/>
                      <a:ext cx="4346575" cy="3759200"/>
                    </a:xfrm>
                    <a:prstGeom prst="rect">
                      <a:avLst/>
                    </a:prstGeom>
                  </pic:spPr>
                </pic:pic>
              </a:graphicData>
            </a:graphic>
          </wp:inline>
        </w:drawing>
      </w:r>
    </w:p>
    <w:p w:rsidR="00A174C4" w:rsidRDefault="003B1655" w:rsidP="00C31CE0">
      <w:pPr>
        <w:pStyle w:val="APAPar"/>
        <w:spacing w:before="0"/>
        <w:ind w:left="1138" w:right="0" w:hanging="1138"/>
        <w:rPr>
          <w:rStyle w:val="IntenseEmphasis"/>
        </w:rPr>
      </w:pPr>
      <w:r>
        <w:rPr>
          <w:rStyle w:val="IntenseEmphasis"/>
        </w:rPr>
        <w:t>Figure 7.11</w:t>
      </w:r>
      <w:r w:rsidRPr="00513F25">
        <w:rPr>
          <w:rStyle w:val="IntenseEmphasis"/>
        </w:rPr>
        <w:t xml:space="preserve"> </w:t>
      </w:r>
      <w:r>
        <w:rPr>
          <w:rStyle w:val="IntenseEmphasis"/>
        </w:rPr>
        <w:t xml:space="preserve">Standardized </w:t>
      </w:r>
      <w:r w:rsidR="00736B32">
        <w:rPr>
          <w:rStyle w:val="IntenseEmphasis"/>
        </w:rPr>
        <w:t>effects</w:t>
      </w:r>
      <w:r>
        <w:rPr>
          <w:rStyle w:val="IntenseEmphasis"/>
        </w:rPr>
        <w:t xml:space="preserve"> of the relationships between age, TMT-B, VF, EPT-G and OTDL-G, using a Structural Equation Modelling.</w:t>
      </w:r>
      <w:r w:rsidR="00CD6D43">
        <w:rPr>
          <w:rStyle w:val="IntenseEmphasis"/>
        </w:rPr>
        <w:t xml:space="preserve"> </w:t>
      </w:r>
      <w:r w:rsidR="00CD6D43">
        <w:rPr>
          <w:rStyle w:val="IntenseEmphasis"/>
        </w:rPr>
        <w:tab/>
      </w:r>
      <w:r w:rsidR="00CD6D43">
        <w:rPr>
          <w:rStyle w:val="IntenseEmphasis"/>
        </w:rPr>
        <w:tab/>
      </w:r>
      <w:r w:rsidR="00CD6D43">
        <w:rPr>
          <w:rStyle w:val="IntenseEmphasis"/>
        </w:rPr>
        <w:tab/>
        <w:t xml:space="preserve">          </w:t>
      </w:r>
    </w:p>
    <w:p w:rsidR="008F2A21" w:rsidRDefault="00CD6D43" w:rsidP="00C31CE0">
      <w:pPr>
        <w:pStyle w:val="APAPar"/>
        <w:spacing w:before="0"/>
        <w:ind w:left="979" w:right="0" w:firstLine="0"/>
        <w:rPr>
          <w:rStyle w:val="IntenseEmphasis"/>
          <w:sz w:val="22"/>
        </w:rPr>
      </w:pPr>
      <w:r>
        <w:rPr>
          <w:rStyle w:val="IntenseEmphasis"/>
        </w:rPr>
        <w:t xml:space="preserve"> </w:t>
      </w:r>
      <w:r w:rsidR="003B1655" w:rsidRPr="007C7F38">
        <w:rPr>
          <w:rStyle w:val="IntenseEmphasis"/>
          <w:i/>
          <w:sz w:val="22"/>
        </w:rPr>
        <w:t>Note:</w:t>
      </w:r>
      <w:r w:rsidR="003B1655" w:rsidRPr="007C7F38">
        <w:rPr>
          <w:rStyle w:val="IntenseEmphasis"/>
          <w:sz w:val="22"/>
        </w:rPr>
        <w:t xml:space="preserve"> TMT-B = Trail Making Test part B, VF = Verbal Fluency, EPTscore = scores in the Everyday Problem Test – Greek version, </w:t>
      </w:r>
      <w:r w:rsidR="007C7F38" w:rsidRPr="007C7F38">
        <w:rPr>
          <w:rStyle w:val="IntenseEmphasis"/>
          <w:sz w:val="22"/>
        </w:rPr>
        <w:t>OTDLscore = scores in the Observed Tasks of Daily Living, Greek version</w:t>
      </w:r>
      <w:bookmarkStart w:id="195" w:name="_Toc373425993"/>
    </w:p>
    <w:p w:rsidR="008F2A21" w:rsidRDefault="008F2A21" w:rsidP="008F2A21">
      <w:pPr>
        <w:pStyle w:val="Heading3"/>
      </w:pPr>
    </w:p>
    <w:p w:rsidR="008F2A21" w:rsidRDefault="008F2A21" w:rsidP="008F2A21">
      <w:pPr>
        <w:pStyle w:val="Heading3"/>
      </w:pPr>
    </w:p>
    <w:p w:rsidR="008F2A21" w:rsidRDefault="008F2A21" w:rsidP="008F2A21">
      <w:pPr>
        <w:pStyle w:val="Heading3"/>
      </w:pPr>
      <w:bookmarkStart w:id="196" w:name="_Toc521184268"/>
      <w:r>
        <w:t>Discussion and conclusion</w:t>
      </w:r>
      <w:bookmarkEnd w:id="196"/>
    </w:p>
    <w:p w:rsidR="008F2A21" w:rsidRDefault="008F2A21" w:rsidP="008F2A21">
      <w:pPr>
        <w:pStyle w:val="APAPar"/>
      </w:pPr>
      <w:r>
        <w:t xml:space="preserve">The results of this study indicate that cognitive performance mediates the relationship between age and everyday functioning in the domains of EF and verbal fluency. A visual inspection </w:t>
      </w:r>
      <w:r w:rsidRPr="000B6600">
        <w:t>of Table 7.</w:t>
      </w:r>
      <w:r>
        <w:t xml:space="preserve">21 </w:t>
      </w:r>
      <w:r w:rsidRPr="000B6600">
        <w:t>reveals</w:t>
      </w:r>
      <w:r>
        <w:t xml:space="preserve"> that this mediation effect is only partial, with the magnitude of the direct effect being significantly larger than the indirect ones. This indicates that cognitive performance may mediate only partially the effects that age has on everyday functioning. The next and final chapter of this thesis bring all the evidence presented in this and the preceding chapter </w:t>
      </w:r>
      <w:r w:rsidR="00AB608E">
        <w:t>for</w:t>
      </w:r>
      <w:r>
        <w:t xml:space="preserve"> discussion.</w:t>
      </w:r>
    </w:p>
    <w:p w:rsidR="00A174C4" w:rsidRPr="00E17A8A" w:rsidRDefault="00A174C4" w:rsidP="00C31CE0">
      <w:pPr>
        <w:pStyle w:val="APAPar"/>
        <w:spacing w:before="0"/>
        <w:ind w:left="979" w:right="0" w:firstLine="0"/>
      </w:pPr>
      <w:r>
        <w:br w:type="page"/>
      </w:r>
    </w:p>
    <w:p w:rsidR="00E54F40" w:rsidRPr="002B3D5C" w:rsidRDefault="00106580" w:rsidP="00A174C4">
      <w:pPr>
        <w:pStyle w:val="Heading0"/>
        <w:ind w:left="0" w:firstLine="0"/>
        <w:rPr>
          <w:lang w:val="en-US"/>
        </w:rPr>
      </w:pPr>
      <w:bookmarkStart w:id="197" w:name="_Toc521184269"/>
      <w:r w:rsidRPr="002B3D5C">
        <w:t xml:space="preserve">CHAPTER </w:t>
      </w:r>
      <w:r w:rsidR="00A829CB">
        <w:t xml:space="preserve"> </w:t>
      </w:r>
      <w:r w:rsidRPr="002B3D5C">
        <w:t xml:space="preserve">8 </w:t>
      </w:r>
      <w:bookmarkEnd w:id="195"/>
      <w:r>
        <w:t xml:space="preserve">   </w:t>
      </w:r>
      <w:r w:rsidR="00F2519F">
        <w:rPr>
          <w:lang w:val="en-US"/>
        </w:rPr>
        <w:t>COGNITIVE PERFORMANCE AND AGEING</w:t>
      </w:r>
      <w:bookmarkEnd w:id="197"/>
    </w:p>
    <w:p w:rsidR="0045461C" w:rsidRPr="002B3D5C" w:rsidRDefault="007A72E5" w:rsidP="005C41B7">
      <w:pPr>
        <w:pStyle w:val="APAPar"/>
      </w:pPr>
      <w:r w:rsidRPr="002B3D5C">
        <w:t xml:space="preserve">This </w:t>
      </w:r>
      <w:r w:rsidR="00A875B0" w:rsidRPr="002B3D5C">
        <w:t>t</w:t>
      </w:r>
      <w:r w:rsidR="00DD000E" w:rsidRPr="002B3D5C">
        <w:t>hesis</w:t>
      </w:r>
      <w:r w:rsidRPr="002B3D5C">
        <w:t xml:space="preserve"> </w:t>
      </w:r>
      <w:r w:rsidR="00A875B0" w:rsidRPr="002B3D5C">
        <w:t>began by discussing the demographic chang</w:t>
      </w:r>
      <w:r w:rsidR="0040373F" w:rsidRPr="002B3D5C">
        <w:t xml:space="preserve">e into an ageing population, as well as </w:t>
      </w:r>
      <w:r w:rsidR="00E03632" w:rsidRPr="002B3D5C">
        <w:t>the</w:t>
      </w:r>
      <w:r w:rsidR="00A875B0" w:rsidRPr="002B3D5C">
        <w:t xml:space="preserve"> </w:t>
      </w:r>
      <w:r w:rsidR="00E03632" w:rsidRPr="002B3D5C">
        <w:t xml:space="preserve">relevant </w:t>
      </w:r>
      <w:r w:rsidR="0040373F" w:rsidRPr="002B3D5C">
        <w:t>concerns</w:t>
      </w:r>
      <w:r w:rsidR="00E03632" w:rsidRPr="002B3D5C">
        <w:t xml:space="preserve"> expressed </w:t>
      </w:r>
      <w:r w:rsidR="00CF1C67" w:rsidRPr="002B3D5C">
        <w:t xml:space="preserve">with </w:t>
      </w:r>
      <w:r w:rsidR="00F2519F">
        <w:t>regard</w:t>
      </w:r>
      <w:r w:rsidR="00E03632" w:rsidRPr="002B3D5C">
        <w:t xml:space="preserve"> </w:t>
      </w:r>
      <w:r w:rsidR="00CF1C67" w:rsidRPr="002B3D5C">
        <w:t xml:space="preserve">to </w:t>
      </w:r>
      <w:r w:rsidR="00EE5167" w:rsidRPr="002B3D5C">
        <w:t xml:space="preserve">the financial sustainability </w:t>
      </w:r>
      <w:r w:rsidR="00E03632" w:rsidRPr="002B3D5C">
        <w:t>of state healthcare and pension structures</w:t>
      </w:r>
      <w:r w:rsidR="0040373F" w:rsidRPr="002B3D5C">
        <w:t xml:space="preserve">. These concerns derive from </w:t>
      </w:r>
      <w:r w:rsidR="00D274B6" w:rsidRPr="002B3D5C">
        <w:t>normative arguments about older adults’ role in society</w:t>
      </w:r>
      <w:r w:rsidR="0040373F" w:rsidRPr="002B3D5C">
        <w:t xml:space="preserve">, </w:t>
      </w:r>
      <w:r w:rsidR="0045461C" w:rsidRPr="002B3D5C">
        <w:t xml:space="preserve">insinuating that older age is characterized by reduced contributions </w:t>
      </w:r>
      <w:r w:rsidR="005F1D4E" w:rsidRPr="002B3D5C">
        <w:t>(</w:t>
      </w:r>
      <w:r w:rsidR="0045461C" w:rsidRPr="002B3D5C">
        <w:t>in terms of productivity</w:t>
      </w:r>
      <w:r w:rsidR="005F1D4E" w:rsidRPr="002B3D5C">
        <w:t xml:space="preserve"> and withholdings)</w:t>
      </w:r>
      <w:r w:rsidR="0045461C" w:rsidRPr="002B3D5C">
        <w:t xml:space="preserve">, and </w:t>
      </w:r>
      <w:r w:rsidR="007D5607" w:rsidRPr="002B3D5C">
        <w:t xml:space="preserve">at the same time, by </w:t>
      </w:r>
      <w:r w:rsidR="00F2519F">
        <w:t>increased demands o</w:t>
      </w:r>
      <w:r w:rsidR="0045461C" w:rsidRPr="002B3D5C">
        <w:t>n social benefits</w:t>
      </w:r>
      <w:r w:rsidR="00D274B6" w:rsidRPr="002B3D5C">
        <w:t xml:space="preserve"> </w:t>
      </w:r>
      <w:r w:rsidR="00A875B0" w:rsidRPr="002B3D5C">
        <w:t xml:space="preserve">(Bank of America Merrill Lynch, 2014). </w:t>
      </w:r>
      <w:r w:rsidR="005F1D4E" w:rsidRPr="002B3D5C">
        <w:t xml:space="preserve">It was argued </w:t>
      </w:r>
      <w:r w:rsidR="00D274B6" w:rsidRPr="002B3D5C">
        <w:t>that this line of argumentation has brought a</w:t>
      </w:r>
      <w:r w:rsidR="007D5607" w:rsidRPr="002B3D5C">
        <w:t>n extensive</w:t>
      </w:r>
      <w:r w:rsidR="00D274B6" w:rsidRPr="002B3D5C">
        <w:t xml:space="preserve"> dialogue about the </w:t>
      </w:r>
      <w:r w:rsidR="00944D6C">
        <w:t>‘burden’</w:t>
      </w:r>
      <w:r w:rsidR="00A875B0" w:rsidRPr="002B3D5C">
        <w:t xml:space="preserve"> of </w:t>
      </w:r>
      <w:r w:rsidR="007D5607" w:rsidRPr="002B3D5C">
        <w:t>older age</w:t>
      </w:r>
      <w:r w:rsidR="0040373F" w:rsidRPr="002B3D5C">
        <w:t xml:space="preserve">, which </w:t>
      </w:r>
      <w:r w:rsidR="00A875B0" w:rsidRPr="002B3D5C">
        <w:t xml:space="preserve">has </w:t>
      </w:r>
      <w:r w:rsidR="0045461C" w:rsidRPr="002B3D5C">
        <w:t>more often than not overstated and overestimated</w:t>
      </w:r>
      <w:r w:rsidR="007D5607" w:rsidRPr="002B3D5C">
        <w:t xml:space="preserve"> the </w:t>
      </w:r>
      <w:r w:rsidR="00361C2C" w:rsidRPr="002B3D5C">
        <w:t xml:space="preserve">cognitive </w:t>
      </w:r>
      <w:r w:rsidR="007D5607" w:rsidRPr="002B3D5C">
        <w:t>decrements that accompany older age. This tendency has led</w:t>
      </w:r>
      <w:r w:rsidR="00F2519F">
        <w:t>,</w:t>
      </w:r>
      <w:r w:rsidR="00607E66" w:rsidRPr="002B3D5C">
        <w:t xml:space="preserve"> among others</w:t>
      </w:r>
      <w:r w:rsidR="00F2519F">
        <w:t>,</w:t>
      </w:r>
      <w:r w:rsidR="0045461C" w:rsidRPr="002B3D5C">
        <w:t xml:space="preserve"> </w:t>
      </w:r>
      <w:r w:rsidR="007D5607" w:rsidRPr="002B3D5C">
        <w:t xml:space="preserve">to </w:t>
      </w:r>
      <w:r w:rsidR="0045461C" w:rsidRPr="002B3D5C">
        <w:t>erroneous assumptions about older adults’ cogn</w:t>
      </w:r>
      <w:r w:rsidR="008B1920" w:rsidRPr="002B3D5C">
        <w:t>itive and functional ability, l</w:t>
      </w:r>
      <w:r w:rsidR="008B1920" w:rsidRPr="002B3D5C">
        <w:rPr>
          <w:lang w:val="en-US"/>
        </w:rPr>
        <w:t>ea</w:t>
      </w:r>
      <w:r w:rsidR="0045461C" w:rsidRPr="002B3D5C">
        <w:t xml:space="preserve">ving </w:t>
      </w:r>
      <w:r w:rsidR="00F2519F">
        <w:t xml:space="preserve">out of account </w:t>
      </w:r>
      <w:r w:rsidR="00EE5167" w:rsidRPr="002B3D5C">
        <w:t xml:space="preserve">the factors that may promote </w:t>
      </w:r>
      <w:r w:rsidR="0045461C" w:rsidRPr="002B3D5C">
        <w:t>older a</w:t>
      </w:r>
      <w:r w:rsidR="008B1920" w:rsidRPr="002B3D5C">
        <w:t>dults’ contribution to</w:t>
      </w:r>
      <w:r w:rsidR="0045461C" w:rsidRPr="002B3D5C">
        <w:t xml:space="preserve"> labour, childcare, volunteering, as well as in long-term care out of sight (Walker, 2002</w:t>
      </w:r>
      <w:r w:rsidR="00C76B26" w:rsidRPr="002B3D5C">
        <w:t>; Walker &amp; Maltby, 2012</w:t>
      </w:r>
      <w:r w:rsidR="0045461C" w:rsidRPr="002B3D5C">
        <w:t xml:space="preserve">). </w:t>
      </w:r>
    </w:p>
    <w:p w:rsidR="007D5607" w:rsidRPr="002B3D5C" w:rsidRDefault="0045461C" w:rsidP="005C41B7">
      <w:pPr>
        <w:pStyle w:val="APAPar"/>
      </w:pPr>
      <w:r w:rsidRPr="002B3D5C">
        <w:t xml:space="preserve">It </w:t>
      </w:r>
      <w:r w:rsidR="00944D6C">
        <w:t>is</w:t>
      </w:r>
      <w:r w:rsidRPr="002B3D5C">
        <w:t xml:space="preserve"> argued in this thesis that a more accurate depiction of </w:t>
      </w:r>
      <w:r w:rsidR="001369BC" w:rsidRPr="002B3D5C">
        <w:t>cognitive performance in the non-pathological spectrum of cognitive ageing</w:t>
      </w:r>
      <w:r w:rsidR="00607E66" w:rsidRPr="002B3D5C">
        <w:t xml:space="preserve"> </w:t>
      </w:r>
      <w:r w:rsidRPr="002B3D5C">
        <w:t xml:space="preserve">would inform better the </w:t>
      </w:r>
      <w:r w:rsidR="000D0C53" w:rsidRPr="002B3D5C">
        <w:t>political agenda on healthy and active ageing</w:t>
      </w:r>
      <w:r w:rsidR="007D5607" w:rsidRPr="002B3D5C">
        <w:t>. Relevant scholarly efforts in the past gave</w:t>
      </w:r>
      <w:r w:rsidR="00CB0BD6" w:rsidRPr="002B3D5C">
        <w:t xml:space="preserve"> rise to concepts such </w:t>
      </w:r>
      <w:r w:rsidR="001369BC" w:rsidRPr="002B3D5C">
        <w:t>as ‘successful</w:t>
      </w:r>
      <w:r w:rsidR="00CB0BD6" w:rsidRPr="002B3D5C">
        <w:t xml:space="preserve"> ageing’</w:t>
      </w:r>
      <w:r w:rsidR="0040373F" w:rsidRPr="002B3D5C">
        <w:t xml:space="preserve"> </w:t>
      </w:r>
      <w:r w:rsidR="00B66704" w:rsidRPr="002B3D5C">
        <w:t>(Rowe &amp; Kahn, 1997</w:t>
      </w:r>
      <w:r w:rsidR="00607E66" w:rsidRPr="002B3D5C">
        <w:t>), which regarded</w:t>
      </w:r>
      <w:r w:rsidR="007D5607" w:rsidRPr="002B3D5C">
        <w:t xml:space="preserve"> the avoidance of illness and disability</w:t>
      </w:r>
      <w:r w:rsidR="00607E66" w:rsidRPr="002B3D5C">
        <w:t xml:space="preserve"> </w:t>
      </w:r>
      <w:r w:rsidR="00EE5167" w:rsidRPr="002B3D5C">
        <w:t xml:space="preserve">as </w:t>
      </w:r>
      <w:r w:rsidR="00607E66" w:rsidRPr="002B3D5C">
        <w:t>a success</w:t>
      </w:r>
      <w:r w:rsidR="005F1D4E" w:rsidRPr="002B3D5C">
        <w:t>ful outcome</w:t>
      </w:r>
      <w:r w:rsidR="00EE5167" w:rsidRPr="002B3D5C">
        <w:t xml:space="preserve"> in older age</w:t>
      </w:r>
      <w:r w:rsidR="007D5607" w:rsidRPr="002B3D5C">
        <w:t>. As a consequence, the studies using Rowe and Kahn’s (1997) model</w:t>
      </w:r>
      <w:r w:rsidR="005F1D4E" w:rsidRPr="002B3D5C">
        <w:t xml:space="preserve"> </w:t>
      </w:r>
      <w:r w:rsidR="007D5607" w:rsidRPr="002B3D5C">
        <w:t xml:space="preserve">produced findings that described risk ratios of diseases and disabilities, interpreting the avoidance of such conditions as </w:t>
      </w:r>
      <w:r w:rsidR="00607E66" w:rsidRPr="002B3D5C">
        <w:t>‘</w:t>
      </w:r>
      <w:r w:rsidR="007D5607" w:rsidRPr="002B3D5C">
        <w:t>successful</w:t>
      </w:r>
      <w:r w:rsidR="00607E66" w:rsidRPr="002B3D5C">
        <w:t>’</w:t>
      </w:r>
      <w:r w:rsidR="007D5607" w:rsidRPr="002B3D5C">
        <w:t xml:space="preserve"> outcomes</w:t>
      </w:r>
      <w:r w:rsidR="005F1D4E" w:rsidRPr="002B3D5C">
        <w:t xml:space="preserve"> in older age</w:t>
      </w:r>
      <w:r w:rsidR="007D5607" w:rsidRPr="002B3D5C">
        <w:t xml:space="preserve">. </w:t>
      </w:r>
      <w:r w:rsidR="005C5CED" w:rsidRPr="002B3D5C">
        <w:t xml:space="preserve">It </w:t>
      </w:r>
      <w:r w:rsidR="00944D6C">
        <w:t xml:space="preserve">is </w:t>
      </w:r>
      <w:r w:rsidR="005C5CED" w:rsidRPr="002B3D5C">
        <w:t>argued that t</w:t>
      </w:r>
      <w:r w:rsidR="007D5607" w:rsidRPr="002B3D5C">
        <w:t xml:space="preserve">his illustration </w:t>
      </w:r>
      <w:r w:rsidR="001369BC" w:rsidRPr="002B3D5C">
        <w:t>constitutes</w:t>
      </w:r>
      <w:r w:rsidR="007D5607" w:rsidRPr="002B3D5C">
        <w:t xml:space="preserve"> </w:t>
      </w:r>
      <w:r w:rsidR="005F1D4E" w:rsidRPr="002B3D5C">
        <w:t xml:space="preserve">the </w:t>
      </w:r>
      <w:r w:rsidR="007D5607" w:rsidRPr="002B3D5C">
        <w:t xml:space="preserve">pathological landscape of ageing and does not depict </w:t>
      </w:r>
      <w:r w:rsidR="00607E66" w:rsidRPr="002B3D5C">
        <w:t>the</w:t>
      </w:r>
      <w:r w:rsidR="007D5607" w:rsidRPr="002B3D5C">
        <w:t xml:space="preserve"> typical </w:t>
      </w:r>
      <w:r w:rsidR="001369BC" w:rsidRPr="002B3D5C">
        <w:t xml:space="preserve">cognitive outcomes in older age. At the same time, it has created a bias in examining and documenting age-related cognitive shortcomings and pathologies, </w:t>
      </w:r>
      <w:r w:rsidR="007D5607" w:rsidRPr="002B3D5C">
        <w:t xml:space="preserve">living the healthy spectrum of </w:t>
      </w:r>
      <w:r w:rsidR="00361C2C" w:rsidRPr="002B3D5C">
        <w:t xml:space="preserve">cognitive </w:t>
      </w:r>
      <w:r w:rsidR="001369BC" w:rsidRPr="002B3D5C">
        <w:t>performance</w:t>
      </w:r>
      <w:r w:rsidR="007D5607" w:rsidRPr="002B3D5C">
        <w:t xml:space="preserve"> </w:t>
      </w:r>
      <w:r w:rsidR="001369BC" w:rsidRPr="002B3D5C">
        <w:t xml:space="preserve">comparatively </w:t>
      </w:r>
      <w:r w:rsidR="00212C4F" w:rsidRPr="002B3D5C">
        <w:t>under-examined</w:t>
      </w:r>
      <w:r w:rsidR="00B66704" w:rsidRPr="002B3D5C">
        <w:t>.</w:t>
      </w:r>
    </w:p>
    <w:p w:rsidR="00551D45" w:rsidRPr="002B3D5C" w:rsidRDefault="001369BC" w:rsidP="005C41B7">
      <w:pPr>
        <w:pStyle w:val="APAPar"/>
      </w:pPr>
      <w:r w:rsidRPr="002B3D5C">
        <w:t xml:space="preserve">In general, </w:t>
      </w:r>
      <w:r w:rsidR="005F1D4E" w:rsidRPr="002B3D5C">
        <w:t xml:space="preserve">most </w:t>
      </w:r>
      <w:r w:rsidR="009A1D48" w:rsidRPr="002B3D5C">
        <w:t xml:space="preserve">research efforts </w:t>
      </w:r>
      <w:r w:rsidR="005F1D4E" w:rsidRPr="002B3D5C">
        <w:t xml:space="preserve">examining </w:t>
      </w:r>
      <w:r w:rsidR="009A1D48" w:rsidRPr="002B3D5C">
        <w:t>o</w:t>
      </w:r>
      <w:r w:rsidR="00B66704" w:rsidRPr="002B3D5C">
        <w:t>l</w:t>
      </w:r>
      <w:r w:rsidR="005F1D4E" w:rsidRPr="002B3D5C">
        <w:t>der adults’ cognitive abilities</w:t>
      </w:r>
      <w:r w:rsidR="00B66704" w:rsidRPr="002B3D5C">
        <w:t xml:space="preserve"> </w:t>
      </w:r>
      <w:r w:rsidR="00944D6C">
        <w:t xml:space="preserve">are </w:t>
      </w:r>
      <w:r w:rsidR="00DF22DF" w:rsidRPr="002B3D5C">
        <w:t>focused on those</w:t>
      </w:r>
      <w:r w:rsidR="00B66704" w:rsidRPr="002B3D5C">
        <w:t xml:space="preserve"> factors that </w:t>
      </w:r>
      <w:r w:rsidRPr="002B3D5C">
        <w:t xml:space="preserve">lead to </w:t>
      </w:r>
      <w:r w:rsidR="005F1D4E" w:rsidRPr="002B3D5C">
        <w:t xml:space="preserve">the occurrence of age-related neurological disorders </w:t>
      </w:r>
      <w:r w:rsidR="00B66704" w:rsidRPr="002B3D5C">
        <w:t xml:space="preserve">(Martin et al., 2015). </w:t>
      </w:r>
      <w:r w:rsidR="00DF22DF" w:rsidRPr="002B3D5C">
        <w:t>This</w:t>
      </w:r>
      <w:r w:rsidR="009A1D48" w:rsidRPr="002B3D5C">
        <w:t xml:space="preserve"> tendency</w:t>
      </w:r>
      <w:r w:rsidR="00B66704" w:rsidRPr="002B3D5C">
        <w:t xml:space="preserve"> </w:t>
      </w:r>
      <w:r w:rsidR="009A1D48" w:rsidRPr="002B3D5C">
        <w:t xml:space="preserve">has </w:t>
      </w:r>
      <w:r w:rsidR="008B1920" w:rsidRPr="002B3D5C">
        <w:t>resulted</w:t>
      </w:r>
      <w:r w:rsidR="009A1D48" w:rsidRPr="002B3D5C">
        <w:t xml:space="preserve"> in </w:t>
      </w:r>
      <w:r w:rsidR="008B1920" w:rsidRPr="002B3D5C">
        <w:t>an erroneous projection</w:t>
      </w:r>
      <w:r w:rsidR="008B1920" w:rsidRPr="002B3D5C">
        <w:rPr>
          <w:lang w:val="en-US"/>
        </w:rPr>
        <w:t xml:space="preserve"> of</w:t>
      </w:r>
      <w:r w:rsidR="00B66704" w:rsidRPr="002B3D5C">
        <w:t xml:space="preserve"> the maladaptive properties of age-related neurological </w:t>
      </w:r>
      <w:r w:rsidR="009A1D48" w:rsidRPr="002B3D5C">
        <w:t>disorders</w:t>
      </w:r>
      <w:r w:rsidR="00B66704" w:rsidRPr="002B3D5C">
        <w:t xml:space="preserve"> in the </w:t>
      </w:r>
      <w:r w:rsidR="005F1D4E" w:rsidRPr="002B3D5C">
        <w:t xml:space="preserve">non-pathological </w:t>
      </w:r>
      <w:r w:rsidR="00B66704" w:rsidRPr="002B3D5C">
        <w:t>spectrum of cognitive ageing</w:t>
      </w:r>
      <w:r w:rsidR="005F1D4E" w:rsidRPr="002B3D5C">
        <w:t xml:space="preserve">, as depicted in the theoretical framework of </w:t>
      </w:r>
      <w:r w:rsidR="009A1D48" w:rsidRPr="002B3D5C">
        <w:t>Hertz</w:t>
      </w:r>
      <w:r w:rsidR="005F1D4E" w:rsidRPr="002B3D5C">
        <w:t>og et al. (</w:t>
      </w:r>
      <w:r w:rsidR="009A1D48" w:rsidRPr="002B3D5C">
        <w:t>2009)</w:t>
      </w:r>
      <w:r w:rsidR="00B66704" w:rsidRPr="002B3D5C">
        <w:t>.</w:t>
      </w:r>
      <w:r w:rsidRPr="002B3D5C">
        <w:t xml:space="preserve"> </w:t>
      </w:r>
      <w:r w:rsidR="009A1D48" w:rsidRPr="002B3D5C">
        <w:t>The</w:t>
      </w:r>
      <w:r w:rsidR="00B66704" w:rsidRPr="002B3D5C">
        <w:t xml:space="preserve"> central theme running throughout this thesis is that a positive approach to cognitive ageing is greatly needed, in order to examine </w:t>
      </w:r>
      <w:r w:rsidR="005F1D4E" w:rsidRPr="002B3D5C">
        <w:t xml:space="preserve">more thoroughly </w:t>
      </w:r>
      <w:r w:rsidR="00B66704" w:rsidRPr="002B3D5C">
        <w:t xml:space="preserve">the healthy, non-pathological landscape of </w:t>
      </w:r>
      <w:r w:rsidR="00361C2C" w:rsidRPr="002B3D5C">
        <w:t>cognitive performance</w:t>
      </w:r>
      <w:r w:rsidR="00B66704" w:rsidRPr="002B3D5C">
        <w:t xml:space="preserve">. </w:t>
      </w:r>
      <w:r w:rsidR="00607E66" w:rsidRPr="002B3D5C">
        <w:t>A similar</w:t>
      </w:r>
      <w:r w:rsidR="00B66704" w:rsidRPr="002B3D5C">
        <w:t xml:space="preserve"> approach has been developed in the context of positive gerontology, developing concepts </w:t>
      </w:r>
      <w:r w:rsidR="005F1D4E" w:rsidRPr="002B3D5C">
        <w:t>that describe a positive adjustment</w:t>
      </w:r>
      <w:r w:rsidR="00551D45" w:rsidRPr="002B3D5C">
        <w:t xml:space="preserve"> (both personal and social)</w:t>
      </w:r>
      <w:r w:rsidR="005F1D4E" w:rsidRPr="002B3D5C">
        <w:t xml:space="preserve"> </w:t>
      </w:r>
      <w:r w:rsidR="00551D45" w:rsidRPr="002B3D5C">
        <w:t xml:space="preserve">to the ageing process, </w:t>
      </w:r>
      <w:r w:rsidR="00B66704" w:rsidRPr="002B3D5C">
        <w:t>such as</w:t>
      </w:r>
      <w:r w:rsidR="00551D45" w:rsidRPr="002B3D5C">
        <w:t xml:space="preserve"> that of</w:t>
      </w:r>
      <w:r w:rsidR="008B1920" w:rsidRPr="002B3D5C">
        <w:t xml:space="preserve"> ‘active ageing’. </w:t>
      </w:r>
      <w:r w:rsidR="00B66704" w:rsidRPr="002B3D5C">
        <w:t>Active ageing focuses on the social integration of older individuals, by mobilizing their potential and avoiding social exclusion (Walker, 1999</w:t>
      </w:r>
      <w:r w:rsidR="00C76B26" w:rsidRPr="002B3D5C">
        <w:t>; Walker &amp; Maltby, 2012</w:t>
      </w:r>
      <w:r w:rsidR="00B66704" w:rsidRPr="002B3D5C">
        <w:t xml:space="preserve">). In this context, </w:t>
      </w:r>
      <w:r w:rsidR="00944D6C">
        <w:t>this thesis examins</w:t>
      </w:r>
      <w:r w:rsidR="009A1D48" w:rsidRPr="002B3D5C">
        <w:t xml:space="preserve"> which </w:t>
      </w:r>
      <w:r w:rsidR="00EE5167" w:rsidRPr="002B3D5C">
        <w:t xml:space="preserve">social </w:t>
      </w:r>
      <w:r w:rsidR="009A1D48" w:rsidRPr="002B3D5C">
        <w:t xml:space="preserve">factors can influence cognitive </w:t>
      </w:r>
      <w:r w:rsidR="00361C2C" w:rsidRPr="002B3D5C">
        <w:t>performance</w:t>
      </w:r>
      <w:r w:rsidR="009A1D48" w:rsidRPr="002B3D5C">
        <w:t xml:space="preserve"> in the healthy, non-pathological spectrum of cognitive</w:t>
      </w:r>
      <w:r w:rsidR="006E4D14" w:rsidRPr="002B3D5C">
        <w:t xml:space="preserve"> ageing, fostering this </w:t>
      </w:r>
      <w:r w:rsidRPr="002B3D5C">
        <w:t xml:space="preserve">way </w:t>
      </w:r>
      <w:r w:rsidR="00EE5167" w:rsidRPr="002B3D5C">
        <w:t>an active lifestyle</w:t>
      </w:r>
      <w:r w:rsidR="00551D45" w:rsidRPr="002B3D5C">
        <w:t xml:space="preserve"> in older age</w:t>
      </w:r>
      <w:r w:rsidR="006E4D14" w:rsidRPr="002B3D5C">
        <w:t xml:space="preserve">. </w:t>
      </w:r>
    </w:p>
    <w:p w:rsidR="0052029F" w:rsidRPr="002B3D5C" w:rsidRDefault="006E4D14" w:rsidP="005C41B7">
      <w:pPr>
        <w:pStyle w:val="APAPar"/>
      </w:pPr>
      <w:r w:rsidRPr="002B3D5C">
        <w:t>Thi</w:t>
      </w:r>
      <w:r w:rsidR="00944D6C">
        <w:t>s examination uses</w:t>
      </w:r>
      <w:r w:rsidR="001369BC" w:rsidRPr="002B3D5C">
        <w:t xml:space="preserve"> the objectivity that</w:t>
      </w:r>
      <w:r w:rsidRPr="002B3D5C">
        <w:t xml:space="preserve"> the scientific methodology </w:t>
      </w:r>
      <w:r w:rsidR="001369BC" w:rsidRPr="002B3D5C">
        <w:t xml:space="preserve">offers, </w:t>
      </w:r>
      <w:r w:rsidRPr="002B3D5C">
        <w:t>in order to eliminate what Depp and Jeste (2006, p.16) termed as a ‘bias towards studying negative outcomes’</w:t>
      </w:r>
      <w:r w:rsidR="00361C2C" w:rsidRPr="002B3D5C">
        <w:t xml:space="preserve"> in older age</w:t>
      </w:r>
      <w:r w:rsidR="001369BC" w:rsidRPr="002B3D5C">
        <w:t>.</w:t>
      </w:r>
      <w:r w:rsidRPr="002B3D5C">
        <w:t xml:space="preserve"> </w:t>
      </w:r>
      <w:r w:rsidR="001369BC" w:rsidRPr="002B3D5C">
        <w:t>The scope of this thesis was set</w:t>
      </w:r>
      <w:r w:rsidRPr="002B3D5C">
        <w:t xml:space="preserve"> away from depicting the pa</w:t>
      </w:r>
      <w:r w:rsidR="00551D45" w:rsidRPr="002B3D5C">
        <w:t xml:space="preserve">thological landscape of </w:t>
      </w:r>
      <w:r w:rsidR="00361C2C" w:rsidRPr="002B3D5C">
        <w:t>cognitive performance</w:t>
      </w:r>
      <w:r w:rsidR="00EE5167" w:rsidRPr="002B3D5C">
        <w:t>, and by t</w:t>
      </w:r>
      <w:r w:rsidR="001369BC" w:rsidRPr="002B3D5C">
        <w:t>aking</w:t>
      </w:r>
      <w:r w:rsidR="00BE3421" w:rsidRPr="002B3D5C">
        <w:t xml:space="preserve"> into account</w:t>
      </w:r>
      <w:r w:rsidR="001369BC" w:rsidRPr="002B3D5C">
        <w:rPr>
          <w:rFonts w:eastAsia="Times New Roman"/>
        </w:rPr>
        <w:t xml:space="preserve"> the wider social context</w:t>
      </w:r>
      <w:r w:rsidR="00A875B0" w:rsidRPr="002B3D5C">
        <w:rPr>
          <w:rFonts w:eastAsia="Times New Roman"/>
        </w:rPr>
        <w:t xml:space="preserve">. </w:t>
      </w:r>
      <w:r w:rsidR="00361C2C" w:rsidRPr="002B3D5C">
        <w:t>T</w:t>
      </w:r>
      <w:r w:rsidR="00944D6C">
        <w:t>he thesis focuses</w:t>
      </w:r>
      <w:r w:rsidR="00BE3421" w:rsidRPr="002B3D5C">
        <w:t xml:space="preserve"> </w:t>
      </w:r>
      <w:r w:rsidR="00551D45" w:rsidRPr="002B3D5C">
        <w:t>on</w:t>
      </w:r>
      <w:r w:rsidR="00EE5167" w:rsidRPr="002B3D5C">
        <w:t xml:space="preserve"> the cognitive and </w:t>
      </w:r>
      <w:r w:rsidR="00BE3421" w:rsidRPr="002B3D5C">
        <w:t xml:space="preserve">functional </w:t>
      </w:r>
      <w:r w:rsidR="00361C2C" w:rsidRPr="002B3D5C">
        <w:t>performance</w:t>
      </w:r>
      <w:r w:rsidR="001369BC" w:rsidRPr="002B3D5C">
        <w:t xml:space="preserve"> </w:t>
      </w:r>
      <w:r w:rsidR="00212C4F" w:rsidRPr="002B3D5C">
        <w:t>in older age</w:t>
      </w:r>
      <w:r w:rsidR="00BE3421" w:rsidRPr="002B3D5C">
        <w:t>, examining the influence</w:t>
      </w:r>
      <w:r w:rsidR="00551D45" w:rsidRPr="002B3D5C">
        <w:t>s</w:t>
      </w:r>
      <w:r w:rsidR="00BE3421" w:rsidRPr="002B3D5C">
        <w:t xml:space="preserve"> </w:t>
      </w:r>
      <w:r w:rsidR="00A75C03" w:rsidRPr="002B3D5C">
        <w:t xml:space="preserve">deriving from </w:t>
      </w:r>
      <w:r w:rsidR="00BE3421" w:rsidRPr="002B3D5C">
        <w:t xml:space="preserve">certain </w:t>
      </w:r>
      <w:r w:rsidR="00A75C03" w:rsidRPr="002B3D5C">
        <w:t xml:space="preserve">social factors (i.e., </w:t>
      </w:r>
      <w:r w:rsidR="00361C2C" w:rsidRPr="002B3D5C">
        <w:t>social network size</w:t>
      </w:r>
      <w:r w:rsidR="00BE3421" w:rsidRPr="002B3D5C">
        <w:t>, SES</w:t>
      </w:r>
      <w:r w:rsidR="00361C2C" w:rsidRPr="002B3D5C">
        <w:t xml:space="preserve">, </w:t>
      </w:r>
      <w:r w:rsidR="00F32215" w:rsidRPr="002B3D5C">
        <w:t>gender, education</w:t>
      </w:r>
      <w:r w:rsidR="00A75C03" w:rsidRPr="002B3D5C">
        <w:t>)</w:t>
      </w:r>
      <w:r w:rsidR="00BE3421" w:rsidRPr="002B3D5C">
        <w:t>,</w:t>
      </w:r>
      <w:r w:rsidR="00A75C03" w:rsidRPr="002B3D5C">
        <w:t xml:space="preserve"> </w:t>
      </w:r>
      <w:r w:rsidR="00E744CA" w:rsidRPr="002B3D5C">
        <w:t xml:space="preserve">and </w:t>
      </w:r>
      <w:r w:rsidR="00A75C03" w:rsidRPr="002B3D5C">
        <w:t>certain behaviours</w:t>
      </w:r>
      <w:r w:rsidR="00BE3421" w:rsidRPr="002B3D5C">
        <w:t xml:space="preserve"> </w:t>
      </w:r>
      <w:r w:rsidR="00A75C03" w:rsidRPr="002B3D5C">
        <w:t xml:space="preserve">(i.e., </w:t>
      </w:r>
      <w:r w:rsidR="00361C2C" w:rsidRPr="002B3D5C">
        <w:t>exercise</w:t>
      </w:r>
      <w:r w:rsidR="00A75C03" w:rsidRPr="002B3D5C">
        <w:t xml:space="preserve">, social </w:t>
      </w:r>
      <w:r w:rsidR="00361C2C" w:rsidRPr="002B3D5C">
        <w:t>participation and Internet use</w:t>
      </w:r>
      <w:r w:rsidR="00EE5167" w:rsidRPr="002B3D5C">
        <w:t>)</w:t>
      </w:r>
      <w:r w:rsidR="00212C4F" w:rsidRPr="002B3D5C">
        <w:t xml:space="preserve">. </w:t>
      </w:r>
      <w:r w:rsidRPr="002B3D5C">
        <w:t>This</w:t>
      </w:r>
      <w:r w:rsidR="00F2519F">
        <w:t xml:space="preserve"> concluding c</w:t>
      </w:r>
      <w:r w:rsidR="0052029F" w:rsidRPr="002B3D5C">
        <w:t xml:space="preserve">hapter begins by discussing how the research questions </w:t>
      </w:r>
      <w:r w:rsidR="00CF1C67" w:rsidRPr="002B3D5C">
        <w:t xml:space="preserve">were </w:t>
      </w:r>
      <w:r w:rsidR="0052029F" w:rsidRPr="002B3D5C">
        <w:t xml:space="preserve">set out in </w:t>
      </w:r>
      <w:r w:rsidR="00CF1C67" w:rsidRPr="002B3D5C">
        <w:t>this t</w:t>
      </w:r>
      <w:r w:rsidRPr="002B3D5C">
        <w:t>hesis</w:t>
      </w:r>
      <w:r w:rsidR="00551D45" w:rsidRPr="002B3D5C">
        <w:t>, and how they</w:t>
      </w:r>
      <w:r w:rsidRPr="002B3D5C">
        <w:t xml:space="preserve"> </w:t>
      </w:r>
      <w:r w:rsidR="0052029F" w:rsidRPr="002B3D5C">
        <w:t xml:space="preserve">have been addressed. Thereafter, it </w:t>
      </w:r>
      <w:r w:rsidR="00EE5167" w:rsidRPr="002B3D5C">
        <w:t>summarises</w:t>
      </w:r>
      <w:r w:rsidR="00E744CA" w:rsidRPr="002B3D5C">
        <w:t xml:space="preserve"> the thesis’s</w:t>
      </w:r>
      <w:r w:rsidRPr="002B3D5C">
        <w:t xml:space="preserve"> </w:t>
      </w:r>
      <w:r w:rsidR="00F2793A" w:rsidRPr="002B3D5C">
        <w:t xml:space="preserve">main findings and how </w:t>
      </w:r>
      <w:r w:rsidRPr="002B3D5C">
        <w:t>the</w:t>
      </w:r>
      <w:r w:rsidR="00F2793A" w:rsidRPr="002B3D5C">
        <w:t>y contributed</w:t>
      </w:r>
      <w:r w:rsidRPr="002B3D5C">
        <w:t xml:space="preserve"> </w:t>
      </w:r>
      <w:r w:rsidR="00CF1C67" w:rsidRPr="002B3D5C">
        <w:t>to the current</w:t>
      </w:r>
      <w:r w:rsidRPr="002B3D5C">
        <w:t xml:space="preserve"> knowledge</w:t>
      </w:r>
      <w:r w:rsidR="00CF1C67" w:rsidRPr="002B3D5C">
        <w:t xml:space="preserve"> in the </w:t>
      </w:r>
      <w:r w:rsidR="00E744CA" w:rsidRPr="002B3D5C">
        <w:t>field</w:t>
      </w:r>
      <w:r w:rsidR="00CF1C67" w:rsidRPr="002B3D5C">
        <w:t xml:space="preserve"> of ageing</w:t>
      </w:r>
      <w:r w:rsidR="00F2519F">
        <w:t>. This c</w:t>
      </w:r>
      <w:r w:rsidR="00F2793A" w:rsidRPr="002B3D5C">
        <w:t xml:space="preserve">hapter explores this thesis’s </w:t>
      </w:r>
      <w:r w:rsidR="00E744CA" w:rsidRPr="002B3D5C">
        <w:t xml:space="preserve">strengths and limitations, along with the theoretical contribution and </w:t>
      </w:r>
      <w:r w:rsidRPr="002B3D5C">
        <w:t>implications</w:t>
      </w:r>
      <w:r w:rsidR="0052029F" w:rsidRPr="002B3D5C">
        <w:t xml:space="preserve"> in the conceptualization of cognitive ageing</w:t>
      </w:r>
      <w:r w:rsidRPr="002B3D5C">
        <w:t xml:space="preserve">, influencing </w:t>
      </w:r>
      <w:r w:rsidR="0052029F" w:rsidRPr="002B3D5C">
        <w:t>both theory and practice</w:t>
      </w:r>
      <w:r w:rsidR="00186AE4" w:rsidRPr="002B3D5C">
        <w:t xml:space="preserve"> (i.e., policy making</w:t>
      </w:r>
      <w:r w:rsidR="0052029F" w:rsidRPr="002B3D5C">
        <w:t xml:space="preserve">, </w:t>
      </w:r>
      <w:r w:rsidR="00186AE4" w:rsidRPr="002B3D5C">
        <w:t>research and clinical practices)</w:t>
      </w:r>
      <w:r w:rsidR="00F2519F">
        <w:t>. The c</w:t>
      </w:r>
      <w:r w:rsidR="008A31B9" w:rsidRPr="002B3D5C">
        <w:t>hapter concludes with some suggestions for future research</w:t>
      </w:r>
      <w:r w:rsidR="00186AE4" w:rsidRPr="002B3D5C">
        <w:t xml:space="preserve"> that can advance further a positive approach to </w:t>
      </w:r>
      <w:r w:rsidR="00551D45" w:rsidRPr="002B3D5C">
        <w:t xml:space="preserve">cognitive </w:t>
      </w:r>
      <w:r w:rsidR="00186AE4" w:rsidRPr="002B3D5C">
        <w:t xml:space="preserve">ageing in the </w:t>
      </w:r>
      <w:r w:rsidR="00551D45" w:rsidRPr="002B3D5C">
        <w:t xml:space="preserve">discourse of </w:t>
      </w:r>
      <w:r w:rsidR="00186AE4" w:rsidRPr="002B3D5C">
        <w:t>cognitive neuropsychology, align</w:t>
      </w:r>
      <w:r w:rsidR="003C42E3" w:rsidRPr="002B3D5C">
        <w:t>ed with</w:t>
      </w:r>
      <w:r w:rsidR="00186AE4" w:rsidRPr="002B3D5C">
        <w:t xml:space="preserve"> the </w:t>
      </w:r>
      <w:r w:rsidR="003C42E3" w:rsidRPr="002B3D5C">
        <w:t>principles of positive gerontology</w:t>
      </w:r>
      <w:r w:rsidRPr="002B3D5C">
        <w:t xml:space="preserve"> discussed above</w:t>
      </w:r>
      <w:r w:rsidR="003C42E3" w:rsidRPr="002B3D5C">
        <w:t>.</w:t>
      </w:r>
    </w:p>
    <w:p w:rsidR="00A875B0" w:rsidRPr="002B3D5C" w:rsidRDefault="008A31B9" w:rsidP="00FE028D">
      <w:pPr>
        <w:pStyle w:val="Heading2"/>
      </w:pPr>
      <w:bookmarkStart w:id="198" w:name="_Toc373425994"/>
      <w:bookmarkStart w:id="199" w:name="_Toc521184270"/>
      <w:r w:rsidRPr="002B3D5C">
        <w:t>The Research Questions</w:t>
      </w:r>
      <w:bookmarkEnd w:id="198"/>
      <w:r w:rsidR="00E744CA" w:rsidRPr="002B3D5C">
        <w:t xml:space="preserve"> and Hypotheses</w:t>
      </w:r>
      <w:bookmarkEnd w:id="199"/>
    </w:p>
    <w:p w:rsidR="008A31B9" w:rsidRPr="002B3D5C" w:rsidRDefault="008A31B9" w:rsidP="005C41B7">
      <w:pPr>
        <w:pStyle w:val="APAPar"/>
      </w:pPr>
      <w:r w:rsidRPr="002B3D5C">
        <w:t xml:space="preserve">In order to examine the non-pathological spectrum of cognitive </w:t>
      </w:r>
      <w:r w:rsidR="00E744CA" w:rsidRPr="002B3D5C">
        <w:t xml:space="preserve">performance </w:t>
      </w:r>
      <w:r w:rsidR="006E4D14" w:rsidRPr="002B3D5C">
        <w:t>by taking into a</w:t>
      </w:r>
      <w:r w:rsidR="00551D45" w:rsidRPr="002B3D5C">
        <w:t>ccount the wider social context</w:t>
      </w:r>
      <w:r w:rsidR="006E4D14" w:rsidRPr="002B3D5C">
        <w:t xml:space="preserve"> and by</w:t>
      </w:r>
      <w:r w:rsidRPr="002B3D5C">
        <w:t xml:space="preserve"> using a positive approach</w:t>
      </w:r>
      <w:r w:rsidR="00551D45" w:rsidRPr="002B3D5C">
        <w:t xml:space="preserve"> to ageing</w:t>
      </w:r>
      <w:r w:rsidR="008B1920" w:rsidRPr="002B3D5C">
        <w:t>, the following</w:t>
      </w:r>
      <w:r w:rsidRPr="002B3D5C">
        <w:t xml:space="preserve"> </w:t>
      </w:r>
      <w:r w:rsidR="00EE5167" w:rsidRPr="002B3D5C">
        <w:t xml:space="preserve">research </w:t>
      </w:r>
      <w:r w:rsidRPr="002B3D5C">
        <w:t>qu</w:t>
      </w:r>
      <w:r w:rsidR="006E4D14" w:rsidRPr="002B3D5C">
        <w:t xml:space="preserve">estions </w:t>
      </w:r>
      <w:r w:rsidR="00944D6C">
        <w:t>are</w:t>
      </w:r>
      <w:r w:rsidR="006E4D14" w:rsidRPr="002B3D5C">
        <w:t xml:space="preserve"> </w:t>
      </w:r>
      <w:r w:rsidR="008B1920" w:rsidRPr="002B3D5C">
        <w:t xml:space="preserve">addressed </w:t>
      </w:r>
      <w:r w:rsidR="006E4D14" w:rsidRPr="002B3D5C">
        <w:t>in this thesis.</w:t>
      </w:r>
    </w:p>
    <w:p w:rsidR="00E744CA" w:rsidRPr="002B3D5C" w:rsidRDefault="00E744CA" w:rsidP="00546D49">
      <w:pPr>
        <w:pStyle w:val="APAPar"/>
        <w:numPr>
          <w:ilvl w:val="1"/>
          <w:numId w:val="12"/>
        </w:numPr>
        <w:ind w:left="1320"/>
        <w:rPr>
          <w:lang w:val="en-US"/>
        </w:rPr>
      </w:pPr>
      <w:r w:rsidRPr="002B3D5C">
        <w:rPr>
          <w:lang w:val="en-US"/>
        </w:rPr>
        <w:t>Research Question 1: Is cognitive performance related with everyday functioning among cognitively healthy older adults? This research question was addressed in Chapters 4 and 7.</w:t>
      </w:r>
    </w:p>
    <w:p w:rsidR="00E744CA" w:rsidRPr="002B3D5C" w:rsidRDefault="008B1920" w:rsidP="00546D49">
      <w:pPr>
        <w:pStyle w:val="APAPar"/>
        <w:numPr>
          <w:ilvl w:val="1"/>
          <w:numId w:val="12"/>
        </w:numPr>
        <w:ind w:left="1320"/>
        <w:rPr>
          <w:lang w:val="en-US"/>
        </w:rPr>
      </w:pPr>
      <w:r w:rsidRPr="002B3D5C">
        <w:rPr>
          <w:lang w:val="en-US"/>
        </w:rPr>
        <w:t>Research Question 2: Does cognitive performance mediate age-related decrements of everyday functioning</w:t>
      </w:r>
      <w:r w:rsidR="005E49E7" w:rsidRPr="002B3D5C">
        <w:rPr>
          <w:lang w:val="en-US"/>
        </w:rPr>
        <w:t>?</w:t>
      </w:r>
      <w:r w:rsidRPr="002B3D5C">
        <w:rPr>
          <w:lang w:val="en-US"/>
        </w:rPr>
        <w:t xml:space="preserve"> This research question was addressed in Chapter 7.</w:t>
      </w:r>
    </w:p>
    <w:p w:rsidR="00E744CA" w:rsidRPr="002B3D5C" w:rsidRDefault="00E744CA" w:rsidP="00546D49">
      <w:pPr>
        <w:pStyle w:val="APAPar"/>
        <w:numPr>
          <w:ilvl w:val="1"/>
          <w:numId w:val="12"/>
        </w:numPr>
        <w:ind w:left="1320"/>
        <w:rPr>
          <w:lang w:val="en-US"/>
        </w:rPr>
      </w:pPr>
      <w:r w:rsidRPr="002B3D5C">
        <w:t>R</w:t>
      </w:r>
      <w:r w:rsidR="008B1920" w:rsidRPr="002B3D5C">
        <w:t>esearch Question 3</w:t>
      </w:r>
      <w:r w:rsidRPr="002B3D5C">
        <w:t xml:space="preserve">: </w:t>
      </w:r>
      <w:r w:rsidR="008B1920" w:rsidRPr="002B3D5C">
        <w:t xml:space="preserve">Are </w:t>
      </w:r>
      <w:r w:rsidRPr="002B3D5C">
        <w:t xml:space="preserve">older adults’ cognitive </w:t>
      </w:r>
      <w:r w:rsidR="00212C4F" w:rsidRPr="002B3D5C">
        <w:t xml:space="preserve">and functional </w:t>
      </w:r>
      <w:r w:rsidR="005E49E7" w:rsidRPr="002B3D5C">
        <w:rPr>
          <w:lang w:val="en-US"/>
        </w:rPr>
        <w:t>performance</w:t>
      </w:r>
      <w:r w:rsidRPr="002B3D5C">
        <w:t xml:space="preserve"> related with SES, social participation, </w:t>
      </w:r>
      <w:r w:rsidR="00E6461E" w:rsidRPr="002B3D5C">
        <w:t xml:space="preserve">education, and </w:t>
      </w:r>
      <w:r w:rsidRPr="002B3D5C">
        <w:t>participation in mental and physical activities? This research question was addressed in Chapter 7</w:t>
      </w:r>
      <w:r w:rsidR="00F2519F">
        <w:t>.</w:t>
      </w:r>
    </w:p>
    <w:p w:rsidR="008B1920" w:rsidRPr="002B3D5C" w:rsidRDefault="00F2519F" w:rsidP="00546D49">
      <w:pPr>
        <w:pStyle w:val="APAPar"/>
        <w:numPr>
          <w:ilvl w:val="1"/>
          <w:numId w:val="12"/>
        </w:numPr>
        <w:ind w:left="1320"/>
        <w:rPr>
          <w:lang w:val="en-US"/>
        </w:rPr>
      </w:pPr>
      <w:r>
        <w:t>Research Q</w:t>
      </w:r>
      <w:r w:rsidR="008B1920" w:rsidRPr="002B3D5C">
        <w:t>uestion 4: Do social participation, education, and participation in mental and physical activities moderate age</w:t>
      </w:r>
      <w:r w:rsidR="009246A0" w:rsidRPr="002B3D5C">
        <w:t>-related decrements</w:t>
      </w:r>
      <w:r w:rsidR="008B1920" w:rsidRPr="002B3D5C">
        <w:t xml:space="preserve"> </w:t>
      </w:r>
      <w:r w:rsidR="009246A0" w:rsidRPr="002B3D5C">
        <w:t>of</w:t>
      </w:r>
      <w:r w:rsidR="008B1920" w:rsidRPr="002B3D5C">
        <w:t xml:space="preserve"> cognitive performance? This research question was addressed in Chapter 7</w:t>
      </w:r>
      <w:r>
        <w:t>.</w:t>
      </w:r>
    </w:p>
    <w:p w:rsidR="00E744CA" w:rsidRPr="002B3D5C" w:rsidRDefault="00E744CA" w:rsidP="005C41B7">
      <w:pPr>
        <w:pStyle w:val="APAPar"/>
        <w:rPr>
          <w:lang w:val="en-US"/>
        </w:rPr>
      </w:pPr>
      <w:r w:rsidRPr="002B3D5C">
        <w:rPr>
          <w:lang w:val="en-US"/>
        </w:rPr>
        <w:t xml:space="preserve">The hypotheses formation </w:t>
      </w:r>
      <w:r w:rsidR="00944D6C">
        <w:rPr>
          <w:lang w:val="en-US"/>
        </w:rPr>
        <w:t>is</w:t>
      </w:r>
      <w:r w:rsidRPr="002B3D5C">
        <w:rPr>
          <w:lang w:val="en-US"/>
        </w:rPr>
        <w:t xml:space="preserve"> driven by the normative arguments that are shaped within the current paradigm of cognitive ageing, and which are expressed in influential theories and policies to date. More precise</w:t>
      </w:r>
      <w:r w:rsidR="00F2519F">
        <w:rPr>
          <w:lang w:val="en-US"/>
        </w:rPr>
        <w:t>ly</w:t>
      </w:r>
      <w:r w:rsidRPr="002B3D5C">
        <w:rPr>
          <w:lang w:val="en-US"/>
        </w:rPr>
        <w:t xml:space="preserve">, </w:t>
      </w:r>
      <w:r w:rsidRPr="002B3D5C">
        <w:t>it was hypothesized that</w:t>
      </w:r>
      <w:r w:rsidR="00212C4F" w:rsidRPr="002B3D5C">
        <w:t>:</w:t>
      </w:r>
    </w:p>
    <w:p w:rsidR="00E744CA" w:rsidRPr="002B3D5C" w:rsidRDefault="00E744CA" w:rsidP="00546D49">
      <w:pPr>
        <w:pStyle w:val="APAPar"/>
        <w:numPr>
          <w:ilvl w:val="0"/>
          <w:numId w:val="13"/>
        </w:numPr>
        <w:ind w:left="1320"/>
      </w:pPr>
      <w:r w:rsidRPr="002B3D5C">
        <w:t>Hypothesis 1: Cognitive performance will be related with everyday functioning in the healthy spectrum of cognitive performance</w:t>
      </w:r>
    </w:p>
    <w:p w:rsidR="008B1920" w:rsidRPr="002B3D5C" w:rsidRDefault="008B1920" w:rsidP="00546D49">
      <w:pPr>
        <w:pStyle w:val="APAPar"/>
        <w:numPr>
          <w:ilvl w:val="0"/>
          <w:numId w:val="13"/>
        </w:numPr>
        <w:ind w:left="1320"/>
      </w:pPr>
      <w:r w:rsidRPr="002B3D5C">
        <w:t>Hypothesis 2:</w:t>
      </w:r>
      <w:r w:rsidR="009246A0" w:rsidRPr="002B3D5C">
        <w:t xml:space="preserve"> Cognitive performance will mediate the relation between age and everyday functioning</w:t>
      </w:r>
    </w:p>
    <w:p w:rsidR="00E744CA" w:rsidRPr="002B3D5C" w:rsidRDefault="00E744CA" w:rsidP="00546D49">
      <w:pPr>
        <w:pStyle w:val="APAPar"/>
        <w:numPr>
          <w:ilvl w:val="0"/>
          <w:numId w:val="13"/>
        </w:numPr>
        <w:ind w:left="1320"/>
      </w:pPr>
      <w:r w:rsidRPr="002B3D5C">
        <w:t xml:space="preserve">Hypothesis </w:t>
      </w:r>
      <w:r w:rsidR="009246A0" w:rsidRPr="002B3D5C">
        <w:t>3</w:t>
      </w:r>
      <w:r w:rsidRPr="002B3D5C">
        <w:t xml:space="preserve">: SES, social participation, </w:t>
      </w:r>
      <w:r w:rsidR="00E6461E" w:rsidRPr="002B3D5C">
        <w:t xml:space="preserve">education, </w:t>
      </w:r>
      <w:r w:rsidRPr="002B3D5C">
        <w:t xml:space="preserve">mental and physical exercise will be related </w:t>
      </w:r>
      <w:r w:rsidR="00212C4F" w:rsidRPr="002B3D5C">
        <w:t>with cognitive</w:t>
      </w:r>
      <w:r w:rsidRPr="002B3D5C">
        <w:t xml:space="preserve"> performance among older adults. </w:t>
      </w:r>
    </w:p>
    <w:p w:rsidR="009246A0" w:rsidRPr="002B3D5C" w:rsidRDefault="009246A0" w:rsidP="00546D49">
      <w:pPr>
        <w:pStyle w:val="APAPar"/>
        <w:numPr>
          <w:ilvl w:val="0"/>
          <w:numId w:val="13"/>
        </w:numPr>
        <w:ind w:left="1320"/>
      </w:pPr>
      <w:r w:rsidRPr="002B3D5C">
        <w:t>Hypothesis 4: Social participation, education, mental and physical exercise will moderate the relation between age and cognitive performance</w:t>
      </w:r>
    </w:p>
    <w:p w:rsidR="000449C1" w:rsidRPr="002B3D5C" w:rsidRDefault="000449C1" w:rsidP="00FE028D">
      <w:pPr>
        <w:pStyle w:val="Heading2"/>
      </w:pPr>
      <w:bookmarkStart w:id="200" w:name="_Toc521184271"/>
      <w:r w:rsidRPr="002B3D5C">
        <w:t>Summary of findings</w:t>
      </w:r>
      <w:bookmarkEnd w:id="200"/>
    </w:p>
    <w:p w:rsidR="00AD18CC" w:rsidRPr="002B3D5C" w:rsidRDefault="008A31B9" w:rsidP="005C41B7">
      <w:pPr>
        <w:pStyle w:val="APAPar"/>
      </w:pPr>
      <w:r w:rsidRPr="002B3D5C">
        <w:t xml:space="preserve">The examination of the first research question began by </w:t>
      </w:r>
      <w:r w:rsidR="00551D45" w:rsidRPr="002B3D5C">
        <w:t xml:space="preserve">conducting a systematic literature review on studies that examined </w:t>
      </w:r>
      <w:r w:rsidRPr="002B3D5C">
        <w:t xml:space="preserve">the </w:t>
      </w:r>
      <w:r w:rsidR="00DF22DF" w:rsidRPr="002B3D5C">
        <w:t xml:space="preserve">relationship of </w:t>
      </w:r>
      <w:r w:rsidR="00E744CA" w:rsidRPr="002B3D5C">
        <w:t>cognitive performance</w:t>
      </w:r>
      <w:r w:rsidRPr="002B3D5C">
        <w:t xml:space="preserve"> and </w:t>
      </w:r>
      <w:r w:rsidR="00E744CA" w:rsidRPr="002B3D5C">
        <w:t>everyday functioning</w:t>
      </w:r>
      <w:r w:rsidRPr="002B3D5C">
        <w:t xml:space="preserve"> </w:t>
      </w:r>
      <w:r w:rsidR="00DF22DF" w:rsidRPr="002B3D5C">
        <w:t>among cognitively intact older adults</w:t>
      </w:r>
      <w:r w:rsidR="00551D45" w:rsidRPr="002B3D5C">
        <w:t xml:space="preserve">. The relevant effect sizes were extracted and synthesized, using </w:t>
      </w:r>
      <w:r w:rsidRPr="002B3D5C">
        <w:t xml:space="preserve">a </w:t>
      </w:r>
      <w:r w:rsidR="006E4D14" w:rsidRPr="002B3D5C">
        <w:t xml:space="preserve">statistical </w:t>
      </w:r>
      <w:r w:rsidRPr="002B3D5C">
        <w:t xml:space="preserve">meta-analysis. The findings indicated that </w:t>
      </w:r>
      <w:r w:rsidR="000449C1" w:rsidRPr="002B3D5C">
        <w:t>cognitive performance</w:t>
      </w:r>
      <w:r w:rsidRPr="002B3D5C">
        <w:t xml:space="preserve"> and</w:t>
      </w:r>
      <w:r w:rsidR="000449C1" w:rsidRPr="002B3D5C">
        <w:t xml:space="preserve"> everyday functioning</w:t>
      </w:r>
      <w:r w:rsidRPr="002B3D5C">
        <w:t xml:space="preserve"> </w:t>
      </w:r>
      <w:r w:rsidR="004C3873" w:rsidRPr="002B3D5C">
        <w:t>are</w:t>
      </w:r>
      <w:r w:rsidRPr="002B3D5C">
        <w:t xml:space="preserve"> moderately related in the healthy spectrum of cognitive ageing, under the preconditions that </w:t>
      </w:r>
      <w:r w:rsidR="000449C1" w:rsidRPr="002B3D5C">
        <w:t>everyday functioning</w:t>
      </w:r>
      <w:r w:rsidRPr="002B3D5C">
        <w:t xml:space="preserve"> is</w:t>
      </w:r>
      <w:r w:rsidR="000449C1" w:rsidRPr="002B3D5C">
        <w:t xml:space="preserve"> not measured with ADL and cognitive performance is not measured with the MMSE.</w:t>
      </w:r>
      <w:r w:rsidRPr="002B3D5C">
        <w:t xml:space="preserve"> </w:t>
      </w:r>
      <w:r w:rsidR="000449C1" w:rsidRPr="002B3D5C">
        <w:t xml:space="preserve">In that </w:t>
      </w:r>
      <w:r w:rsidR="00DF22DF" w:rsidRPr="002B3D5C">
        <w:t>respect</w:t>
      </w:r>
      <w:r w:rsidR="000449C1" w:rsidRPr="002B3D5C">
        <w:t>, measures of EF seem to have a better relationship with everyday functioning, wher</w:t>
      </w:r>
      <w:r w:rsidR="00E3620B" w:rsidRPr="002B3D5C">
        <w:t>eas observation-</w:t>
      </w:r>
      <w:r w:rsidR="000449C1" w:rsidRPr="002B3D5C">
        <w:t>based everyday functioning measure</w:t>
      </w:r>
      <w:r w:rsidR="00E3620B" w:rsidRPr="002B3D5C">
        <w:t>s</w:t>
      </w:r>
      <w:r w:rsidR="000449C1" w:rsidRPr="002B3D5C">
        <w:t xml:space="preserve"> seem to have a better relationship with cognitive performance</w:t>
      </w:r>
      <w:r w:rsidRPr="002B3D5C">
        <w:t>.</w:t>
      </w:r>
    </w:p>
    <w:p w:rsidR="00803811" w:rsidRPr="002B3D5C" w:rsidRDefault="00F2793A" w:rsidP="005C41B7">
      <w:pPr>
        <w:pStyle w:val="APAPar"/>
      </w:pPr>
      <w:r w:rsidRPr="002B3D5C">
        <w:t xml:space="preserve"> Consistently,</w:t>
      </w:r>
      <w:r w:rsidR="0015467E" w:rsidRPr="002B3D5C">
        <w:t xml:space="preserve"> the</w:t>
      </w:r>
      <w:r w:rsidRPr="002B3D5C">
        <w:t xml:space="preserve"> findings of </w:t>
      </w:r>
      <w:r w:rsidR="000449C1" w:rsidRPr="002B3D5C">
        <w:t>Chapter</w:t>
      </w:r>
      <w:r w:rsidR="00F2519F">
        <w:t xml:space="preserve"> 7</w:t>
      </w:r>
      <w:r w:rsidR="000449C1" w:rsidRPr="002B3D5C">
        <w:t xml:space="preserve"> </w:t>
      </w:r>
      <w:r w:rsidR="00AD18CC" w:rsidRPr="002B3D5C">
        <w:t>indicates</w:t>
      </w:r>
      <w:r w:rsidRPr="002B3D5C">
        <w:t xml:space="preserve"> that </w:t>
      </w:r>
      <w:r w:rsidR="000449C1" w:rsidRPr="002B3D5C">
        <w:t xml:space="preserve">cognitive performance </w:t>
      </w:r>
      <w:r w:rsidR="0015467E" w:rsidRPr="002B3D5C">
        <w:t xml:space="preserve"> </w:t>
      </w:r>
      <w:r w:rsidRPr="002B3D5C">
        <w:t>correlate</w:t>
      </w:r>
      <w:r w:rsidR="00AD18CC" w:rsidRPr="002B3D5C">
        <w:t>s</w:t>
      </w:r>
      <w:r w:rsidRPr="002B3D5C">
        <w:t xml:space="preserve"> moderately </w:t>
      </w:r>
      <w:r w:rsidR="00AD18CC" w:rsidRPr="002B3D5C">
        <w:t xml:space="preserve">with everyday functioning </w:t>
      </w:r>
      <w:r w:rsidR="00DF22DF" w:rsidRPr="002B3D5C">
        <w:t>among cognitively healthy older adults</w:t>
      </w:r>
      <w:r w:rsidR="000449C1" w:rsidRPr="002B3D5C">
        <w:t>, with EF</w:t>
      </w:r>
      <w:r w:rsidRPr="002B3D5C">
        <w:t xml:space="preserve"> </w:t>
      </w:r>
      <w:r w:rsidR="000449C1" w:rsidRPr="002B3D5C">
        <w:t xml:space="preserve">emerging as a </w:t>
      </w:r>
      <w:r w:rsidR="000449C1" w:rsidRPr="002B3D5C">
        <w:rPr>
          <w:i/>
        </w:rPr>
        <w:t xml:space="preserve">statistically significant independent predictor </w:t>
      </w:r>
      <w:r w:rsidR="000449C1" w:rsidRPr="002B3D5C">
        <w:t xml:space="preserve">of EPT-G and as a </w:t>
      </w:r>
      <w:r w:rsidR="000449C1" w:rsidRPr="002B3D5C">
        <w:rPr>
          <w:i/>
        </w:rPr>
        <w:t>mediator</w:t>
      </w:r>
      <w:r w:rsidR="000449C1" w:rsidRPr="002B3D5C">
        <w:t xml:space="preserve"> of the relation between age with both everyday functioning measures</w:t>
      </w:r>
      <w:r w:rsidR="005E49E7" w:rsidRPr="002B3D5C">
        <w:t xml:space="preserve"> (i.e., EPT</w:t>
      </w:r>
      <w:r w:rsidR="00AD18CC" w:rsidRPr="002B3D5C">
        <w:t>-G and OTDL-G)</w:t>
      </w:r>
      <w:r w:rsidR="000449C1" w:rsidRPr="002B3D5C">
        <w:t xml:space="preserve">. </w:t>
      </w:r>
      <w:r w:rsidR="00E84131" w:rsidRPr="002B3D5C">
        <w:t>Although confirming the thesis’s second hypothesis, t</w:t>
      </w:r>
      <w:r w:rsidR="00B41A12" w:rsidRPr="002B3D5C">
        <w:t>his mediation effect</w:t>
      </w:r>
      <w:r w:rsidR="00AD18CC" w:rsidRPr="002B3D5C">
        <w:t xml:space="preserve"> was rather low, as the direct effect</w:t>
      </w:r>
      <w:r w:rsidR="00E3620B" w:rsidRPr="002B3D5C">
        <w:t>s</w:t>
      </w:r>
      <w:r w:rsidR="00AD18CC" w:rsidRPr="002B3D5C">
        <w:t xml:space="preserve"> of age </w:t>
      </w:r>
      <w:r w:rsidR="00E3620B" w:rsidRPr="002B3D5C">
        <w:t xml:space="preserve">on both everyday functioning measures </w:t>
      </w:r>
      <w:r w:rsidR="00AD18CC" w:rsidRPr="002B3D5C">
        <w:t>w</w:t>
      </w:r>
      <w:r w:rsidR="00E3620B" w:rsidRPr="002B3D5C">
        <w:t>ere</w:t>
      </w:r>
      <w:r w:rsidR="00AD18CC" w:rsidRPr="002B3D5C">
        <w:t xml:space="preserve"> disproportionally larger than the indirect effects through </w:t>
      </w:r>
      <w:r w:rsidR="00E3620B" w:rsidRPr="002B3D5C">
        <w:t>cognitive performance</w:t>
      </w:r>
      <w:r w:rsidR="00AD18CC" w:rsidRPr="002B3D5C">
        <w:t xml:space="preserve">. </w:t>
      </w:r>
    </w:p>
    <w:p w:rsidR="00AD18CC" w:rsidRPr="002B3D5C" w:rsidRDefault="00E84131" w:rsidP="005C41B7">
      <w:pPr>
        <w:pStyle w:val="APAPar"/>
      </w:pPr>
      <w:r w:rsidRPr="002B3D5C">
        <w:t>The findings provided evidence that completing more than primary education improves performance in everyday functioning assessments in the healthy spectrum of cognit</w:t>
      </w:r>
      <w:r w:rsidR="00B00A3C">
        <w:t>ive performance. Further analyse</w:t>
      </w:r>
      <w:r w:rsidRPr="002B3D5C">
        <w:t>s however did not indicate a moderation effect of education in the relation between cognitive performance and everyday functioning. This evidence is consistent with the findings of the meta-analysis, where no moderation effect of education emerged in the relation between cognitive performance and everyday functioning when the sample was restricted to studies of cognitively healthy older adults.</w:t>
      </w:r>
    </w:p>
    <w:p w:rsidR="00DD6CC4" w:rsidRPr="002B3D5C" w:rsidRDefault="00193BC2" w:rsidP="005C41B7">
      <w:pPr>
        <w:pStyle w:val="APAPar"/>
      </w:pPr>
      <w:r w:rsidRPr="002B3D5C">
        <w:t>T</w:t>
      </w:r>
      <w:r w:rsidR="008A31B9" w:rsidRPr="002B3D5C">
        <w:t xml:space="preserve">he findings </w:t>
      </w:r>
      <w:r w:rsidRPr="002B3D5C">
        <w:t xml:space="preserve">of this thesis </w:t>
      </w:r>
      <w:r w:rsidR="008A31B9" w:rsidRPr="002B3D5C">
        <w:t xml:space="preserve">did not indicate </w:t>
      </w:r>
      <w:r w:rsidR="00E84131" w:rsidRPr="002B3D5C">
        <w:t>a direct relation</w:t>
      </w:r>
      <w:r w:rsidR="000F2602">
        <w:t>ship</w:t>
      </w:r>
      <w:r w:rsidR="00E84131" w:rsidRPr="002B3D5C">
        <w:t xml:space="preserve"> between social participation, exercise, Internet use and education on cognitive performance. </w:t>
      </w:r>
      <w:r w:rsidR="00803811" w:rsidRPr="002B3D5C">
        <w:t>These</w:t>
      </w:r>
      <w:r w:rsidR="00E84131" w:rsidRPr="002B3D5C">
        <w:t xml:space="preserve"> findings could not support the thesis’s third hypothesis. </w:t>
      </w:r>
      <w:bookmarkStart w:id="201" w:name="_Toc281220213"/>
      <w:bookmarkStart w:id="202" w:name="_Toc282252423"/>
      <w:bookmarkStart w:id="203" w:name="_Toc414007122"/>
      <w:r w:rsidR="00E84131" w:rsidRPr="002B3D5C">
        <w:t>However, social participation, exercise, Internet use and education moderated the relation</w:t>
      </w:r>
      <w:r w:rsidR="000F2602">
        <w:t>ship</w:t>
      </w:r>
      <w:r w:rsidR="00E84131" w:rsidRPr="002B3D5C">
        <w:t xml:space="preserve"> between age and cognitive</w:t>
      </w:r>
      <w:r w:rsidR="00803811" w:rsidRPr="002B3D5C">
        <w:t xml:space="preserve"> performance </w:t>
      </w:r>
      <w:r w:rsidR="000F2602">
        <w:t>and thus supported</w:t>
      </w:r>
      <w:r w:rsidR="00803811" w:rsidRPr="002B3D5C">
        <w:t xml:space="preserve"> </w:t>
      </w:r>
      <w:r w:rsidR="000F2602">
        <w:t>the fourth</w:t>
      </w:r>
      <w:r w:rsidR="00803811" w:rsidRPr="002B3D5C">
        <w:t xml:space="preserve"> hypothesis.</w:t>
      </w:r>
      <w:r w:rsidR="00BC30CE" w:rsidRPr="002B3D5C">
        <w:t xml:space="preserve"> A</w:t>
      </w:r>
      <w:r w:rsidR="006F3B3E" w:rsidRPr="002B3D5C">
        <w:t xml:space="preserve"> </w:t>
      </w:r>
      <w:r w:rsidR="00BC30CE" w:rsidRPr="002B3D5C">
        <w:t>visual</w:t>
      </w:r>
      <w:r w:rsidR="006F3B3E" w:rsidRPr="002B3D5C">
        <w:t xml:space="preserve"> examination of the </w:t>
      </w:r>
      <w:r w:rsidR="00BC30CE" w:rsidRPr="002B3D5C">
        <w:t>relevant graphs</w:t>
      </w:r>
      <w:r w:rsidR="006F3B3E" w:rsidRPr="002B3D5C">
        <w:t xml:space="preserve"> indicates</w:t>
      </w:r>
      <w:r w:rsidR="00803811" w:rsidRPr="002B3D5C">
        <w:t xml:space="preserve"> that</w:t>
      </w:r>
      <w:r w:rsidR="006D577B" w:rsidRPr="002B3D5C">
        <w:t xml:space="preserve"> those exercising more than the average had </w:t>
      </w:r>
      <w:r w:rsidR="006D577B" w:rsidRPr="002B3D5C">
        <w:rPr>
          <w:i/>
        </w:rPr>
        <w:t xml:space="preserve">worse </w:t>
      </w:r>
      <w:r w:rsidR="006D577B" w:rsidRPr="002B3D5C">
        <w:t>EF in younger age. In addition, the examination of the moderation effect of Internet use in the relation between age and EF indicates an overuse effect, namely that no or moderate use of Internet helps retaining performance in EF. Internet u</w:t>
      </w:r>
      <w:r w:rsidR="00404A77" w:rsidRPr="002B3D5C">
        <w:t>se most days of the week or more</w:t>
      </w:r>
      <w:r w:rsidR="006D577B" w:rsidRPr="002B3D5C">
        <w:t xml:space="preserve"> produced worse cognitive performance in EF </w:t>
      </w:r>
      <w:r w:rsidR="00404A77" w:rsidRPr="002B3D5C">
        <w:t>in older</w:t>
      </w:r>
      <w:r w:rsidR="006D577B" w:rsidRPr="002B3D5C">
        <w:t xml:space="preserve"> age.</w:t>
      </w:r>
    </w:p>
    <w:p w:rsidR="00165218" w:rsidRPr="002B3D5C" w:rsidRDefault="00B30068" w:rsidP="005C41B7">
      <w:pPr>
        <w:pStyle w:val="APAPar"/>
      </w:pPr>
      <w:r w:rsidRPr="002B3D5C">
        <w:t xml:space="preserve">In this </w:t>
      </w:r>
      <w:r w:rsidR="00193BC2" w:rsidRPr="002B3D5C">
        <w:t>study</w:t>
      </w:r>
      <w:r w:rsidR="00165218" w:rsidRPr="002B3D5C">
        <w:t xml:space="preserve">, 39% of seniors reported </w:t>
      </w:r>
      <w:r w:rsidR="000F2602">
        <w:t>participating</w:t>
      </w:r>
      <w:r w:rsidR="00165218" w:rsidRPr="002B3D5C">
        <w:t xml:space="preserve"> </w:t>
      </w:r>
      <w:r w:rsidR="00591108" w:rsidRPr="002B3D5C">
        <w:t xml:space="preserve">in volunteering </w:t>
      </w:r>
      <w:r w:rsidR="00165218" w:rsidRPr="002B3D5C">
        <w:t>sometimes or more</w:t>
      </w:r>
      <w:r w:rsidR="00404A77" w:rsidRPr="002B3D5C">
        <w:t xml:space="preserve"> </w:t>
      </w:r>
      <w:r w:rsidR="000F2602">
        <w:t xml:space="preserve">frequently every </w:t>
      </w:r>
      <w:r w:rsidR="00404A77" w:rsidRPr="002B3D5C">
        <w:t>year</w:t>
      </w:r>
      <w:r w:rsidR="000F2602">
        <w:t>. Regarding childcare,</w:t>
      </w:r>
      <w:r w:rsidR="00165218" w:rsidRPr="002B3D5C">
        <w:t xml:space="preserve"> the evidence </w:t>
      </w:r>
      <w:r w:rsidR="000F2602">
        <w:t>show</w:t>
      </w:r>
      <w:r w:rsidR="00B00A3C">
        <w:t>ed</w:t>
      </w:r>
      <w:r w:rsidR="000F2602">
        <w:t xml:space="preserve"> that</w:t>
      </w:r>
      <w:r w:rsidR="00165218" w:rsidRPr="002B3D5C">
        <w:t xml:space="preserve"> 55% of Greek seniors care for children once o</w:t>
      </w:r>
      <w:r w:rsidR="00A7494A" w:rsidRPr="002B3D5C">
        <w:t>r more per week. In addition, 55</w:t>
      </w:r>
      <w:r w:rsidR="00165218" w:rsidRPr="002B3D5C">
        <w:t>% of those who provided care for children reported do</w:t>
      </w:r>
      <w:r w:rsidR="000F2602">
        <w:t>ing</w:t>
      </w:r>
      <w:r w:rsidR="00165218" w:rsidRPr="002B3D5C">
        <w:t xml:space="preserve"> so most days, almost every day, or every</w:t>
      </w:r>
      <w:r w:rsidR="00652D06" w:rsidRPr="002B3D5C">
        <w:t xml:space="preserve"> day</w:t>
      </w:r>
      <w:r w:rsidR="00165218" w:rsidRPr="002B3D5C">
        <w:t xml:space="preserve">. </w:t>
      </w:r>
      <w:r w:rsidR="00A7494A" w:rsidRPr="002B3D5C">
        <w:t>Similarly, 21</w:t>
      </w:r>
      <w:r w:rsidR="00165218" w:rsidRPr="002B3D5C">
        <w:t xml:space="preserve">% of the participants reported </w:t>
      </w:r>
      <w:r w:rsidR="000F2602">
        <w:t>providing</w:t>
      </w:r>
      <w:r w:rsidR="00165218" w:rsidRPr="002B3D5C">
        <w:t xml:space="preserve"> care to disabled individuals.</w:t>
      </w:r>
      <w:r w:rsidR="00F5132C" w:rsidRPr="002B3D5C">
        <w:t xml:space="preserve"> </w:t>
      </w:r>
      <w:r w:rsidR="00A7494A" w:rsidRPr="002B3D5C">
        <w:t>The</w:t>
      </w:r>
      <w:r w:rsidR="008805BA" w:rsidRPr="002B3D5C">
        <w:t xml:space="preserve"> percentage of Greek seniors that did not exercise at all</w:t>
      </w:r>
      <w:r w:rsidR="00A7494A" w:rsidRPr="002B3D5C">
        <w:t xml:space="preserve"> </w:t>
      </w:r>
      <w:r w:rsidR="00193BC2" w:rsidRPr="002B3D5C">
        <w:t>was 60% in this study</w:t>
      </w:r>
      <w:r w:rsidR="008805BA" w:rsidRPr="002B3D5C">
        <w:t xml:space="preserve">, </w:t>
      </w:r>
      <w:r w:rsidR="00193BC2" w:rsidRPr="002B3D5C">
        <w:t xml:space="preserve">with </w:t>
      </w:r>
      <w:r w:rsidR="00B00A3C">
        <w:t>14%</w:t>
      </w:r>
      <w:r w:rsidR="00193BC2" w:rsidRPr="002B3D5C">
        <w:t xml:space="preserve"> exercising</w:t>
      </w:r>
      <w:r w:rsidR="008805BA" w:rsidRPr="002B3D5C">
        <w:t xml:space="preserve"> </w:t>
      </w:r>
      <w:r w:rsidR="000F2602">
        <w:t>to</w:t>
      </w:r>
      <w:r w:rsidR="008805BA" w:rsidRPr="002B3D5C">
        <w:t xml:space="preserve"> the recommended levels.</w:t>
      </w:r>
      <w:r w:rsidR="00910A78" w:rsidRPr="002B3D5C">
        <w:t xml:space="preserve"> </w:t>
      </w:r>
      <w:r w:rsidR="006D577B" w:rsidRPr="002B3D5C">
        <w:t>M</w:t>
      </w:r>
      <w:r w:rsidR="00562D18" w:rsidRPr="002B3D5C">
        <w:t>any Greek sen</w:t>
      </w:r>
      <w:r w:rsidR="00C339C2" w:rsidRPr="002B3D5C">
        <w:t>iors did</w:t>
      </w:r>
      <w:r w:rsidR="00D94B71" w:rsidRPr="002B3D5C">
        <w:t xml:space="preserve"> not use the Internet (42</w:t>
      </w:r>
      <w:r w:rsidR="00562D18" w:rsidRPr="002B3D5C">
        <w:t>%)</w:t>
      </w:r>
      <w:r w:rsidR="00C339C2" w:rsidRPr="002B3D5C">
        <w:t xml:space="preserve"> in this study</w:t>
      </w:r>
      <w:r w:rsidR="00562D18" w:rsidRPr="002B3D5C">
        <w:t>,</w:t>
      </w:r>
      <w:r w:rsidR="00652D06" w:rsidRPr="002B3D5C">
        <w:t xml:space="preserve"> </w:t>
      </w:r>
      <w:r w:rsidR="00193BC2" w:rsidRPr="002B3D5C">
        <w:t xml:space="preserve">with this trend </w:t>
      </w:r>
      <w:r w:rsidR="006D7B8A" w:rsidRPr="002B3D5C">
        <w:t>being more evident among women.</w:t>
      </w:r>
    </w:p>
    <w:p w:rsidR="006D7B8A" w:rsidRPr="002B3D5C" w:rsidRDefault="006D7B8A" w:rsidP="005C41B7">
      <w:pPr>
        <w:pStyle w:val="APAPar"/>
      </w:pPr>
      <w:r w:rsidRPr="002B3D5C">
        <w:t>Lastly, the findings of this thesis indicate that</w:t>
      </w:r>
      <w:r w:rsidRPr="002B3D5C">
        <w:rPr>
          <w:lang w:val="en-US"/>
        </w:rPr>
        <w:t xml:space="preserve"> the OTDL-G has a moderate, potentially satisfactory internal consistency, whereas the EPT-G reached excellent levels of internal consistency. </w:t>
      </w:r>
      <w:r w:rsidRPr="002B3D5C">
        <w:t>Inter</w:t>
      </w:r>
      <w:r w:rsidR="000F2602">
        <w:t>-</w:t>
      </w:r>
      <w:r w:rsidRPr="002B3D5C">
        <w:t xml:space="preserve">rater reliability analysis did not yield any statistically significant difference in the means scores as a function of the researcher </w:t>
      </w:r>
      <w:r w:rsidR="00BC30CE" w:rsidRPr="002B3D5C">
        <w:t>administering the</w:t>
      </w:r>
      <w:r w:rsidRPr="002B3D5C">
        <w:t xml:space="preserve"> assessment</w:t>
      </w:r>
      <w:r w:rsidR="00BC30CE" w:rsidRPr="002B3D5C">
        <w:t>s</w:t>
      </w:r>
      <w:r w:rsidRPr="002B3D5C">
        <w:t>. The findings of thesis also gave support to the criterion-related validity of the EPT-G and OTDL-G, as both correlate statistically significantly with various measures of cognitive performance, as well as with age. This indicates that the translation and the adaptation of the OTDL-G and the EPT-G</w:t>
      </w:r>
      <w:r w:rsidR="00BC30CE" w:rsidRPr="002B3D5C">
        <w:t xml:space="preserve"> was successful in producing</w:t>
      </w:r>
      <w:r w:rsidRPr="002B3D5C">
        <w:t xml:space="preserve"> two reliable and valid instruments </w:t>
      </w:r>
      <w:r w:rsidR="00BC30CE" w:rsidRPr="002B3D5C">
        <w:t xml:space="preserve">of everyday functioning that can </w:t>
      </w:r>
      <w:r w:rsidR="00E3538F">
        <w:t xml:space="preserve">be </w:t>
      </w:r>
      <w:r w:rsidRPr="002B3D5C">
        <w:t xml:space="preserve">used for research purposes among Greek seniors. </w:t>
      </w:r>
    </w:p>
    <w:p w:rsidR="00ED3BDB" w:rsidRPr="002B3D5C" w:rsidRDefault="00ED3BDB" w:rsidP="00FE028D">
      <w:pPr>
        <w:pStyle w:val="Heading2"/>
      </w:pPr>
      <w:bookmarkStart w:id="204" w:name="_Toc521184272"/>
      <w:bookmarkStart w:id="205" w:name="_Toc373425998"/>
      <w:r w:rsidRPr="002B3D5C">
        <w:t>Study strengths and limitations</w:t>
      </w:r>
      <w:bookmarkEnd w:id="204"/>
    </w:p>
    <w:p w:rsidR="00BF1ABA" w:rsidRPr="002B3D5C" w:rsidRDefault="00BF1ABA" w:rsidP="005C41B7">
      <w:pPr>
        <w:pStyle w:val="APAPar"/>
      </w:pPr>
      <w:r w:rsidRPr="002B3D5C">
        <w:rPr>
          <w:lang w:val="en-US"/>
        </w:rPr>
        <w:t>This thesis set</w:t>
      </w:r>
      <w:r w:rsidR="000F2602">
        <w:rPr>
          <w:lang w:val="en-US"/>
        </w:rPr>
        <w:t xml:space="preserve"> out</w:t>
      </w:r>
      <w:r w:rsidRPr="002B3D5C">
        <w:rPr>
          <w:lang w:val="en-US"/>
        </w:rPr>
        <w:t xml:space="preserve"> to examine the social factors that influence cognitive performance and everyday functioning in older age. There was a conscious effort to </w:t>
      </w:r>
      <w:r w:rsidR="00BE6891" w:rsidRPr="002B3D5C">
        <w:rPr>
          <w:lang w:val="en-US"/>
        </w:rPr>
        <w:t xml:space="preserve">adopt a </w:t>
      </w:r>
      <w:r w:rsidR="00BE6891" w:rsidRPr="002B3D5C">
        <w:t>holistic approach taking into account the complex nature of ageing, including factors that are social, behavioural, and psychological. There</w:t>
      </w:r>
      <w:r w:rsidR="00E3538F">
        <w:t xml:space="preserve"> was also a conscious effort to </w:t>
      </w:r>
      <w:r w:rsidRPr="002B3D5C">
        <w:rPr>
          <w:lang w:val="en-US"/>
        </w:rPr>
        <w:t xml:space="preserve">adopt a positive approach to cognitive ageing and address the non-pathological spectrum of cognitive performance, in order to examine </w:t>
      </w:r>
      <w:r w:rsidR="00F250F0" w:rsidRPr="002B3D5C">
        <w:rPr>
          <w:lang w:val="en-US"/>
        </w:rPr>
        <w:t xml:space="preserve">the factors that may </w:t>
      </w:r>
      <w:r w:rsidRPr="002B3D5C">
        <w:rPr>
          <w:lang w:val="en-US"/>
        </w:rPr>
        <w:t xml:space="preserve">foster functional independency in the most </w:t>
      </w:r>
      <w:r w:rsidR="00F250F0" w:rsidRPr="002B3D5C">
        <w:rPr>
          <w:lang w:val="en-US"/>
        </w:rPr>
        <w:t>representative</w:t>
      </w:r>
      <w:r w:rsidRPr="002B3D5C">
        <w:rPr>
          <w:lang w:val="en-US"/>
        </w:rPr>
        <w:t xml:space="preserve"> sample of older individuals: those that are cognitively h</w:t>
      </w:r>
      <w:r w:rsidR="00B00A3C">
        <w:rPr>
          <w:lang w:val="en-US"/>
        </w:rPr>
        <w:t>ealthy. In order to achieve these</w:t>
      </w:r>
      <w:r w:rsidRPr="002B3D5C">
        <w:rPr>
          <w:lang w:val="en-US"/>
        </w:rPr>
        <w:t xml:space="preserve"> objective</w:t>
      </w:r>
      <w:r w:rsidR="00B00A3C">
        <w:rPr>
          <w:lang w:val="en-US"/>
        </w:rPr>
        <w:t>s</w:t>
      </w:r>
      <w:r w:rsidRPr="002B3D5C">
        <w:rPr>
          <w:lang w:val="en-US"/>
        </w:rPr>
        <w:t xml:space="preserve">, </w:t>
      </w:r>
      <w:r w:rsidR="00F250F0" w:rsidRPr="002B3D5C">
        <w:rPr>
          <w:lang w:val="en-US"/>
        </w:rPr>
        <w:t xml:space="preserve">the study aimed at </w:t>
      </w:r>
      <w:r w:rsidRPr="002B3D5C">
        <w:rPr>
          <w:lang w:val="en-US"/>
        </w:rPr>
        <w:t xml:space="preserve">a detailed and culture sensitive examination of cognitive performance and everyday functioning, which required </w:t>
      </w:r>
      <w:r w:rsidR="00C339C2" w:rsidRPr="002B3D5C">
        <w:rPr>
          <w:lang w:val="en-US"/>
        </w:rPr>
        <w:t xml:space="preserve">detailed </w:t>
      </w:r>
      <w:r w:rsidRPr="002B3D5C">
        <w:rPr>
          <w:lang w:val="en-US"/>
        </w:rPr>
        <w:t>neuropsychological examination</w:t>
      </w:r>
      <w:r w:rsidR="00184673" w:rsidRPr="002B3D5C">
        <w:rPr>
          <w:lang w:val="en-US"/>
        </w:rPr>
        <w:t>s</w:t>
      </w:r>
      <w:r w:rsidRPr="002B3D5C">
        <w:rPr>
          <w:lang w:val="en-US"/>
        </w:rPr>
        <w:t xml:space="preserve"> and the </w:t>
      </w:r>
      <w:r w:rsidR="00F250F0" w:rsidRPr="002B3D5C">
        <w:rPr>
          <w:lang w:val="en-US"/>
        </w:rPr>
        <w:t>adaptation</w:t>
      </w:r>
      <w:r w:rsidRPr="002B3D5C">
        <w:rPr>
          <w:lang w:val="en-US"/>
        </w:rPr>
        <w:t xml:space="preserve"> of the relevant </w:t>
      </w:r>
      <w:r w:rsidR="00C339C2" w:rsidRPr="002B3D5C">
        <w:rPr>
          <w:lang w:val="en-US"/>
        </w:rPr>
        <w:t xml:space="preserve">everyday functioning </w:t>
      </w:r>
      <w:r w:rsidRPr="002B3D5C">
        <w:rPr>
          <w:lang w:val="en-US"/>
        </w:rPr>
        <w:t>assessment tools.</w:t>
      </w:r>
    </w:p>
    <w:p w:rsidR="00BF1ABA" w:rsidRPr="002B3D5C" w:rsidRDefault="00930AC5" w:rsidP="005C41B7">
      <w:pPr>
        <w:pStyle w:val="APAPar"/>
        <w:rPr>
          <w:lang w:val="en-US"/>
        </w:rPr>
      </w:pPr>
      <w:r w:rsidRPr="002B3D5C">
        <w:rPr>
          <w:lang w:val="en-US"/>
        </w:rPr>
        <w:t xml:space="preserve">This examination was </w:t>
      </w:r>
      <w:r w:rsidR="007E07D8" w:rsidRPr="002B3D5C">
        <w:rPr>
          <w:lang w:val="en-US"/>
        </w:rPr>
        <w:t xml:space="preserve">undertaken using an interdisciplinary approach, combining social science and neuropsychology. </w:t>
      </w:r>
      <w:r w:rsidR="00404A77" w:rsidRPr="002B3D5C">
        <w:rPr>
          <w:lang w:val="en-US"/>
        </w:rPr>
        <w:t>The effect of SES was examined simultaneously by three different indexes, namely income, education and the SES of the residing neighborhood. This approach allowed the detailed examination</w:t>
      </w:r>
      <w:r w:rsidR="00BE6891" w:rsidRPr="002B3D5C">
        <w:rPr>
          <w:lang w:val="en-US"/>
        </w:rPr>
        <w:t xml:space="preserve"> of social factors’ effect </w:t>
      </w:r>
      <w:r w:rsidR="00404A77" w:rsidRPr="002B3D5C">
        <w:rPr>
          <w:lang w:val="en-US"/>
        </w:rPr>
        <w:t>on cognitive performance</w:t>
      </w:r>
      <w:r w:rsidR="00BE6891" w:rsidRPr="002B3D5C">
        <w:rPr>
          <w:lang w:val="en-US"/>
        </w:rPr>
        <w:t xml:space="preserve">, using sensitive measures that can capture performance fluctuations at the healthy spectrum of cognitive vitality. </w:t>
      </w:r>
      <w:r w:rsidR="00BF1ABA" w:rsidRPr="002B3D5C">
        <w:rPr>
          <w:lang w:val="en-US"/>
        </w:rPr>
        <w:t xml:space="preserve">The fieldwork deviated from the common practice in </w:t>
      </w:r>
      <w:r w:rsidR="00184673" w:rsidRPr="002B3D5C">
        <w:rPr>
          <w:lang w:val="en-US"/>
        </w:rPr>
        <w:t>assuming as cognitively healthy those individuals that are screened with the MMSE or the MoCA tools beyond a threshold in cognitive performance. As was evidenced in Chapter 7, 10% of the sample was excluded based on their inability to conduct everyday tasks in adequate levels (as assessed with the OTDL-G and EPT-G), although the</w:t>
      </w:r>
      <w:r w:rsidR="00C339C2" w:rsidRPr="002B3D5C">
        <w:rPr>
          <w:lang w:val="en-US"/>
        </w:rPr>
        <w:t xml:space="preserve">ir MMSE and </w:t>
      </w:r>
      <w:r w:rsidR="00184673" w:rsidRPr="002B3D5C">
        <w:rPr>
          <w:lang w:val="en-US"/>
        </w:rPr>
        <w:t xml:space="preserve">MoCA </w:t>
      </w:r>
      <w:r w:rsidR="00C339C2" w:rsidRPr="002B3D5C">
        <w:rPr>
          <w:lang w:val="en-US"/>
        </w:rPr>
        <w:t xml:space="preserve">scored </w:t>
      </w:r>
      <w:r w:rsidR="00184673" w:rsidRPr="002B3D5C">
        <w:rPr>
          <w:lang w:val="en-US"/>
        </w:rPr>
        <w:t xml:space="preserve">did not </w:t>
      </w:r>
      <w:r w:rsidR="00C339C2" w:rsidRPr="002B3D5C">
        <w:rPr>
          <w:lang w:val="en-US"/>
        </w:rPr>
        <w:t>indicate</w:t>
      </w:r>
      <w:r w:rsidR="00184673" w:rsidRPr="002B3D5C">
        <w:rPr>
          <w:lang w:val="en-US"/>
        </w:rPr>
        <w:t xml:space="preserve"> </w:t>
      </w:r>
      <w:r w:rsidR="00C339C2" w:rsidRPr="002B3D5C">
        <w:rPr>
          <w:lang w:val="en-US"/>
        </w:rPr>
        <w:t xml:space="preserve">significant </w:t>
      </w:r>
      <w:r w:rsidR="00184673" w:rsidRPr="002B3D5C">
        <w:rPr>
          <w:lang w:val="en-US"/>
        </w:rPr>
        <w:t>abnormalities in their cognitive status. Th</w:t>
      </w:r>
      <w:r w:rsidR="00C339C2" w:rsidRPr="002B3D5C">
        <w:rPr>
          <w:lang w:val="en-US"/>
        </w:rPr>
        <w:t>is indicates that a detailed</w:t>
      </w:r>
      <w:r w:rsidR="00184673" w:rsidRPr="002B3D5C">
        <w:rPr>
          <w:lang w:val="en-US"/>
        </w:rPr>
        <w:t xml:space="preserve"> screening process is necessary</w:t>
      </w:r>
      <w:r w:rsidR="00C339C2" w:rsidRPr="002B3D5C">
        <w:rPr>
          <w:lang w:val="en-US"/>
        </w:rPr>
        <w:t>,</w:t>
      </w:r>
      <w:r w:rsidR="00184673" w:rsidRPr="002B3D5C">
        <w:rPr>
          <w:lang w:val="en-US"/>
        </w:rPr>
        <w:t xml:space="preserve"> and </w:t>
      </w:r>
      <w:r w:rsidR="00C339C2" w:rsidRPr="002B3D5C">
        <w:rPr>
          <w:lang w:val="en-US"/>
        </w:rPr>
        <w:t xml:space="preserve">therefore a </w:t>
      </w:r>
      <w:r w:rsidR="00184673" w:rsidRPr="002B3D5C">
        <w:rPr>
          <w:lang w:val="en-US"/>
        </w:rPr>
        <w:t>recommended practice for future studi</w:t>
      </w:r>
      <w:r w:rsidR="00C339C2" w:rsidRPr="002B3D5C">
        <w:rPr>
          <w:lang w:val="en-US"/>
        </w:rPr>
        <w:t>es in the field</w:t>
      </w:r>
      <w:r w:rsidR="002C5AEB">
        <w:rPr>
          <w:lang w:val="en-US"/>
        </w:rPr>
        <w:t>s</w:t>
      </w:r>
      <w:r w:rsidR="00C339C2" w:rsidRPr="002B3D5C">
        <w:rPr>
          <w:lang w:val="en-US"/>
        </w:rPr>
        <w:t xml:space="preserve"> of gerontology</w:t>
      </w:r>
      <w:r w:rsidR="002C5AEB">
        <w:rPr>
          <w:lang w:val="en-US"/>
        </w:rPr>
        <w:t xml:space="preserve"> and neuropsychology</w:t>
      </w:r>
      <w:r w:rsidR="00184673" w:rsidRPr="002B3D5C">
        <w:rPr>
          <w:lang w:val="en-US"/>
        </w:rPr>
        <w:t>.</w:t>
      </w:r>
    </w:p>
    <w:p w:rsidR="00806C38" w:rsidRPr="002B3D5C" w:rsidRDefault="00184673" w:rsidP="005C41B7">
      <w:pPr>
        <w:pStyle w:val="APAPar"/>
        <w:rPr>
          <w:lang w:val="en-US"/>
        </w:rPr>
      </w:pPr>
      <w:r w:rsidRPr="002B3D5C">
        <w:rPr>
          <w:lang w:val="en-US"/>
        </w:rPr>
        <w:t xml:space="preserve">The normative arguments examined in this thesis are both influential and </w:t>
      </w:r>
      <w:r w:rsidR="000B566D" w:rsidRPr="002B3D5C">
        <w:rPr>
          <w:lang w:val="en-US"/>
        </w:rPr>
        <w:t xml:space="preserve">widely discussed in the realm of the scientific discourse and political dialogue. The approach used in </w:t>
      </w:r>
      <w:r w:rsidR="006841C5" w:rsidRPr="002B3D5C">
        <w:rPr>
          <w:lang w:val="en-US"/>
        </w:rPr>
        <w:t xml:space="preserve">the </w:t>
      </w:r>
      <w:r w:rsidR="000B566D" w:rsidRPr="002B3D5C">
        <w:rPr>
          <w:lang w:val="en-US"/>
        </w:rPr>
        <w:t xml:space="preserve">screening </w:t>
      </w:r>
      <w:r w:rsidR="006841C5" w:rsidRPr="002B3D5C">
        <w:rPr>
          <w:lang w:val="en-US"/>
        </w:rPr>
        <w:t>phase which included</w:t>
      </w:r>
      <w:r w:rsidR="000B566D" w:rsidRPr="002B3D5C">
        <w:rPr>
          <w:lang w:val="en-US"/>
        </w:rPr>
        <w:t xml:space="preserve"> </w:t>
      </w:r>
      <w:r w:rsidR="006841C5" w:rsidRPr="002B3D5C">
        <w:rPr>
          <w:lang w:val="en-US"/>
        </w:rPr>
        <w:t xml:space="preserve">only </w:t>
      </w:r>
      <w:r w:rsidR="00B00A3C">
        <w:rPr>
          <w:lang w:val="en-US"/>
        </w:rPr>
        <w:t>those who we</w:t>
      </w:r>
      <w:r w:rsidR="000B566D" w:rsidRPr="002B3D5C">
        <w:rPr>
          <w:lang w:val="en-US"/>
        </w:rPr>
        <w:t>re cognitively healthy</w:t>
      </w:r>
      <w:r w:rsidR="006841C5" w:rsidRPr="002B3D5C">
        <w:rPr>
          <w:lang w:val="en-US"/>
        </w:rPr>
        <w:t>, allowed</w:t>
      </w:r>
      <w:r w:rsidR="000B566D" w:rsidRPr="002B3D5C">
        <w:rPr>
          <w:lang w:val="en-US"/>
        </w:rPr>
        <w:t xml:space="preserve"> to examine those arguments in the healthy spectrum of cognitive and functional performance, filling a research </w:t>
      </w:r>
      <w:r w:rsidR="00C339C2" w:rsidRPr="002B3D5C">
        <w:rPr>
          <w:lang w:val="en-US"/>
        </w:rPr>
        <w:t>gap</w:t>
      </w:r>
      <w:r w:rsidR="000B566D" w:rsidRPr="002B3D5C">
        <w:rPr>
          <w:lang w:val="en-US"/>
        </w:rPr>
        <w:t xml:space="preserve"> in this field, as described in Chapter 3. This </w:t>
      </w:r>
      <w:r w:rsidR="00C339C2" w:rsidRPr="002B3D5C">
        <w:rPr>
          <w:lang w:val="en-US"/>
        </w:rPr>
        <w:t>gap was evidenced</w:t>
      </w:r>
      <w:r w:rsidR="000B566D" w:rsidRPr="002B3D5C">
        <w:rPr>
          <w:lang w:val="en-US"/>
        </w:rPr>
        <w:t xml:space="preserve"> by the fact that no meta-analyt</w:t>
      </w:r>
      <w:r w:rsidR="00C339C2" w:rsidRPr="002B3D5C">
        <w:rPr>
          <w:lang w:val="en-US"/>
        </w:rPr>
        <w:t xml:space="preserve">ic studies have been conducted </w:t>
      </w:r>
      <w:r w:rsidR="000B566D" w:rsidRPr="002B3D5C">
        <w:rPr>
          <w:lang w:val="en-US"/>
        </w:rPr>
        <w:t xml:space="preserve"> examining the relationship between cognitive performance and everyday functioning</w:t>
      </w:r>
      <w:r w:rsidR="00C339C2" w:rsidRPr="002B3D5C">
        <w:rPr>
          <w:lang w:val="en-US"/>
        </w:rPr>
        <w:t xml:space="preserve"> among cognitively healthy older adults</w:t>
      </w:r>
      <w:r w:rsidR="000B566D" w:rsidRPr="002B3D5C">
        <w:rPr>
          <w:lang w:val="en-US"/>
        </w:rPr>
        <w:t xml:space="preserve">, although the assumption that age-related </w:t>
      </w:r>
      <w:r w:rsidR="00C339C2" w:rsidRPr="002B3D5C">
        <w:rPr>
          <w:lang w:val="en-US"/>
        </w:rPr>
        <w:t xml:space="preserve">cognitive </w:t>
      </w:r>
      <w:r w:rsidR="000B566D" w:rsidRPr="002B3D5C">
        <w:rPr>
          <w:lang w:val="en-US"/>
        </w:rPr>
        <w:t xml:space="preserve">declines </w:t>
      </w:r>
      <w:r w:rsidR="000F2602" w:rsidRPr="002B3D5C">
        <w:rPr>
          <w:lang w:val="en-US"/>
        </w:rPr>
        <w:t xml:space="preserve">drastically </w:t>
      </w:r>
      <w:r w:rsidR="00C339C2" w:rsidRPr="002B3D5C">
        <w:rPr>
          <w:lang w:val="en-US"/>
        </w:rPr>
        <w:t xml:space="preserve">affects </w:t>
      </w:r>
      <w:r w:rsidR="005B7B0F">
        <w:rPr>
          <w:lang w:val="en-US"/>
        </w:rPr>
        <w:t>everyday</w:t>
      </w:r>
      <w:r w:rsidR="00C339C2" w:rsidRPr="002B3D5C">
        <w:rPr>
          <w:lang w:val="en-US"/>
        </w:rPr>
        <w:t xml:space="preserve"> </w:t>
      </w:r>
      <w:r w:rsidR="000B566D" w:rsidRPr="002B3D5C">
        <w:rPr>
          <w:lang w:val="en-US"/>
        </w:rPr>
        <w:t xml:space="preserve">functioning </w:t>
      </w:r>
      <w:r w:rsidR="00C339C2" w:rsidRPr="002B3D5C">
        <w:rPr>
          <w:lang w:val="en-US"/>
        </w:rPr>
        <w:t>remains a stro</w:t>
      </w:r>
      <w:r w:rsidR="000B566D" w:rsidRPr="002B3D5C">
        <w:rPr>
          <w:lang w:val="en-US"/>
        </w:rPr>
        <w:t xml:space="preserve">ng statement. </w:t>
      </w:r>
      <w:r w:rsidR="00806C38" w:rsidRPr="002B3D5C">
        <w:rPr>
          <w:lang w:val="en-US"/>
        </w:rPr>
        <w:t xml:space="preserve">This thesis proceeded with a statistical meta-analysis on the relation between cognitive performance and everyday functioning, which guided more soundly the selection of assessment tools that are sensitive enough to </w:t>
      </w:r>
      <w:r w:rsidR="002C5AEB">
        <w:rPr>
          <w:lang w:val="en-US"/>
        </w:rPr>
        <w:t>capture performance fluctuation in cognitive performance and everyday functioning among</w:t>
      </w:r>
      <w:r w:rsidR="00806C38" w:rsidRPr="002B3D5C">
        <w:rPr>
          <w:lang w:val="en-US"/>
        </w:rPr>
        <w:t xml:space="preserve"> cognitively healthy older adults.</w:t>
      </w:r>
    </w:p>
    <w:p w:rsidR="008831F3" w:rsidRPr="002B3D5C" w:rsidRDefault="008831F3" w:rsidP="005C41B7">
      <w:pPr>
        <w:pStyle w:val="APAPar"/>
        <w:rPr>
          <w:lang w:val="en-US"/>
        </w:rPr>
      </w:pPr>
      <w:r w:rsidRPr="002B3D5C">
        <w:rPr>
          <w:lang w:val="en-US"/>
        </w:rPr>
        <w:t>T</w:t>
      </w:r>
      <w:r w:rsidR="00675C5C" w:rsidRPr="002B3D5C">
        <w:rPr>
          <w:lang w:val="en-US"/>
        </w:rPr>
        <w:t>he common practice</w:t>
      </w:r>
      <w:r w:rsidRPr="002B3D5C">
        <w:rPr>
          <w:lang w:val="en-US"/>
        </w:rPr>
        <w:t xml:space="preserve"> in ageing studies</w:t>
      </w:r>
      <w:r w:rsidR="00675C5C" w:rsidRPr="002B3D5C">
        <w:rPr>
          <w:lang w:val="en-US"/>
        </w:rPr>
        <w:t xml:space="preserve"> </w:t>
      </w:r>
      <w:r w:rsidRPr="002B3D5C">
        <w:rPr>
          <w:lang w:val="en-US"/>
        </w:rPr>
        <w:t xml:space="preserve">is </w:t>
      </w:r>
      <w:r w:rsidR="000F2602">
        <w:rPr>
          <w:lang w:val="en-US"/>
        </w:rPr>
        <w:t>to have</w:t>
      </w:r>
      <w:r w:rsidR="00675C5C" w:rsidRPr="002B3D5C">
        <w:rPr>
          <w:lang w:val="en-US"/>
        </w:rPr>
        <w:t xml:space="preserve"> </w:t>
      </w:r>
      <w:r w:rsidR="00806C38" w:rsidRPr="002B3D5C">
        <w:rPr>
          <w:lang w:val="en-US"/>
        </w:rPr>
        <w:t>cognitive performance as the main</w:t>
      </w:r>
      <w:r w:rsidR="00675C5C" w:rsidRPr="002B3D5C">
        <w:rPr>
          <w:lang w:val="en-US"/>
        </w:rPr>
        <w:t xml:space="preserve"> outcome</w:t>
      </w:r>
      <w:r w:rsidRPr="002B3D5C">
        <w:rPr>
          <w:lang w:val="en-US"/>
        </w:rPr>
        <w:t>. This thesis deviated from this practice by</w:t>
      </w:r>
      <w:r w:rsidR="00675C5C" w:rsidRPr="002B3D5C">
        <w:rPr>
          <w:lang w:val="en-US"/>
        </w:rPr>
        <w:t xml:space="preserve"> employing two measures of everyday functioning as the central point of reference. The selection of the instruments followed a careful and evidence-based consideration of their sensitivity in capturing </w:t>
      </w:r>
      <w:r w:rsidRPr="002B3D5C">
        <w:rPr>
          <w:lang w:val="en-US"/>
        </w:rPr>
        <w:t xml:space="preserve">performance fluctuations in the healthy spectrum of cognitive performance. The nature of these assessments (observation-based and paper and pencil test) require an increased amount of time and resources for their administration. Most research on ageing </w:t>
      </w:r>
      <w:r w:rsidR="005B7B0F">
        <w:rPr>
          <w:lang w:val="en-US"/>
        </w:rPr>
        <w:t xml:space="preserve">has </w:t>
      </w:r>
      <w:r w:rsidR="00A957A0" w:rsidRPr="002B3D5C">
        <w:rPr>
          <w:lang w:val="en-US"/>
        </w:rPr>
        <w:t>used questionnaire-</w:t>
      </w:r>
      <w:r w:rsidRPr="002B3D5C">
        <w:rPr>
          <w:lang w:val="en-US"/>
        </w:rPr>
        <w:t xml:space="preserve">based assessments </w:t>
      </w:r>
      <w:r w:rsidR="002C5AEB">
        <w:rPr>
          <w:lang w:val="en-US"/>
        </w:rPr>
        <w:t xml:space="preserve">instead, </w:t>
      </w:r>
      <w:r w:rsidRPr="002B3D5C">
        <w:rPr>
          <w:lang w:val="en-US"/>
        </w:rPr>
        <w:t>due to pragmatic considerations</w:t>
      </w:r>
      <w:r w:rsidR="002C5AEB">
        <w:rPr>
          <w:lang w:val="en-US"/>
        </w:rPr>
        <w:t xml:space="preserve"> for the time needed for their administration</w:t>
      </w:r>
      <w:r w:rsidR="00A957A0" w:rsidRPr="002B3D5C">
        <w:rPr>
          <w:lang w:val="en-US"/>
        </w:rPr>
        <w:t>.</w:t>
      </w:r>
      <w:r w:rsidRPr="002B3D5C">
        <w:rPr>
          <w:lang w:val="en-US"/>
        </w:rPr>
        <w:t xml:space="preserve"> Yet, observation-based and paper and pencil based measures were preferred in this </w:t>
      </w:r>
      <w:r w:rsidR="000F2602">
        <w:rPr>
          <w:lang w:val="en-US"/>
        </w:rPr>
        <w:t xml:space="preserve">research </w:t>
      </w:r>
      <w:r w:rsidRPr="002B3D5C">
        <w:rPr>
          <w:lang w:val="en-US"/>
        </w:rPr>
        <w:t>because they are</w:t>
      </w:r>
      <w:r w:rsidR="00112ECB" w:rsidRPr="002B3D5C">
        <w:rPr>
          <w:lang w:val="en-US"/>
        </w:rPr>
        <w:t xml:space="preserve"> more sensitive and</w:t>
      </w:r>
      <w:r w:rsidRPr="002B3D5C">
        <w:rPr>
          <w:lang w:val="en-US"/>
        </w:rPr>
        <w:t xml:space="preserve"> less susceptible to self-serving biases, offer</w:t>
      </w:r>
      <w:r w:rsidR="00A957A0" w:rsidRPr="002B3D5C">
        <w:rPr>
          <w:lang w:val="en-US"/>
        </w:rPr>
        <w:t>ing</w:t>
      </w:r>
      <w:r w:rsidRPr="002B3D5C">
        <w:rPr>
          <w:lang w:val="en-US"/>
        </w:rPr>
        <w:t xml:space="preserve"> more </w:t>
      </w:r>
      <w:r w:rsidR="00A957A0" w:rsidRPr="002B3D5C">
        <w:rPr>
          <w:lang w:val="en-US"/>
        </w:rPr>
        <w:t xml:space="preserve">detailed and objective </w:t>
      </w:r>
      <w:r w:rsidRPr="002B3D5C">
        <w:rPr>
          <w:lang w:val="en-US"/>
        </w:rPr>
        <w:t xml:space="preserve">estimations </w:t>
      </w:r>
      <w:r w:rsidR="00A957A0" w:rsidRPr="002B3D5C">
        <w:rPr>
          <w:lang w:val="en-US"/>
        </w:rPr>
        <w:t xml:space="preserve">of </w:t>
      </w:r>
      <w:r w:rsidR="00BE6891" w:rsidRPr="002B3D5C">
        <w:rPr>
          <w:lang w:val="en-US"/>
        </w:rPr>
        <w:t xml:space="preserve">functional </w:t>
      </w:r>
      <w:r w:rsidR="00A957A0" w:rsidRPr="002B3D5C">
        <w:rPr>
          <w:lang w:val="en-US"/>
        </w:rPr>
        <w:t xml:space="preserve">performance. </w:t>
      </w:r>
    </w:p>
    <w:p w:rsidR="005B7B0F" w:rsidRDefault="00A957A0" w:rsidP="005C41B7">
      <w:pPr>
        <w:pStyle w:val="APAPar"/>
      </w:pPr>
      <w:r w:rsidRPr="002B3D5C">
        <w:rPr>
          <w:lang w:val="en-US"/>
        </w:rPr>
        <w:t xml:space="preserve">The detailed examination of everyday functioning in this </w:t>
      </w:r>
      <w:r w:rsidR="000F2602">
        <w:rPr>
          <w:lang w:val="en-US"/>
        </w:rPr>
        <w:t>research</w:t>
      </w:r>
      <w:r w:rsidRPr="002B3D5C">
        <w:rPr>
          <w:lang w:val="en-US"/>
        </w:rPr>
        <w:t xml:space="preserve"> was not conducted </w:t>
      </w:r>
      <w:r w:rsidR="005B7B0F">
        <w:rPr>
          <w:lang w:val="en-US"/>
        </w:rPr>
        <w:t>at</w:t>
      </w:r>
      <w:r w:rsidRPr="002B3D5C">
        <w:rPr>
          <w:lang w:val="en-US"/>
        </w:rPr>
        <w:t xml:space="preserve"> the expense of a detailed examination of</w:t>
      </w:r>
      <w:r w:rsidR="000F2602">
        <w:rPr>
          <w:lang w:val="en-US"/>
        </w:rPr>
        <w:t xml:space="preserve"> cognitive performance. Rather</w:t>
      </w:r>
      <w:r w:rsidRPr="002B3D5C">
        <w:rPr>
          <w:lang w:val="en-US"/>
        </w:rPr>
        <w:t xml:space="preserve">, cognitive performance was assessed using </w:t>
      </w:r>
      <w:r w:rsidR="000F2602">
        <w:rPr>
          <w:lang w:val="en-US"/>
        </w:rPr>
        <w:t>six</w:t>
      </w:r>
      <w:r w:rsidRPr="002B3D5C">
        <w:rPr>
          <w:lang w:val="en-US"/>
        </w:rPr>
        <w:t xml:space="preserve"> cognitive measures, </w:t>
      </w:r>
      <w:r w:rsidR="00930AC5" w:rsidRPr="002B3D5C">
        <w:rPr>
          <w:lang w:val="en-US"/>
        </w:rPr>
        <w:t xml:space="preserve">increasing its construct validity on the one hand, and </w:t>
      </w:r>
      <w:r w:rsidRPr="002B3D5C">
        <w:rPr>
          <w:lang w:val="en-US"/>
        </w:rPr>
        <w:t xml:space="preserve">dissociating specific aspects </w:t>
      </w:r>
      <w:r w:rsidR="002C5AEB">
        <w:rPr>
          <w:lang w:val="en-US"/>
        </w:rPr>
        <w:t xml:space="preserve">of cognitive performance </w:t>
      </w:r>
      <w:r w:rsidRPr="002B3D5C">
        <w:rPr>
          <w:lang w:val="en-US"/>
        </w:rPr>
        <w:t>in</w:t>
      </w:r>
      <w:r w:rsidR="00930AC5" w:rsidRPr="002B3D5C">
        <w:rPr>
          <w:lang w:val="en-US"/>
        </w:rPr>
        <w:t xml:space="preserve"> its</w:t>
      </w:r>
      <w:r w:rsidRPr="002B3D5C">
        <w:rPr>
          <w:lang w:val="en-US"/>
        </w:rPr>
        <w:t xml:space="preserve"> relation </w:t>
      </w:r>
      <w:r w:rsidR="00930AC5" w:rsidRPr="002B3D5C">
        <w:rPr>
          <w:lang w:val="en-US"/>
        </w:rPr>
        <w:t>with everyday</w:t>
      </w:r>
      <w:r w:rsidRPr="002B3D5C">
        <w:rPr>
          <w:lang w:val="en-US"/>
        </w:rPr>
        <w:t xml:space="preserve"> functioning</w:t>
      </w:r>
      <w:r w:rsidR="00930AC5" w:rsidRPr="002B3D5C">
        <w:rPr>
          <w:lang w:val="en-US"/>
        </w:rPr>
        <w:t xml:space="preserve"> on the other</w:t>
      </w:r>
      <w:r w:rsidRPr="002B3D5C">
        <w:rPr>
          <w:lang w:val="en-US"/>
        </w:rPr>
        <w:t>. This produced a high</w:t>
      </w:r>
      <w:r w:rsidR="000F2602">
        <w:rPr>
          <w:lang w:val="en-US"/>
        </w:rPr>
        <w:t>ly</w:t>
      </w:r>
      <w:r w:rsidRPr="002B3D5C">
        <w:rPr>
          <w:lang w:val="en-US"/>
        </w:rPr>
        <w:t xml:space="preserve"> time-consuming data collection process, allowing a more in-depth examination of the relation between </w:t>
      </w:r>
      <w:r w:rsidR="00930AC5" w:rsidRPr="002B3D5C">
        <w:rPr>
          <w:lang w:val="en-US"/>
        </w:rPr>
        <w:t xml:space="preserve">cognitive performance and everyday functioning </w:t>
      </w:r>
      <w:r w:rsidR="005B7B0F">
        <w:t xml:space="preserve">having the limitation though of not being feasible to achieve a </w:t>
      </w:r>
      <w:r w:rsidR="00B00A3C">
        <w:t xml:space="preserve">relatively </w:t>
      </w:r>
      <w:r w:rsidR="005B7B0F">
        <w:t>large sample size.</w:t>
      </w:r>
    </w:p>
    <w:p w:rsidR="00E546ED" w:rsidRDefault="005B7B0F" w:rsidP="005C41B7">
      <w:pPr>
        <w:pStyle w:val="APAPar"/>
        <w:rPr>
          <w:lang w:val="en-US"/>
        </w:rPr>
      </w:pPr>
      <w:r>
        <w:rPr>
          <w:lang w:val="en-US"/>
        </w:rPr>
        <w:t>The</w:t>
      </w:r>
      <w:r w:rsidR="00DC494B" w:rsidRPr="002B3D5C">
        <w:rPr>
          <w:lang w:val="en-US"/>
        </w:rPr>
        <w:t xml:space="preserve"> limitations in th</w:t>
      </w:r>
      <w:r>
        <w:rPr>
          <w:lang w:val="en-US"/>
        </w:rPr>
        <w:t>e present</w:t>
      </w:r>
      <w:r w:rsidR="00DC494B" w:rsidRPr="002B3D5C">
        <w:rPr>
          <w:lang w:val="en-US"/>
        </w:rPr>
        <w:t xml:space="preserve"> </w:t>
      </w:r>
      <w:r w:rsidR="000F2602">
        <w:rPr>
          <w:lang w:val="en-US"/>
        </w:rPr>
        <w:t xml:space="preserve">research </w:t>
      </w:r>
      <w:r w:rsidR="00DC494B" w:rsidRPr="002B3D5C">
        <w:rPr>
          <w:lang w:val="en-US"/>
        </w:rPr>
        <w:t xml:space="preserve">should caution for a careful consideration of the research evidence produced and the conclusions made. The number of participants in this study was sufficient for a good prediction level in most of the statistical analyses performed, nevertheless could not secure excellent prediction levels. </w:t>
      </w:r>
      <w:r w:rsidR="00C339C2" w:rsidRPr="002B3D5C">
        <w:rPr>
          <w:lang w:val="en-US"/>
        </w:rPr>
        <w:t>The</w:t>
      </w:r>
      <w:r w:rsidR="009A48AD" w:rsidRPr="002B3D5C">
        <w:rPr>
          <w:lang w:val="en-US"/>
        </w:rPr>
        <w:t xml:space="preserve"> limited number of participants did not allow </w:t>
      </w:r>
      <w:r w:rsidR="00DB1775" w:rsidRPr="002B3D5C">
        <w:rPr>
          <w:lang w:val="en-US"/>
        </w:rPr>
        <w:t>conducting</w:t>
      </w:r>
      <w:r w:rsidR="009A48AD" w:rsidRPr="002B3D5C">
        <w:rPr>
          <w:lang w:val="en-US"/>
        </w:rPr>
        <w:t xml:space="preserve"> a moderated mediation analysis, in order to examine the mediation effect of cognitive performance in the relation between age and everyday functioning, a mediation effect that was moderated by education, Internet use, exercise and social participation. </w:t>
      </w:r>
      <w:r w:rsidR="000F2602">
        <w:rPr>
          <w:lang w:val="en-US"/>
        </w:rPr>
        <w:t>This restrained</w:t>
      </w:r>
      <w:r w:rsidR="00A3706B" w:rsidRPr="002B3D5C">
        <w:rPr>
          <w:lang w:val="en-US"/>
        </w:rPr>
        <w:t xml:space="preserve"> the </w:t>
      </w:r>
      <w:r w:rsidR="000F2602">
        <w:rPr>
          <w:lang w:val="en-US"/>
        </w:rPr>
        <w:t xml:space="preserve">researcher’s </w:t>
      </w:r>
      <w:r w:rsidR="00A3706B" w:rsidRPr="002B3D5C">
        <w:rPr>
          <w:lang w:val="en-US"/>
        </w:rPr>
        <w:t xml:space="preserve">ability to </w:t>
      </w:r>
      <w:r w:rsidR="00AB51FE" w:rsidRPr="002B3D5C">
        <w:rPr>
          <w:lang w:val="en-US"/>
        </w:rPr>
        <w:t xml:space="preserve">examine the holistic model proposed in Chapter 6 as a single model, as well as to </w:t>
      </w:r>
      <w:r w:rsidR="00A3706B" w:rsidRPr="002B3D5C">
        <w:rPr>
          <w:lang w:val="en-US"/>
        </w:rPr>
        <w:t>infer with confidence t</w:t>
      </w:r>
      <w:r w:rsidR="00AB51FE" w:rsidRPr="002B3D5C">
        <w:rPr>
          <w:lang w:val="en-US"/>
        </w:rPr>
        <w:t>he null findings of this thesis</w:t>
      </w:r>
      <w:r w:rsidR="00A3706B" w:rsidRPr="002B3D5C">
        <w:rPr>
          <w:lang w:val="en-US"/>
        </w:rPr>
        <w:t>.</w:t>
      </w:r>
    </w:p>
    <w:p w:rsidR="001B62F5" w:rsidRDefault="002D7931">
      <w:pPr>
        <w:pStyle w:val="APAPar"/>
        <w:rPr>
          <w:lang w:val="en-US"/>
        </w:rPr>
      </w:pPr>
      <w:r w:rsidRPr="0074738B">
        <w:rPr>
          <w:lang w:val="en-US"/>
        </w:rPr>
        <w:t>Although limited statistically significant evidence w</w:t>
      </w:r>
      <w:r>
        <w:rPr>
          <w:lang w:val="en-US"/>
        </w:rPr>
        <w:t xml:space="preserve">as </w:t>
      </w:r>
      <w:r w:rsidRPr="0074738B">
        <w:rPr>
          <w:lang w:val="en-US"/>
        </w:rPr>
        <w:t xml:space="preserve">present in this thesis, the possibility of Type I error due to multiple testing should be considered. As Sainani (2009) pointed out, every statistical test bares the possibility to produce falsely positive results (i.e., Type I error), which becomes greater if multiple outcomes (or predictors) are tested in a given sample. This study also tested a given sample of older adults with multiple neuropsychological assessments, </w:t>
      </w:r>
      <w:r>
        <w:rPr>
          <w:lang w:val="en-US"/>
        </w:rPr>
        <w:t xml:space="preserve">the results of </w:t>
      </w:r>
      <w:r w:rsidRPr="0074738B">
        <w:rPr>
          <w:lang w:val="en-US"/>
        </w:rPr>
        <w:t>which were used both as predictors or outcome variables in various stages of the analyses. Type I errors cannot be eliminated in scientific enquiry, but they can be limited by certain strategies (as suggested by Saina</w:t>
      </w:r>
      <w:r>
        <w:rPr>
          <w:lang w:val="en-US"/>
        </w:rPr>
        <w:t>ni, 2009) that were adopted in this research</w:t>
      </w:r>
      <w:r w:rsidRPr="0074738B">
        <w:rPr>
          <w:lang w:val="en-US"/>
        </w:rPr>
        <w:t>.  Firstly, the empirical work was hypothesis and theory drive</w:t>
      </w:r>
      <w:r>
        <w:rPr>
          <w:lang w:val="en-US"/>
        </w:rPr>
        <w:t>n</w:t>
      </w:r>
      <w:r w:rsidRPr="0074738B">
        <w:rPr>
          <w:lang w:val="en-US"/>
        </w:rPr>
        <w:t xml:space="preserve">, minimizing this way the </w:t>
      </w:r>
      <w:r>
        <w:rPr>
          <w:lang w:val="en-US"/>
        </w:rPr>
        <w:t>potential error</w:t>
      </w:r>
      <w:r w:rsidRPr="0074738B">
        <w:rPr>
          <w:lang w:val="en-US"/>
        </w:rPr>
        <w:t>. Secondly, it tested wide</w:t>
      </w:r>
      <w:r>
        <w:rPr>
          <w:lang w:val="en-US"/>
        </w:rPr>
        <w:t>ly</w:t>
      </w:r>
      <w:r w:rsidRPr="0074738B">
        <w:rPr>
          <w:lang w:val="en-US"/>
        </w:rPr>
        <w:t xml:space="preserve"> held assumptions </w:t>
      </w:r>
      <w:r>
        <w:rPr>
          <w:lang w:val="en-US"/>
        </w:rPr>
        <w:t xml:space="preserve">based on </w:t>
      </w:r>
      <w:r w:rsidRPr="0074738B">
        <w:rPr>
          <w:lang w:val="en-US"/>
        </w:rPr>
        <w:t xml:space="preserve">true effects in a large body of the scientific literature, as well as in political dialogue. Lastly, the effect sizes that were inferred as meaningfully significant were only those of at least moderate </w:t>
      </w:r>
      <w:r>
        <w:rPr>
          <w:lang w:val="en-US"/>
        </w:rPr>
        <w:t>magnitude</w:t>
      </w:r>
      <w:r w:rsidRPr="0074738B">
        <w:rPr>
          <w:lang w:val="en-US"/>
        </w:rPr>
        <w:t>, as</w:t>
      </w:r>
      <w:r>
        <w:rPr>
          <w:lang w:val="en-US"/>
        </w:rPr>
        <w:t xml:space="preserve"> in</w:t>
      </w:r>
      <w:r w:rsidRPr="0074738B">
        <w:rPr>
          <w:lang w:val="en-US"/>
        </w:rPr>
        <w:t xml:space="preserve"> the example of the comparison between direct and indirect effect in the relation of age, TMT-B, VF and everyday functioning measures.  </w:t>
      </w:r>
    </w:p>
    <w:p w:rsidR="002D7931" w:rsidRPr="0074738B" w:rsidRDefault="002D7931" w:rsidP="002D7931">
      <w:pPr>
        <w:pStyle w:val="APAPar"/>
        <w:rPr>
          <w:lang w:val="en-US"/>
        </w:rPr>
      </w:pPr>
      <w:r w:rsidRPr="0074738B">
        <w:rPr>
          <w:lang w:val="en-US"/>
        </w:rPr>
        <w:t xml:space="preserve">Referring further to the study’s ability </w:t>
      </w:r>
      <w:r>
        <w:rPr>
          <w:lang w:val="en-US"/>
        </w:rPr>
        <w:t>to depict</w:t>
      </w:r>
      <w:r w:rsidRPr="0074738B">
        <w:rPr>
          <w:lang w:val="en-US"/>
        </w:rPr>
        <w:t xml:space="preserve"> real effects, it must be noted that the nature of the sampling strategy (i.e., convenience sampling) limited the ability of the </w:t>
      </w:r>
      <w:r>
        <w:rPr>
          <w:lang w:val="en-US"/>
        </w:rPr>
        <w:t xml:space="preserve">research </w:t>
      </w:r>
      <w:r w:rsidRPr="0074738B">
        <w:rPr>
          <w:lang w:val="en-US"/>
        </w:rPr>
        <w:t>to capture a representative sample of cognitively healthy older adults. A stratified and representative sample of older individuals across the whole spectrum (i.e., low, medium, high) of the variables examined here (i.e., age, education, income, exercise, Internet use, social participation, cognitive aptitude) would allow</w:t>
      </w:r>
      <w:r>
        <w:rPr>
          <w:lang w:val="en-US"/>
        </w:rPr>
        <w:t xml:space="preserve"> one</w:t>
      </w:r>
      <w:r w:rsidRPr="0074738B">
        <w:rPr>
          <w:lang w:val="en-US"/>
        </w:rPr>
        <w:t xml:space="preserve"> to draw safer conclusion</w:t>
      </w:r>
      <w:r>
        <w:rPr>
          <w:lang w:val="en-US"/>
        </w:rPr>
        <w:t>s in regard</w:t>
      </w:r>
      <w:r w:rsidRPr="0074738B">
        <w:rPr>
          <w:lang w:val="en-US"/>
        </w:rPr>
        <w:t xml:space="preserve"> </w:t>
      </w:r>
      <w:r>
        <w:rPr>
          <w:lang w:val="en-US"/>
        </w:rPr>
        <w:t>to</w:t>
      </w:r>
      <w:r w:rsidRPr="0074738B">
        <w:rPr>
          <w:lang w:val="en-US"/>
        </w:rPr>
        <w:t xml:space="preserve"> the effect that SES, social participation</w:t>
      </w:r>
      <w:r>
        <w:rPr>
          <w:lang w:val="en-US"/>
        </w:rPr>
        <w:t>, exercise, and Internet use have</w:t>
      </w:r>
      <w:r w:rsidRPr="0074738B">
        <w:rPr>
          <w:lang w:val="en-US"/>
        </w:rPr>
        <w:t xml:space="preserve"> on cognitive performance in various age groups. The corresponding research protocol discussed in Chapter 6 could be implemented in future studies using a greater number of participants, in order to give a greater confidence in the results produced.</w:t>
      </w:r>
    </w:p>
    <w:p w:rsidR="00B82644" w:rsidRPr="002B3D5C" w:rsidRDefault="00B82644" w:rsidP="005C41B7">
      <w:pPr>
        <w:pStyle w:val="APAPar"/>
        <w:rPr>
          <w:lang w:val="en-US"/>
        </w:rPr>
      </w:pPr>
      <w:r w:rsidRPr="002B3D5C">
        <w:rPr>
          <w:lang w:val="en-US"/>
        </w:rPr>
        <w:t>Additional considerations emerge from the reduced internal consistency of the OTDL-G assessment, and by the fact that both the EPT-G and the OTDL-G have not been examined for their test-retest reliability. It should also be considered that these instruments have not been developed from scratch</w:t>
      </w:r>
      <w:r w:rsidR="00AB51FE" w:rsidRPr="002B3D5C">
        <w:rPr>
          <w:lang w:val="en-US"/>
        </w:rPr>
        <w:t xml:space="preserve"> using the Greek cultural context as its original point of reference</w:t>
      </w:r>
      <w:r w:rsidRPr="002B3D5C">
        <w:rPr>
          <w:lang w:val="en-US"/>
        </w:rPr>
        <w:t xml:space="preserve">, rather than </w:t>
      </w:r>
      <w:r w:rsidR="005B7B0F">
        <w:rPr>
          <w:lang w:val="en-US"/>
        </w:rPr>
        <w:t xml:space="preserve">that the instruments </w:t>
      </w:r>
      <w:r w:rsidR="00AB51FE" w:rsidRPr="002B3D5C">
        <w:rPr>
          <w:lang w:val="en-US"/>
        </w:rPr>
        <w:t xml:space="preserve">were </w:t>
      </w:r>
      <w:r w:rsidRPr="002B3D5C">
        <w:rPr>
          <w:lang w:val="en-US"/>
        </w:rPr>
        <w:t>adapted from two pre-existing everyday functioning assessments developed in a distinct cultural setting. This may raise concerns about their cultural specificity, and as such for their ecological validity.</w:t>
      </w:r>
    </w:p>
    <w:p w:rsidR="00785036" w:rsidRPr="002B3D5C" w:rsidRDefault="00B82644" w:rsidP="005C41B7">
      <w:pPr>
        <w:pStyle w:val="APAPar"/>
        <w:rPr>
          <w:lang w:val="en-US"/>
        </w:rPr>
      </w:pPr>
      <w:r w:rsidRPr="002B3D5C">
        <w:rPr>
          <w:lang w:val="en-US"/>
        </w:rPr>
        <w:t xml:space="preserve">The evidence of this thesis should be viewed </w:t>
      </w:r>
      <w:r w:rsidR="000F2602">
        <w:rPr>
          <w:lang w:val="en-US"/>
        </w:rPr>
        <w:t>in</w:t>
      </w:r>
      <w:r w:rsidRPr="002B3D5C">
        <w:rPr>
          <w:lang w:val="en-US"/>
        </w:rPr>
        <w:t xml:space="preserve"> the light of the ongoing debate on whether cross-sectional studies can depict developmental processes. As was discussed in</w:t>
      </w:r>
      <w:r w:rsidR="000F2602">
        <w:rPr>
          <w:lang w:val="en-US"/>
        </w:rPr>
        <w:t xml:space="preserve"> Chapter 7, as well as in this c</w:t>
      </w:r>
      <w:r w:rsidRPr="002B3D5C">
        <w:rPr>
          <w:lang w:val="en-US"/>
        </w:rPr>
        <w:t xml:space="preserve">hapter, the interpretation of the data can differ significantly depending on whether they are viewed through the lens of temporal effects, or through the lens of developmental processes. </w:t>
      </w:r>
      <w:r w:rsidR="00F97E02" w:rsidRPr="002B3D5C">
        <w:rPr>
          <w:lang w:val="en-US"/>
        </w:rPr>
        <w:t xml:space="preserve">As this thesis could not offer any further insight </w:t>
      </w:r>
      <w:r w:rsidR="000F2602">
        <w:rPr>
          <w:lang w:val="en-US"/>
        </w:rPr>
        <w:t>on</w:t>
      </w:r>
      <w:r w:rsidR="00F97E02" w:rsidRPr="002B3D5C">
        <w:rPr>
          <w:lang w:val="en-US"/>
        </w:rPr>
        <w:t xml:space="preserve"> this debate, it </w:t>
      </w:r>
      <w:r w:rsidR="005B7B0F">
        <w:rPr>
          <w:lang w:val="en-US"/>
        </w:rPr>
        <w:t xml:space="preserve">is </w:t>
      </w:r>
      <w:r w:rsidR="00F97E02" w:rsidRPr="002B3D5C">
        <w:rPr>
          <w:lang w:val="en-US"/>
        </w:rPr>
        <w:t xml:space="preserve">suggested that future studies could </w:t>
      </w:r>
      <w:r w:rsidR="000F2602">
        <w:rPr>
          <w:lang w:val="en-US"/>
        </w:rPr>
        <w:t xml:space="preserve">employ </w:t>
      </w:r>
      <w:r w:rsidR="00F97E02" w:rsidRPr="002B3D5C">
        <w:rPr>
          <w:lang w:val="en-US"/>
        </w:rPr>
        <w:t xml:space="preserve">a larger sample size and a sequential design (i.e., the combination of cross-sectional and longitudinal examination) to illuminate the influence of social factors in the healthy spectrum of cognitive ageing, and as a consequence to everyday functioning. </w:t>
      </w:r>
      <w:r w:rsidR="00053CD5" w:rsidRPr="002B3D5C">
        <w:rPr>
          <w:lang w:val="en-US"/>
        </w:rPr>
        <w:t xml:space="preserve">A sequential approach would be informative for the accumulative effects that various social factors have on cognitive performance. </w:t>
      </w:r>
    </w:p>
    <w:p w:rsidR="008200B6" w:rsidRPr="002B3D5C" w:rsidRDefault="00053CD5" w:rsidP="005C41B7">
      <w:pPr>
        <w:pStyle w:val="APAPar"/>
        <w:rPr>
          <w:lang w:val="en-US"/>
        </w:rPr>
      </w:pPr>
      <w:r w:rsidRPr="002B3D5C">
        <w:rPr>
          <w:lang w:val="en-US"/>
        </w:rPr>
        <w:t xml:space="preserve">From a developmental perspective, temporal changes in social participation, Internet use and exercise may not exert a significant effect on </w:t>
      </w:r>
      <w:r w:rsidR="008200B6" w:rsidRPr="002B3D5C">
        <w:rPr>
          <w:lang w:val="en-US"/>
        </w:rPr>
        <w:t>cognitive vital</w:t>
      </w:r>
      <w:r w:rsidR="00023685" w:rsidRPr="002B3D5C">
        <w:rPr>
          <w:lang w:val="en-US"/>
        </w:rPr>
        <w:t>ity. As such, the questionnaire-</w:t>
      </w:r>
      <w:r w:rsidR="008200B6" w:rsidRPr="002B3D5C">
        <w:rPr>
          <w:lang w:val="en-US"/>
        </w:rPr>
        <w:t xml:space="preserve">based examination of </w:t>
      </w:r>
      <w:r w:rsidR="00023685" w:rsidRPr="002B3D5C">
        <w:rPr>
          <w:lang w:val="en-US"/>
        </w:rPr>
        <w:t>social participation, exercise and Internet use</w:t>
      </w:r>
      <w:r w:rsidR="008200B6" w:rsidRPr="002B3D5C">
        <w:rPr>
          <w:lang w:val="en-US"/>
        </w:rPr>
        <w:t xml:space="preserve"> employed in this study does </w:t>
      </w:r>
      <w:r w:rsidR="00023685" w:rsidRPr="002B3D5C">
        <w:rPr>
          <w:lang w:val="en-US"/>
        </w:rPr>
        <w:t xml:space="preserve">not </w:t>
      </w:r>
      <w:r w:rsidR="000F2602">
        <w:rPr>
          <w:lang w:val="en-US"/>
        </w:rPr>
        <w:t>show securely</w:t>
      </w:r>
      <w:r w:rsidR="008200B6" w:rsidRPr="002B3D5C">
        <w:rPr>
          <w:lang w:val="en-US"/>
        </w:rPr>
        <w:t xml:space="preserve"> accumulative effects beyond a period of time of 12 months. The effects of SES may be more accurate, as income and education are relatively invariant in one’s life. </w:t>
      </w:r>
      <w:r w:rsidR="00785036" w:rsidRPr="002B3D5C">
        <w:rPr>
          <w:lang w:val="en-US"/>
        </w:rPr>
        <w:t xml:space="preserve"> </w:t>
      </w:r>
      <w:r w:rsidR="008200B6" w:rsidRPr="002B3D5C">
        <w:rPr>
          <w:lang w:val="en-US"/>
        </w:rPr>
        <w:t xml:space="preserve">Particular consideration should be placed on the limitations produced by the construct of social participation, as the questionnaire used </w:t>
      </w:r>
      <w:r w:rsidR="00112ECB" w:rsidRPr="002B3D5C">
        <w:rPr>
          <w:lang w:val="en-US"/>
        </w:rPr>
        <w:t xml:space="preserve">included a </w:t>
      </w:r>
      <w:r w:rsidR="008200B6" w:rsidRPr="002B3D5C">
        <w:rPr>
          <w:lang w:val="en-US"/>
        </w:rPr>
        <w:t xml:space="preserve"> limited </w:t>
      </w:r>
      <w:r w:rsidR="00DB1775" w:rsidRPr="002B3D5C">
        <w:rPr>
          <w:lang w:val="en-US"/>
        </w:rPr>
        <w:t>number</w:t>
      </w:r>
      <w:r w:rsidR="008200B6" w:rsidRPr="002B3D5C">
        <w:rPr>
          <w:lang w:val="en-US"/>
        </w:rPr>
        <w:t xml:space="preserve"> of items</w:t>
      </w:r>
      <w:r w:rsidR="00DB1775" w:rsidRPr="002B3D5C">
        <w:rPr>
          <w:lang w:val="en-US"/>
        </w:rPr>
        <w:t>,</w:t>
      </w:r>
      <w:r w:rsidR="008200B6" w:rsidRPr="002B3D5C">
        <w:rPr>
          <w:lang w:val="en-US"/>
        </w:rPr>
        <w:t xml:space="preserve"> </w:t>
      </w:r>
      <w:r w:rsidR="00DB1775" w:rsidRPr="002B3D5C">
        <w:rPr>
          <w:lang w:val="en-US"/>
        </w:rPr>
        <w:t>thus</w:t>
      </w:r>
      <w:r w:rsidR="008200B6" w:rsidRPr="002B3D5C">
        <w:rPr>
          <w:lang w:val="en-US"/>
        </w:rPr>
        <w:t xml:space="preserve"> may not depict accurately what </w:t>
      </w:r>
      <w:r w:rsidR="00023685" w:rsidRPr="002B3D5C">
        <w:rPr>
          <w:lang w:val="en-US"/>
        </w:rPr>
        <w:t xml:space="preserve">truly </w:t>
      </w:r>
      <w:r w:rsidR="008200B6" w:rsidRPr="002B3D5C">
        <w:rPr>
          <w:lang w:val="en-US"/>
        </w:rPr>
        <w:t xml:space="preserve">social participation in Greece </w:t>
      </w:r>
      <w:r w:rsidR="00DB1775" w:rsidRPr="002B3D5C">
        <w:rPr>
          <w:lang w:val="en-US"/>
        </w:rPr>
        <w:t xml:space="preserve">is </w:t>
      </w:r>
      <w:r w:rsidR="00023685" w:rsidRPr="002B3D5C">
        <w:rPr>
          <w:lang w:val="en-US"/>
        </w:rPr>
        <w:t>to date</w:t>
      </w:r>
      <w:r w:rsidR="008200B6" w:rsidRPr="002B3D5C">
        <w:rPr>
          <w:lang w:val="en-US"/>
        </w:rPr>
        <w:t xml:space="preserve">. </w:t>
      </w:r>
      <w:r w:rsidR="006F6606" w:rsidRPr="002B3D5C">
        <w:rPr>
          <w:lang w:val="en-US"/>
        </w:rPr>
        <w:t>Difficulties to secure both an internal consistency and an adequate representativeness of social participation are</w:t>
      </w:r>
      <w:r w:rsidR="00023685" w:rsidRPr="002B3D5C">
        <w:rPr>
          <w:lang w:val="en-US"/>
        </w:rPr>
        <w:t xml:space="preserve"> widespread </w:t>
      </w:r>
      <w:r w:rsidR="008200B6" w:rsidRPr="002B3D5C">
        <w:rPr>
          <w:lang w:val="en-US"/>
        </w:rPr>
        <w:t xml:space="preserve">in the current literature, </w:t>
      </w:r>
      <w:r w:rsidR="006F6606">
        <w:rPr>
          <w:lang w:val="en-US"/>
        </w:rPr>
        <w:t>a fact</w:t>
      </w:r>
      <w:r w:rsidR="00023685" w:rsidRPr="002B3D5C">
        <w:rPr>
          <w:lang w:val="en-US"/>
        </w:rPr>
        <w:t xml:space="preserve"> that </w:t>
      </w:r>
      <w:r w:rsidR="008200B6" w:rsidRPr="002B3D5C">
        <w:rPr>
          <w:lang w:val="en-US"/>
        </w:rPr>
        <w:t xml:space="preserve">adds </w:t>
      </w:r>
      <w:r w:rsidR="00023685" w:rsidRPr="002B3D5C">
        <w:rPr>
          <w:lang w:val="en-US"/>
        </w:rPr>
        <w:t xml:space="preserve">hazards for significant </w:t>
      </w:r>
      <w:r w:rsidR="008200B6" w:rsidRPr="002B3D5C">
        <w:rPr>
          <w:lang w:val="en-US"/>
        </w:rPr>
        <w:t>measurem</w:t>
      </w:r>
      <w:r w:rsidR="00023685" w:rsidRPr="002B3D5C">
        <w:rPr>
          <w:lang w:val="en-US"/>
        </w:rPr>
        <w:t>ent errors and measurement biases</w:t>
      </w:r>
      <w:r w:rsidR="008200B6" w:rsidRPr="002B3D5C">
        <w:rPr>
          <w:lang w:val="en-US"/>
        </w:rPr>
        <w:t xml:space="preserve">. </w:t>
      </w:r>
    </w:p>
    <w:p w:rsidR="00285E63" w:rsidRPr="002B3D5C" w:rsidRDefault="00285E63" w:rsidP="005C41B7">
      <w:pPr>
        <w:pStyle w:val="APAPar"/>
      </w:pPr>
      <w:r w:rsidRPr="002B3D5C">
        <w:t>The severe consequences bro</w:t>
      </w:r>
      <w:r w:rsidR="00112ECB" w:rsidRPr="002B3D5C">
        <w:t>ught</w:t>
      </w:r>
      <w:r w:rsidRPr="002B3D5C">
        <w:t xml:space="preserve"> by the austerity measures in the context of the </w:t>
      </w:r>
      <w:r w:rsidR="006F6606">
        <w:t xml:space="preserve">European Union’s </w:t>
      </w:r>
      <w:r w:rsidRPr="002B3D5C">
        <w:t xml:space="preserve">memorandum of understanding for Greece serves as note </w:t>
      </w:r>
      <w:r w:rsidR="006F6606">
        <w:t>of</w:t>
      </w:r>
      <w:r w:rsidRPr="002B3D5C">
        <w:t xml:space="preserve"> caution for </w:t>
      </w:r>
      <w:r w:rsidR="006F6606">
        <w:t>the</w:t>
      </w:r>
      <w:r w:rsidRPr="002B3D5C">
        <w:t xml:space="preserve"> findings</w:t>
      </w:r>
      <w:r w:rsidR="006F6606">
        <w:t xml:space="preserve"> of this research</w:t>
      </w:r>
      <w:r w:rsidRPr="002B3D5C">
        <w:t>, as it may have coloured seniors’ social participation in an unusual manner. Greece entered several strict economic adjustment program</w:t>
      </w:r>
      <w:r w:rsidR="006F6606">
        <w:t>me</w:t>
      </w:r>
      <w:r w:rsidRPr="002B3D5C">
        <w:t>s at the time of the study (i.e. the period 2010-20</w:t>
      </w:r>
      <w:r w:rsidR="00B00A3C">
        <w:t xml:space="preserve">14; </w:t>
      </w:r>
      <w:r w:rsidR="006F6606">
        <w:t>European Commission, 2014a)</w:t>
      </w:r>
      <w:r w:rsidRPr="002B3D5C">
        <w:t xml:space="preserve"> that</w:t>
      </w:r>
      <w:r w:rsidR="006F6606">
        <w:t>,</w:t>
      </w:r>
      <w:r w:rsidRPr="002B3D5C">
        <w:t xml:space="preserve"> among others </w:t>
      </w:r>
      <w:r w:rsidR="006F6606">
        <w:t xml:space="preserve">things, </w:t>
      </w:r>
      <w:r w:rsidRPr="002B3D5C">
        <w:t xml:space="preserve">has led Greece to have the highest unemployment rates in Europe (25%), bringing many strains, adjustments, and social turbulences. Stergiou (2014) claims that in the context of the austerity measures implemented, Greek pensioners have faced pension cuts </w:t>
      </w:r>
      <w:r w:rsidR="006F6606">
        <w:t xml:space="preserve">of </w:t>
      </w:r>
      <w:r w:rsidRPr="002B3D5C">
        <w:t>up to 40%.</w:t>
      </w:r>
    </w:p>
    <w:p w:rsidR="00285E63" w:rsidRPr="002B3D5C" w:rsidRDefault="00285E63" w:rsidP="005C41B7">
      <w:pPr>
        <w:pStyle w:val="APAPar"/>
      </w:pPr>
      <w:r w:rsidRPr="002B3D5C">
        <w:t>Economic hardship has been related with social withdrawal among seniors in past studies (Magai et al., 2001), and</w:t>
      </w:r>
      <w:r w:rsidR="005B7B0F">
        <w:t xml:space="preserve"> it</w:t>
      </w:r>
      <w:r w:rsidRPr="002B3D5C">
        <w:t xml:space="preserve"> may be responsible for some </w:t>
      </w:r>
      <w:r w:rsidR="00537CD0" w:rsidRPr="002B3D5C">
        <w:t>of the findings</w:t>
      </w:r>
      <w:r w:rsidRPr="002B3D5C">
        <w:t xml:space="preserve"> in this study. Although cultural factors may differentiate the reaction of seniors in the face of economic crisis and</w:t>
      </w:r>
      <w:r w:rsidR="006F6606">
        <w:t xml:space="preserve"> the growth</w:t>
      </w:r>
      <w:r w:rsidRPr="002B3D5C">
        <w:t xml:space="preserve"> of social inequalities, the absence of any scientific reports that examined Greek seniors’ social participation before the implementation of the austerity measures makes </w:t>
      </w:r>
      <w:r w:rsidR="006F6606">
        <w:t xml:space="preserve">it </w:t>
      </w:r>
      <w:r w:rsidRPr="002B3D5C">
        <w:t>difficult to argue with certainty for any behavioural changes brought by the economic crisis. Further limitations derive from the fact that the vast majority of the participants employed in this study were fairly healthy, and as such, any indirect effect of exercise on cognitive performance through poor health could not be captured. The same accounts for the effect of poor health in social participation and loneliness.</w:t>
      </w:r>
    </w:p>
    <w:p w:rsidR="00A3412A" w:rsidRPr="002B3D5C" w:rsidRDefault="00D92927" w:rsidP="00FE028D">
      <w:pPr>
        <w:pStyle w:val="Heading2"/>
      </w:pPr>
      <w:bookmarkStart w:id="206" w:name="_Toc521184273"/>
      <w:r w:rsidRPr="002B3D5C">
        <w:t>Theoretical contribution</w:t>
      </w:r>
      <w:bookmarkEnd w:id="205"/>
      <w:bookmarkEnd w:id="206"/>
    </w:p>
    <w:p w:rsidR="00D17D63" w:rsidRPr="002B3D5C" w:rsidRDefault="008200B6" w:rsidP="005C41B7">
      <w:pPr>
        <w:pStyle w:val="APAPar"/>
      </w:pPr>
      <w:r w:rsidRPr="002B3D5C">
        <w:t>In this thesis, t</w:t>
      </w:r>
      <w:r w:rsidR="00D17D63" w:rsidRPr="002B3D5C">
        <w:t xml:space="preserve">he </w:t>
      </w:r>
      <w:r w:rsidRPr="002B3D5C">
        <w:t xml:space="preserve">need to form a </w:t>
      </w:r>
      <w:r w:rsidR="00D17D63" w:rsidRPr="002B3D5C">
        <w:t xml:space="preserve">positive theoretical framework on cognitive ageing emerged from the need to interpret empirical findings on cognitive decline, </w:t>
      </w:r>
      <w:r w:rsidR="00B2040D" w:rsidRPr="002B3D5C">
        <w:t>without projecting</w:t>
      </w:r>
      <w:r w:rsidR="00D17D63" w:rsidRPr="002B3D5C">
        <w:t xml:space="preserve"> the </w:t>
      </w:r>
      <w:r w:rsidR="006F6606">
        <w:t>negative</w:t>
      </w:r>
      <w:r w:rsidR="00B2040D" w:rsidRPr="002B3D5C">
        <w:t xml:space="preserve"> properties of age-related neurological disorders into the typical</w:t>
      </w:r>
      <w:r w:rsidRPr="002B3D5C">
        <w:t>, non-pathological</w:t>
      </w:r>
      <w:r w:rsidR="00785036" w:rsidRPr="002B3D5C">
        <w:t xml:space="preserve"> course of cognitive vitality</w:t>
      </w:r>
      <w:r w:rsidR="002C5AEB">
        <w:t xml:space="preserve"> with age</w:t>
      </w:r>
      <w:r w:rsidR="00785036" w:rsidRPr="002B3D5C">
        <w:t>. The</w:t>
      </w:r>
      <w:r w:rsidR="00B2040D" w:rsidRPr="002B3D5C">
        <w:t xml:space="preserve"> motivation to come up with a model that can accommodate more effectively an array </w:t>
      </w:r>
      <w:r w:rsidR="00D17D63" w:rsidRPr="002B3D5C">
        <w:t xml:space="preserve">of non-significant results for the relation of SES, </w:t>
      </w:r>
      <w:r w:rsidRPr="002B3D5C">
        <w:t>social participation</w:t>
      </w:r>
      <w:r w:rsidR="00D17D63" w:rsidRPr="002B3D5C">
        <w:t xml:space="preserve"> and </w:t>
      </w:r>
      <w:r w:rsidRPr="002B3D5C">
        <w:t>exercise</w:t>
      </w:r>
      <w:r w:rsidR="00D17D63" w:rsidRPr="002B3D5C">
        <w:t xml:space="preserve"> with </w:t>
      </w:r>
      <w:r w:rsidRPr="002B3D5C">
        <w:t>cognitive performance</w:t>
      </w:r>
      <w:r w:rsidR="00D17D63" w:rsidRPr="002B3D5C">
        <w:t xml:space="preserve"> (Christensen et al., 2001; Hofer et al., 2002; Mackinnon, et al., 2003; Young et al., 2015; Wilson</w:t>
      </w:r>
      <w:r w:rsidR="00B2040D" w:rsidRPr="002B3D5C">
        <w:t xml:space="preserve"> et al., 2009), with those depicting risk ratios for the occurrence of neurodegenerative disorders (Hertzog et al., 2009)</w:t>
      </w:r>
      <w:r w:rsidR="00785036" w:rsidRPr="002B3D5C">
        <w:t xml:space="preserve"> is increasing</w:t>
      </w:r>
      <w:r w:rsidR="00B2040D" w:rsidRPr="002B3D5C">
        <w:t xml:space="preserve">. </w:t>
      </w:r>
      <w:r w:rsidR="00D17D63" w:rsidRPr="002B3D5C">
        <w:t xml:space="preserve"> </w:t>
      </w:r>
      <w:r w:rsidRPr="002B3D5C">
        <w:t>This</w:t>
      </w:r>
      <w:r w:rsidR="006F6606">
        <w:t xml:space="preserve"> research cautions</w:t>
      </w:r>
      <w:r w:rsidRPr="002B3D5C">
        <w:t xml:space="preserve"> that p</w:t>
      </w:r>
      <w:r w:rsidR="00B2040D" w:rsidRPr="002B3D5C">
        <w:t xml:space="preserve">articular attention </w:t>
      </w:r>
      <w:r w:rsidRPr="002B3D5C">
        <w:t xml:space="preserve">should be </w:t>
      </w:r>
      <w:r w:rsidR="006F6606">
        <w:t xml:space="preserve">paid </w:t>
      </w:r>
      <w:r w:rsidR="00D17D63" w:rsidRPr="002B3D5C">
        <w:t xml:space="preserve">to depict </w:t>
      </w:r>
      <w:r w:rsidR="00550C81" w:rsidRPr="002B3D5C">
        <w:t>the process of cognitive ageing more accurately</w:t>
      </w:r>
      <w:r w:rsidR="00B2040D" w:rsidRPr="002B3D5C">
        <w:t xml:space="preserve">, </w:t>
      </w:r>
      <w:r w:rsidR="00D94B71" w:rsidRPr="002B3D5C">
        <w:t xml:space="preserve">avoiding </w:t>
      </w:r>
      <w:r w:rsidR="006F6606">
        <w:t>any</w:t>
      </w:r>
      <w:r w:rsidR="00D94B71" w:rsidRPr="002B3D5C">
        <w:t xml:space="preserve"> bias to describe and document age-related negative cognitive outcomes</w:t>
      </w:r>
      <w:r w:rsidR="00550C81" w:rsidRPr="002B3D5C">
        <w:t>.</w:t>
      </w:r>
      <w:r w:rsidRPr="002B3D5C">
        <w:t xml:space="preserve"> </w:t>
      </w:r>
      <w:r w:rsidR="009A48AD" w:rsidRPr="002B3D5C">
        <w:t>This bias may be avoided by respecting the correspondence of the assessment tools used to assess cognitive performance and everyday functioning, depending on the cognitive status of the</w:t>
      </w:r>
      <w:r w:rsidR="00885F31" w:rsidRPr="002B3D5C">
        <w:t xml:space="preserve"> individuals under examination.</w:t>
      </w:r>
    </w:p>
    <w:p w:rsidR="00885F31" w:rsidRPr="002B3D5C" w:rsidRDefault="009A6195" w:rsidP="005C41B7">
      <w:pPr>
        <w:pStyle w:val="APAPar"/>
      </w:pPr>
      <w:r w:rsidRPr="002B3D5C">
        <w:t>The</w:t>
      </w:r>
      <w:r w:rsidR="00885F31" w:rsidRPr="002B3D5C">
        <w:t xml:space="preserve"> evidence </w:t>
      </w:r>
      <w:r w:rsidRPr="002B3D5C">
        <w:t xml:space="preserve">of this </w:t>
      </w:r>
      <w:r w:rsidR="0028280F">
        <w:t>research</w:t>
      </w:r>
      <w:r w:rsidRPr="002B3D5C">
        <w:t xml:space="preserve"> </w:t>
      </w:r>
      <w:r w:rsidR="00885F31" w:rsidRPr="002B3D5C">
        <w:t xml:space="preserve">indicates that cognitive performance cannot be regarded as a proxy measure of everyday functioning among cognitively intact older adults, as the </w:t>
      </w:r>
      <w:r w:rsidR="00C805AB">
        <w:t>effects</w:t>
      </w:r>
      <w:r w:rsidR="00885F31" w:rsidRPr="002B3D5C">
        <w:t xml:space="preserve"> in cognitive vitality are rather poorly transformed into </w:t>
      </w:r>
      <w:r w:rsidR="00C805AB">
        <w:t>effects</w:t>
      </w:r>
      <w:r w:rsidR="00885F31" w:rsidRPr="002B3D5C">
        <w:t xml:space="preserve"> in everyday fu</w:t>
      </w:r>
      <w:r w:rsidR="00C805AB">
        <w:t>nctioning. These findings raise</w:t>
      </w:r>
      <w:r w:rsidR="00885F31" w:rsidRPr="002B3D5C">
        <w:t xml:space="preserve"> concerns for the validity of </w:t>
      </w:r>
      <w:r w:rsidR="00C805AB">
        <w:t xml:space="preserve">the </w:t>
      </w:r>
      <w:r w:rsidR="00885F31" w:rsidRPr="002B3D5C">
        <w:t>arguments stated in setting intervention studies to foster independency through cognitive training, thus improving everyday functioning</w:t>
      </w:r>
      <w:r w:rsidR="00C805AB">
        <w:t xml:space="preserve"> through cognitive performance</w:t>
      </w:r>
      <w:r w:rsidR="00885F31" w:rsidRPr="002B3D5C">
        <w:t xml:space="preserve">. The findings of this </w:t>
      </w:r>
      <w:r w:rsidR="0028280F">
        <w:t>research</w:t>
      </w:r>
      <w:r w:rsidR="00885F31" w:rsidRPr="002B3D5C">
        <w:t xml:space="preserve"> suggest that intervention studies should target directly daily functioning and not only cognitive performance</w:t>
      </w:r>
      <w:r w:rsidR="00C805AB">
        <w:t>, in order to form more accurate predictions</w:t>
      </w:r>
      <w:r w:rsidR="00885F31" w:rsidRPr="002B3D5C">
        <w:t xml:space="preserve">. </w:t>
      </w:r>
    </w:p>
    <w:p w:rsidR="00885F31" w:rsidRPr="002B3D5C" w:rsidRDefault="00885F31" w:rsidP="005C41B7">
      <w:pPr>
        <w:pStyle w:val="APAPar"/>
      </w:pPr>
      <w:r w:rsidRPr="002B3D5C">
        <w:t xml:space="preserve">The findings of this </w:t>
      </w:r>
      <w:r w:rsidR="0028280F">
        <w:t>research</w:t>
      </w:r>
      <w:r w:rsidRPr="002B3D5C">
        <w:t xml:space="preserve"> could not </w:t>
      </w:r>
      <w:r w:rsidR="0028280F">
        <w:t>tell us</w:t>
      </w:r>
      <w:r w:rsidRPr="002B3D5C">
        <w:t xml:space="preserve"> why the relation</w:t>
      </w:r>
      <w:r w:rsidR="0028280F">
        <w:t>ship</w:t>
      </w:r>
      <w:r w:rsidRPr="002B3D5C">
        <w:t xml:space="preserve"> between cognitive performance and everyday functioning appears</w:t>
      </w:r>
      <w:r w:rsidR="005B7B0F">
        <w:t xml:space="preserve"> to be</w:t>
      </w:r>
      <w:r w:rsidRPr="002B3D5C">
        <w:t xml:space="preserve"> weaker </w:t>
      </w:r>
      <w:r w:rsidR="005B7B0F">
        <w:t>than it is</w:t>
      </w:r>
      <w:r w:rsidRPr="002B3D5C">
        <w:t xml:space="preserve"> widely assumed. Royall et al. (2007) raised the </w:t>
      </w:r>
      <w:r w:rsidR="0028280F">
        <w:t>possibility that</w:t>
      </w:r>
      <w:r w:rsidRPr="002B3D5C">
        <w:t xml:space="preserve"> the available measures of cognitive performance and everyday functioning are not able to depict their true association in the real world. A better understanding of this argument derives from examining the ability of neuropsychological and everyday functioning measures to </w:t>
      </w:r>
      <w:r w:rsidRPr="002B3D5C">
        <w:rPr>
          <w:i/>
        </w:rPr>
        <w:t>predict</w:t>
      </w:r>
      <w:r w:rsidRPr="002B3D5C">
        <w:t xml:space="preserve"> and </w:t>
      </w:r>
      <w:r w:rsidRPr="002B3D5C">
        <w:rPr>
          <w:i/>
        </w:rPr>
        <w:t>represent</w:t>
      </w:r>
      <w:r w:rsidRPr="002B3D5C">
        <w:t xml:space="preserve"> real-world outcomes. The reduced ecological validity of tests assessing cognitive performance and everyday fun</w:t>
      </w:r>
      <w:r w:rsidR="0028280F">
        <w:t>ctioning, and specifically the</w:t>
      </w:r>
      <w:r w:rsidRPr="002B3D5C">
        <w:t xml:space="preserve"> </w:t>
      </w:r>
      <w:r w:rsidRPr="002B3D5C">
        <w:rPr>
          <w:i/>
        </w:rPr>
        <w:t>veridicality</w:t>
      </w:r>
      <w:r w:rsidRPr="002B3D5C">
        <w:t xml:space="preserve"> and </w:t>
      </w:r>
      <w:r w:rsidRPr="002B3D5C">
        <w:rPr>
          <w:i/>
        </w:rPr>
        <w:t>verisimilitude</w:t>
      </w:r>
      <w:r w:rsidRPr="002B3D5C">
        <w:t xml:space="preserve"> of the measures has been a strong statement in the literature (Franzen &amp;Wilhelm, 1996). </w:t>
      </w:r>
    </w:p>
    <w:p w:rsidR="009A6195" w:rsidRPr="002B3D5C" w:rsidRDefault="00885F31" w:rsidP="005C41B7">
      <w:pPr>
        <w:pStyle w:val="APAPar"/>
      </w:pPr>
      <w:r w:rsidRPr="002B3D5C">
        <w:t xml:space="preserve">Veridicality refers to the extent to which test results reflect or predict phenomena in the open environment, where verisimilitude refers to the topographical similarity of the data collection method to a task in a free environment (Franzen &amp;Wilhelm, 1996). Frazier et al. (2004) argued that a reduced reliability and internal consistency of the predictors and the outcome variables within a statistical examination can weaken the </w:t>
      </w:r>
      <w:r w:rsidR="00C805AB">
        <w:t xml:space="preserve">relevant </w:t>
      </w:r>
      <w:r w:rsidRPr="002B3D5C">
        <w:t>effect sizes. Under this light, the weak relation between cognitive performance and everyday functioning in empirical research</w:t>
      </w:r>
      <w:r w:rsidR="00C805AB">
        <w:t xml:space="preserve"> (as well as in this study)</w:t>
      </w:r>
      <w:r w:rsidR="0028280F">
        <w:t xml:space="preserve"> may be an indication that the</w:t>
      </w:r>
      <w:r w:rsidRPr="002B3D5C">
        <w:t xml:space="preserve"> artificial nature of examination does not allow the depiction of their true relationship in the real world. Therefore, a future objective in the fields of neuropsychology could be to increase the ecological validity of the neuropsychological and everyday functioning measures used in the ageing discourse, in order to increase the predictability of functional outcomes based on cognitive assessments. </w:t>
      </w:r>
      <w:r w:rsidR="00C805AB">
        <w:t>The</w:t>
      </w:r>
      <w:r w:rsidRPr="002B3D5C">
        <w:t xml:space="preserve"> </w:t>
      </w:r>
      <w:r w:rsidR="006C2F07" w:rsidRPr="002B3D5C">
        <w:t xml:space="preserve">findings </w:t>
      </w:r>
      <w:r w:rsidR="006C2F07">
        <w:t>of</w:t>
      </w:r>
      <w:r w:rsidR="00C805AB">
        <w:t xml:space="preserve"> this </w:t>
      </w:r>
      <w:r w:rsidR="0028280F">
        <w:t xml:space="preserve">research </w:t>
      </w:r>
      <w:r w:rsidR="00C805AB">
        <w:t xml:space="preserve">however </w:t>
      </w:r>
      <w:r w:rsidRPr="002B3D5C">
        <w:t xml:space="preserve">caution that strong statements for functional outcomes in older age should be avoided, as the current ecological validity of the measures used to assess functional performance and its relationship with cognitive decline may not support adequately such a discourse. </w:t>
      </w:r>
    </w:p>
    <w:p w:rsidR="00D5525A" w:rsidRDefault="0028280F" w:rsidP="005C41B7">
      <w:pPr>
        <w:pStyle w:val="APAPar"/>
      </w:pPr>
      <w:r w:rsidRPr="002B3D5C">
        <w:t>The design</w:t>
      </w:r>
      <w:r w:rsidR="00885F31" w:rsidRPr="002B3D5C">
        <w:t xml:space="preserve"> </w:t>
      </w:r>
      <w:r>
        <w:t xml:space="preserve">of this research </w:t>
      </w:r>
      <w:r w:rsidR="00885F31" w:rsidRPr="002B3D5C">
        <w:t xml:space="preserve">could not eliminate measurement errors as described above, although particular attention was placed </w:t>
      </w:r>
      <w:r>
        <w:t>on increasing</w:t>
      </w:r>
      <w:r w:rsidR="00885F31" w:rsidRPr="002B3D5C">
        <w:t xml:space="preserve"> the cultural specificity of the everyday functioning assessments, contributing </w:t>
      </w:r>
      <w:r>
        <w:t>to an</w:t>
      </w:r>
      <w:r w:rsidR="00885F31" w:rsidRPr="002B3D5C">
        <w:t xml:space="preserve"> increas</w:t>
      </w:r>
      <w:r>
        <w:t>e in</w:t>
      </w:r>
      <w:r w:rsidR="00885F31" w:rsidRPr="002B3D5C">
        <w:t xml:space="preserve"> their ecological validity. Yet, some confounding effects that may</w:t>
      </w:r>
      <w:r w:rsidR="00C805AB">
        <w:t xml:space="preserve"> have</w:t>
      </w:r>
      <w:r w:rsidR="00885F31" w:rsidRPr="002B3D5C">
        <w:t xml:space="preserve"> led to poorer estimations of the relationship between cognitive performance and everyday functioning were identified. Certain gender roles that influence everyday functioning in some tasks (e.g., financial management, driving rules, cooking) emerged in the adaptation </w:t>
      </w:r>
      <w:r w:rsidR="005B7B0F">
        <w:t>process of the OTDL-G and EPT-G</w:t>
      </w:r>
      <w:r w:rsidR="00885F31" w:rsidRPr="002B3D5C">
        <w:t xml:space="preserve"> </w:t>
      </w:r>
      <w:r w:rsidR="005B7B0F">
        <w:t xml:space="preserve">(see </w:t>
      </w:r>
      <w:r w:rsidR="00885F31" w:rsidRPr="002B3D5C">
        <w:t>Chapter</w:t>
      </w:r>
      <w:r w:rsidR="005B7B0F">
        <w:t xml:space="preserve"> 5)</w:t>
      </w:r>
      <w:r w:rsidR="00885F31" w:rsidRPr="002B3D5C">
        <w:t xml:space="preserve">. This gender-specific </w:t>
      </w:r>
      <w:r w:rsidR="005B7B0F">
        <w:t>bias</w:t>
      </w:r>
      <w:r w:rsidR="00885F31" w:rsidRPr="002B3D5C">
        <w:t xml:space="preserve"> in everyday tasks </w:t>
      </w:r>
      <w:r w:rsidR="005B7B0F">
        <w:t>may have affected</w:t>
      </w:r>
      <w:r w:rsidR="00885F31" w:rsidRPr="002B3D5C">
        <w:t xml:space="preserve"> the relationship between cognitive performance and everyday functioning. </w:t>
      </w:r>
    </w:p>
    <w:p w:rsidR="006C2F07" w:rsidRPr="002B3D5C" w:rsidRDefault="00135FC7" w:rsidP="005C41B7">
      <w:pPr>
        <w:pStyle w:val="APAPar"/>
      </w:pPr>
      <w:r w:rsidRPr="0028280F">
        <w:t xml:space="preserve">This study used multiple measures of cognitive performance, assessing several cognitive domains such as speed of processing, executive function, verbal fluency, and memory. The evidence could only support that over and above age and education, executive function and verbal fluency can be considered as independent predictors of everyday function. </w:t>
      </w:r>
      <w:r w:rsidR="00FB396C" w:rsidRPr="0028280F">
        <w:t>This is consistent with the postulation of Marcotte et al. (2010), who argued that among the neuropsychological assessments available, those of EF are more probable to relate with everyday functioning in empirical research. Based on the findings of this thesis, i</w:t>
      </w:r>
      <w:r w:rsidRPr="0028280F">
        <w:t xml:space="preserve">t remains unknown if </w:t>
      </w:r>
      <w:r w:rsidR="00FB396C" w:rsidRPr="0028280F">
        <w:t xml:space="preserve">there is </w:t>
      </w:r>
      <w:r w:rsidRPr="0028280F">
        <w:t xml:space="preserve">a comparative advantage of </w:t>
      </w:r>
      <w:r w:rsidR="00FB396C" w:rsidRPr="0028280F">
        <w:t xml:space="preserve">EF in predicting everyday functioning at the healthy spectrum of cognitive performance, as the sample size (and the power) of this study was rather low to draw </w:t>
      </w:r>
      <w:r w:rsidR="00C41C72" w:rsidRPr="0028280F">
        <w:rPr>
          <w:lang w:val="en-US"/>
        </w:rPr>
        <w:t xml:space="preserve">safe </w:t>
      </w:r>
      <w:r w:rsidR="00FB396C" w:rsidRPr="0028280F">
        <w:t xml:space="preserve">conclusions. The rather low mediation effect of cognitive performance in the relation between age and everyday functioning however may reinforce the position that there is still much to know about how the brain allows us to conduct even simple </w:t>
      </w:r>
      <w:r w:rsidR="00BB641A" w:rsidRPr="0028280F">
        <w:rPr>
          <w:lang w:val="en-US"/>
        </w:rPr>
        <w:t xml:space="preserve">everyday </w:t>
      </w:r>
      <w:r w:rsidR="00FB396C" w:rsidRPr="0028280F">
        <w:t>activities (Burgess et al., 2006).</w:t>
      </w:r>
    </w:p>
    <w:p w:rsidR="009A6195" w:rsidRPr="002B3D5C" w:rsidRDefault="009A6195" w:rsidP="005C41B7">
      <w:pPr>
        <w:pStyle w:val="APAPar"/>
      </w:pPr>
      <w:r w:rsidRPr="002B3D5C">
        <w:t>The findings of Chapter</w:t>
      </w:r>
      <w:r w:rsidR="007B5AC8">
        <w:t xml:space="preserve"> </w:t>
      </w:r>
      <w:r w:rsidR="00CC11B6">
        <w:t>7</w:t>
      </w:r>
      <w:r w:rsidRPr="002B3D5C">
        <w:t xml:space="preserve"> provided evidence that </w:t>
      </w:r>
      <w:r w:rsidR="00E200CA">
        <w:t xml:space="preserve">age and education are independent predictors of everyday functioning. The evidence suggest that </w:t>
      </w:r>
      <w:r w:rsidRPr="002B3D5C">
        <w:t>completing more than primary education improves performance in everyday functioning assessments in the healthy spectrum of cognitive performance. Further analysis however did n</w:t>
      </w:r>
      <w:r w:rsidR="00E200CA">
        <w:t xml:space="preserve">ot indicate a moderation effect </w:t>
      </w:r>
      <w:r w:rsidRPr="002B3D5C">
        <w:t xml:space="preserve">of </w:t>
      </w:r>
      <w:r w:rsidR="00E200CA">
        <w:t xml:space="preserve">age or </w:t>
      </w:r>
      <w:r w:rsidRPr="002B3D5C">
        <w:t>education in the relation between cognitive performance and everyday functioning. As s</w:t>
      </w:r>
      <w:r w:rsidR="00C805AB">
        <w:t>uch, both OTDL-G and EPT-G seem</w:t>
      </w:r>
      <w:r w:rsidRPr="002B3D5C">
        <w:t xml:space="preserve"> to be instruments that capture age-related cognitive decrements, without being susceptible to differences in educational levels. </w:t>
      </w:r>
    </w:p>
    <w:p w:rsidR="00D5525A" w:rsidRPr="002B3D5C" w:rsidRDefault="00D5525A" w:rsidP="005C41B7">
      <w:pPr>
        <w:pStyle w:val="APAPar"/>
      </w:pPr>
      <w:r w:rsidRPr="002B3D5C">
        <w:t>The thesis provided evidence of a moderation effect of education between age and cognitive performance, indicating that more educated people are more test wise (Marcotte et al., 2010) or that more educated people may have a higher cognitive reserve (Mortiner, 1988). This advantage emerged only when comparing those completing primary school with those o</w:t>
      </w:r>
      <w:r w:rsidR="00CC11B6">
        <w:t xml:space="preserve">f higher education attainment. </w:t>
      </w:r>
      <w:r w:rsidRPr="002B3D5C">
        <w:t xml:space="preserve">Within the research design of this </w:t>
      </w:r>
      <w:r w:rsidR="00CC11B6">
        <w:t>study</w:t>
      </w:r>
      <w:r w:rsidRPr="002B3D5C">
        <w:t xml:space="preserve"> it was not possible to disentangle whether this advantage is an indication of being test-wise </w:t>
      </w:r>
      <w:r w:rsidRPr="002B3D5C">
        <w:rPr>
          <w:i/>
        </w:rPr>
        <w:t>or</w:t>
      </w:r>
      <w:r w:rsidRPr="002B3D5C">
        <w:t xml:space="preserve"> whether it stems from a better cognitive reserve. </w:t>
      </w:r>
      <w:r w:rsidR="00C805AB">
        <w:t xml:space="preserve">Nonetheless, it </w:t>
      </w:r>
      <w:r w:rsidR="00CC11B6">
        <w:t>shows</w:t>
      </w:r>
      <w:r w:rsidR="00C805AB">
        <w:t xml:space="preserve"> that the detrimental effect of poorer education refers only to those that have not completed the statutory set minimum years of schooling.</w:t>
      </w:r>
    </w:p>
    <w:p w:rsidR="00BB641A" w:rsidRPr="00CC11B6" w:rsidRDefault="00D5525A" w:rsidP="005C41B7">
      <w:pPr>
        <w:pStyle w:val="APAPar"/>
      </w:pPr>
      <w:r w:rsidRPr="00CC11B6">
        <w:rPr>
          <w:lang w:val="en-US"/>
        </w:rPr>
        <w:t xml:space="preserve">The </w:t>
      </w:r>
      <w:r w:rsidR="009B646F" w:rsidRPr="00CC11B6">
        <w:rPr>
          <w:lang w:val="en-US"/>
        </w:rPr>
        <w:t xml:space="preserve">cognitive </w:t>
      </w:r>
      <w:r w:rsidRPr="00CC11B6">
        <w:rPr>
          <w:lang w:val="en-US"/>
        </w:rPr>
        <w:t xml:space="preserve">benefits that may derive from exercise, Internet </w:t>
      </w:r>
      <w:r w:rsidR="007F5555" w:rsidRPr="00CC11B6">
        <w:rPr>
          <w:lang w:val="en-US"/>
        </w:rPr>
        <w:t>use and social participation have</w:t>
      </w:r>
      <w:r w:rsidRPr="00CC11B6">
        <w:rPr>
          <w:lang w:val="en-US"/>
        </w:rPr>
        <w:t xml:space="preserve"> been examined in Chapter 7, providing evidence for their effect in moderating age-related decrements in cognitive performance.</w:t>
      </w:r>
      <w:r w:rsidR="00C41C72" w:rsidRPr="00CC11B6">
        <w:rPr>
          <w:lang w:val="en-US"/>
        </w:rPr>
        <w:t xml:space="preserve"> At first sight, this evidence is consistent with the postulation of the social enrichment hypothesis (Hertzog et al., 2009)</w:t>
      </w:r>
      <w:r w:rsidR="009B646F" w:rsidRPr="00CC11B6">
        <w:rPr>
          <w:lang w:val="en-US"/>
        </w:rPr>
        <w:t>, a</w:t>
      </w:r>
      <w:r w:rsidR="00C41C72" w:rsidRPr="00CC11B6">
        <w:rPr>
          <w:lang w:val="en-US"/>
        </w:rPr>
        <w:t xml:space="preserve">s well as those of </w:t>
      </w:r>
      <w:r w:rsidR="009B646F" w:rsidRPr="00CC11B6">
        <w:rPr>
          <w:lang w:val="en-US"/>
        </w:rPr>
        <w:t xml:space="preserve">Colcombe and Kramer (2003) </w:t>
      </w:r>
      <w:r w:rsidR="00C41C72" w:rsidRPr="00CC11B6">
        <w:rPr>
          <w:lang w:val="en-US"/>
        </w:rPr>
        <w:t>for the beneficial effect of exercise</w:t>
      </w:r>
      <w:r w:rsidR="009B646F" w:rsidRPr="00CC11B6">
        <w:rPr>
          <w:lang w:val="en-US"/>
        </w:rPr>
        <w:t xml:space="preserve"> in cognitive performance</w:t>
      </w:r>
      <w:r w:rsidR="00C41C72" w:rsidRPr="00CC11B6">
        <w:rPr>
          <w:lang w:val="en-US"/>
        </w:rPr>
        <w:t>, and of</w:t>
      </w:r>
      <w:r w:rsidR="009B646F" w:rsidRPr="00CC11B6">
        <w:rPr>
          <w:lang w:val="en-US"/>
        </w:rPr>
        <w:t xml:space="preserve"> Cahn et al. (2014)</w:t>
      </w:r>
      <w:r w:rsidR="00C41C72" w:rsidRPr="00CC11B6">
        <w:rPr>
          <w:lang w:val="en-US"/>
        </w:rPr>
        <w:t xml:space="preserve"> for</w:t>
      </w:r>
      <w:r w:rsidR="009B646F" w:rsidRPr="00CC11B6">
        <w:rPr>
          <w:lang w:val="en-US"/>
        </w:rPr>
        <w:t xml:space="preserve"> the relevant beneficial effect of</w:t>
      </w:r>
      <w:r w:rsidR="00C41C72" w:rsidRPr="00CC11B6">
        <w:rPr>
          <w:lang w:val="en-US"/>
        </w:rPr>
        <w:t xml:space="preserve"> Internet use</w:t>
      </w:r>
      <w:r w:rsidR="009B646F" w:rsidRPr="00CC11B6">
        <w:rPr>
          <w:lang w:val="en-US"/>
        </w:rPr>
        <w:t>. S</w:t>
      </w:r>
      <w:r w:rsidR="009A6195" w:rsidRPr="00CC11B6">
        <w:t xml:space="preserve">ocial participation benefited cognitive performance </w:t>
      </w:r>
      <w:r w:rsidR="009B646F" w:rsidRPr="00CC11B6">
        <w:t>only in the domain of EF and VF, with t</w:t>
      </w:r>
      <w:r w:rsidR="009A6195" w:rsidRPr="00CC11B6">
        <w:t>he interpr</w:t>
      </w:r>
      <w:r w:rsidR="00BB641A" w:rsidRPr="00CC11B6">
        <w:t>etation of these findings varying</w:t>
      </w:r>
      <w:r w:rsidR="009A6195" w:rsidRPr="00CC11B6">
        <w:t xml:space="preserve"> depending on the lens of examination. </w:t>
      </w:r>
    </w:p>
    <w:p w:rsidR="009A6195" w:rsidRPr="00CC11B6" w:rsidRDefault="009A6195" w:rsidP="005C41B7">
      <w:pPr>
        <w:pStyle w:val="APAPar"/>
      </w:pPr>
      <w:r w:rsidRPr="00CC11B6">
        <w:t>Under the rational that cross-sectional data reflect only temporal effects, higher social participation leads to better EF and VF scores, independent from the age group under examination. Examining the results under the assumption that cross-sectional can depict developmental processes (as</w:t>
      </w:r>
      <w:r w:rsidR="00535284" w:rsidRPr="00CC11B6">
        <w:t xml:space="preserve"> argued by Salthouse, 2006), the</w:t>
      </w:r>
      <w:r w:rsidRPr="00CC11B6">
        <w:t xml:space="preserve">n social participation does not seem to differentiate significantly the rate of cognitive decline with ageing. These findings are consistent with the preserved differentiation postulation of Salthouse (2006) who argued that higher social participation may lead to better cognitive performance in older age, but it may not influence cognitive decline rates with ageing. </w:t>
      </w:r>
    </w:p>
    <w:p w:rsidR="00865C42" w:rsidRPr="002B3D5C" w:rsidRDefault="00865C42" w:rsidP="005C41B7">
      <w:pPr>
        <w:pStyle w:val="APAPar"/>
        <w:rPr>
          <w:lang w:val="en-US"/>
        </w:rPr>
      </w:pPr>
      <w:r w:rsidRPr="00CC11B6">
        <w:rPr>
          <w:lang w:val="en-US"/>
        </w:rPr>
        <w:t>A clo</w:t>
      </w:r>
      <w:r w:rsidR="00BB641A" w:rsidRPr="00CC11B6">
        <w:rPr>
          <w:lang w:val="en-US"/>
        </w:rPr>
        <w:t>ser examination of the evidence indicates that the beneficial</w:t>
      </w:r>
      <w:r w:rsidRPr="00CC11B6">
        <w:rPr>
          <w:lang w:val="en-US"/>
        </w:rPr>
        <w:t xml:space="preserve"> effects</w:t>
      </w:r>
      <w:r w:rsidR="00BB641A" w:rsidRPr="00CC11B6">
        <w:rPr>
          <w:lang w:val="en-US"/>
        </w:rPr>
        <w:t xml:space="preserve"> of social participation, exercise and Internet use</w:t>
      </w:r>
      <w:r w:rsidRPr="00CC11B6">
        <w:rPr>
          <w:lang w:val="en-US"/>
        </w:rPr>
        <w:t xml:space="preserve"> may not be evident across the whole spectrum of cognitive ageing, as they appeared conditionally to certain age groups or to older individuals with certain characteristics. For example, social participation seems to be particularly beneficial in maintaining or even improving EF among those who completed only primary education. For exercise and Internet use</w:t>
      </w:r>
      <w:r w:rsidR="009A6195" w:rsidRPr="00CC11B6">
        <w:t xml:space="preserve">, this thesis provides evidence that can be hardly explained by previous theory and empirical findings.  More precise, the evidence depicted exercise influencing beneficially the rate of cognitive decline with ageing, with those exercising more than the average </w:t>
      </w:r>
      <w:r w:rsidR="00BB641A" w:rsidRPr="00CC11B6">
        <w:t xml:space="preserve">however </w:t>
      </w:r>
      <w:r w:rsidR="009A6195" w:rsidRPr="00CC11B6">
        <w:t xml:space="preserve">having </w:t>
      </w:r>
      <w:r w:rsidR="009A6195" w:rsidRPr="00CC11B6">
        <w:rPr>
          <w:i/>
        </w:rPr>
        <w:t xml:space="preserve">worse </w:t>
      </w:r>
      <w:r w:rsidR="009A6195" w:rsidRPr="00CC11B6">
        <w:t xml:space="preserve">EF in younger age. In addition, the examination of the moderation effect of Internet use in the relation between age and EF indicates an overuse effect, namely that no or moderate use of Internet helps retaining performance in EF. Internet use most days of the week or more however, produced worse cognitive performance in EF with age. </w:t>
      </w:r>
      <w:r w:rsidRPr="00CC11B6">
        <w:rPr>
          <w:lang w:val="en-US"/>
        </w:rPr>
        <w:t>As such, this thesis could not provide support for a universal effect of exercise, Internet use and social participation, on cognitive performance.</w:t>
      </w:r>
      <w:r w:rsidRPr="002B3D5C">
        <w:rPr>
          <w:lang w:val="en-US"/>
        </w:rPr>
        <w:t xml:space="preserve"> </w:t>
      </w:r>
    </w:p>
    <w:p w:rsidR="009A6195" w:rsidRPr="002B3D5C" w:rsidRDefault="00BB4249" w:rsidP="005C41B7">
      <w:pPr>
        <w:pStyle w:val="APAPar"/>
      </w:pPr>
      <w:r>
        <w:t xml:space="preserve">Assuming that developmental processes can be explained by cross-sectional data </w:t>
      </w:r>
      <w:r w:rsidR="009A6195" w:rsidRPr="002B3D5C">
        <w:t xml:space="preserve">, this thesis illustrated that age-related effects on cognitive performance could be explained by both the preserved-differentiation hypothesis (i.e., in the case of social participation) and the differential-preservation hypothesis (i.e., in the case of exercise). As such, the evidence of this thesis </w:t>
      </w:r>
      <w:r w:rsidR="00B00A3C">
        <w:t xml:space="preserve">supported the conclusions </w:t>
      </w:r>
      <w:r w:rsidR="009A6195" w:rsidRPr="002B3D5C">
        <w:rPr>
          <w:lang w:val="en-US"/>
        </w:rPr>
        <w:t xml:space="preserve">that each hypothesis may explain the </w:t>
      </w:r>
      <w:r w:rsidR="00C805AB">
        <w:rPr>
          <w:lang w:val="en-US"/>
        </w:rPr>
        <w:t xml:space="preserve">cognitive related </w:t>
      </w:r>
      <w:r w:rsidR="009A6195" w:rsidRPr="002B3D5C">
        <w:rPr>
          <w:lang w:val="en-US"/>
        </w:rPr>
        <w:t xml:space="preserve">effects of some factors with ageing, but not </w:t>
      </w:r>
      <w:r w:rsidR="00C805AB">
        <w:rPr>
          <w:lang w:val="en-US"/>
        </w:rPr>
        <w:t xml:space="preserve">of </w:t>
      </w:r>
      <w:r w:rsidR="009A6195" w:rsidRPr="002B3D5C">
        <w:rPr>
          <w:lang w:val="en-US"/>
        </w:rPr>
        <w:t xml:space="preserve">others. In other words, it gives rise to the possibility that both </w:t>
      </w:r>
      <w:r w:rsidR="009A6195" w:rsidRPr="002B3D5C">
        <w:t xml:space="preserve">the preserved-differentiation hypothesis and differential-preservation hypothesis may co-exist, without either being a grand theory explaining all age-related effects in cognitive decline with ageing. </w:t>
      </w:r>
    </w:p>
    <w:p w:rsidR="00885F31" w:rsidRPr="002B3D5C" w:rsidRDefault="009A6195" w:rsidP="005C41B7">
      <w:pPr>
        <w:pStyle w:val="APAPar"/>
      </w:pPr>
      <w:r w:rsidRPr="002B3D5C">
        <w:t xml:space="preserve">The findings of this thesis did not indicate any direct effect of age on social participation among Greek seniors. These findings </w:t>
      </w:r>
      <w:r w:rsidR="00CC11B6">
        <w:t>contradict</w:t>
      </w:r>
      <w:r w:rsidRPr="002B3D5C">
        <w:t xml:space="preserve"> the postulation of Cumming and Henry (1961) who argued for a </w:t>
      </w:r>
      <w:r w:rsidR="00CC11B6">
        <w:t xml:space="preserve">form of </w:t>
      </w:r>
      <w:r w:rsidRPr="002B3D5C">
        <w:t>social withdrawal among older</w:t>
      </w:r>
      <w:r w:rsidR="00CC11B6">
        <w:t xml:space="preserve"> people. Instead the evidence shows </w:t>
      </w:r>
      <w:r w:rsidRPr="002B3D5C">
        <w:t>that</w:t>
      </w:r>
      <w:r w:rsidR="00CC11B6">
        <w:t>,</w:t>
      </w:r>
      <w:r w:rsidRPr="002B3D5C">
        <w:t xml:space="preserve"> in </w:t>
      </w:r>
      <w:r w:rsidR="00CC11B6">
        <w:t xml:space="preserve">the </w:t>
      </w:r>
      <w:r w:rsidRPr="002B3D5C">
        <w:t>face of age-related decreases in social network size, higher income may</w:t>
      </w:r>
      <w:r w:rsidR="00CC11B6">
        <w:t xml:space="preserve"> be beneficial in sustaining </w:t>
      </w:r>
      <w:r w:rsidRPr="002B3D5C">
        <w:t xml:space="preserve">social participation in older age. In this direction, the evidence of this </w:t>
      </w:r>
      <w:r w:rsidR="00CC11B6">
        <w:t>research</w:t>
      </w:r>
      <w:r w:rsidRPr="002B3D5C">
        <w:t xml:space="preserve"> indicates that women are in di</w:t>
      </w:r>
      <w:r w:rsidR="00CC11B6">
        <w:t>sadvantaged position, as o</w:t>
      </w:r>
      <w:r w:rsidRPr="002B3D5C">
        <w:t xml:space="preserve">n average they </w:t>
      </w:r>
      <w:r w:rsidR="00CC11B6">
        <w:t>have lower income than men</w:t>
      </w:r>
      <w:r w:rsidRPr="002B3D5C">
        <w:t xml:space="preserve">. </w:t>
      </w:r>
      <w:r w:rsidR="00CC11B6">
        <w:t>Lastly, this study</w:t>
      </w:r>
      <w:r w:rsidR="00D5525A" w:rsidRPr="002B3D5C">
        <w:t xml:space="preserve"> offers clear evidence of Greek seniors’ contribution in the society, manifested by their participation rates in volunteering, childcare, and care provide to disabled individuals. Although this thesis did not give support for any benefits of these </w:t>
      </w:r>
      <w:r w:rsidR="00CC11B6">
        <w:t>activities</w:t>
      </w:r>
      <w:r w:rsidR="00D5525A" w:rsidRPr="002B3D5C">
        <w:t xml:space="preserve"> on older adults’ cognitive vitality, it </w:t>
      </w:r>
      <w:r w:rsidR="00CC11B6">
        <w:t>suggest</w:t>
      </w:r>
      <w:r w:rsidR="00D5525A" w:rsidRPr="002B3D5C">
        <w:t xml:space="preserve"> that promoting active lifestyles in older age yields significant social benefits for all.</w:t>
      </w:r>
    </w:p>
    <w:p w:rsidR="008671FF" w:rsidRPr="002B3D5C" w:rsidRDefault="008671FF" w:rsidP="00FE028D">
      <w:pPr>
        <w:pStyle w:val="Heading2"/>
      </w:pPr>
      <w:bookmarkStart w:id="207" w:name="_Toc521184274"/>
      <w:r w:rsidRPr="002B3D5C">
        <w:t>Implications for policy and future research</w:t>
      </w:r>
      <w:bookmarkEnd w:id="207"/>
    </w:p>
    <w:p w:rsidR="00782DE2" w:rsidRPr="002B3D5C" w:rsidRDefault="00D17D63" w:rsidP="005C41B7">
      <w:pPr>
        <w:pStyle w:val="APAPar"/>
      </w:pPr>
      <w:r w:rsidRPr="002B3D5C">
        <w:t xml:space="preserve">A better understanding of cognitive ageing is essential as the theoretical </w:t>
      </w:r>
      <w:r w:rsidR="00A27B25" w:rsidRPr="002B3D5C">
        <w:t xml:space="preserve">and practical </w:t>
      </w:r>
      <w:r w:rsidR="00001AA7" w:rsidRPr="002B3D5C">
        <w:t>implications</w:t>
      </w:r>
      <w:r w:rsidRPr="002B3D5C">
        <w:t xml:space="preserve"> in the </w:t>
      </w:r>
      <w:r w:rsidR="00CC11B6">
        <w:t>formation of theories, hypothese</w:t>
      </w:r>
      <w:r w:rsidRPr="002B3D5C">
        <w:t xml:space="preserve">s or </w:t>
      </w:r>
      <w:r w:rsidR="00A27B25" w:rsidRPr="002B3D5C">
        <w:t xml:space="preserve">clinical </w:t>
      </w:r>
      <w:r w:rsidRPr="002B3D5C">
        <w:t>expectations are unquestionably important. In practical terms, th</w:t>
      </w:r>
      <w:r w:rsidR="00D8589A" w:rsidRPr="002B3D5C">
        <w:t xml:space="preserve">is </w:t>
      </w:r>
      <w:r w:rsidR="00CC11B6">
        <w:t xml:space="preserve">research </w:t>
      </w:r>
      <w:r w:rsidRPr="002B3D5C">
        <w:t xml:space="preserve">does not challenge that </w:t>
      </w:r>
      <w:r w:rsidR="00C805AB">
        <w:t xml:space="preserve">poorer </w:t>
      </w:r>
      <w:r w:rsidR="008671FF" w:rsidRPr="002B3D5C">
        <w:t>exercise</w:t>
      </w:r>
      <w:r w:rsidRPr="002B3D5C">
        <w:t xml:space="preserve">, SES and </w:t>
      </w:r>
      <w:r w:rsidR="008671FF" w:rsidRPr="002B3D5C">
        <w:t xml:space="preserve">social participation </w:t>
      </w:r>
      <w:r w:rsidRPr="002B3D5C">
        <w:t>are risk factors for the occurrence of age-</w:t>
      </w:r>
      <w:r w:rsidR="00A27B25" w:rsidRPr="002B3D5C">
        <w:t>related neurological conditions</w:t>
      </w:r>
      <w:r w:rsidRPr="002B3D5C">
        <w:t xml:space="preserve">. </w:t>
      </w:r>
      <w:r w:rsidR="00A27B25" w:rsidRPr="002B3D5C">
        <w:t>It also does not question th</w:t>
      </w:r>
      <w:r w:rsidR="008671FF" w:rsidRPr="002B3D5C">
        <w:t>at</w:t>
      </w:r>
      <w:r w:rsidR="00782DE2" w:rsidRPr="002B3D5C">
        <w:t xml:space="preserve"> </w:t>
      </w:r>
      <w:r w:rsidR="008671FF" w:rsidRPr="002B3D5C">
        <w:t>exercise</w:t>
      </w:r>
      <w:r w:rsidR="00A27B25" w:rsidRPr="002B3D5C">
        <w:t xml:space="preserve"> or a socially</w:t>
      </w:r>
      <w:r w:rsidR="00782DE2" w:rsidRPr="002B3D5C">
        <w:t xml:space="preserve"> active lifestyle in older age carr</w:t>
      </w:r>
      <w:r w:rsidR="00D8589A" w:rsidRPr="002B3D5C">
        <w:t>y</w:t>
      </w:r>
      <w:r w:rsidR="00782DE2" w:rsidRPr="002B3D5C">
        <w:t xml:space="preserve"> benefits in seniors’ physical health</w:t>
      </w:r>
      <w:r w:rsidR="00A27B25" w:rsidRPr="002B3D5C">
        <w:t xml:space="preserve"> and well-being in general terms</w:t>
      </w:r>
      <w:r w:rsidR="008671FF" w:rsidRPr="002B3D5C">
        <w:t xml:space="preserve"> </w:t>
      </w:r>
      <w:r w:rsidR="00782DE2" w:rsidRPr="002B3D5C">
        <w:t>(CDC, 2014;</w:t>
      </w:r>
      <w:r w:rsidR="00A27B25" w:rsidRPr="002B3D5C">
        <w:t xml:space="preserve"> Hertzog et al., 2009;</w:t>
      </w:r>
      <w:r w:rsidR="00782DE2" w:rsidRPr="002B3D5C">
        <w:t xml:space="preserve"> Salthouse, 2006; Young et al., 2015).</w:t>
      </w:r>
    </w:p>
    <w:p w:rsidR="00D5525A" w:rsidRPr="002B3D5C" w:rsidRDefault="00C805AB" w:rsidP="005C41B7">
      <w:pPr>
        <w:pStyle w:val="APAPar"/>
      </w:pPr>
      <w:r>
        <w:t>The</w:t>
      </w:r>
      <w:r w:rsidR="00D5525A" w:rsidRPr="002B3D5C">
        <w:t xml:space="preserve"> suggestions</w:t>
      </w:r>
      <w:r>
        <w:t xml:space="preserve"> posed in this thesis</w:t>
      </w:r>
      <w:r w:rsidR="00D5525A" w:rsidRPr="002B3D5C">
        <w:t xml:space="preserve"> do not aim to shift attention away from vulnerable, or at risk groups, such as those who adopt sedentary lifestyles, are socially isolated, have </w:t>
      </w:r>
      <w:r w:rsidR="00CC11B6">
        <w:t xml:space="preserve">low </w:t>
      </w:r>
      <w:r w:rsidR="00D5525A" w:rsidRPr="002B3D5C">
        <w:t xml:space="preserve">financial resources, suffer from loneliness, depression, or age-related neurological conditions. Instead, it is suggested that a positive framework of cognitive ageing may </w:t>
      </w:r>
      <w:r w:rsidR="00CC11B6">
        <w:t>provide</w:t>
      </w:r>
      <w:r w:rsidR="00D5525A" w:rsidRPr="002B3D5C">
        <w:t xml:space="preserve"> the basis to produce more accurate estimations and predictions, as well as in avoiding ageist and scientifically ungrounded views about older adults’ functional ability.</w:t>
      </w:r>
    </w:p>
    <w:p w:rsidR="008671FF" w:rsidRPr="002B3D5C" w:rsidRDefault="00CC11B6" w:rsidP="005C41B7">
      <w:pPr>
        <w:pStyle w:val="APAPar"/>
      </w:pPr>
      <w:r>
        <w:t xml:space="preserve">In </w:t>
      </w:r>
      <w:r w:rsidR="00C805AB">
        <w:t xml:space="preserve">the light of </w:t>
      </w:r>
      <w:r>
        <w:t>these</w:t>
      </w:r>
      <w:r w:rsidR="00C805AB">
        <w:t xml:space="preserve"> findings, t</w:t>
      </w:r>
      <w:r w:rsidR="00D5525A" w:rsidRPr="002B3D5C">
        <w:t>he</w:t>
      </w:r>
      <w:r w:rsidR="007D38C4" w:rsidRPr="002B3D5C">
        <w:t xml:space="preserve"> merit</w:t>
      </w:r>
      <w:r w:rsidR="005A2A53" w:rsidRPr="002B3D5C">
        <w:t>s</w:t>
      </w:r>
      <w:r w:rsidR="007D38C4" w:rsidRPr="002B3D5C">
        <w:t xml:space="preserve"> </w:t>
      </w:r>
      <w:r w:rsidR="00782DE2" w:rsidRPr="002B3D5C">
        <w:t xml:space="preserve">that are advocated to </w:t>
      </w:r>
      <w:r w:rsidR="007D38C4" w:rsidRPr="002B3D5C">
        <w:t>deriv</w:t>
      </w:r>
      <w:r w:rsidR="00782DE2" w:rsidRPr="002B3D5C">
        <w:t>e</w:t>
      </w:r>
      <w:r w:rsidR="007D38C4" w:rsidRPr="002B3D5C">
        <w:t xml:space="preserve"> from </w:t>
      </w:r>
      <w:r w:rsidR="00A760AC" w:rsidRPr="002B3D5C">
        <w:t>interventions that provide</w:t>
      </w:r>
      <w:r w:rsidR="007D38C4" w:rsidRPr="002B3D5C">
        <w:t xml:space="preserve"> </w:t>
      </w:r>
      <w:r w:rsidR="008671FF" w:rsidRPr="002B3D5C">
        <w:t>exercise</w:t>
      </w:r>
      <w:r w:rsidR="007D38C4" w:rsidRPr="002B3D5C">
        <w:t xml:space="preserve"> or cognitive training in </w:t>
      </w:r>
      <w:r w:rsidR="007A3FBB" w:rsidRPr="002B3D5C">
        <w:t xml:space="preserve">cognitive intact seniors </w:t>
      </w:r>
      <w:r w:rsidR="005A2A53" w:rsidRPr="002B3D5C">
        <w:t>become</w:t>
      </w:r>
      <w:r w:rsidR="007D38C4" w:rsidRPr="002B3D5C">
        <w:t xml:space="preserve"> </w:t>
      </w:r>
      <w:r w:rsidR="00A27B25" w:rsidRPr="002B3D5C">
        <w:t xml:space="preserve">rather </w:t>
      </w:r>
      <w:r w:rsidR="007D38C4" w:rsidRPr="002B3D5C">
        <w:t xml:space="preserve">questionable. </w:t>
      </w:r>
      <w:r w:rsidR="007A3FBB" w:rsidRPr="002B3D5C">
        <w:t xml:space="preserve">Such </w:t>
      </w:r>
      <w:r w:rsidR="007D38C4" w:rsidRPr="002B3D5C">
        <w:t xml:space="preserve">interventions </w:t>
      </w:r>
      <w:r w:rsidR="005A2A53" w:rsidRPr="002B3D5C">
        <w:t xml:space="preserve">aim </w:t>
      </w:r>
      <w:r w:rsidR="007D38C4" w:rsidRPr="002B3D5C">
        <w:t xml:space="preserve">at decreasing cognitive decline rates and postponing functional dependency in older age, as it is described with the line C in the Hertzog et al. (2009) theoretical framework. These interventions have been criticized </w:t>
      </w:r>
      <w:r w:rsidR="00A27B25" w:rsidRPr="002B3D5C">
        <w:t xml:space="preserve">in the past </w:t>
      </w:r>
      <w:r>
        <w:t>as providing</w:t>
      </w:r>
      <w:r w:rsidR="007D38C4" w:rsidRPr="002B3D5C">
        <w:t xml:space="preserve"> only short-term benefits </w:t>
      </w:r>
      <w:r w:rsidR="00F856C0" w:rsidRPr="002B3D5C">
        <w:t xml:space="preserve">in </w:t>
      </w:r>
      <w:r w:rsidR="008671FF" w:rsidRPr="002B3D5C">
        <w:t>cognitive performance</w:t>
      </w:r>
      <w:r w:rsidR="00F856C0" w:rsidRPr="002B3D5C">
        <w:t xml:space="preserve"> </w:t>
      </w:r>
      <w:r w:rsidR="007D38C4" w:rsidRPr="002B3D5C">
        <w:t>(Young et al., 2015), where non</w:t>
      </w:r>
      <w:r w:rsidR="00CF1C67" w:rsidRPr="002B3D5C">
        <w:t>e</w:t>
      </w:r>
      <w:r w:rsidR="007D38C4" w:rsidRPr="002B3D5C">
        <w:t xml:space="preserve"> ha</w:t>
      </w:r>
      <w:r w:rsidR="00CF1C67" w:rsidRPr="002B3D5C">
        <w:t>s</w:t>
      </w:r>
      <w:r w:rsidR="007D38C4" w:rsidRPr="002B3D5C">
        <w:t xml:space="preserve"> provided concrete evidence for improvements in </w:t>
      </w:r>
      <w:r w:rsidR="008671FF" w:rsidRPr="002B3D5C">
        <w:t>everyday functioning</w:t>
      </w:r>
      <w:r w:rsidR="005A2A53" w:rsidRPr="002B3D5C">
        <w:t xml:space="preserve"> (Diehl et al., 2005)</w:t>
      </w:r>
      <w:r w:rsidR="007D38C4" w:rsidRPr="002B3D5C">
        <w:t xml:space="preserve">. </w:t>
      </w:r>
      <w:r>
        <w:t>The</w:t>
      </w:r>
      <w:r w:rsidRPr="002B3D5C">
        <w:t xml:space="preserve"> findings</w:t>
      </w:r>
      <w:r>
        <w:t xml:space="preserve"> of this research argue</w:t>
      </w:r>
      <w:r w:rsidR="00CE4979" w:rsidRPr="002B3D5C">
        <w:t xml:space="preserve"> </w:t>
      </w:r>
      <w:r w:rsidR="007C4AF3" w:rsidRPr="002B3D5C">
        <w:t xml:space="preserve">that any </w:t>
      </w:r>
      <w:r>
        <w:t>claims</w:t>
      </w:r>
      <w:r w:rsidR="007C4AF3" w:rsidRPr="002B3D5C">
        <w:t xml:space="preserve"> about the benefits </w:t>
      </w:r>
      <w:r w:rsidR="00CE4979" w:rsidRPr="002B3D5C">
        <w:t xml:space="preserve">on </w:t>
      </w:r>
      <w:r w:rsidR="007C4AF3" w:rsidRPr="002B3D5C">
        <w:t xml:space="preserve">seniors’ ability to live independently </w:t>
      </w:r>
      <w:r w:rsidR="00A152DA" w:rsidRPr="002B3D5C">
        <w:t xml:space="preserve">through cognitive training </w:t>
      </w:r>
      <w:r w:rsidR="007C4AF3" w:rsidRPr="002B3D5C">
        <w:t xml:space="preserve">should be made with extreme caution. </w:t>
      </w:r>
    </w:p>
    <w:p w:rsidR="00001AA7" w:rsidRPr="002B3D5C" w:rsidRDefault="00A152DA" w:rsidP="005C41B7">
      <w:pPr>
        <w:pStyle w:val="APAPar"/>
      </w:pPr>
      <w:r w:rsidRPr="002B3D5C">
        <w:t>This gives rise to the unsettling fact that many policies and clinical interventions may rely more on the face validity of the relation</w:t>
      </w:r>
      <w:r w:rsidR="00CC11B6">
        <w:t>ship</w:t>
      </w:r>
      <w:r w:rsidRPr="002B3D5C">
        <w:t xml:space="preserve"> between </w:t>
      </w:r>
      <w:r w:rsidR="008671FF" w:rsidRPr="002B3D5C">
        <w:t>cognitive performance</w:t>
      </w:r>
      <w:r w:rsidRPr="002B3D5C">
        <w:t xml:space="preserve"> and </w:t>
      </w:r>
      <w:r w:rsidR="008671FF" w:rsidRPr="002B3D5C">
        <w:t>everyday functioning</w:t>
      </w:r>
      <w:r w:rsidRPr="002B3D5C">
        <w:t xml:space="preserve">, rather than being grounded in scientific evidence. </w:t>
      </w:r>
      <w:r w:rsidR="00CE4979" w:rsidRPr="002B3D5C">
        <w:t xml:space="preserve">Any interventions advocating long-term benefits in </w:t>
      </w:r>
      <w:r w:rsidR="008671FF" w:rsidRPr="002B3D5C">
        <w:t xml:space="preserve">everyday functioning </w:t>
      </w:r>
      <w:r w:rsidR="00CE4979" w:rsidRPr="002B3D5C">
        <w:t xml:space="preserve">through improvements in </w:t>
      </w:r>
      <w:r w:rsidR="008671FF" w:rsidRPr="002B3D5C">
        <w:t xml:space="preserve">cognitive performance </w:t>
      </w:r>
      <w:r w:rsidR="00CE4979" w:rsidRPr="002B3D5C">
        <w:t xml:space="preserve">measured in the short-term should be taken into account </w:t>
      </w:r>
      <w:r w:rsidR="00CC11B6">
        <w:t xml:space="preserve">from </w:t>
      </w:r>
      <w:r w:rsidR="00CE4979" w:rsidRPr="002B3D5C">
        <w:t>a rather sceptical stance. This</w:t>
      </w:r>
      <w:r w:rsidR="00A7436D" w:rsidRPr="002B3D5C">
        <w:t xml:space="preserve"> thesis may contribute to the initiation of a positive movement in the discourse of cognitive ageing and especially in cognitive neuropsychology, aiming to depict cognitive changes in the c</w:t>
      </w:r>
      <w:r w:rsidR="00CE4979" w:rsidRPr="002B3D5C">
        <w:t xml:space="preserve">ourse of life more accurately. </w:t>
      </w:r>
      <w:r w:rsidR="00D8589A" w:rsidRPr="002B3D5C">
        <w:t xml:space="preserve">The positive theoretical framework on cognitive ageing introduced in this thesis may serve as a valid basis for the initiation of such a discussion, </w:t>
      </w:r>
      <w:r w:rsidR="006C2F07" w:rsidRPr="002B3D5C">
        <w:t>particularly in</w:t>
      </w:r>
      <w:r w:rsidR="00D8589A" w:rsidRPr="002B3D5C">
        <w:t xml:space="preserve"> drawing actions </w:t>
      </w:r>
      <w:r w:rsidR="006C2F07" w:rsidRPr="002B3D5C">
        <w:t>to examine</w:t>
      </w:r>
      <w:r w:rsidR="00D8589A" w:rsidRPr="002B3D5C">
        <w:t xml:space="preserve"> more </w:t>
      </w:r>
      <w:r w:rsidR="006C2F07" w:rsidRPr="002B3D5C">
        <w:t>systematically the</w:t>
      </w:r>
      <w:r w:rsidR="00D8589A" w:rsidRPr="002B3D5C">
        <w:t xml:space="preserve"> healthy spectrum of cognitive performance. These actions could eventually inform policy making </w:t>
      </w:r>
      <w:r w:rsidR="006C2F07" w:rsidRPr="002B3D5C">
        <w:t>on how</w:t>
      </w:r>
      <w:r w:rsidR="00D8589A" w:rsidRPr="002B3D5C">
        <w:t xml:space="preserve"> the potential of older adults can be mobilized in benefit of the individual and the society overall. </w:t>
      </w:r>
    </w:p>
    <w:p w:rsidR="00495B54" w:rsidRDefault="00D5525A" w:rsidP="005C41B7">
      <w:pPr>
        <w:pStyle w:val="APAPar"/>
      </w:pPr>
      <w:r w:rsidRPr="002B3D5C">
        <w:rPr>
          <w:lang w:val="en-US"/>
        </w:rPr>
        <w:t xml:space="preserve">The evidence of this </w:t>
      </w:r>
      <w:r w:rsidR="00CC11B6">
        <w:rPr>
          <w:lang w:val="en-US"/>
        </w:rPr>
        <w:t>research</w:t>
      </w:r>
      <w:r w:rsidRPr="002B3D5C">
        <w:rPr>
          <w:lang w:val="en-US"/>
        </w:rPr>
        <w:t xml:space="preserve"> has been discussed in relation to the ability of the currently assessment tools to measure accurately cognitive performance and everyday functioning, as well as to represent real-world behaviours and outcomes. As such, it cautioned that the current capacity of scientific inquiry cannot support strong arguments about any age-related declines in older adults’ functional abilities, a realization that may contribute in avoiding scientifically ungrounded ageist views. </w:t>
      </w:r>
      <w:r w:rsidR="00DA600B" w:rsidRPr="002B3D5C">
        <w:t>Extended longevity has been a huge su</w:t>
      </w:r>
      <w:r w:rsidR="00001AA7" w:rsidRPr="002B3D5C">
        <w:t xml:space="preserve">ccess of </w:t>
      </w:r>
      <w:r w:rsidR="00DC3D5D" w:rsidRPr="002B3D5C">
        <w:t>humanity;</w:t>
      </w:r>
      <w:r w:rsidR="00001AA7" w:rsidRPr="002B3D5C">
        <w:t xml:space="preserve"> however, we are st</w:t>
      </w:r>
      <w:r w:rsidR="00DA600B" w:rsidRPr="002B3D5C">
        <w:t xml:space="preserve">anding </w:t>
      </w:r>
      <w:r w:rsidR="00285E63" w:rsidRPr="002B3D5C">
        <w:t xml:space="preserve">scientifically </w:t>
      </w:r>
      <w:r w:rsidR="00DA600B" w:rsidRPr="002B3D5C">
        <w:t xml:space="preserve">unprepared to </w:t>
      </w:r>
      <w:r w:rsidR="00285E63" w:rsidRPr="002B3D5C">
        <w:t>examine</w:t>
      </w:r>
      <w:r w:rsidR="00DA600B" w:rsidRPr="002B3D5C">
        <w:t xml:space="preserve"> this success for the greater good</w:t>
      </w:r>
      <w:r w:rsidR="00CF1C67" w:rsidRPr="002B3D5C">
        <w:t>. As colourfully stated by Carstensen</w:t>
      </w:r>
      <w:r w:rsidR="00BA651B" w:rsidRPr="002B3D5C">
        <w:t xml:space="preserve"> </w:t>
      </w:r>
      <w:r w:rsidR="00CF1C67" w:rsidRPr="002B3D5C">
        <w:t>(</w:t>
      </w:r>
      <w:r w:rsidR="00BA651B" w:rsidRPr="002B3D5C">
        <w:t xml:space="preserve">2011), a </w:t>
      </w:r>
      <w:r w:rsidR="00DA600B" w:rsidRPr="002B3D5C">
        <w:t>shift to a more positive paradigm on ageing</w:t>
      </w:r>
      <w:r w:rsidR="00BA651B" w:rsidRPr="002B3D5C">
        <w:t xml:space="preserve"> may </w:t>
      </w:r>
      <w:r w:rsidR="00DA600B" w:rsidRPr="002B3D5C">
        <w:t xml:space="preserve">also </w:t>
      </w:r>
      <w:r w:rsidR="00BA651B" w:rsidRPr="002B3D5C">
        <w:t xml:space="preserve">shift the discussion </w:t>
      </w:r>
      <w:r w:rsidR="00DA600B" w:rsidRPr="002B3D5C">
        <w:t xml:space="preserve">away </w:t>
      </w:r>
      <w:r w:rsidR="00BA651B" w:rsidRPr="002B3D5C">
        <w:t>from</w:t>
      </w:r>
      <w:r w:rsidR="00DA600B" w:rsidRPr="002B3D5C">
        <w:t xml:space="preserve"> the ‘burden of older age’ and</w:t>
      </w:r>
      <w:r w:rsidR="00BA651B" w:rsidRPr="002B3D5C">
        <w:t xml:space="preserve"> ‘how to save the old folks’</w:t>
      </w:r>
      <w:r w:rsidR="00DA600B" w:rsidRPr="002B3D5C">
        <w:t>, into a direction of findings ways of  ‘</w:t>
      </w:r>
      <w:r w:rsidR="00BA651B" w:rsidRPr="002B3D5C">
        <w:t>how we can make them save us all</w:t>
      </w:r>
      <w:r w:rsidR="00DA600B" w:rsidRPr="002B3D5C">
        <w:t>’</w:t>
      </w:r>
      <w:r w:rsidR="00BA651B" w:rsidRPr="002B3D5C">
        <w:t>.</w:t>
      </w:r>
    </w:p>
    <w:p w:rsidR="00D5525A" w:rsidRPr="00495B54" w:rsidRDefault="00BA651B" w:rsidP="005C41B7">
      <w:pPr>
        <w:pStyle w:val="APAPar"/>
        <w:rPr>
          <w:lang w:val="en-US"/>
        </w:rPr>
      </w:pPr>
      <w:r w:rsidRPr="002B3D5C">
        <w:t xml:space="preserve"> </w:t>
      </w:r>
      <w:r w:rsidR="00D5525A" w:rsidRPr="002B3D5C">
        <w:t xml:space="preserve">Taking into account the importance of exercise in promoting and retaining a positive state of physical health, the </w:t>
      </w:r>
      <w:r w:rsidR="00CC11B6">
        <w:t xml:space="preserve">low </w:t>
      </w:r>
      <w:r w:rsidR="00D5525A" w:rsidRPr="002B3D5C">
        <w:t>percentages of Greeks who exercise at the recommended levels in older age are alarming. Similar concerns are raised for Greek older adults’ social integration in our growingly digitalized society, as raising a particular hazard for a digitally mediated social exclusion for them.</w:t>
      </w:r>
    </w:p>
    <w:p w:rsidR="00CB5C99" w:rsidRPr="002B3D5C" w:rsidRDefault="00001AA7" w:rsidP="005C41B7">
      <w:pPr>
        <w:pStyle w:val="APAPar"/>
      </w:pPr>
      <w:r w:rsidRPr="002B3D5C">
        <w:t xml:space="preserve"> </w:t>
      </w:r>
      <w:r w:rsidR="00AF2435" w:rsidRPr="002B3D5C">
        <w:t xml:space="preserve">Future studies </w:t>
      </w:r>
      <w:r w:rsidR="00B70D88" w:rsidRPr="002B3D5C">
        <w:t>could</w:t>
      </w:r>
      <w:r w:rsidR="00AF2435" w:rsidRPr="002B3D5C">
        <w:t xml:space="preserve"> examine the </w:t>
      </w:r>
      <w:r w:rsidR="00144F26" w:rsidRPr="002B3D5C">
        <w:t>social factors</w:t>
      </w:r>
      <w:r w:rsidR="00AF2435" w:rsidRPr="002B3D5C">
        <w:t xml:space="preserve"> </w:t>
      </w:r>
      <w:r w:rsidR="00144F26" w:rsidRPr="002B3D5C">
        <w:t xml:space="preserve">influencing cognitive and functional performance </w:t>
      </w:r>
      <w:r w:rsidR="00DA600B" w:rsidRPr="002B3D5C">
        <w:t xml:space="preserve">using </w:t>
      </w:r>
      <w:r w:rsidR="00144F26" w:rsidRPr="002B3D5C">
        <w:t>sequential</w:t>
      </w:r>
      <w:r w:rsidR="00DA600B" w:rsidRPr="002B3D5C">
        <w:t xml:space="preserve"> designs</w:t>
      </w:r>
      <w:r w:rsidR="00144F26" w:rsidRPr="002B3D5C">
        <w:t xml:space="preserve"> and larger sample sizes</w:t>
      </w:r>
      <w:r w:rsidR="00AF2435" w:rsidRPr="002B3D5C">
        <w:t xml:space="preserve">. </w:t>
      </w:r>
      <w:r w:rsidR="00144F26" w:rsidRPr="002B3D5C">
        <w:t>Using the research methodology discussed in Chapter 6</w:t>
      </w:r>
      <w:r w:rsidR="00923034" w:rsidRPr="002B3D5C">
        <w:t xml:space="preserve"> as a basis</w:t>
      </w:r>
      <w:r w:rsidR="00144F26" w:rsidRPr="002B3D5C">
        <w:t>, future studies c</w:t>
      </w:r>
      <w:r w:rsidR="00CB5C99" w:rsidRPr="002B3D5C">
        <w:t xml:space="preserve">ould </w:t>
      </w:r>
      <w:r w:rsidR="00923034" w:rsidRPr="002B3D5C">
        <w:t>develop</w:t>
      </w:r>
      <w:r w:rsidR="00CB5C99" w:rsidRPr="002B3D5C">
        <w:t xml:space="preserve"> more </w:t>
      </w:r>
      <w:r w:rsidR="00923034" w:rsidRPr="002B3D5C">
        <w:t>elaborated models of</w:t>
      </w:r>
      <w:r w:rsidR="00144F26" w:rsidRPr="002B3D5C">
        <w:t xml:space="preserve"> cognitive decline with ageing. </w:t>
      </w:r>
      <w:r w:rsidR="00D5525A" w:rsidRPr="002B3D5C">
        <w:t xml:space="preserve"> </w:t>
      </w:r>
      <w:r w:rsidR="00930F75" w:rsidRPr="002B3D5C">
        <w:t>In addition</w:t>
      </w:r>
      <w:r w:rsidR="00AF2435" w:rsidRPr="002B3D5C">
        <w:t xml:space="preserve">, future studies </w:t>
      </w:r>
      <w:r w:rsidR="00B70D88" w:rsidRPr="002B3D5C">
        <w:t>could</w:t>
      </w:r>
      <w:r w:rsidR="00AF2435" w:rsidRPr="002B3D5C">
        <w:t xml:space="preserve"> examine </w:t>
      </w:r>
      <w:r w:rsidR="00B70D88" w:rsidRPr="002B3D5C">
        <w:t>thoroughly</w:t>
      </w:r>
      <w:r w:rsidRPr="002B3D5C">
        <w:t xml:space="preserve"> </w:t>
      </w:r>
      <w:r w:rsidR="00144F26" w:rsidRPr="002B3D5C">
        <w:t xml:space="preserve">the moderation effects of Internet use and exercise. </w:t>
      </w:r>
      <w:r w:rsidRPr="002B3D5C">
        <w:t>Future</w:t>
      </w:r>
      <w:r w:rsidR="00144F26" w:rsidRPr="002B3D5C">
        <w:t xml:space="preserve"> research efforts should</w:t>
      </w:r>
      <w:r w:rsidR="00686657" w:rsidRPr="002B3D5C">
        <w:t xml:space="preserve"> </w:t>
      </w:r>
      <w:r w:rsidR="00CC11B6">
        <w:t xml:space="preserve">also </w:t>
      </w:r>
      <w:r w:rsidRPr="002B3D5C">
        <w:t>aim at</w:t>
      </w:r>
      <w:r w:rsidR="00686657" w:rsidRPr="002B3D5C">
        <w:t xml:space="preserve"> raising</w:t>
      </w:r>
      <w:r w:rsidR="00CB5C99" w:rsidRPr="002B3D5C">
        <w:t xml:space="preserve"> the ecological validity and cultural sensitivity </w:t>
      </w:r>
      <w:r w:rsidR="00144F26" w:rsidRPr="002B3D5C">
        <w:t xml:space="preserve">of everyday function measures. </w:t>
      </w:r>
      <w:r w:rsidR="00686657" w:rsidRPr="002B3D5C">
        <w:t xml:space="preserve">In </w:t>
      </w:r>
      <w:r w:rsidR="00923034" w:rsidRPr="002B3D5C">
        <w:t>this context</w:t>
      </w:r>
      <w:r w:rsidR="00686657" w:rsidRPr="002B3D5C">
        <w:t>, a greater understanding is needed for the compensatory mechanisms that are employed for age-related cognitive decrements. An increased understanding of these mechanisms</w:t>
      </w:r>
      <w:r w:rsidRPr="002B3D5C">
        <w:t>, as well as their quantification,</w:t>
      </w:r>
      <w:r w:rsidR="00686657" w:rsidRPr="002B3D5C">
        <w:t xml:space="preserve"> could lead to a greater insight on how functional ability</w:t>
      </w:r>
      <w:r w:rsidR="00923034" w:rsidRPr="002B3D5C">
        <w:t xml:space="preserve"> can be preserved and promoted</w:t>
      </w:r>
      <w:r w:rsidR="00686657" w:rsidRPr="002B3D5C">
        <w:t xml:space="preserve"> in older age</w:t>
      </w:r>
      <w:r w:rsidR="00495B54">
        <w:t>, despite age-related cognitive decrements</w:t>
      </w:r>
      <w:r w:rsidR="00686657" w:rsidRPr="002B3D5C">
        <w:t>.</w:t>
      </w:r>
    </w:p>
    <w:p w:rsidR="009F1FAA" w:rsidRPr="002B3D5C" w:rsidRDefault="00686657" w:rsidP="005C41B7">
      <w:pPr>
        <w:pStyle w:val="APAPar"/>
      </w:pPr>
      <w:r w:rsidRPr="002B3D5C">
        <w:t>Lastly, there is great need</w:t>
      </w:r>
      <w:r w:rsidR="009F1FAA" w:rsidRPr="002B3D5C">
        <w:t xml:space="preserve"> </w:t>
      </w:r>
      <w:r w:rsidRPr="002B3D5C">
        <w:t xml:space="preserve">to understand better what are the needs, as well as the contributions of </w:t>
      </w:r>
      <w:r w:rsidR="00923034" w:rsidRPr="002B3D5C">
        <w:t>the</w:t>
      </w:r>
      <w:r w:rsidRPr="002B3D5C">
        <w:t xml:space="preserve"> ageing population. To date, this tends to be</w:t>
      </w:r>
      <w:r w:rsidR="00340702" w:rsidRPr="002B3D5C">
        <w:t xml:space="preserve"> </w:t>
      </w:r>
      <w:r w:rsidRPr="002B3D5C">
        <w:t xml:space="preserve">quantified financially in terms of productivity and expenses, </w:t>
      </w:r>
      <w:r w:rsidR="00340702" w:rsidRPr="002B3D5C">
        <w:t>using the old-</w:t>
      </w:r>
      <w:r w:rsidRPr="002B3D5C">
        <w:t>age dependency ratio</w:t>
      </w:r>
      <w:r w:rsidR="00340702" w:rsidRPr="002B3D5C">
        <w:t xml:space="preserve"> or similar indexes</w:t>
      </w:r>
      <w:r w:rsidR="00923034" w:rsidRPr="002B3D5C">
        <w:t xml:space="preserve"> as a point of reference</w:t>
      </w:r>
      <w:r w:rsidR="00340702" w:rsidRPr="002B3D5C">
        <w:t xml:space="preserve">. </w:t>
      </w:r>
      <w:r w:rsidRPr="002B3D5C">
        <w:t xml:space="preserve"> </w:t>
      </w:r>
      <w:r w:rsidR="00340702" w:rsidRPr="002B3D5C">
        <w:t xml:space="preserve">These approaches </w:t>
      </w:r>
      <w:r w:rsidR="00923034" w:rsidRPr="002B3D5C">
        <w:t xml:space="preserve">however </w:t>
      </w:r>
      <w:r w:rsidRPr="002B3D5C">
        <w:t xml:space="preserve">fall short </w:t>
      </w:r>
      <w:r w:rsidR="00340702" w:rsidRPr="002B3D5C">
        <w:t xml:space="preserve">in </w:t>
      </w:r>
      <w:r w:rsidRPr="002B3D5C">
        <w:t>quantify</w:t>
      </w:r>
      <w:r w:rsidR="00340702" w:rsidRPr="002B3D5C">
        <w:t>ing</w:t>
      </w:r>
      <w:r w:rsidRPr="002B3D5C">
        <w:t xml:space="preserve"> </w:t>
      </w:r>
      <w:r w:rsidR="00340702" w:rsidRPr="002B3D5C">
        <w:t xml:space="preserve">(financially) </w:t>
      </w:r>
      <w:r w:rsidRPr="002B3D5C">
        <w:t>older adults</w:t>
      </w:r>
      <w:r w:rsidR="00340702" w:rsidRPr="002B3D5C">
        <w:t>’</w:t>
      </w:r>
      <w:r w:rsidRPr="002B3D5C">
        <w:t xml:space="preserve"> contributions</w:t>
      </w:r>
      <w:r w:rsidR="00340702" w:rsidRPr="002B3D5C">
        <w:t xml:space="preserve"> through volunteering, child rearing, and long-term care, </w:t>
      </w:r>
      <w:r w:rsidR="00923034" w:rsidRPr="002B3D5C">
        <w:t xml:space="preserve">contributions </w:t>
      </w:r>
      <w:r w:rsidR="00340702" w:rsidRPr="002B3D5C">
        <w:t xml:space="preserve">which will increase in the </w:t>
      </w:r>
      <w:r w:rsidR="00923034" w:rsidRPr="002B3D5C">
        <w:t xml:space="preserve">near </w:t>
      </w:r>
      <w:r w:rsidR="00340702" w:rsidRPr="002B3D5C">
        <w:t>future</w:t>
      </w:r>
      <w:r w:rsidR="00923034" w:rsidRPr="002B3D5C">
        <w:t xml:space="preserve"> due to the demographic change</w:t>
      </w:r>
      <w:r w:rsidR="00340702" w:rsidRPr="002B3D5C">
        <w:t>. At the same time, it fails to re</w:t>
      </w:r>
      <w:r w:rsidR="00923034" w:rsidRPr="002B3D5C">
        <w:t>present accurately</w:t>
      </w:r>
      <w:r w:rsidR="00340702" w:rsidRPr="002B3D5C">
        <w:t xml:space="preserve"> the </w:t>
      </w:r>
      <w:r w:rsidR="003E7EDE" w:rsidRPr="002B3D5C">
        <w:t>changes that the</w:t>
      </w:r>
      <w:r w:rsidR="00923034" w:rsidRPr="002B3D5C">
        <w:t xml:space="preserve"> extended longevity and the </w:t>
      </w:r>
      <w:r w:rsidR="003E7EDE" w:rsidRPr="002B3D5C">
        <w:t xml:space="preserve">increased </w:t>
      </w:r>
      <w:r w:rsidR="00923034" w:rsidRPr="002B3D5C">
        <w:t xml:space="preserve">healthy life expectancy </w:t>
      </w:r>
      <w:r w:rsidR="003E7EDE" w:rsidRPr="002B3D5C">
        <w:t xml:space="preserve">have brought </w:t>
      </w:r>
      <w:r w:rsidR="00923034" w:rsidRPr="002B3D5C">
        <w:t xml:space="preserve">in abilities </w:t>
      </w:r>
      <w:r w:rsidR="003E7EDE" w:rsidRPr="002B3D5C">
        <w:t>and lifestyles of older individuals. This refers to a</w:t>
      </w:r>
      <w:r w:rsidR="009F1FAA" w:rsidRPr="002B3D5C">
        <w:t xml:space="preserve"> shift of the paradigm of ageing</w:t>
      </w:r>
      <w:r w:rsidR="003E7EDE" w:rsidRPr="002B3D5C">
        <w:t>, which</w:t>
      </w:r>
      <w:r w:rsidR="009F1FAA" w:rsidRPr="002B3D5C">
        <w:t xml:space="preserve"> cannot be </w:t>
      </w:r>
      <w:r w:rsidR="003E7EDE" w:rsidRPr="002B3D5C">
        <w:t>restricted merely to a description</w:t>
      </w:r>
      <w:r w:rsidR="009F1FAA" w:rsidRPr="002B3D5C">
        <w:t xml:space="preserve"> </w:t>
      </w:r>
      <w:r w:rsidR="003E7EDE" w:rsidRPr="002B3D5C">
        <w:t xml:space="preserve">of </w:t>
      </w:r>
      <w:r w:rsidR="009F1FAA" w:rsidRPr="002B3D5C">
        <w:t>health care costs. An updated paradigm of ageing has to describe the changes brought by new generatio</w:t>
      </w:r>
      <w:r w:rsidR="007F5555">
        <w:t>ns</w:t>
      </w:r>
      <w:r w:rsidR="00D8589A" w:rsidRPr="002B3D5C">
        <w:t xml:space="preserve"> of older individuals </w:t>
      </w:r>
      <w:r w:rsidR="007F5555">
        <w:t>who</w:t>
      </w:r>
      <w:r w:rsidR="00D8589A" w:rsidRPr="002B3D5C">
        <w:t xml:space="preserve"> li</w:t>
      </w:r>
      <w:r w:rsidR="009F1FAA" w:rsidRPr="002B3D5C">
        <w:t xml:space="preserve">ve </w:t>
      </w:r>
      <w:r w:rsidR="007B5AC8">
        <w:t>longer</w:t>
      </w:r>
      <w:r w:rsidR="009F1FAA" w:rsidRPr="002B3D5C">
        <w:t>, are healthier, and fit</w:t>
      </w:r>
      <w:r w:rsidR="003E7EDE" w:rsidRPr="002B3D5C">
        <w:t>ter</w:t>
      </w:r>
      <w:r w:rsidR="009F1FAA" w:rsidRPr="002B3D5C">
        <w:t xml:space="preserve"> than any other generation at that age before. As such, future research should </w:t>
      </w:r>
      <w:r w:rsidR="004D61B9" w:rsidRPr="002B3D5C">
        <w:t xml:space="preserve">adopt a more positive approach </w:t>
      </w:r>
      <w:r w:rsidR="005E0281">
        <w:t>towards</w:t>
      </w:r>
      <w:r w:rsidR="004D61B9" w:rsidRPr="002B3D5C">
        <w:t xml:space="preserve"> </w:t>
      </w:r>
      <w:r w:rsidR="00287D03" w:rsidRPr="002B3D5C">
        <w:t xml:space="preserve">cognitive </w:t>
      </w:r>
      <w:r w:rsidR="004D61B9" w:rsidRPr="002B3D5C">
        <w:t xml:space="preserve">ageing and </w:t>
      </w:r>
      <w:r w:rsidR="009F1FAA" w:rsidRPr="002B3D5C">
        <w:t>examine the potential of older individuals</w:t>
      </w:r>
      <w:r w:rsidR="004D61B9" w:rsidRPr="002B3D5C">
        <w:t>, as well as</w:t>
      </w:r>
      <w:r w:rsidR="009F1FAA" w:rsidRPr="002B3D5C">
        <w:t xml:space="preserve"> the factors that can mobilize this potential for the greater good, as well as for personal welfare and </w:t>
      </w:r>
      <w:r w:rsidR="00144F26" w:rsidRPr="002B3D5C">
        <w:t>wellbeing</w:t>
      </w:r>
      <w:r w:rsidR="009F1FAA" w:rsidRPr="002B3D5C">
        <w:t xml:space="preserve">. </w:t>
      </w:r>
    </w:p>
    <w:p w:rsidR="00260FA6" w:rsidRPr="002B3D5C" w:rsidRDefault="00260FA6" w:rsidP="00FE028D">
      <w:pPr>
        <w:pStyle w:val="Heading2"/>
      </w:pPr>
      <w:bookmarkStart w:id="208" w:name="_Toc342896793"/>
      <w:bookmarkStart w:id="209" w:name="_Toc373426002"/>
      <w:bookmarkStart w:id="210" w:name="_Toc521184275"/>
      <w:r w:rsidRPr="002B3D5C">
        <w:t>Conclusion</w:t>
      </w:r>
      <w:bookmarkEnd w:id="208"/>
      <w:bookmarkEnd w:id="209"/>
      <w:bookmarkEnd w:id="210"/>
    </w:p>
    <w:p w:rsidR="00910081" w:rsidRPr="007A15F6" w:rsidRDefault="00260FA6" w:rsidP="005C41B7">
      <w:pPr>
        <w:pStyle w:val="APAPar"/>
      </w:pPr>
      <w:r w:rsidRPr="002B3D5C">
        <w:t xml:space="preserve">As a </w:t>
      </w:r>
      <w:r w:rsidR="007B5AC8">
        <w:t xml:space="preserve">final </w:t>
      </w:r>
      <w:r w:rsidRPr="002B3D5C">
        <w:t>conclusion,</w:t>
      </w:r>
      <w:r w:rsidR="00E43FA7" w:rsidRPr="002B3D5C">
        <w:t xml:space="preserve"> cognitive performance and everyday functioning seem to be moderately related in the healthy spectrum of cognitive vitality</w:t>
      </w:r>
      <w:r w:rsidRPr="002B3D5C">
        <w:t xml:space="preserve">. </w:t>
      </w:r>
      <w:r w:rsidR="00E43FA7" w:rsidRPr="002B3D5C">
        <w:t xml:space="preserve">Social participation, education, Internet use and exercise seem to moderate age-related decrements of cognitive performance. These effects however seem to be conditional on certain age groups and to a subpopulation with specific characteristics. </w:t>
      </w:r>
      <w:r w:rsidRPr="002B3D5C">
        <w:t xml:space="preserve">The transferability of benefits to </w:t>
      </w:r>
      <w:r w:rsidR="00E43FA7" w:rsidRPr="002B3D5C">
        <w:t>everyday functioning through cognitive performance seems to be questionable, as the mediation e</w:t>
      </w:r>
      <w:r w:rsidR="005E0281">
        <w:t>ffect of cognitive performance o</w:t>
      </w:r>
      <w:r w:rsidR="00E43FA7" w:rsidRPr="002B3D5C">
        <w:t>n the relation</w:t>
      </w:r>
      <w:r w:rsidR="005E0281">
        <w:t>ship</w:t>
      </w:r>
      <w:r w:rsidR="00E43FA7" w:rsidRPr="002B3D5C">
        <w:t xml:space="preserve"> between age and everyday functioning was rather low</w:t>
      </w:r>
      <w:r w:rsidR="00495B54">
        <w:t xml:space="preserve"> in this </w:t>
      </w:r>
      <w:r w:rsidR="005E0281">
        <w:t>research</w:t>
      </w:r>
      <w:r w:rsidR="00495B54">
        <w:t>. The</w:t>
      </w:r>
      <w:r w:rsidRPr="002B3D5C">
        <w:t xml:space="preserve"> findings </w:t>
      </w:r>
      <w:r w:rsidR="00495B54">
        <w:t>did not</w:t>
      </w:r>
      <w:r w:rsidR="00E43FA7" w:rsidRPr="002B3D5C">
        <w:t xml:space="preserve"> support a social withdrawal with ageing</w:t>
      </w:r>
      <w:r w:rsidR="00495B54">
        <w:t xml:space="preserve"> </w:t>
      </w:r>
      <w:r w:rsidR="00495B54" w:rsidRPr="002B3D5C">
        <w:t>hypothesis</w:t>
      </w:r>
      <w:r w:rsidR="00E43FA7" w:rsidRPr="002B3D5C">
        <w:t>, but</w:t>
      </w:r>
      <w:r w:rsidR="00495B54">
        <w:t xml:space="preserve"> </w:t>
      </w:r>
      <w:r w:rsidR="00944D6C">
        <w:t>illustrated</w:t>
      </w:r>
      <w:r w:rsidR="00E43FA7" w:rsidRPr="002B3D5C">
        <w:t xml:space="preserve"> that income may attenuate the effect of age-related decrements in social network size to social participation</w:t>
      </w:r>
      <w:r w:rsidRPr="002B3D5C">
        <w:t xml:space="preserve">. These conclusions </w:t>
      </w:r>
      <w:r w:rsidR="00E43FA7" w:rsidRPr="002B3D5C">
        <w:t xml:space="preserve">are discussed </w:t>
      </w:r>
      <w:r w:rsidR="00447994" w:rsidRPr="002B3D5C">
        <w:t>in relation to a great number of limitations of this study, along with the practical and theoretical implications that emerged.</w:t>
      </w:r>
      <w:r w:rsidRPr="007A15F6">
        <w:br w:type="page"/>
      </w:r>
    </w:p>
    <w:p w:rsidR="009E4250" w:rsidRPr="00E041BC" w:rsidRDefault="009E4250" w:rsidP="00640C1B">
      <w:pPr>
        <w:pStyle w:val="Heading0"/>
        <w:rPr>
          <w:lang w:val="nl-NL"/>
        </w:rPr>
      </w:pPr>
      <w:bookmarkStart w:id="211" w:name="_Toc373426003"/>
      <w:bookmarkStart w:id="212" w:name="_Toc521184276"/>
      <w:r w:rsidRPr="00E041BC">
        <w:rPr>
          <w:lang w:val="nl-NL"/>
        </w:rPr>
        <w:t>References</w:t>
      </w:r>
      <w:bookmarkEnd w:id="201"/>
      <w:bookmarkEnd w:id="202"/>
      <w:bookmarkEnd w:id="203"/>
      <w:bookmarkEnd w:id="211"/>
      <w:bookmarkEnd w:id="212"/>
    </w:p>
    <w:p w:rsidR="00AC1447" w:rsidRPr="00DA3C38" w:rsidRDefault="00AC1447" w:rsidP="00DA3C38">
      <w:pPr>
        <w:pStyle w:val="APARefs"/>
        <w:spacing w:line="480" w:lineRule="auto"/>
      </w:pPr>
      <w:r w:rsidRPr="00E041BC">
        <w:rPr>
          <w:lang w:val="nl-NL"/>
        </w:rPr>
        <w:t xml:space="preserve"> Aartsen, M.</w:t>
      </w:r>
      <w:r w:rsidR="005E7098" w:rsidRPr="00E041BC">
        <w:rPr>
          <w:lang w:val="nl-NL"/>
        </w:rPr>
        <w:t>,</w:t>
      </w:r>
      <w:r w:rsidRPr="00E041BC">
        <w:rPr>
          <w:lang w:val="nl-NL"/>
        </w:rPr>
        <w:t xml:space="preserve"> J., Smits, C.</w:t>
      </w:r>
      <w:r w:rsidR="005E7098" w:rsidRPr="00E041BC">
        <w:rPr>
          <w:lang w:val="nl-NL"/>
        </w:rPr>
        <w:t>,</w:t>
      </w:r>
      <w:r w:rsidRPr="00E041BC">
        <w:rPr>
          <w:lang w:val="nl-NL"/>
        </w:rPr>
        <w:t xml:space="preserve"> H., Tilburg, T., Knipsheer, C.</w:t>
      </w:r>
      <w:r w:rsidR="005E7098" w:rsidRPr="00E041BC">
        <w:rPr>
          <w:lang w:val="nl-NL"/>
        </w:rPr>
        <w:t>,</w:t>
      </w:r>
      <w:r w:rsidRPr="00E041BC">
        <w:rPr>
          <w:lang w:val="nl-NL"/>
        </w:rPr>
        <w:t xml:space="preserve"> P., &amp; Deeg, D.</w:t>
      </w:r>
      <w:r w:rsidR="005E7098" w:rsidRPr="00E041BC">
        <w:rPr>
          <w:lang w:val="nl-NL"/>
        </w:rPr>
        <w:t>,</w:t>
      </w:r>
      <w:r w:rsidRPr="00E041BC">
        <w:rPr>
          <w:lang w:val="nl-NL"/>
        </w:rPr>
        <w:t xml:space="preserve"> J. (2002). </w:t>
      </w:r>
      <w:r w:rsidRPr="00DA3C38">
        <w:t xml:space="preserve">Activity in older adults: cause or consequence of cognitive functioning? A longitudinal study on everyday activities and cognitive performance in older adults. </w:t>
      </w:r>
      <w:r w:rsidRPr="00DA3C38">
        <w:rPr>
          <w:i/>
        </w:rPr>
        <w:t>Journal of Gerontology, 57B</w:t>
      </w:r>
      <w:r w:rsidRPr="00DA3C38">
        <w:t>(2), 153-162.</w:t>
      </w:r>
    </w:p>
    <w:p w:rsidR="00AC1447" w:rsidRPr="00E041BC" w:rsidRDefault="00530389" w:rsidP="00DA3C38">
      <w:pPr>
        <w:pStyle w:val="APARefs"/>
        <w:spacing w:line="480" w:lineRule="auto"/>
        <w:rPr>
          <w:lang w:val="de-DE"/>
        </w:rPr>
      </w:pPr>
      <w:r w:rsidRPr="00DA3C38">
        <w:t>Aichenbaum, W.</w:t>
      </w:r>
      <w:r w:rsidR="005E7098" w:rsidRPr="00DA3C38">
        <w:t>,</w:t>
      </w:r>
      <w:r w:rsidRPr="00DA3C38">
        <w:t xml:space="preserve"> A., Br</w:t>
      </w:r>
      <w:r w:rsidR="00AC1447" w:rsidRPr="00DA3C38">
        <w:t>egston, V.</w:t>
      </w:r>
      <w:r w:rsidR="005E7098" w:rsidRPr="00DA3C38">
        <w:t xml:space="preserve">, </w:t>
      </w:r>
      <w:r w:rsidR="00AC1447" w:rsidRPr="00DA3C38">
        <w:t>L</w:t>
      </w:r>
      <w:r w:rsidR="005E7098" w:rsidRPr="00DA3C38">
        <w:t>.</w:t>
      </w:r>
      <w:r w:rsidR="00AC1447" w:rsidRPr="00DA3C38">
        <w:t xml:space="preserve"> (1994). Re-engageing the disengagement theory of ageing: On the history and assessment of theory development in Gerontology. </w:t>
      </w:r>
      <w:r w:rsidR="00AC1447" w:rsidRPr="00E041BC">
        <w:rPr>
          <w:i/>
          <w:lang w:val="de-DE"/>
        </w:rPr>
        <w:t>The gerontologist, 34(6)</w:t>
      </w:r>
      <w:r w:rsidR="00AC1447" w:rsidRPr="00E041BC">
        <w:rPr>
          <w:lang w:val="de-DE"/>
        </w:rPr>
        <w:t>, 756-763</w:t>
      </w:r>
    </w:p>
    <w:p w:rsidR="00AC1447" w:rsidRPr="00DA3C38" w:rsidRDefault="00AC1447" w:rsidP="00DA3C38">
      <w:pPr>
        <w:pStyle w:val="APARefs"/>
        <w:spacing w:line="480" w:lineRule="auto"/>
      </w:pPr>
      <w:r w:rsidRPr="00E041BC">
        <w:rPr>
          <w:lang w:val="de-DE"/>
        </w:rPr>
        <w:t>Aichenberger, M.</w:t>
      </w:r>
      <w:r w:rsidR="00423BD0" w:rsidRPr="00E041BC">
        <w:rPr>
          <w:lang w:val="de-DE"/>
        </w:rPr>
        <w:t xml:space="preserve">, </w:t>
      </w:r>
      <w:r w:rsidRPr="00E041BC">
        <w:rPr>
          <w:lang w:val="de-DE"/>
        </w:rPr>
        <w:t>C., Busch, M.</w:t>
      </w:r>
      <w:r w:rsidR="00423BD0" w:rsidRPr="00E041BC">
        <w:rPr>
          <w:lang w:val="de-DE"/>
        </w:rPr>
        <w:t xml:space="preserve">, </w:t>
      </w:r>
      <w:r w:rsidRPr="00E041BC">
        <w:rPr>
          <w:lang w:val="de-DE"/>
        </w:rPr>
        <w:t>A., Reischies, F.</w:t>
      </w:r>
      <w:r w:rsidR="00423BD0" w:rsidRPr="00E041BC">
        <w:rPr>
          <w:lang w:val="de-DE"/>
        </w:rPr>
        <w:t xml:space="preserve">, </w:t>
      </w:r>
      <w:r w:rsidRPr="00E041BC">
        <w:rPr>
          <w:lang w:val="de-DE"/>
        </w:rPr>
        <w:t>M, Stroehle, A., Heinz, A., Rapp, M.</w:t>
      </w:r>
      <w:r w:rsidR="00423BD0" w:rsidRPr="00E041BC">
        <w:rPr>
          <w:lang w:val="de-DE"/>
        </w:rPr>
        <w:t xml:space="preserve">, </w:t>
      </w:r>
      <w:r w:rsidRPr="00E041BC">
        <w:rPr>
          <w:lang w:val="de-DE"/>
        </w:rPr>
        <w:t xml:space="preserve">A. (2010). </w:t>
      </w:r>
      <w:r w:rsidRPr="00DA3C38">
        <w:t xml:space="preserve">Effect of physical inactivity on cognitive performance after 2.5 years of follow up. </w:t>
      </w:r>
      <w:r w:rsidRPr="00DA3C38">
        <w:rPr>
          <w:i/>
        </w:rPr>
        <w:t>Geropsychology, 23</w:t>
      </w:r>
      <w:r w:rsidRPr="00DA3C38">
        <w:t xml:space="preserve">(1), 7-15, </w:t>
      </w:r>
      <w:r w:rsidRPr="00DA3C38">
        <w:rPr>
          <w:iCs/>
        </w:rPr>
        <w:t>http://dx.doi.org/10.1024/1662-9647/a000003</w:t>
      </w:r>
    </w:p>
    <w:p w:rsidR="00AC1447" w:rsidRPr="00DA3C38" w:rsidRDefault="00AC1447" w:rsidP="00DA3C38">
      <w:pPr>
        <w:pStyle w:val="APARefs"/>
        <w:spacing w:line="480" w:lineRule="auto"/>
      </w:pPr>
      <w:r w:rsidRPr="00DA3C38">
        <w:t>Alosco, M. L. (2013). Executive function and instrumental ADL performance in older adults with heart failure. Available at https://etd.ohiolink.edu/!etd.send_file?accession=kent1364204867&amp;disposition=inline</w:t>
      </w:r>
    </w:p>
    <w:p w:rsidR="00AC1447" w:rsidRPr="00DA3C38" w:rsidRDefault="00AC1447" w:rsidP="00DA3C38">
      <w:pPr>
        <w:pStyle w:val="APARefs"/>
        <w:spacing w:line="480" w:lineRule="auto"/>
      </w:pPr>
      <w:r w:rsidRPr="00DA3C38">
        <w:t xml:space="preserve">Alosco, M. L., Spitznagel, M. B., Cohen, R. C., Sweet, L., Colbert, L. H., Josephon, R., et al. (2013). Executive dysfunction is independently associated with reduced functional independence in heart failure. </w:t>
      </w:r>
      <w:r w:rsidRPr="00DA3C38">
        <w:rPr>
          <w:i/>
        </w:rPr>
        <w:t>Journal of Clinical Nursing, 23</w:t>
      </w:r>
      <w:r w:rsidRPr="00DA3C38">
        <w:t>, 829–836, doi: 10.1111/jocn.12214</w:t>
      </w:r>
    </w:p>
    <w:p w:rsidR="00AC1447" w:rsidRPr="00DA3C38" w:rsidRDefault="00AC1447" w:rsidP="00DA3C38">
      <w:pPr>
        <w:pStyle w:val="APARefs"/>
        <w:spacing w:line="480" w:lineRule="auto"/>
      </w:pPr>
      <w:r w:rsidRPr="00DA3C38">
        <w:t>Alosco, M. L., Spitznagel, M. B., Cohen, R. C., Sweet, L., Colbert, L. H., Josephon, R., et al. (2012). Cognitive impairment is independently associated with reduced instrumental adls in persons with heart failure. Journal of Cardiovascular Nursing, 27(1), 44-50, doi: 1</w:t>
      </w:r>
      <w:r w:rsidRPr="00DA3C38">
        <w:rPr>
          <w:rFonts w:eastAsiaTheme="minorHAnsi"/>
          <w:lang w:eastAsia="en-US"/>
        </w:rPr>
        <w:t xml:space="preserve"> </w:t>
      </w:r>
      <w:r w:rsidRPr="00DA3C38">
        <w:t>0.1097/JCN.0b013e318216a6cd</w:t>
      </w:r>
    </w:p>
    <w:p w:rsidR="007423BB" w:rsidRPr="00DA3C38" w:rsidRDefault="007423BB" w:rsidP="00DA3C38">
      <w:pPr>
        <w:pStyle w:val="APARefs"/>
        <w:spacing w:line="480" w:lineRule="auto"/>
      </w:pPr>
      <w:r w:rsidRPr="00DA3C38">
        <w:rPr>
          <w:lang w:val="en-GB"/>
        </w:rPr>
        <w:t>Alzheimer’s Association</w:t>
      </w:r>
      <w:r w:rsidR="00BD4E66" w:rsidRPr="00DA3C38">
        <w:rPr>
          <w:lang w:val="en-GB"/>
        </w:rPr>
        <w:t xml:space="preserve">, (October, 2017). </w:t>
      </w:r>
      <w:r w:rsidR="00BD4E66" w:rsidRPr="00DA3C38">
        <w:t>2017 Alzheimer's disease facts and figures. Available at</w:t>
      </w:r>
      <w:r w:rsidR="004A164A" w:rsidRPr="00DA3C38">
        <w:t>:</w:t>
      </w:r>
      <w:r w:rsidR="00BD4E66" w:rsidRPr="00DA3C38">
        <w:t xml:space="preserve"> https://www.alz.org/facts/</w:t>
      </w:r>
    </w:p>
    <w:p w:rsidR="009014FF" w:rsidRPr="00DA3C38" w:rsidRDefault="009014FF" w:rsidP="00DA3C38">
      <w:pPr>
        <w:pStyle w:val="APARefs"/>
        <w:spacing w:line="480" w:lineRule="auto"/>
      </w:pPr>
      <w:r w:rsidRPr="00DA3C38">
        <w:t>Andel, R., Vigen, C., Mack, W. J., Clark, L. J., &amp; Gatz, M. (2006). The effect of education and occupational complexity on rate of cognitive decline in Alzheimer's patients. </w:t>
      </w:r>
      <w:r w:rsidRPr="00DA3C38">
        <w:rPr>
          <w:i/>
          <w:iCs/>
        </w:rPr>
        <w:t>Journal of the International Neuropsychological Society</w:t>
      </w:r>
      <w:r w:rsidRPr="00DA3C38">
        <w:t>, </w:t>
      </w:r>
      <w:r w:rsidRPr="00DA3C38">
        <w:rPr>
          <w:i/>
          <w:iCs/>
        </w:rPr>
        <w:t>12</w:t>
      </w:r>
      <w:r w:rsidRPr="00DA3C38">
        <w:t>(01), 147-152, doi: 10.10170S1355617706060206</w:t>
      </w:r>
    </w:p>
    <w:p w:rsidR="00AC1447" w:rsidRPr="00DA3C38" w:rsidRDefault="00C76B26" w:rsidP="00DA3C38">
      <w:pPr>
        <w:pStyle w:val="APARefs"/>
        <w:spacing w:line="480" w:lineRule="auto"/>
      </w:pPr>
      <w:r w:rsidRPr="00DA3C38">
        <w:t>Ander</w:t>
      </w:r>
      <w:r w:rsidR="00AC1447" w:rsidRPr="00DA3C38">
        <w:t xml:space="preserve">son-Ranberg, K., Vasegaard, L., &amp; Jeune, B. (2001). Dementia is not inevitable: a population based study of Danish centenarians. Journal </w:t>
      </w:r>
      <w:r w:rsidR="00AC1447" w:rsidRPr="00DA3C38">
        <w:rPr>
          <w:i/>
        </w:rPr>
        <w:t>of Gerontological Psychology, 56</w:t>
      </w:r>
      <w:r w:rsidR="00AC1447" w:rsidRPr="00DA3C38">
        <w:t>B, 152-159,  doi: 10.1093/geronb/56.3.P152</w:t>
      </w:r>
    </w:p>
    <w:p w:rsidR="00113727" w:rsidRPr="00DA3C38" w:rsidRDefault="00423BD0" w:rsidP="00DA3C38">
      <w:pPr>
        <w:pStyle w:val="APARefs"/>
        <w:spacing w:line="480" w:lineRule="auto"/>
      </w:pPr>
      <w:r w:rsidRPr="00DA3C38">
        <w:t>Anstey, K.</w:t>
      </w:r>
      <w:r w:rsidR="00113727" w:rsidRPr="00DA3C38">
        <w:t xml:space="preserve">, </w:t>
      </w:r>
      <w:r w:rsidRPr="00DA3C38">
        <w:t xml:space="preserve">&amp; </w:t>
      </w:r>
      <w:r w:rsidR="00113727" w:rsidRPr="00DA3C38">
        <w:t>Christensen</w:t>
      </w:r>
      <w:r w:rsidRPr="00DA3C38">
        <w:t xml:space="preserve">, H. (2000). </w:t>
      </w:r>
      <w:r w:rsidR="00113727" w:rsidRPr="00DA3C38">
        <w:t>Education, activity, health, blood pressure and apolipoprotein E as predictors of cogniti</w:t>
      </w:r>
      <w:r w:rsidRPr="00DA3C38">
        <w:t>ve change in old age: a review.</w:t>
      </w:r>
      <w:r w:rsidR="00113727" w:rsidRPr="00DA3C38">
        <w:t> </w:t>
      </w:r>
      <w:r w:rsidR="00113727" w:rsidRPr="00DA3C38">
        <w:rPr>
          <w:i/>
          <w:iCs/>
        </w:rPr>
        <w:t>Gerontology</w:t>
      </w:r>
      <w:r w:rsidRPr="00DA3C38">
        <w:rPr>
          <w:i/>
          <w:iCs/>
        </w:rPr>
        <w:t>,</w:t>
      </w:r>
      <w:r w:rsidR="00113727" w:rsidRPr="00DA3C38">
        <w:t> </w:t>
      </w:r>
      <w:r w:rsidRPr="00DA3C38">
        <w:rPr>
          <w:i/>
        </w:rPr>
        <w:t>46</w:t>
      </w:r>
      <w:r w:rsidRPr="00DA3C38">
        <w:t>(3),</w:t>
      </w:r>
      <w:r w:rsidR="00113727" w:rsidRPr="00DA3C38">
        <w:t xml:space="preserve"> 163-177, doi: 10.1159/000022153</w:t>
      </w:r>
    </w:p>
    <w:p w:rsidR="00AC74FC" w:rsidRPr="00DA3C38" w:rsidRDefault="00AC74FC" w:rsidP="00DA3C38">
      <w:pPr>
        <w:pStyle w:val="APARefs"/>
        <w:spacing w:line="480" w:lineRule="auto"/>
      </w:pPr>
      <w:r w:rsidRPr="00DA3C38">
        <w:rPr>
          <w:lang w:val="en-GB"/>
        </w:rPr>
        <w:t>A. P. A. (2008). Reporting standards for research in psychology: why do we need them? What might they be?. </w:t>
      </w:r>
      <w:r w:rsidRPr="00DA3C38">
        <w:rPr>
          <w:i/>
          <w:iCs/>
          <w:lang w:val="en-GB"/>
        </w:rPr>
        <w:t>The American Psychologist</w:t>
      </w:r>
      <w:r w:rsidRPr="00DA3C38">
        <w:rPr>
          <w:lang w:val="en-GB"/>
        </w:rPr>
        <w:t>, </w:t>
      </w:r>
      <w:r w:rsidRPr="00DA3C38">
        <w:rPr>
          <w:i/>
          <w:iCs/>
          <w:lang w:val="en-GB"/>
        </w:rPr>
        <w:t>63</w:t>
      </w:r>
      <w:r w:rsidRPr="00DA3C38">
        <w:rPr>
          <w:lang w:val="en-GB"/>
        </w:rPr>
        <w:t>(9), 839.</w:t>
      </w:r>
    </w:p>
    <w:p w:rsidR="00AC1447" w:rsidRPr="00DA3C38" w:rsidRDefault="00AC1447" w:rsidP="00DA3C38">
      <w:pPr>
        <w:pStyle w:val="APARefs"/>
        <w:spacing w:line="480" w:lineRule="auto"/>
      </w:pPr>
      <w:r w:rsidRPr="00DA3C38">
        <w:t xml:space="preserve">Ardila, A. (1998). A note of caution. Normative neuropsychological test performance. Effects of age, education, gender and ethnicity: A comment on Saykin et al. (1995). </w:t>
      </w:r>
      <w:r w:rsidRPr="00DA3C38">
        <w:rPr>
          <w:i/>
        </w:rPr>
        <w:t>Applied Neuropsychology, 5,</w:t>
      </w:r>
      <w:r w:rsidRPr="00DA3C38">
        <w:t xml:space="preserve"> 51-53</w:t>
      </w:r>
    </w:p>
    <w:p w:rsidR="00AC1447" w:rsidRPr="00DA3C38" w:rsidRDefault="00AC1447" w:rsidP="00DA3C38">
      <w:pPr>
        <w:pStyle w:val="APARefs"/>
        <w:spacing w:line="480" w:lineRule="auto"/>
      </w:pPr>
      <w:r w:rsidRPr="00DA3C38">
        <w:t xml:space="preserve">Ardila, A. (2007). Normal ageing increases cognitive heterogeneity: Analysis of dispersion in WAIS-III scores across age. </w:t>
      </w:r>
      <w:r w:rsidRPr="00DA3C38">
        <w:rPr>
          <w:i/>
        </w:rPr>
        <w:t>Archives of Clinical Neuropsychology</w:t>
      </w:r>
      <w:r w:rsidRPr="00DA3C38">
        <w:t>, 22, 1003-1011</w:t>
      </w:r>
    </w:p>
    <w:p w:rsidR="00AC1447" w:rsidRPr="00DA3C38" w:rsidRDefault="00AC1447" w:rsidP="00DA3C38">
      <w:pPr>
        <w:pStyle w:val="APARefs"/>
        <w:spacing w:line="480" w:lineRule="auto"/>
      </w:pPr>
      <w:r w:rsidRPr="00DA3C38">
        <w:t>Ardila, A., Ostrosky-Solis, F., Roselli, M., &amp; Gomez, C. (2000). Age related cognitive decline during normal ageing. The complex effect of education. Archives of Clinical Neuropsychology, 16(6), 495-513, doi: 10.1016/S08887-6177(99)00040-2</w:t>
      </w:r>
    </w:p>
    <w:p w:rsidR="00AC1447" w:rsidRPr="00DA3C38" w:rsidRDefault="00AC1447" w:rsidP="00DA3C38">
      <w:pPr>
        <w:pStyle w:val="APARefs"/>
        <w:spacing w:line="480" w:lineRule="auto"/>
      </w:pPr>
      <w:r w:rsidRPr="00DA3C38">
        <w:t xml:space="preserve">Atchley, R. (1971). Retirement and leisure participation: Continuity or crises? </w:t>
      </w:r>
      <w:r w:rsidRPr="00DA3C38">
        <w:rPr>
          <w:i/>
        </w:rPr>
        <w:t>The Gerontologist, 11</w:t>
      </w:r>
      <w:r w:rsidRPr="00DA3C38">
        <w:t>(1), 13-17</w:t>
      </w:r>
    </w:p>
    <w:p w:rsidR="00AC1447" w:rsidRPr="00DA3C38" w:rsidRDefault="00AC1447" w:rsidP="00DA3C38">
      <w:pPr>
        <w:pStyle w:val="APARefs"/>
        <w:spacing w:line="480" w:lineRule="auto"/>
      </w:pPr>
      <w:r w:rsidRPr="00DA3C38">
        <w:t>Atchley, R.C.</w:t>
      </w:r>
      <w:r w:rsidR="00423BD0" w:rsidRPr="00DA3C38">
        <w:t>, &amp; Barush, A. (2004</w:t>
      </w:r>
      <w:r w:rsidRPr="00DA3C38">
        <w:t xml:space="preserve">). </w:t>
      </w:r>
      <w:r w:rsidRPr="00DA3C38">
        <w:rPr>
          <w:i/>
        </w:rPr>
        <w:t>Social forces and ageing. An Introduction to social Gerontology</w:t>
      </w:r>
      <w:r w:rsidRPr="00DA3C38">
        <w:t xml:space="preserve"> (10</w:t>
      </w:r>
      <w:r w:rsidRPr="00DA3C38">
        <w:rPr>
          <w:vertAlign w:val="superscript"/>
        </w:rPr>
        <w:t>th</w:t>
      </w:r>
      <w:r w:rsidRPr="00DA3C38">
        <w:t xml:space="preserve"> edition). CA, USA:Wadsworth</w:t>
      </w:r>
    </w:p>
    <w:p w:rsidR="00971461" w:rsidRPr="00DA3C38" w:rsidRDefault="00971461" w:rsidP="00DA3C38">
      <w:pPr>
        <w:pStyle w:val="APARefs"/>
        <w:spacing w:line="480" w:lineRule="auto"/>
      </w:pPr>
      <w:r w:rsidRPr="00DA3C38">
        <w:t xml:space="preserve">Ball, K., Berch, D.B., Helmers, K.F., Jobe, J.B., Leveck, M.D., Marsiske, M., Morris, J.N., Rebok, G.W., Smith, D.M., Tennstedt, S.L., Unverzagt, F.W., &amp; Willis, S.L. (2002). Effects of cognitive training interventions with older adults: A randomized controlled trial. </w:t>
      </w:r>
      <w:r w:rsidRPr="00DA3C38">
        <w:rPr>
          <w:i/>
        </w:rPr>
        <w:t>Journal of the American Medical Association, 288</w:t>
      </w:r>
      <w:r w:rsidRPr="00DA3C38">
        <w:t xml:space="preserve">, 2271–228, doi: </w:t>
      </w:r>
      <w:r w:rsidRPr="00DA3C38">
        <w:rPr>
          <w:lang w:val="en-GB"/>
        </w:rPr>
        <w:t>10.1001/jama.288.18.2271</w:t>
      </w:r>
    </w:p>
    <w:p w:rsidR="00971461" w:rsidRPr="00DA3C38" w:rsidRDefault="00AC1447" w:rsidP="00DA3C38">
      <w:pPr>
        <w:pStyle w:val="APARefs"/>
        <w:spacing w:line="480" w:lineRule="auto"/>
      </w:pPr>
      <w:r w:rsidRPr="00DA3C38">
        <w:t>Ball, K., Ross, L.</w:t>
      </w:r>
      <w:r w:rsidR="00423BD0" w:rsidRPr="00DA3C38">
        <w:t xml:space="preserve">, </w:t>
      </w:r>
      <w:r w:rsidRPr="00DA3C38">
        <w:t>A., &amp; Viamonte, S</w:t>
      </w:r>
      <w:r w:rsidR="00423BD0" w:rsidRPr="00DA3C38">
        <w:t>.</w:t>
      </w:r>
      <w:r w:rsidRPr="00DA3C38">
        <w:t xml:space="preserve"> (2010). Normal ageing and everyday functioning. . In Marcotte, T. D. &amp; Grant, I. (eds), </w:t>
      </w:r>
      <w:r w:rsidRPr="00DA3C38">
        <w:rPr>
          <w:i/>
        </w:rPr>
        <w:t>Neuropsychology of everyday functioning</w:t>
      </w:r>
      <w:r w:rsidRPr="00DA3C38">
        <w:t>, London, UK: The Guilford Press</w:t>
      </w:r>
    </w:p>
    <w:p w:rsidR="005267E7" w:rsidRPr="00DA3C38" w:rsidRDefault="005267E7" w:rsidP="00DA3C38">
      <w:pPr>
        <w:pStyle w:val="APARefs"/>
        <w:spacing w:line="480" w:lineRule="auto"/>
        <w:rPr>
          <w:b/>
          <w:lang w:val="en-US"/>
        </w:rPr>
      </w:pPr>
      <w:r w:rsidRPr="00DA3C38">
        <w:rPr>
          <w:lang w:val="en-US"/>
        </w:rPr>
        <w:t>Baltes, P. B. (1968). Longitudinal and cross-sectional sequences in the study of age and generation effects. </w:t>
      </w:r>
      <w:r w:rsidRPr="00DA3C38">
        <w:rPr>
          <w:i/>
          <w:iCs/>
          <w:lang w:val="en-US"/>
        </w:rPr>
        <w:t>Human development</w:t>
      </w:r>
      <w:r w:rsidRPr="00DA3C38">
        <w:rPr>
          <w:lang w:val="en-US"/>
        </w:rPr>
        <w:t>, </w:t>
      </w:r>
      <w:r w:rsidRPr="00DA3C38">
        <w:rPr>
          <w:i/>
          <w:iCs/>
          <w:lang w:val="en-US"/>
        </w:rPr>
        <w:t>11</w:t>
      </w:r>
      <w:r w:rsidRPr="00DA3C38">
        <w:rPr>
          <w:lang w:val="en-US"/>
        </w:rPr>
        <w:t>(3), 145-171</w:t>
      </w:r>
      <w:r w:rsidRPr="00DA3C38">
        <w:rPr>
          <w:b/>
          <w:lang w:val="en-US"/>
        </w:rPr>
        <w:t>.</w:t>
      </w:r>
    </w:p>
    <w:p w:rsidR="00AC1447" w:rsidRPr="00DA3C38" w:rsidRDefault="00AC1447" w:rsidP="00DA3C38">
      <w:pPr>
        <w:pStyle w:val="APARefs"/>
        <w:spacing w:line="480" w:lineRule="auto"/>
      </w:pPr>
      <w:r w:rsidRPr="00DA3C38">
        <w:t>Baltes, P.</w:t>
      </w:r>
      <w:r w:rsidR="00423BD0" w:rsidRPr="00DA3C38">
        <w:t xml:space="preserve">, </w:t>
      </w:r>
      <w:r w:rsidRPr="00DA3C38">
        <w:t>B., &amp; Baltes, M.</w:t>
      </w:r>
      <w:r w:rsidR="00423BD0" w:rsidRPr="00DA3C38">
        <w:t xml:space="preserve">, </w:t>
      </w:r>
      <w:r w:rsidRPr="00DA3C38">
        <w:t xml:space="preserve">M. (1990). Psychological perspectives on successful ageing: The model of selective optimization with compensation. In P.B. Baltes and M.M. Baltes (eds) </w:t>
      </w:r>
      <w:r w:rsidRPr="00DA3C38">
        <w:rPr>
          <w:i/>
        </w:rPr>
        <w:t>Successful Ageing: Perspectives from the behavioral Sciences.</w:t>
      </w:r>
      <w:r w:rsidRPr="00DA3C38">
        <w:t xml:space="preserve"> Cambridge: Cambridge University Press</w:t>
      </w:r>
    </w:p>
    <w:p w:rsidR="002306C1" w:rsidRPr="00DA3C38" w:rsidRDefault="002306C1" w:rsidP="00DA3C38">
      <w:pPr>
        <w:pStyle w:val="APARefs"/>
        <w:spacing w:line="480" w:lineRule="auto"/>
      </w:pPr>
      <w:r w:rsidRPr="00DA3C38">
        <w:rPr>
          <w:lang w:val="en-GB"/>
        </w:rPr>
        <w:t>Bamidis, P. D., Fissler, P., Papageorgiou, S. G., Zilidou, V., Konstantinidis, E. I., Billis, A. S., et al. (2015). Gains in cognition through combined cognitive and physical training: the role of training dosage and severity of neurocognitive disorder. </w:t>
      </w:r>
      <w:r w:rsidRPr="00DA3C38">
        <w:rPr>
          <w:i/>
          <w:iCs/>
          <w:lang w:val="en-GB"/>
        </w:rPr>
        <w:t>Frontiers in aging neuroscience</w:t>
      </w:r>
      <w:r w:rsidRPr="00DA3C38">
        <w:rPr>
          <w:lang w:val="en-GB"/>
        </w:rPr>
        <w:t>, </w:t>
      </w:r>
      <w:r w:rsidRPr="00DA3C38">
        <w:rPr>
          <w:i/>
          <w:iCs/>
          <w:lang w:val="en-GB"/>
        </w:rPr>
        <w:t>7</w:t>
      </w:r>
      <w:r w:rsidRPr="00DA3C38">
        <w:rPr>
          <w:lang w:val="en-GB"/>
        </w:rPr>
        <w:t>, doi: 10.3389/fnagi.2015.00152</w:t>
      </w:r>
    </w:p>
    <w:p w:rsidR="00AC1447" w:rsidRPr="00DA3C38" w:rsidRDefault="00AC1447" w:rsidP="00DA3C38">
      <w:pPr>
        <w:pStyle w:val="APARefs"/>
        <w:spacing w:line="480" w:lineRule="auto"/>
      </w:pPr>
      <w:r w:rsidRPr="00DA3C38">
        <w:t>Bamidis, P. D., Vivas, A. B., Styliadis, C., Frantzidis, C.</w:t>
      </w:r>
      <w:r w:rsidR="00790A01" w:rsidRPr="00DA3C38">
        <w:t xml:space="preserve">, Klados, M., Schlee, W., et al. </w:t>
      </w:r>
      <w:r w:rsidRPr="00DA3C38">
        <w:t>(2014). A review of physical and cognitive interventions in ageing. </w:t>
      </w:r>
      <w:r w:rsidRPr="00DA3C38">
        <w:rPr>
          <w:i/>
          <w:iCs/>
        </w:rPr>
        <w:t>Neuroscience &amp; Biobehavioral Reviews</w:t>
      </w:r>
      <w:r w:rsidRPr="00DA3C38">
        <w:t>, </w:t>
      </w:r>
      <w:r w:rsidRPr="00DA3C38">
        <w:rPr>
          <w:i/>
          <w:iCs/>
        </w:rPr>
        <w:t>44</w:t>
      </w:r>
      <w:r w:rsidRPr="00DA3C38">
        <w:t>, 206-220, doi: 10.1016/j.neubiorev.2014.03.019</w:t>
      </w:r>
    </w:p>
    <w:p w:rsidR="00AC1447" w:rsidRPr="00DA3C38" w:rsidRDefault="00616BD3" w:rsidP="00DA3C38">
      <w:pPr>
        <w:pStyle w:val="APARefs"/>
        <w:spacing w:line="480" w:lineRule="auto"/>
      </w:pPr>
      <w:r w:rsidRPr="00DA3C38">
        <w:t xml:space="preserve">The </w:t>
      </w:r>
      <w:r w:rsidR="00AC1447" w:rsidRPr="00DA3C38">
        <w:t xml:space="preserve">Bank of America Merrill Lynch (2014, June). The silver dollar – longevity revolution primer. Available at </w:t>
      </w:r>
      <w:hyperlink r:id="rId40" w:history="1">
        <w:r w:rsidR="00AC1447" w:rsidRPr="00DA3C38">
          <w:t>http://www.longfinance.net/images/reports/pdf/baml_silverdollar_2014.pdf</w:t>
        </w:r>
      </w:hyperlink>
    </w:p>
    <w:p w:rsidR="00AC1447" w:rsidRPr="00DA3C38" w:rsidRDefault="00AC1447" w:rsidP="00DA3C38">
      <w:pPr>
        <w:pStyle w:val="APARefs"/>
        <w:spacing w:line="480" w:lineRule="auto"/>
      </w:pPr>
      <w:r w:rsidRPr="00DA3C38">
        <w:t xml:space="preserve">Barkoukis, V., Lazouras, L Ourda, D., Galanis, D., &amp; Oxizoglou, N. (2009). The role of anticipated regret on the formation of healthy behaviors during physical education classes. </w:t>
      </w:r>
      <w:r w:rsidRPr="00DA3C38">
        <w:rPr>
          <w:i/>
          <w:iCs/>
        </w:rPr>
        <w:t xml:space="preserve">Hellenic Journal of Physical Education &amp; Sport Science, 29, </w:t>
      </w:r>
      <w:r w:rsidRPr="00DA3C38">
        <w:rPr>
          <w:iCs/>
        </w:rPr>
        <w:t xml:space="preserve">3, </w:t>
      </w:r>
      <w:r w:rsidRPr="00DA3C38">
        <w:t>256-271.</w:t>
      </w:r>
    </w:p>
    <w:p w:rsidR="00AC1447" w:rsidRPr="00DA3C38" w:rsidRDefault="00AC1447" w:rsidP="00DA3C38">
      <w:pPr>
        <w:pStyle w:val="APARefs"/>
        <w:spacing w:line="480" w:lineRule="auto"/>
      </w:pPr>
      <w:r w:rsidRPr="00DA3C38">
        <w:t xml:space="preserve">Barnes, L.L., Mendes de Leon, C.F., Bienios, J.L (2004). A longitudinal study of black-white differences in social resources. </w:t>
      </w:r>
      <w:r w:rsidRPr="00DA3C38">
        <w:rPr>
          <w:i/>
        </w:rPr>
        <w:t>Journal of Gerontology, b, Psychological Sciences and Social Sciences, 59</w:t>
      </w:r>
      <w:r w:rsidRPr="00DA3C38">
        <w:t>, 146-153</w:t>
      </w:r>
    </w:p>
    <w:p w:rsidR="00AC1447" w:rsidRPr="00DA3C38" w:rsidRDefault="00AC1447" w:rsidP="00DA3C38">
      <w:pPr>
        <w:pStyle w:val="APARefs"/>
        <w:spacing w:line="480" w:lineRule="auto"/>
      </w:pPr>
      <w:r w:rsidRPr="00DA3C38">
        <w:t>Bassuk, S.</w:t>
      </w:r>
      <w:r w:rsidR="00423BD0" w:rsidRPr="00DA3C38">
        <w:t>,</w:t>
      </w:r>
      <w:r w:rsidRPr="00DA3C38">
        <w:t xml:space="preserve"> S., Glass, T.</w:t>
      </w:r>
      <w:r w:rsidR="00423BD0" w:rsidRPr="00DA3C38">
        <w:t>,</w:t>
      </w:r>
      <w:r w:rsidRPr="00DA3C38">
        <w:t xml:space="preserve"> A., &amp; Berkman, L.</w:t>
      </w:r>
      <w:r w:rsidR="00423BD0" w:rsidRPr="00DA3C38">
        <w:t>,</w:t>
      </w:r>
      <w:r w:rsidRPr="00DA3C38">
        <w:t xml:space="preserve"> F. (1999). Social disengagement and incident cognitive decline in community-dwelling elderly persons. </w:t>
      </w:r>
      <w:r w:rsidRPr="00DA3C38">
        <w:rPr>
          <w:i/>
          <w:iCs/>
        </w:rPr>
        <w:t>Annals of internal medicine</w:t>
      </w:r>
      <w:r w:rsidRPr="00DA3C38">
        <w:t>, </w:t>
      </w:r>
      <w:r w:rsidRPr="00DA3C38">
        <w:rPr>
          <w:i/>
          <w:iCs/>
        </w:rPr>
        <w:t>131</w:t>
      </w:r>
      <w:r w:rsidRPr="00DA3C38">
        <w:t>(3), 165-173</w:t>
      </w:r>
    </w:p>
    <w:p w:rsidR="00AC1447" w:rsidRPr="00DA3C38" w:rsidRDefault="00AC1447" w:rsidP="00DA3C38">
      <w:pPr>
        <w:pStyle w:val="APARefs"/>
        <w:spacing w:line="480" w:lineRule="auto"/>
      </w:pPr>
      <w:r w:rsidRPr="00DA3C38">
        <w:t>Bauer, M.</w:t>
      </w:r>
      <w:r w:rsidR="00423BD0" w:rsidRPr="00DA3C38">
        <w:t>,</w:t>
      </w:r>
      <w:r w:rsidRPr="00DA3C38">
        <w:t xml:space="preserve"> J., Adler, G., Kuskowski, M.</w:t>
      </w:r>
      <w:r w:rsidR="00423BD0" w:rsidRPr="00DA3C38">
        <w:t>,</w:t>
      </w:r>
      <w:r w:rsidRPr="00DA3C38">
        <w:t xml:space="preserve"> A., &amp; Rottunda, S. (2003). The influence of age and gender on the driving patterns of older adults. </w:t>
      </w:r>
      <w:r w:rsidRPr="00DA3C38">
        <w:rPr>
          <w:i/>
          <w:iCs/>
        </w:rPr>
        <w:t>Journal of Women &amp; Aging</w:t>
      </w:r>
      <w:r w:rsidRPr="00DA3C38">
        <w:t>, </w:t>
      </w:r>
      <w:r w:rsidRPr="00DA3C38">
        <w:rPr>
          <w:i/>
          <w:iCs/>
        </w:rPr>
        <w:t>15</w:t>
      </w:r>
      <w:r w:rsidRPr="00DA3C38">
        <w:t>(4), 3-16, doi:</w:t>
      </w:r>
      <w:r w:rsidRPr="00DA3C38">
        <w:rPr>
          <w:rFonts w:eastAsia="Times New Roman"/>
          <w:lang w:eastAsia="en-US"/>
        </w:rPr>
        <w:t xml:space="preserve"> </w:t>
      </w:r>
      <w:r w:rsidRPr="00DA3C38">
        <w:t>10.1300/J074v15n04_02</w:t>
      </w:r>
    </w:p>
    <w:p w:rsidR="002A67F6" w:rsidRPr="00C14A7B" w:rsidRDefault="002A67F6" w:rsidP="00C14A7B">
      <w:pPr>
        <w:pStyle w:val="APARefs"/>
        <w:spacing w:line="480" w:lineRule="auto"/>
        <w:rPr>
          <w:b/>
          <w:lang w:val="en-GB"/>
        </w:rPr>
      </w:pPr>
      <w:r w:rsidRPr="00DA3C38">
        <w:rPr>
          <w:lang w:val="en-GB"/>
        </w:rPr>
        <w:t>Beaton, D. E., Bombardier, C., Guillemin, F., &amp; Ferraz, M. B. (2000). Guidelines for the process of cross-cultural adaptation of self-report measures. </w:t>
      </w:r>
      <w:r w:rsidRPr="00DA3C38">
        <w:rPr>
          <w:i/>
          <w:iCs/>
          <w:lang w:val="en-GB"/>
        </w:rPr>
        <w:t>Spine</w:t>
      </w:r>
      <w:r w:rsidRPr="00DA3C38">
        <w:rPr>
          <w:lang w:val="en-GB"/>
        </w:rPr>
        <w:t>, </w:t>
      </w:r>
      <w:r w:rsidRPr="00DA3C38">
        <w:rPr>
          <w:i/>
          <w:iCs/>
          <w:lang w:val="en-GB"/>
        </w:rPr>
        <w:t>25</w:t>
      </w:r>
      <w:r w:rsidRPr="00DA3C38">
        <w:rPr>
          <w:lang w:val="en-GB"/>
        </w:rPr>
        <w:t>(24), 3186-3191.</w:t>
      </w:r>
      <w:r w:rsidR="001244D6" w:rsidRPr="00DA3C38">
        <w:rPr>
          <w:lang w:val="en-GB"/>
        </w:rPr>
        <w:t>Available at http://staff.ui.ac.id/system/files/users/andisk/material/guidelinesfortheprocessofcrossculturaladaptation.pdf</w:t>
      </w:r>
    </w:p>
    <w:p w:rsidR="00AC1447" w:rsidRPr="00DA3C38" w:rsidRDefault="00AC1447" w:rsidP="00DA3C38">
      <w:pPr>
        <w:pStyle w:val="APARefs"/>
        <w:spacing w:line="480" w:lineRule="auto"/>
      </w:pPr>
      <w:r w:rsidRPr="00DA3C38">
        <w:t>Bell-McG</w:t>
      </w:r>
      <w:r w:rsidR="00790A01" w:rsidRPr="00DA3C38">
        <w:t>h</w:t>
      </w:r>
      <w:r w:rsidRPr="00DA3C38">
        <w:t>inty, S., Podell, K., Franzen, M., Baird, A., &amp; Wlliams, M.</w:t>
      </w:r>
      <w:r w:rsidR="00423BD0" w:rsidRPr="00DA3C38">
        <w:t xml:space="preserve">, </w:t>
      </w:r>
      <w:r w:rsidRPr="00DA3C38">
        <w:t>J. (2002). Standard measures of executive function in predicting instrumental activities of daily living in older adults</w:t>
      </w:r>
      <w:r w:rsidRPr="00DA3C38">
        <w:rPr>
          <w:i/>
        </w:rPr>
        <w:t xml:space="preserve">. International Journal of Geriatric Psychiatry, </w:t>
      </w:r>
      <w:r w:rsidRPr="00DA3C38">
        <w:t>17</w:t>
      </w:r>
      <w:r w:rsidRPr="00DA3C38">
        <w:rPr>
          <w:i/>
        </w:rPr>
        <w:t>,</w:t>
      </w:r>
      <w:r w:rsidRPr="00DA3C38">
        <w:t xml:space="preserve"> 828-834</w:t>
      </w:r>
    </w:p>
    <w:p w:rsidR="00AC1447" w:rsidRPr="00DA3C38" w:rsidRDefault="00423BD0" w:rsidP="00DA3C38">
      <w:pPr>
        <w:pStyle w:val="APARefs"/>
        <w:spacing w:line="480" w:lineRule="auto"/>
      </w:pPr>
      <w:r w:rsidRPr="00DA3C38">
        <w:t xml:space="preserve">Benedict, R., </w:t>
      </w:r>
      <w:r w:rsidR="00AC1447" w:rsidRPr="00DA3C38">
        <w:t xml:space="preserve">B (1997). </w:t>
      </w:r>
      <w:r w:rsidR="00AC1447" w:rsidRPr="00DA3C38">
        <w:rPr>
          <w:i/>
        </w:rPr>
        <w:t>Brief Visuospatial Memory Test – Revised</w:t>
      </w:r>
      <w:r w:rsidR="00AC1447" w:rsidRPr="00DA3C38">
        <w:t>. Odessa, FL: Psychological Assessment Resources, Inc.</w:t>
      </w:r>
    </w:p>
    <w:p w:rsidR="00AC1447" w:rsidRPr="00DA3C38" w:rsidRDefault="00AC1447" w:rsidP="00DA3C38">
      <w:pPr>
        <w:pStyle w:val="APARefs"/>
        <w:spacing w:line="480" w:lineRule="auto"/>
      </w:pPr>
      <w:r w:rsidRPr="00DA3C38">
        <w:t>Bennett, D.A., Schneider, J.A., Tang, Y., Arnold, S.E., &amp; Wilson, R.S. (2006). The effect of social networks on the relation between Alzheimer’s disease pathology and level of cognitive function in old people: A longitudinal cohort study</w:t>
      </w:r>
      <w:r w:rsidRPr="00DA3C38">
        <w:rPr>
          <w:i/>
        </w:rPr>
        <w:t>. Lancet Neurology</w:t>
      </w:r>
      <w:r w:rsidRPr="00DA3C38">
        <w:t xml:space="preserve">, </w:t>
      </w:r>
      <w:r w:rsidRPr="00DA3C38">
        <w:rPr>
          <w:i/>
        </w:rPr>
        <w:t>5</w:t>
      </w:r>
      <w:r w:rsidRPr="00DA3C38">
        <w:t>, 406–412.</w:t>
      </w:r>
    </w:p>
    <w:p w:rsidR="00AC1447" w:rsidRPr="00DA3C38" w:rsidRDefault="00AC1447" w:rsidP="00DA3C38">
      <w:pPr>
        <w:pStyle w:val="APARefs"/>
        <w:spacing w:line="480" w:lineRule="auto"/>
      </w:pPr>
      <w:r w:rsidRPr="00DA3C38">
        <w:t>Benton, A. L., &amp; Ha</w:t>
      </w:r>
      <w:r w:rsidR="00423BD0" w:rsidRPr="00DA3C38">
        <w:t xml:space="preserve">msher, K. (1976). </w:t>
      </w:r>
      <w:r w:rsidR="00423BD0" w:rsidRPr="00DA3C38">
        <w:rPr>
          <w:i/>
        </w:rPr>
        <w:t>Multilingual aphasia e</w:t>
      </w:r>
      <w:r w:rsidRPr="00DA3C38">
        <w:rPr>
          <w:i/>
        </w:rPr>
        <w:t>xamination</w:t>
      </w:r>
      <w:r w:rsidRPr="00DA3C38">
        <w:t>. University of Iowa Press: Iowa City; Iowa.</w:t>
      </w:r>
    </w:p>
    <w:p w:rsidR="00AC1447" w:rsidRPr="00DA3C38" w:rsidRDefault="00AC1447" w:rsidP="00DA3C38">
      <w:pPr>
        <w:pStyle w:val="APARefs"/>
        <w:spacing w:line="480" w:lineRule="auto"/>
      </w:pPr>
      <w:r w:rsidRPr="00DA3C38">
        <w:t xml:space="preserve">Bien, B., McKee, K.J., Doehner, H., Triantafyllou, J., Lamura, G., Doroszkiewicz, H., et al. (2013). Disabled older people’s use of health and social care services and their unmet needs in six European countries. </w:t>
      </w:r>
      <w:r w:rsidRPr="00DA3C38">
        <w:rPr>
          <w:i/>
        </w:rPr>
        <w:t>European Journal of Public Health</w:t>
      </w:r>
      <w:r w:rsidRPr="00DA3C38">
        <w:t>, 1-7</w:t>
      </w:r>
    </w:p>
    <w:p w:rsidR="00AC1447" w:rsidRPr="00DA3C38" w:rsidRDefault="00AC1447" w:rsidP="00DA3C38">
      <w:pPr>
        <w:pStyle w:val="APARefs"/>
        <w:spacing w:line="480" w:lineRule="auto"/>
      </w:pPr>
      <w:r w:rsidRPr="00DA3C38">
        <w:t>Booth, M.</w:t>
      </w:r>
      <w:r w:rsidR="002F5874" w:rsidRPr="00DA3C38">
        <w:t xml:space="preserve">, </w:t>
      </w:r>
      <w:r w:rsidRPr="00DA3C38">
        <w:t>L, Owen, N., Bauman, A., Clavisi, O., &amp; Leslie, E. (2000). Social cognitive and perceived environment influences associated with physical activity in older Australians, Preventive medicine, 31, 15-22, doi: 10.1006/pmed.2000.0661</w:t>
      </w:r>
    </w:p>
    <w:p w:rsidR="00AC1447" w:rsidRPr="00E041BC" w:rsidRDefault="00AC1447" w:rsidP="00DA3C38">
      <w:pPr>
        <w:pStyle w:val="APARefs"/>
        <w:spacing w:line="480" w:lineRule="auto"/>
        <w:rPr>
          <w:lang w:val="de-DE"/>
        </w:rPr>
      </w:pPr>
      <w:r w:rsidRPr="00E041BC">
        <w:rPr>
          <w:lang w:val="de-DE"/>
        </w:rPr>
        <w:t>Borenstein, M., Hedges L.</w:t>
      </w:r>
      <w:r w:rsidR="00423BD0" w:rsidRPr="00E041BC">
        <w:rPr>
          <w:lang w:val="de-DE"/>
        </w:rPr>
        <w:t>,</w:t>
      </w:r>
      <w:r w:rsidRPr="00E041BC">
        <w:rPr>
          <w:lang w:val="de-DE"/>
        </w:rPr>
        <w:t xml:space="preserve"> V., Higgins J.</w:t>
      </w:r>
      <w:r w:rsidR="00423BD0" w:rsidRPr="00E041BC">
        <w:rPr>
          <w:lang w:val="de-DE"/>
        </w:rPr>
        <w:t>,</w:t>
      </w:r>
      <w:r w:rsidRPr="00E041BC">
        <w:rPr>
          <w:lang w:val="de-DE"/>
        </w:rPr>
        <w:t xml:space="preserve"> T., &amp; Rothstein H.</w:t>
      </w:r>
      <w:r w:rsidR="00423BD0" w:rsidRPr="00E041BC">
        <w:rPr>
          <w:lang w:val="de-DE"/>
        </w:rPr>
        <w:t>,</w:t>
      </w:r>
      <w:r w:rsidRPr="00E041BC">
        <w:rPr>
          <w:lang w:val="de-DE"/>
        </w:rPr>
        <w:t xml:space="preserve"> R. (2009</w:t>
      </w:r>
      <w:r w:rsidRPr="00E041BC">
        <w:rPr>
          <w:i/>
          <w:lang w:val="de-DE"/>
        </w:rPr>
        <w:t>). Introduction to Meta-Analysis.</w:t>
      </w:r>
      <w:r w:rsidRPr="00E041BC">
        <w:rPr>
          <w:lang w:val="de-DE"/>
        </w:rPr>
        <w:t>Chichester: Wiley and Sons</w:t>
      </w:r>
    </w:p>
    <w:p w:rsidR="00AC1447" w:rsidRPr="00DA3C38" w:rsidRDefault="002E5619" w:rsidP="00DA3C38">
      <w:pPr>
        <w:pStyle w:val="APARefs"/>
        <w:spacing w:line="480" w:lineRule="auto"/>
      </w:pPr>
      <w:r w:rsidRPr="00E041BC">
        <w:rPr>
          <w:lang w:val="de-DE"/>
        </w:rPr>
        <w:t>Bosk</w:t>
      </w:r>
      <w:r w:rsidR="00AC1447" w:rsidRPr="00E041BC">
        <w:rPr>
          <w:lang w:val="de-DE"/>
        </w:rPr>
        <w:t>ainos, P.</w:t>
      </w:r>
      <w:r w:rsidR="00423BD0" w:rsidRPr="00E041BC">
        <w:rPr>
          <w:lang w:val="de-DE"/>
        </w:rPr>
        <w:t>,</w:t>
      </w:r>
      <w:r w:rsidR="00AC1447" w:rsidRPr="00E041BC">
        <w:rPr>
          <w:lang w:val="de-DE"/>
        </w:rPr>
        <w:t xml:space="preserve"> J., Sapkas, G., Stilianessi, E., Prouskas, K., &amp; Papadakis, S.</w:t>
      </w:r>
      <w:r w:rsidR="00423BD0" w:rsidRPr="00E041BC">
        <w:rPr>
          <w:lang w:val="de-DE"/>
        </w:rPr>
        <w:t>,</w:t>
      </w:r>
      <w:r w:rsidR="00AC1447" w:rsidRPr="00E041BC">
        <w:rPr>
          <w:lang w:val="de-DE"/>
        </w:rPr>
        <w:t xml:space="preserve"> A. (2003). </w:t>
      </w:r>
      <w:r w:rsidR="00AC1447" w:rsidRPr="00DA3C38">
        <w:t xml:space="preserve">Greek Versions of the Oswerty and Ronald Morris Disability Questionnares. </w:t>
      </w:r>
      <w:r w:rsidR="00AC1447" w:rsidRPr="00DA3C38">
        <w:rPr>
          <w:i/>
        </w:rPr>
        <w:t>Clinical Orthopeadics and related Research, 411,</w:t>
      </w:r>
      <w:r w:rsidR="00AC1447" w:rsidRPr="00DA3C38">
        <w:t xml:space="preserve"> 40-53. Available at http://www.rmdq.org/downloads/greek.pdf</w:t>
      </w:r>
    </w:p>
    <w:p w:rsidR="00AC1447" w:rsidRPr="00DA3C38" w:rsidRDefault="00AC1447" w:rsidP="00DA3C38">
      <w:pPr>
        <w:pStyle w:val="APARefs"/>
        <w:spacing w:line="480" w:lineRule="auto"/>
      </w:pPr>
      <w:r w:rsidRPr="00DA3C38">
        <w:t xml:space="preserve">Bowling A., </w:t>
      </w:r>
      <w:r w:rsidR="00423BD0" w:rsidRPr="00DA3C38">
        <w:t xml:space="preserve">&amp; </w:t>
      </w:r>
      <w:r w:rsidRPr="00DA3C38">
        <w:t>Stafford M. (2007)</w:t>
      </w:r>
      <w:r w:rsidR="00423BD0" w:rsidRPr="00DA3C38">
        <w:t>.</w:t>
      </w:r>
      <w:r w:rsidRPr="00DA3C38">
        <w:t xml:space="preserve"> How do objective and subjective assessments of neighbourhood influence social and physical functioning in older age? Findings from a British survey of ageing</w:t>
      </w:r>
      <w:r w:rsidRPr="00DA3C38">
        <w:rPr>
          <w:i/>
        </w:rPr>
        <w:t>. Social Science and Medicine</w:t>
      </w:r>
      <w:r w:rsidRPr="00DA3C38">
        <w:t>, 64, 2533-2549.</w:t>
      </w:r>
    </w:p>
    <w:p w:rsidR="00AC1447" w:rsidRPr="00DA3C38" w:rsidRDefault="00AC1447" w:rsidP="00DA3C38">
      <w:pPr>
        <w:pStyle w:val="APARefs"/>
        <w:spacing w:line="480" w:lineRule="auto"/>
      </w:pPr>
      <w:r w:rsidRPr="00DA3C38">
        <w:t xml:space="preserve">Brandt, J. (1991). The Hopkins Verbal Learning Test: development of a new memory test with six equivalent forms. </w:t>
      </w:r>
      <w:r w:rsidRPr="00DA3C38">
        <w:rPr>
          <w:i/>
        </w:rPr>
        <w:t>The Clinical Neuropsychologist</w:t>
      </w:r>
      <w:r w:rsidRPr="00DA3C38">
        <w:t xml:space="preserve">, </w:t>
      </w:r>
      <w:r w:rsidRPr="00DA3C38">
        <w:rPr>
          <w:i/>
        </w:rPr>
        <w:t>5</w:t>
      </w:r>
      <w:r w:rsidRPr="00DA3C38">
        <w:t>,125–142, doi: 10.1080/13854049108403297</w:t>
      </w:r>
    </w:p>
    <w:p w:rsidR="00AC1447" w:rsidRPr="00DA3C38" w:rsidRDefault="00AC1447" w:rsidP="00DA3C38">
      <w:pPr>
        <w:pStyle w:val="APARefs"/>
        <w:spacing w:line="480" w:lineRule="auto"/>
      </w:pPr>
      <w:r w:rsidRPr="00DA3C38">
        <w:t xml:space="preserve">Brandt, J., &amp; Folstein, M. (2003). </w:t>
      </w:r>
      <w:r w:rsidRPr="00DA3C38">
        <w:rPr>
          <w:i/>
        </w:rPr>
        <w:t>Telephone interview for cognitive status</w:t>
      </w:r>
      <w:r w:rsidRPr="00DA3C38">
        <w:t>. Lutz, FL: Psychological Assessment Resources, Inc.</w:t>
      </w:r>
    </w:p>
    <w:p w:rsidR="00AC1447" w:rsidRPr="00DA3C38" w:rsidRDefault="00AC1447" w:rsidP="00DA3C38">
      <w:pPr>
        <w:pStyle w:val="APARefs"/>
        <w:spacing w:line="480" w:lineRule="auto"/>
      </w:pPr>
      <w:r w:rsidRPr="00DA3C38">
        <w:t xml:space="preserve">Brandt, J., </w:t>
      </w:r>
      <w:r w:rsidR="00244D2C" w:rsidRPr="00DA3C38">
        <w:t>&amp; Benedict, R., B.</w:t>
      </w:r>
      <w:r w:rsidRPr="00DA3C38">
        <w:t xml:space="preserve"> (2001). Hopkins Verbal Learning Test–Revised: Professional manual. Odessa, FL: Psychological Assessment Resources</w:t>
      </w:r>
    </w:p>
    <w:p w:rsidR="00AC1447" w:rsidRPr="00DA3C38" w:rsidRDefault="00AC1447" w:rsidP="00DA3C38">
      <w:pPr>
        <w:pStyle w:val="APARefs"/>
        <w:spacing w:line="480" w:lineRule="auto"/>
      </w:pPr>
      <w:r w:rsidRPr="00DA3C38">
        <w:t>Bra</w:t>
      </w:r>
      <w:r w:rsidR="00B665A9" w:rsidRPr="00DA3C38">
        <w:t>yne</w:t>
      </w:r>
      <w:r w:rsidRPr="00DA3C38">
        <w:t xml:space="preserve">, C., &amp; Calloway, P. (1990). The association of education and socioeconomic status with the Mini Mental State Examination and the clinical diagnosis of dementia in elderly people. </w:t>
      </w:r>
      <w:r w:rsidRPr="00DA3C38">
        <w:rPr>
          <w:i/>
        </w:rPr>
        <w:t>Age and ageing, 19</w:t>
      </w:r>
      <w:r w:rsidRPr="00DA3C38">
        <w:t>, 92-96</w:t>
      </w:r>
    </w:p>
    <w:p w:rsidR="002704F5" w:rsidRPr="00DA3C38" w:rsidRDefault="002704F5" w:rsidP="00DA3C38">
      <w:pPr>
        <w:pStyle w:val="APARefs"/>
        <w:spacing w:line="480" w:lineRule="auto"/>
        <w:rPr>
          <w:rStyle w:val="Hyperlink"/>
          <w:color w:val="auto"/>
          <w:u w:val="none"/>
          <w:lang w:val="en-GB"/>
        </w:rPr>
      </w:pPr>
      <w:r w:rsidRPr="00DA3C38">
        <w:t>Bosma, H., Van Boxtel, M.</w:t>
      </w:r>
      <w:r w:rsidR="002F5874" w:rsidRPr="00DA3C38">
        <w:t>,</w:t>
      </w:r>
      <w:r w:rsidRPr="00DA3C38">
        <w:t xml:space="preserve"> P., Ponds, R.</w:t>
      </w:r>
      <w:r w:rsidR="002F5874" w:rsidRPr="00DA3C38">
        <w:t>,</w:t>
      </w:r>
      <w:r w:rsidRPr="00DA3C38">
        <w:t xml:space="preserve"> W., Houx, P.</w:t>
      </w:r>
      <w:r w:rsidR="002F5874" w:rsidRPr="00DA3C38">
        <w:t xml:space="preserve">, </w:t>
      </w:r>
      <w:r w:rsidRPr="00DA3C38">
        <w:t>H., &amp; Jolles, J. (2003). Education and age-related cognitive decline: the contribution of mental workload. </w:t>
      </w:r>
      <w:r w:rsidRPr="00DA3C38">
        <w:rPr>
          <w:i/>
          <w:iCs/>
        </w:rPr>
        <w:t>Educational gerontology</w:t>
      </w:r>
      <w:r w:rsidRPr="00DA3C38">
        <w:t>, </w:t>
      </w:r>
      <w:r w:rsidRPr="00DA3C38">
        <w:rPr>
          <w:i/>
          <w:iCs/>
        </w:rPr>
        <w:t>29</w:t>
      </w:r>
      <w:r w:rsidR="00590092" w:rsidRPr="00DA3C38">
        <w:t xml:space="preserve">(2), 165-173, doi: </w:t>
      </w:r>
      <w:hyperlink r:id="rId41" w:history="1">
        <w:r w:rsidR="00590092" w:rsidRPr="00DA3C38">
          <w:rPr>
            <w:rStyle w:val="Hyperlink"/>
            <w:color w:val="auto"/>
            <w:u w:val="none"/>
            <w:lang w:val="en-GB"/>
          </w:rPr>
          <w:t>http://dx.doi.org/10.1080/10715769800300191</w:t>
        </w:r>
      </w:hyperlink>
    </w:p>
    <w:p w:rsidR="00992535" w:rsidRPr="00DA3C38" w:rsidRDefault="00992535" w:rsidP="00DA3C38">
      <w:pPr>
        <w:pStyle w:val="APARefs"/>
        <w:spacing w:line="480" w:lineRule="auto"/>
      </w:pPr>
      <w:r w:rsidRPr="00DA3C38">
        <w:t>Brookmeyer, R., Gray, S., &amp; Kawas, C. (1998). Projections of Alzheimer's disease in the United States and the public health impact of delaying disease onset. </w:t>
      </w:r>
      <w:r w:rsidRPr="00DA3C38">
        <w:rPr>
          <w:i/>
          <w:iCs/>
        </w:rPr>
        <w:t>American journal of public health</w:t>
      </w:r>
      <w:r w:rsidRPr="00DA3C38">
        <w:t>, </w:t>
      </w:r>
      <w:r w:rsidRPr="00DA3C38">
        <w:rPr>
          <w:i/>
          <w:iCs/>
        </w:rPr>
        <w:t>88</w:t>
      </w:r>
      <w:r w:rsidRPr="00DA3C38">
        <w:t xml:space="preserve">(9), 1337-1342, doi: </w:t>
      </w:r>
      <w:hyperlink r:id="rId42" w:tgtFrame="_blank" w:tooltip="Persistent link using digital object identifier" w:history="1">
        <w:r w:rsidRPr="00DA3C38">
          <w:rPr>
            <w:rStyle w:val="Hyperlink"/>
            <w:lang w:val="en-US"/>
          </w:rPr>
          <w:t>https://doi.org/10.1016/j.jalz.2007.04.381</w:t>
        </w:r>
      </w:hyperlink>
    </w:p>
    <w:p w:rsidR="00AC1447" w:rsidRPr="00DA3C38" w:rsidRDefault="00AC1447" w:rsidP="00DA3C38">
      <w:pPr>
        <w:pStyle w:val="APARefs"/>
        <w:spacing w:line="480" w:lineRule="auto"/>
      </w:pPr>
      <w:r w:rsidRPr="00DA3C38">
        <w:t xml:space="preserve">Burgess, P.W., Alderman, N., Forbes, C., Costello, A., Coates, L. M., Dawson, D. R., et al. (2006). The case for the development and use of ecological valid measures of executive function in experimental and clinical neuropsychology. </w:t>
      </w:r>
      <w:r w:rsidRPr="00DA3C38">
        <w:rPr>
          <w:i/>
        </w:rPr>
        <w:t>Journal of the International Neuropsychological Society, 12</w:t>
      </w:r>
      <w:r w:rsidRPr="00DA3C38">
        <w:t>(2), 194-209, doi: 10.10170S1355617706060310</w:t>
      </w:r>
    </w:p>
    <w:p w:rsidR="00AC1447" w:rsidRPr="00DA3C38" w:rsidRDefault="00AC1447" w:rsidP="00DA3C38">
      <w:pPr>
        <w:pStyle w:val="APARefs"/>
        <w:spacing w:line="480" w:lineRule="auto"/>
      </w:pPr>
      <w:r w:rsidRPr="00DA3C38">
        <w:t>Burnett, M.</w:t>
      </w:r>
      <w:r w:rsidR="00244D2C" w:rsidRPr="00DA3C38">
        <w:t>,</w:t>
      </w:r>
      <w:r w:rsidRPr="00DA3C38">
        <w:t xml:space="preserve"> S., Carmel, B.</w:t>
      </w:r>
      <w:r w:rsidR="00244D2C" w:rsidRPr="00DA3C38">
        <w:t>,</w:t>
      </w:r>
      <w:r w:rsidRPr="00DA3C38">
        <w:t xml:space="preserve"> D., &amp; Aanand, D.</w:t>
      </w:r>
      <w:r w:rsidR="00244D2C" w:rsidRPr="00DA3C38">
        <w:t>,</w:t>
      </w:r>
      <w:r w:rsidRPr="00DA3C38">
        <w:t xml:space="preserve"> N. (2009). Convergent validation of the evaluation of living skills (kels) as a screening tool of older adults’ capacity to live safely and independently in the community. </w:t>
      </w:r>
      <w:r w:rsidRPr="00DA3C38">
        <w:rPr>
          <w:i/>
        </w:rPr>
        <w:t>Archives of Physiology and Medical Rehabilitation, 90</w:t>
      </w:r>
      <w:r w:rsidRPr="00DA3C38">
        <w:t xml:space="preserve"> (11), doi:10.1016/j.apmr.2009.05.021</w:t>
      </w:r>
    </w:p>
    <w:p w:rsidR="00AC1447" w:rsidRPr="00DA3C38" w:rsidRDefault="00AC1447" w:rsidP="00DA3C38">
      <w:pPr>
        <w:pStyle w:val="APARefs"/>
        <w:spacing w:line="480" w:lineRule="auto"/>
      </w:pPr>
      <w:r w:rsidRPr="00DA3C38">
        <w:t>Burton, C.</w:t>
      </w:r>
      <w:r w:rsidR="00244D2C" w:rsidRPr="00DA3C38">
        <w:t>,</w:t>
      </w:r>
      <w:r w:rsidRPr="00DA3C38">
        <w:t xml:space="preserve"> L. (2007). Cognitive ability and inconsistency in reaction time as predictors of everyday problem solving in older adults. Available at </w:t>
      </w:r>
      <w:hyperlink r:id="rId43" w:history="1">
        <w:r w:rsidR="00A468FA" w:rsidRPr="00DA3C38">
          <w:rPr>
            <w:rStyle w:val="Hyperlink"/>
          </w:rPr>
          <w:t>http://dspace.library.uvic.ca/handle/1828/181?show=full</w:t>
        </w:r>
      </w:hyperlink>
    </w:p>
    <w:p w:rsidR="00A468FA" w:rsidRPr="00DA3C38" w:rsidRDefault="00A468FA" w:rsidP="00DA3C38">
      <w:pPr>
        <w:pStyle w:val="APARefs"/>
        <w:spacing w:line="480" w:lineRule="auto"/>
        <w:rPr>
          <w:lang w:val="en-GB"/>
        </w:rPr>
      </w:pPr>
      <w:r w:rsidRPr="00DA3C38">
        <w:rPr>
          <w:lang w:val="en-GB"/>
        </w:rPr>
        <w:t>Bujang, M. A., Sa’at, N., &amp; Bakar, T. M. I. T. A. (2017). Determination of Minimum Sample Size Requirement for Multiple Linear Regression and Analysis of Covariance Based on Experimental and Non-experimental Studies. </w:t>
      </w:r>
      <w:r w:rsidRPr="00DA3C38">
        <w:rPr>
          <w:i/>
          <w:iCs/>
          <w:lang w:val="en-GB"/>
        </w:rPr>
        <w:t>Epidemiology, Biostatistics and Public Health</w:t>
      </w:r>
      <w:r w:rsidRPr="00DA3C38">
        <w:rPr>
          <w:lang w:val="en-GB"/>
        </w:rPr>
        <w:t>, </w:t>
      </w:r>
      <w:r w:rsidRPr="00DA3C38">
        <w:rPr>
          <w:i/>
          <w:iCs/>
          <w:lang w:val="en-GB"/>
        </w:rPr>
        <w:t>14</w:t>
      </w:r>
      <w:r w:rsidR="00B44853" w:rsidRPr="00DA3C38">
        <w:rPr>
          <w:lang w:val="en-GB"/>
        </w:rPr>
        <w:t>(3), available at:</w:t>
      </w:r>
      <w:r w:rsidR="00B44853" w:rsidRPr="00DA3C38">
        <w:t xml:space="preserve"> </w:t>
      </w:r>
      <w:r w:rsidR="00B44853" w:rsidRPr="00DA3C38">
        <w:rPr>
          <w:lang w:val="en-GB"/>
        </w:rPr>
        <w:t>http://ebph.it/article/download/12117/11431</w:t>
      </w:r>
    </w:p>
    <w:p w:rsidR="00AC1447" w:rsidRPr="00DA3C38" w:rsidRDefault="00AC1447" w:rsidP="00DA3C38">
      <w:pPr>
        <w:pStyle w:val="APARefs"/>
        <w:spacing w:line="480" w:lineRule="auto"/>
      </w:pPr>
      <w:r w:rsidRPr="00DA3C38">
        <w:t xml:space="preserve">Cabeza, R. (2002). Hemispheric asymmetry reduction in old adults: The HAROLD model. </w:t>
      </w:r>
      <w:r w:rsidRPr="00DA3C38">
        <w:rPr>
          <w:i/>
        </w:rPr>
        <w:t>Psychology of Ageing, 17</w:t>
      </w:r>
      <w:r w:rsidRPr="00DA3C38">
        <w:t>, 85-100, doi: 10.1037//0882-7974.17.1.85</w:t>
      </w:r>
    </w:p>
    <w:p w:rsidR="00463570" w:rsidRPr="00DA3C38" w:rsidRDefault="00463570" w:rsidP="00DA3C38">
      <w:pPr>
        <w:pStyle w:val="APARefs"/>
        <w:spacing w:line="480" w:lineRule="auto"/>
      </w:pPr>
      <w:r w:rsidRPr="00DA3C38">
        <w:t>Cahn, D. A., Sullivan, E. V., Shear, P. K., Pfefferbaum, A., Heit, G., &amp; Silverberg, G. (1998). Differential contributions of cognitive and motor component processes to physical and instrumental activities of daily living in Parkinson’s disease. </w:t>
      </w:r>
      <w:r w:rsidRPr="00DA3C38">
        <w:rPr>
          <w:i/>
          <w:iCs/>
        </w:rPr>
        <w:t>Archives of Clinical Neuropsychology</w:t>
      </w:r>
      <w:r w:rsidRPr="00DA3C38">
        <w:t>, </w:t>
      </w:r>
      <w:r w:rsidRPr="00DA3C38">
        <w:rPr>
          <w:i/>
          <w:iCs/>
        </w:rPr>
        <w:t>13</w:t>
      </w:r>
      <w:r w:rsidRPr="00DA3C38">
        <w:t>(7), 575-583, doi:</w:t>
      </w:r>
      <w:r w:rsidR="00182019" w:rsidRPr="00DA3C38">
        <w:t xml:space="preserve"> http://dx.doi.org/10.1016/S0887-6177(98)00024-9</w:t>
      </w:r>
    </w:p>
    <w:p w:rsidR="00AC1447" w:rsidRPr="00DA3C38" w:rsidRDefault="00AC1447" w:rsidP="00DA3C38">
      <w:pPr>
        <w:pStyle w:val="APARefs"/>
        <w:spacing w:line="480" w:lineRule="auto"/>
      </w:pPr>
      <w:r w:rsidRPr="00DA3C38">
        <w:t xml:space="preserve"> Carstensen, L. (December, 2011). Older people are happier. Available at https://www.ted.com/talks/laura_carstensen_older_people_are_happier/transcript?language=en</w:t>
      </w:r>
    </w:p>
    <w:p w:rsidR="008F2C2C" w:rsidRPr="00DA3C38" w:rsidRDefault="008F2C2C" w:rsidP="00DA3C38">
      <w:pPr>
        <w:pStyle w:val="APARefs"/>
        <w:spacing w:line="480" w:lineRule="auto"/>
        <w:rPr>
          <w:lang w:val="en-US"/>
        </w:rPr>
      </w:pPr>
      <w:r w:rsidRPr="00DA3C38">
        <w:rPr>
          <w:lang w:val="en-US"/>
        </w:rPr>
        <w:t>Caspersen, C. J., Powell, K. E., &amp; Christenson, G. M. (1985). Physical activity, exercise, and physical fitness: definitions and distinctions for health-related research. </w:t>
      </w:r>
      <w:r w:rsidRPr="00DA3C38">
        <w:rPr>
          <w:i/>
          <w:iCs/>
          <w:lang w:val="en-US"/>
        </w:rPr>
        <w:t>Public health reports</w:t>
      </w:r>
      <w:r w:rsidRPr="00DA3C38">
        <w:rPr>
          <w:lang w:val="en-US"/>
        </w:rPr>
        <w:t>, </w:t>
      </w:r>
      <w:r w:rsidRPr="00DA3C38">
        <w:rPr>
          <w:i/>
          <w:iCs/>
          <w:lang w:val="en-US"/>
        </w:rPr>
        <w:t>100</w:t>
      </w:r>
      <w:r w:rsidRPr="00DA3C38">
        <w:rPr>
          <w:lang w:val="en-US"/>
        </w:rPr>
        <w:t>(2), 126.</w:t>
      </w:r>
    </w:p>
    <w:p w:rsidR="00AC1447" w:rsidRPr="00DA3C38" w:rsidRDefault="00AC1447" w:rsidP="00DA3C38">
      <w:pPr>
        <w:pStyle w:val="APARefs"/>
        <w:spacing w:line="480" w:lineRule="auto"/>
      </w:pPr>
      <w:r w:rsidRPr="00DA3C38">
        <w:t>Cattan, M., White, M., Bond, J. &amp; Learthmouth, A. (2005). Preventing social isolation and loneliness among older: a systematic review of health promotion interventions.</w:t>
      </w:r>
    </w:p>
    <w:p w:rsidR="00AC1447" w:rsidRPr="00DA3C38" w:rsidRDefault="00AC1447" w:rsidP="00DA3C38">
      <w:pPr>
        <w:pStyle w:val="APARefs"/>
        <w:spacing w:line="480" w:lineRule="auto"/>
      </w:pPr>
      <w:r w:rsidRPr="00DA3C38">
        <w:t xml:space="preserve">Centre of Disease Control and Prevention (2011). Healthy Ageing. Helping people to live long and productive lives and enjoy a good quality of life. Available at </w:t>
      </w:r>
      <w:hyperlink r:id="rId44" w:history="1">
        <w:r w:rsidRPr="00DA3C38">
          <w:t>http://www.cdc.gov/chronicdisease/resources/publications/AAG/ageing.htm</w:t>
        </w:r>
      </w:hyperlink>
    </w:p>
    <w:p w:rsidR="00AC1447" w:rsidRPr="00DA3C38" w:rsidRDefault="00AC1447" w:rsidP="00DA3C38">
      <w:pPr>
        <w:pStyle w:val="APARefs"/>
        <w:spacing w:line="480" w:lineRule="auto"/>
      </w:pPr>
      <w:r w:rsidRPr="00DA3C38">
        <w:t xml:space="preserve">Centre of Disease Control and Prevention (2014, November). How much physical activity do older adults need? Available at </w:t>
      </w:r>
      <w:hyperlink r:id="rId45" w:history="1">
        <w:r w:rsidRPr="00DA3C38">
          <w:t>http://www.cdc.gov/physicalactivity/everyone/guidelines/olderadults.html</w:t>
        </w:r>
      </w:hyperlink>
    </w:p>
    <w:p w:rsidR="00AC1447" w:rsidRPr="00DA3C38" w:rsidRDefault="00AC1447" w:rsidP="00DA3C38">
      <w:pPr>
        <w:pStyle w:val="APARefs"/>
        <w:spacing w:line="480" w:lineRule="auto"/>
      </w:pPr>
      <w:r w:rsidRPr="00DA3C38">
        <w:t xml:space="preserve">Cerella, J. (1985). Information processing rates in the elderly. </w:t>
      </w:r>
      <w:r w:rsidRPr="00DA3C38">
        <w:rPr>
          <w:i/>
        </w:rPr>
        <w:t>Psychological Bulletin, 98</w:t>
      </w:r>
      <w:r w:rsidRPr="00DA3C38">
        <w:t>(10), 67-83, doi: 10.1037/0033-2909.98.1.67</w:t>
      </w:r>
    </w:p>
    <w:p w:rsidR="00AC1447" w:rsidRPr="00DA3C38" w:rsidRDefault="00AC1447" w:rsidP="00DA3C38">
      <w:pPr>
        <w:pStyle w:val="APARefs"/>
        <w:spacing w:line="480" w:lineRule="auto"/>
      </w:pPr>
      <w:r w:rsidRPr="00DA3C38">
        <w:t xml:space="preserve">Cerella, J. (1994). General slowing in Britney plots. </w:t>
      </w:r>
      <w:r w:rsidRPr="00DA3C38">
        <w:rPr>
          <w:i/>
        </w:rPr>
        <w:t>Journal of Gerontology, 49</w:t>
      </w:r>
      <w:r w:rsidRPr="00DA3C38">
        <w:t>(2), 65-71</w:t>
      </w:r>
    </w:p>
    <w:p w:rsidR="00AC1447" w:rsidRPr="00DA3C38" w:rsidRDefault="00AC1447" w:rsidP="00DA3C38">
      <w:pPr>
        <w:pStyle w:val="APARefs"/>
        <w:spacing w:line="480" w:lineRule="auto"/>
      </w:pPr>
      <w:r w:rsidRPr="00DA3C38">
        <w:t>Chan, M. Y., Haber, S., Drew, L.</w:t>
      </w:r>
      <w:r w:rsidR="00D82248" w:rsidRPr="00DA3C38">
        <w:t>,</w:t>
      </w:r>
      <w:r w:rsidRPr="00DA3C38">
        <w:t xml:space="preserve"> M., </w:t>
      </w:r>
      <w:r w:rsidR="00D82248" w:rsidRPr="00DA3C38">
        <w:t xml:space="preserve">&amp; </w:t>
      </w:r>
      <w:r w:rsidRPr="00DA3C38">
        <w:t>Park, D.</w:t>
      </w:r>
      <w:r w:rsidR="00D82248" w:rsidRPr="00DA3C38">
        <w:t>,</w:t>
      </w:r>
      <w:r w:rsidRPr="00DA3C38">
        <w:t xml:space="preserve"> C. (2014). Training older adults to use tablet computers: Does it enhance cognitive function? The Gerontologist, doi: doi: 10.1093/geront/gnu057</w:t>
      </w:r>
    </w:p>
    <w:p w:rsidR="00C368A7" w:rsidRPr="00DA3C38" w:rsidRDefault="00C368A7" w:rsidP="00DA3C38">
      <w:pPr>
        <w:pStyle w:val="APARefs"/>
        <w:spacing w:line="480" w:lineRule="auto"/>
      </w:pPr>
      <w:r w:rsidRPr="00DA3C38">
        <w:rPr>
          <w:lang w:val="en-GB"/>
        </w:rPr>
        <w:t xml:space="preserve">CHARLS (October, 2017). </w:t>
      </w:r>
      <w:r w:rsidRPr="00DA3C38">
        <w:t>China Health and Retirement Longitudinal Study (CHARLS). Available at: https://dornsife.usc.edu/johnstrauss/charls/</w:t>
      </w:r>
    </w:p>
    <w:p w:rsidR="00AC1447" w:rsidRPr="00DA3C38" w:rsidRDefault="00AC1447" w:rsidP="00DA3C38">
      <w:pPr>
        <w:pStyle w:val="APARefs"/>
        <w:spacing w:line="480" w:lineRule="auto"/>
      </w:pPr>
      <w:r w:rsidRPr="00DA3C38">
        <w:t xml:space="preserve">Charness, N. (1979). Components of skill in bridge. </w:t>
      </w:r>
      <w:r w:rsidRPr="00DA3C38">
        <w:rPr>
          <w:i/>
        </w:rPr>
        <w:t>Canadian Journal of Psychology, 133</w:t>
      </w:r>
      <w:r w:rsidRPr="00DA3C38">
        <w:t>, 1-16, doi:</w:t>
      </w:r>
      <w:r w:rsidRPr="00DA3C38">
        <w:rPr>
          <w:rFonts w:eastAsiaTheme="minorHAnsi"/>
          <w:color w:val="0A0905"/>
          <w:shd w:val="clear" w:color="auto" w:fill="FFFFFF"/>
          <w:lang w:eastAsia="en-US"/>
        </w:rPr>
        <w:t xml:space="preserve"> </w:t>
      </w:r>
      <w:r w:rsidRPr="00DA3C38">
        <w:t>10.1037/h0081698</w:t>
      </w:r>
    </w:p>
    <w:p w:rsidR="00AC1447" w:rsidRPr="00DA3C38" w:rsidRDefault="00AC1447" w:rsidP="00DA3C38">
      <w:pPr>
        <w:pStyle w:val="APARefs"/>
        <w:spacing w:line="480" w:lineRule="auto"/>
      </w:pPr>
      <w:r w:rsidRPr="00DA3C38">
        <w:t>Charness, N. (1981). Ageing and skilled problem solving. Journal of Experimental Psychology, 110, 21-38</w:t>
      </w:r>
    </w:p>
    <w:p w:rsidR="00AC1447" w:rsidRPr="00DA3C38" w:rsidRDefault="00AC1447" w:rsidP="00DA3C38">
      <w:pPr>
        <w:pStyle w:val="APARefs"/>
        <w:spacing w:line="480" w:lineRule="auto"/>
      </w:pPr>
      <w:r w:rsidRPr="00DA3C38">
        <w:t>Chatzitheodorou, D., Kabitsis, C., Papadopoulos, N.</w:t>
      </w:r>
      <w:r w:rsidR="00D82248" w:rsidRPr="00DA3C38">
        <w:t>,</w:t>
      </w:r>
      <w:r w:rsidRPr="00DA3C38">
        <w:t xml:space="preserve"> G., &amp; Galanopoulou, V. (2007). Evaluation of the Greek version of the Bath Ankylosing Spondylitis Functional Index: reliability, validity, and factor analysis. </w:t>
      </w:r>
      <w:r w:rsidRPr="00DA3C38">
        <w:rPr>
          <w:i/>
        </w:rPr>
        <w:t>Clinical, Experimental Rheumatology, 25</w:t>
      </w:r>
      <w:r w:rsidRPr="00DA3C38">
        <w:t>(4), 571-576. Available at http://www.clinexprheumatol.org/article.asp?a=3120</w:t>
      </w:r>
    </w:p>
    <w:p w:rsidR="00AC1447" w:rsidRPr="00DA3C38" w:rsidRDefault="00AC1447" w:rsidP="00DA3C38">
      <w:pPr>
        <w:pStyle w:val="APARefs"/>
        <w:spacing w:line="480" w:lineRule="auto"/>
      </w:pPr>
      <w:r w:rsidRPr="00DA3C38">
        <w:t xml:space="preserve">Cherner, M. (2010). Considerations in the cross-cultural assessment of functional abilities. . In Marcotte, T. D. &amp; Grant, I. (eds), </w:t>
      </w:r>
      <w:r w:rsidRPr="00DA3C38">
        <w:rPr>
          <w:i/>
        </w:rPr>
        <w:t>Neuropsychology of everyday functioning</w:t>
      </w:r>
      <w:r w:rsidRPr="00DA3C38">
        <w:t>, London, UK: The Guilford Press</w:t>
      </w:r>
    </w:p>
    <w:p w:rsidR="00AC1447" w:rsidRPr="00DA3C38" w:rsidRDefault="00AC1447" w:rsidP="00DA3C38">
      <w:pPr>
        <w:pStyle w:val="APARefs"/>
        <w:spacing w:line="480" w:lineRule="auto"/>
      </w:pPr>
      <w:r w:rsidRPr="00DA3C38">
        <w:t>Cho, J., Martin, P., &amp; Poon, L.</w:t>
      </w:r>
      <w:r w:rsidR="00D82248" w:rsidRPr="00DA3C38">
        <w:t>,</w:t>
      </w:r>
      <w:r w:rsidRPr="00DA3C38">
        <w:t xml:space="preserve"> W. (2012). The older they are, the less successful they become? Findings from the Georgia Centenarian Study. </w:t>
      </w:r>
      <w:r w:rsidRPr="00DA3C38">
        <w:rPr>
          <w:i/>
          <w:iCs/>
        </w:rPr>
        <w:t>Journal of Aging Research</w:t>
      </w:r>
      <w:r w:rsidRPr="00DA3C38">
        <w:t>, 2012, doi:</w:t>
      </w:r>
      <w:r w:rsidRPr="00DA3C38">
        <w:rPr>
          <w:rFonts w:eastAsiaTheme="minorEastAsia"/>
          <w:lang w:eastAsia="ja-JP"/>
        </w:rPr>
        <w:t xml:space="preserve"> </w:t>
      </w:r>
      <w:r w:rsidRPr="00DA3C38">
        <w:t>10.1155/2012/695854</w:t>
      </w:r>
    </w:p>
    <w:p w:rsidR="00B72377" w:rsidRPr="00DA3C38" w:rsidRDefault="00B72377" w:rsidP="00DA3C38">
      <w:pPr>
        <w:pStyle w:val="APARefs"/>
        <w:spacing w:line="480" w:lineRule="auto"/>
      </w:pPr>
      <w:r w:rsidRPr="00DA3C38">
        <w:t>Christensen, H., Hofer, S. M., MacKinnon, A. J., Korten, A. E., Jorm, A. F., &amp; Henderson, A. S. (2001). Age is no kinder to the better educated: absence of an association investigated using latent growth techniques in a community sample. </w:t>
      </w:r>
      <w:r w:rsidRPr="00DA3C38">
        <w:rPr>
          <w:i/>
          <w:iCs/>
        </w:rPr>
        <w:t>Psychological medicine</w:t>
      </w:r>
      <w:r w:rsidRPr="00DA3C38">
        <w:t>, </w:t>
      </w:r>
      <w:r w:rsidRPr="00DA3C38">
        <w:rPr>
          <w:i/>
          <w:iCs/>
        </w:rPr>
        <w:t>31</w:t>
      </w:r>
      <w:r w:rsidRPr="00DA3C38">
        <w:t>(01), 15-28, doi</w:t>
      </w:r>
    </w:p>
    <w:p w:rsidR="00AC1447" w:rsidRPr="00DA3C38" w:rsidRDefault="00B72377" w:rsidP="00DA3C38">
      <w:pPr>
        <w:pStyle w:val="APARefs"/>
        <w:spacing w:line="480" w:lineRule="auto"/>
      </w:pPr>
      <w:r w:rsidRPr="00DA3C38">
        <w:t xml:space="preserve"> </w:t>
      </w:r>
      <w:r w:rsidR="00AC1447" w:rsidRPr="00DA3C38">
        <w:t xml:space="preserve">Christelis, D., </w:t>
      </w:r>
      <w:r w:rsidR="00D82248" w:rsidRPr="00DA3C38">
        <w:t xml:space="preserve">&amp; </w:t>
      </w:r>
      <w:r w:rsidR="00AC1447" w:rsidRPr="00DA3C38">
        <w:t>Dobresku, L.</w:t>
      </w:r>
      <w:r w:rsidR="00D82248" w:rsidRPr="00DA3C38">
        <w:t>,</w:t>
      </w:r>
      <w:r w:rsidR="00AC1447" w:rsidRPr="00DA3C38">
        <w:t xml:space="preserve"> I. (2012). The impact of social activities on cognitive ageing: Evidence from eleven European Countries. Centre for studies in Economics and Finance. Available at: </w:t>
      </w:r>
      <w:hyperlink r:id="rId46" w:history="1">
        <w:r w:rsidR="00AC1447" w:rsidRPr="00DA3C38">
          <w:t>http://www.csef.it/WP/wp320.pdf</w:t>
        </w:r>
      </w:hyperlink>
    </w:p>
    <w:p w:rsidR="00AC1447" w:rsidRPr="00DA3C38" w:rsidRDefault="00D82248" w:rsidP="00DA3C38">
      <w:pPr>
        <w:pStyle w:val="APARefs"/>
        <w:spacing w:line="480" w:lineRule="auto"/>
      </w:pPr>
      <w:r w:rsidRPr="00DA3C38">
        <w:t>Christman, A., L., Vannorsdall, T., D., Pearlson, G., D., Hill-Briggs, F., &amp; Schretlen, D., J. (2010). Cranial volume, mild cognitive deficits, and functional limitations associated with diabetes in a community sample. </w:t>
      </w:r>
      <w:r w:rsidRPr="00DA3C38">
        <w:rPr>
          <w:i/>
          <w:iCs/>
        </w:rPr>
        <w:t>Archives of Clinical Neuropsychology</w:t>
      </w:r>
      <w:r w:rsidRPr="00DA3C38">
        <w:t>, </w:t>
      </w:r>
      <w:r w:rsidRPr="00DA3C38">
        <w:rPr>
          <w:i/>
          <w:iCs/>
        </w:rPr>
        <w:t>25</w:t>
      </w:r>
      <w:r w:rsidRPr="00DA3C38">
        <w:t xml:space="preserve">(1), 49-59, </w:t>
      </w:r>
      <w:r w:rsidR="00AC1447" w:rsidRPr="00DA3C38">
        <w:t>doi:10.1093/arclin/acp091</w:t>
      </w:r>
    </w:p>
    <w:p w:rsidR="00AC1447" w:rsidRPr="00DA3C38" w:rsidRDefault="00AC1447" w:rsidP="00DA3C38">
      <w:pPr>
        <w:pStyle w:val="APARefs"/>
        <w:spacing w:line="480" w:lineRule="auto"/>
      </w:pPr>
      <w:r w:rsidRPr="00DA3C38">
        <w:t xml:space="preserve">Chu, L. W., Chiu, K. C., Hui, L. C., Yu, G. K., Tsui, W. J., Lee, P. W. (2000). The reliability and validity of the Alzheimer’s Disease Assessment Scale Cognitive Subscale (Adas- cog) among the elderlyChinese in Hong Kong. </w:t>
      </w:r>
      <w:r w:rsidRPr="00DA3C38">
        <w:rPr>
          <w:i/>
        </w:rPr>
        <w:t>Neurobiology of Ageing, 29</w:t>
      </w:r>
      <w:r w:rsidRPr="00DA3C38">
        <w:t>, 479-485, doi: 10.1016/S0197-4580(00)83371-0</w:t>
      </w:r>
    </w:p>
    <w:p w:rsidR="00FA5E12" w:rsidRPr="00DA3C38" w:rsidRDefault="00FA5E12" w:rsidP="00DA3C38">
      <w:pPr>
        <w:pStyle w:val="APARefs"/>
        <w:spacing w:line="480" w:lineRule="auto"/>
      </w:pPr>
      <w:r w:rsidRPr="00DA3C38">
        <w:rPr>
          <w:lang w:val="en-US"/>
        </w:rPr>
        <w:t>Cohen, J., Cohen, P.,West, S.G., &amp; Aiken, L.S. (2003). Applied multiple</w:t>
      </w:r>
      <w:r w:rsidRPr="00DA3C38">
        <w:t xml:space="preserve"> </w:t>
      </w:r>
      <w:r w:rsidRPr="00DA3C38">
        <w:rPr>
          <w:lang w:val="en-US"/>
        </w:rPr>
        <w:t>regression/correlation analysis for the behavioral sciences (3rd ed.).</w:t>
      </w:r>
      <w:r w:rsidRPr="00DA3C38">
        <w:t xml:space="preserve"> </w:t>
      </w:r>
      <w:r w:rsidRPr="00DA3C38">
        <w:rPr>
          <w:lang w:val="en-US"/>
        </w:rPr>
        <w:t>Mahwah, NJ: Erlbaum.</w:t>
      </w:r>
    </w:p>
    <w:p w:rsidR="00AC1447" w:rsidRPr="00DA3C38" w:rsidRDefault="00AC1447" w:rsidP="00DA3C38">
      <w:pPr>
        <w:pStyle w:val="APARefs"/>
        <w:spacing w:line="480" w:lineRule="auto"/>
      </w:pPr>
      <w:r w:rsidRPr="00DA3C38">
        <w:t xml:space="preserve">Colcombe, S. J., Kramer, A. F., Erickson, K. I., Scalf, P., </w:t>
      </w:r>
      <w:r w:rsidR="002F5874" w:rsidRPr="00DA3C38">
        <w:t>McAuley, E., Cohen, N. J., et al.</w:t>
      </w:r>
      <w:r w:rsidRPr="00DA3C38">
        <w:t xml:space="preserve"> (2004). Cardiovascular fitness, cortical plasticity, and aging. </w:t>
      </w:r>
      <w:r w:rsidRPr="00DA3C38">
        <w:rPr>
          <w:i/>
          <w:iCs/>
        </w:rPr>
        <w:t>Proceedings of the National academy of Sciences of the United States of America</w:t>
      </w:r>
      <w:r w:rsidRPr="00DA3C38">
        <w:t>, </w:t>
      </w:r>
      <w:r w:rsidRPr="00DA3C38">
        <w:rPr>
          <w:i/>
          <w:iCs/>
        </w:rPr>
        <w:t>101</w:t>
      </w:r>
      <w:r w:rsidRPr="00DA3C38">
        <w:t>(9), 3316-332, doi: 10.1073/pnas.0400266101</w:t>
      </w:r>
    </w:p>
    <w:p w:rsidR="00AC1447" w:rsidRPr="00DA3C38" w:rsidRDefault="00AC1447" w:rsidP="00DA3C38">
      <w:pPr>
        <w:pStyle w:val="APARefs"/>
        <w:spacing w:line="480" w:lineRule="auto"/>
      </w:pPr>
      <w:r w:rsidRPr="00DA3C38">
        <w:t>Colcombe, S., &amp; Kramer, A. F. (2003). Fitness effects on the cognitive function of older adults a meta-analytic study. </w:t>
      </w:r>
      <w:r w:rsidRPr="00DA3C38">
        <w:rPr>
          <w:i/>
          <w:iCs/>
        </w:rPr>
        <w:t>Psychological science</w:t>
      </w:r>
      <w:r w:rsidRPr="00DA3C38">
        <w:t>, </w:t>
      </w:r>
      <w:r w:rsidRPr="00DA3C38">
        <w:rPr>
          <w:i/>
          <w:iCs/>
        </w:rPr>
        <w:t>14</w:t>
      </w:r>
      <w:r w:rsidRPr="00DA3C38">
        <w:t xml:space="preserve">(2), 125-130 </w:t>
      </w:r>
    </w:p>
    <w:p w:rsidR="00AC1447" w:rsidRPr="00DA3C38" w:rsidRDefault="00AC1447" w:rsidP="00DA3C38">
      <w:pPr>
        <w:pStyle w:val="APARefs"/>
        <w:spacing w:line="480" w:lineRule="auto"/>
      </w:pPr>
      <w:r w:rsidRPr="00DA3C38">
        <w:t xml:space="preserve">Committee of Human Development (1947). Annual Report. University of Chicago. </w:t>
      </w:r>
    </w:p>
    <w:p w:rsidR="00AC1447" w:rsidRPr="00DA3C38" w:rsidRDefault="00AC1447" w:rsidP="00DA3C38">
      <w:pPr>
        <w:pStyle w:val="APARefs"/>
        <w:spacing w:line="480" w:lineRule="auto"/>
      </w:pPr>
      <w:r w:rsidRPr="00DA3C38">
        <w:t>Corsi, M., &amp; Lodovici, S. (2013). Active ageing and gender equality. Available at https://dipot.ulb.ac.be/dspace/bitstream/2013/137877/1/wp13004.pdf</w:t>
      </w:r>
    </w:p>
    <w:p w:rsidR="00AC1447" w:rsidRPr="00DA3C38" w:rsidRDefault="00AC1447" w:rsidP="00DA3C38">
      <w:pPr>
        <w:pStyle w:val="APARefs"/>
        <w:spacing w:line="480" w:lineRule="auto"/>
      </w:pPr>
      <w:r w:rsidRPr="00E041BC">
        <w:rPr>
          <w:lang w:val="de-DE"/>
        </w:rPr>
        <w:t>Cukierman, T., Gerstein, H.</w:t>
      </w:r>
      <w:r w:rsidR="0032479E" w:rsidRPr="00E041BC">
        <w:rPr>
          <w:lang w:val="de-DE"/>
        </w:rPr>
        <w:t xml:space="preserve">, </w:t>
      </w:r>
      <w:r w:rsidRPr="00E041BC">
        <w:rPr>
          <w:lang w:val="de-DE"/>
        </w:rPr>
        <w:t>C., &amp; Williamson, J.</w:t>
      </w:r>
      <w:r w:rsidR="0032479E" w:rsidRPr="00E041BC">
        <w:rPr>
          <w:lang w:val="de-DE"/>
        </w:rPr>
        <w:t xml:space="preserve">, </w:t>
      </w:r>
      <w:r w:rsidRPr="00E041BC">
        <w:rPr>
          <w:lang w:val="de-DE"/>
        </w:rPr>
        <w:t xml:space="preserve">D. (2005). </w:t>
      </w:r>
      <w:r w:rsidRPr="00DA3C38">
        <w:t xml:space="preserve">Cognitive decline and dementia in diabetes: Systematic overview of prospective observational studies. </w:t>
      </w:r>
      <w:r w:rsidRPr="00DA3C38">
        <w:rPr>
          <w:i/>
        </w:rPr>
        <w:t>Diabetologia, 48</w:t>
      </w:r>
      <w:r w:rsidRPr="00DA3C38">
        <w:t>, 2460–2469.</w:t>
      </w:r>
    </w:p>
    <w:p w:rsidR="00AC1447" w:rsidRPr="00DA3C38" w:rsidRDefault="00AC1447" w:rsidP="00DA3C38">
      <w:pPr>
        <w:pStyle w:val="APARefs"/>
        <w:spacing w:line="480" w:lineRule="auto"/>
      </w:pPr>
      <w:r w:rsidRPr="00DA3C38">
        <w:t xml:space="preserve">Cumming, E., &amp; Henry, W.E. (1961). </w:t>
      </w:r>
      <w:r w:rsidRPr="00DA3C38">
        <w:rPr>
          <w:i/>
        </w:rPr>
        <w:t>Growing old.</w:t>
      </w:r>
      <w:r w:rsidRPr="00DA3C38">
        <w:t xml:space="preserve"> New York: Basic Books</w:t>
      </w:r>
    </w:p>
    <w:p w:rsidR="000958FB" w:rsidRPr="00DA3C38" w:rsidRDefault="000958FB" w:rsidP="00DA3C38">
      <w:pPr>
        <w:pStyle w:val="APARefs"/>
        <w:spacing w:line="480" w:lineRule="auto"/>
      </w:pPr>
      <w:r w:rsidRPr="00E041BC">
        <w:rPr>
          <w:lang w:val="de-DE"/>
        </w:rPr>
        <w:t>Dahlberg</w:t>
      </w:r>
      <w:r w:rsidR="0032479E" w:rsidRPr="00E041BC">
        <w:rPr>
          <w:lang w:val="de-DE"/>
        </w:rPr>
        <w:t>, L.</w:t>
      </w:r>
      <w:r w:rsidRPr="00E041BC">
        <w:rPr>
          <w:lang w:val="de-DE"/>
        </w:rPr>
        <w:t xml:space="preserve">, </w:t>
      </w:r>
      <w:r w:rsidR="0032479E" w:rsidRPr="00E041BC">
        <w:rPr>
          <w:lang w:val="de-DE"/>
        </w:rPr>
        <w:t xml:space="preserve">&amp; </w:t>
      </w:r>
      <w:r w:rsidRPr="00E041BC">
        <w:rPr>
          <w:lang w:val="de-DE"/>
        </w:rPr>
        <w:t>McKee</w:t>
      </w:r>
      <w:r w:rsidR="00D82248" w:rsidRPr="00E041BC">
        <w:rPr>
          <w:lang w:val="de-DE"/>
        </w:rPr>
        <w:t>, K.</w:t>
      </w:r>
      <w:r w:rsidR="0032479E" w:rsidRPr="00E041BC">
        <w:rPr>
          <w:lang w:val="de-DE"/>
        </w:rPr>
        <w:t xml:space="preserve">, </w:t>
      </w:r>
      <w:r w:rsidR="00D82248" w:rsidRPr="00E041BC">
        <w:rPr>
          <w:lang w:val="de-DE"/>
        </w:rPr>
        <w:t xml:space="preserve">J. (2014). </w:t>
      </w:r>
      <w:r w:rsidRPr="00DA3C38">
        <w:t>Correlates of social and emotional loneliness in older people: Evidence from an Eng</w:t>
      </w:r>
      <w:r w:rsidR="00D82248" w:rsidRPr="00DA3C38">
        <w:t>lish community study.</w:t>
      </w:r>
      <w:r w:rsidRPr="00DA3C38">
        <w:t> </w:t>
      </w:r>
      <w:r w:rsidRPr="00DA3C38">
        <w:rPr>
          <w:i/>
          <w:iCs/>
        </w:rPr>
        <w:t>Aging &amp; mental health</w:t>
      </w:r>
      <w:r w:rsidRPr="00DA3C38">
        <w:t> </w:t>
      </w:r>
      <w:r w:rsidR="00D82248" w:rsidRPr="00DA3C38">
        <w:rPr>
          <w:i/>
        </w:rPr>
        <w:t>18,</w:t>
      </w:r>
      <w:r w:rsidR="00D82248" w:rsidRPr="00DA3C38">
        <w:t xml:space="preserve"> (4</w:t>
      </w:r>
      <w:r w:rsidRPr="00DA3C38">
        <w:t>), 504-514, doi: 10.1080/13607863.2013.856863</w:t>
      </w:r>
    </w:p>
    <w:p w:rsidR="009C5D81" w:rsidRPr="00DA3C38" w:rsidRDefault="009C5D81" w:rsidP="00DA3C38">
      <w:pPr>
        <w:pStyle w:val="APARefs"/>
        <w:spacing w:line="480" w:lineRule="auto"/>
        <w:rPr>
          <w:lang w:val="en-US"/>
        </w:rPr>
      </w:pPr>
      <w:r w:rsidRPr="00DA3C38">
        <w:rPr>
          <w:lang w:val="en-US"/>
        </w:rPr>
        <w:t>Dahlberg, L., &amp; McKee, K. J. (2016). Living on the Edge: Social Exclusion and the Receipt of Informal Care in Older People. </w:t>
      </w:r>
      <w:r w:rsidRPr="00DA3C38">
        <w:rPr>
          <w:i/>
          <w:iCs/>
          <w:lang w:val="en-US"/>
        </w:rPr>
        <w:t>Journal of aging research</w:t>
      </w:r>
      <w:r w:rsidRPr="00DA3C38">
        <w:rPr>
          <w:lang w:val="en-US"/>
        </w:rPr>
        <w:t>, </w:t>
      </w:r>
      <w:r w:rsidRPr="00DA3C38">
        <w:rPr>
          <w:i/>
          <w:iCs/>
          <w:lang w:val="en-US"/>
        </w:rPr>
        <w:t>2016</w:t>
      </w:r>
      <w:r w:rsidRPr="00DA3C38">
        <w:rPr>
          <w:lang w:val="en-US"/>
        </w:rPr>
        <w:t>, http://dx.doi.org/10.1155/2016/6373101</w:t>
      </w:r>
    </w:p>
    <w:p w:rsidR="00AC1447" w:rsidRPr="00DA3C38" w:rsidRDefault="00AC1447" w:rsidP="00DA3C38">
      <w:pPr>
        <w:pStyle w:val="APARefs"/>
        <w:spacing w:line="480" w:lineRule="auto"/>
      </w:pPr>
      <w:r w:rsidRPr="00DA3C38">
        <w:t>Daliento, L.,</w:t>
      </w:r>
      <w:r w:rsidR="002F5874" w:rsidRPr="00DA3C38">
        <w:t xml:space="preserve"> </w:t>
      </w:r>
      <w:r w:rsidRPr="00DA3C38">
        <w:t>Mapelli,</w:t>
      </w:r>
      <w:r w:rsidR="0032479E" w:rsidRPr="00DA3C38">
        <w:t xml:space="preserve"> </w:t>
      </w:r>
      <w:r w:rsidRPr="00DA3C38">
        <w:t>D.,&amp; Volpe, B.</w:t>
      </w:r>
      <w:r w:rsidR="002F5874" w:rsidRPr="00DA3C38">
        <w:t xml:space="preserve"> </w:t>
      </w:r>
      <w:r w:rsidRPr="00DA3C38">
        <w:t xml:space="preserve">(2006). Measurement of cognitive outcome and quality of life in congenital heart disease. </w:t>
      </w:r>
      <w:r w:rsidRPr="00DA3C38">
        <w:rPr>
          <w:i/>
        </w:rPr>
        <w:t>Heart, 92</w:t>
      </w:r>
      <w:r w:rsidRPr="00DA3C38">
        <w:t>, 569–574.</w:t>
      </w:r>
    </w:p>
    <w:p w:rsidR="00AC1447" w:rsidRPr="00DA3C38" w:rsidRDefault="00AC1447" w:rsidP="00DA3C38">
      <w:pPr>
        <w:pStyle w:val="APARefs"/>
        <w:spacing w:line="480" w:lineRule="auto"/>
      </w:pPr>
      <w:r w:rsidRPr="00DA3C38">
        <w:t xml:space="preserve">Deary, I. J., &amp; Der, G. (2005). Reaction time, age and cognitive ability: Longitudinal findings from age 16 to 63 years in representative population samples. </w:t>
      </w:r>
      <w:r w:rsidRPr="00DA3C38">
        <w:rPr>
          <w:i/>
        </w:rPr>
        <w:t>Ageing, Neuropsychology, and Cognition, 12</w:t>
      </w:r>
      <w:r w:rsidRPr="00DA3C38">
        <w:t>, 187-215, doi:</w:t>
      </w:r>
      <w:r w:rsidRPr="00DA3C38">
        <w:rPr>
          <w:rFonts w:eastAsiaTheme="minorHAnsi"/>
          <w:color w:val="000000"/>
          <w:lang w:eastAsia="en-US"/>
        </w:rPr>
        <w:t xml:space="preserve"> </w:t>
      </w:r>
      <w:r w:rsidRPr="00DA3C38">
        <w:t>10.1080/13825580590969235</w:t>
      </w:r>
    </w:p>
    <w:p w:rsidR="00AC1447" w:rsidRPr="00DA3C38" w:rsidRDefault="00AC1447" w:rsidP="00DA3C38">
      <w:pPr>
        <w:pStyle w:val="APARefs"/>
        <w:spacing w:line="480" w:lineRule="auto"/>
      </w:pPr>
      <w:r w:rsidRPr="00DA3C38">
        <w:t>Delis, D.</w:t>
      </w:r>
      <w:r w:rsidR="0032479E" w:rsidRPr="00DA3C38">
        <w:t>,</w:t>
      </w:r>
      <w:r w:rsidRPr="00DA3C38">
        <w:t xml:space="preserve"> C., Kaplan, E., &amp; Kramer, J.</w:t>
      </w:r>
      <w:r w:rsidR="0032479E" w:rsidRPr="00DA3C38">
        <w:t>,</w:t>
      </w:r>
      <w:r w:rsidRPr="00DA3C38">
        <w:t xml:space="preserve"> H. (2001). </w:t>
      </w:r>
      <w:r w:rsidRPr="00DA3C38">
        <w:rPr>
          <w:i/>
        </w:rPr>
        <w:t>Delis-Kaplan executive function system</w:t>
      </w:r>
      <w:r w:rsidRPr="00DA3C38">
        <w:t>. The psychological Corporation, Harcourt Assessment Company</w:t>
      </w:r>
    </w:p>
    <w:p w:rsidR="00AC1447" w:rsidRPr="00DA3C38" w:rsidRDefault="00AC1447" w:rsidP="00DA3C38">
      <w:pPr>
        <w:pStyle w:val="APARefs"/>
        <w:spacing w:line="480" w:lineRule="auto"/>
      </w:pPr>
      <w:r w:rsidRPr="00DA3C38">
        <w:t>Delis, D.</w:t>
      </w:r>
      <w:r w:rsidR="0032479E" w:rsidRPr="00DA3C38">
        <w:t>,</w:t>
      </w:r>
      <w:r w:rsidRPr="00DA3C38">
        <w:t xml:space="preserve"> C., Kramer, J.</w:t>
      </w:r>
      <w:r w:rsidR="0032479E" w:rsidRPr="00DA3C38">
        <w:t>,</w:t>
      </w:r>
      <w:r w:rsidRPr="00DA3C38">
        <w:t xml:space="preserve"> H., Kaplan, E., &amp; Ober, B.</w:t>
      </w:r>
      <w:r w:rsidR="0032479E" w:rsidRPr="00DA3C38">
        <w:t>,</w:t>
      </w:r>
      <w:r w:rsidRPr="00DA3C38">
        <w:t xml:space="preserve"> A. (1987). </w:t>
      </w:r>
      <w:r w:rsidRPr="00DA3C38">
        <w:rPr>
          <w:i/>
        </w:rPr>
        <w:t>California Verbal Learning Test: Adult version</w:t>
      </w:r>
      <w:r w:rsidRPr="00DA3C38">
        <w:t>. San Antonio, TX: The Psychological Corporation.</w:t>
      </w:r>
    </w:p>
    <w:p w:rsidR="00616BD3" w:rsidRPr="00DA3C38" w:rsidRDefault="00616BD3" w:rsidP="00DA3C38">
      <w:pPr>
        <w:pStyle w:val="APARefs"/>
        <w:spacing w:line="480" w:lineRule="auto"/>
      </w:pPr>
      <w:r w:rsidRPr="00E041BC">
        <w:rPr>
          <w:lang w:val="pl-PL"/>
        </w:rPr>
        <w:t>Depp, C.</w:t>
      </w:r>
      <w:r w:rsidR="0032479E" w:rsidRPr="00E041BC">
        <w:rPr>
          <w:lang w:val="pl-PL"/>
        </w:rPr>
        <w:t>,</w:t>
      </w:r>
      <w:r w:rsidRPr="00E041BC">
        <w:rPr>
          <w:lang w:val="pl-PL"/>
        </w:rPr>
        <w:t xml:space="preserve"> A., &amp; Jeste, D.</w:t>
      </w:r>
      <w:r w:rsidR="0032479E" w:rsidRPr="00E041BC">
        <w:rPr>
          <w:lang w:val="pl-PL"/>
        </w:rPr>
        <w:t>,</w:t>
      </w:r>
      <w:r w:rsidRPr="00E041BC">
        <w:rPr>
          <w:lang w:val="pl-PL"/>
        </w:rPr>
        <w:t xml:space="preserve"> V. (2006). </w:t>
      </w:r>
      <w:r w:rsidRPr="00DA3C38">
        <w:t>Definitions and predictors of successful aging: a comprehensive review of larger quantitative studies. </w:t>
      </w:r>
      <w:r w:rsidRPr="00DA3C38">
        <w:rPr>
          <w:i/>
          <w:iCs/>
        </w:rPr>
        <w:t>The American Journal of Geriatric Psychiatry</w:t>
      </w:r>
      <w:r w:rsidRPr="00DA3C38">
        <w:t>, </w:t>
      </w:r>
      <w:r w:rsidRPr="00DA3C38">
        <w:rPr>
          <w:i/>
          <w:iCs/>
        </w:rPr>
        <w:t>14</w:t>
      </w:r>
      <w:r w:rsidRPr="00DA3C38">
        <w:t>(1), 6-20</w:t>
      </w:r>
    </w:p>
    <w:p w:rsidR="00E80A3E" w:rsidRPr="00DA3C38" w:rsidRDefault="00E80A3E" w:rsidP="00DA3C38">
      <w:pPr>
        <w:pStyle w:val="APARefs"/>
        <w:spacing w:line="480" w:lineRule="auto"/>
        <w:rPr>
          <w:lang w:val="en-US"/>
        </w:rPr>
      </w:pPr>
      <w:r w:rsidRPr="00DA3C38">
        <w:rPr>
          <w:lang w:val="en-US"/>
        </w:rPr>
        <w:t>Desrosiers, J., Hébert, R., Bravo, G., &amp; Rochette, A. (1998). Comparison of cross-sectional and longitudinal designs in the study of aging of upper extremity performance. </w:t>
      </w:r>
      <w:r w:rsidRPr="00DA3C38">
        <w:rPr>
          <w:i/>
          <w:iCs/>
          <w:lang w:val="en-US"/>
        </w:rPr>
        <w:t>The Journals of Gerontology Series A: Biological Sciences and Medical Sciences</w:t>
      </w:r>
      <w:r w:rsidRPr="00DA3C38">
        <w:rPr>
          <w:lang w:val="en-US"/>
        </w:rPr>
        <w:t>, </w:t>
      </w:r>
      <w:r w:rsidRPr="00DA3C38">
        <w:rPr>
          <w:i/>
          <w:iCs/>
          <w:lang w:val="en-US"/>
        </w:rPr>
        <w:t>53</w:t>
      </w:r>
      <w:r w:rsidRPr="00DA3C38">
        <w:rPr>
          <w:lang w:val="en-US"/>
        </w:rPr>
        <w:t>(5), B362-B368.</w:t>
      </w:r>
    </w:p>
    <w:p w:rsidR="00AC1447" w:rsidRPr="00DA3C38" w:rsidRDefault="00AC1447" w:rsidP="00DA3C38">
      <w:pPr>
        <w:pStyle w:val="APARefs"/>
        <w:spacing w:line="480" w:lineRule="auto"/>
      </w:pPr>
      <w:r w:rsidRPr="00DA3C38">
        <w:t>Diehl</w:t>
      </w:r>
      <w:r w:rsidR="00EC625E">
        <w:t>,</w:t>
      </w:r>
      <w:r w:rsidRPr="00DA3C38">
        <w:t xml:space="preserve"> M., Willis</w:t>
      </w:r>
      <w:r w:rsidR="00EC625E">
        <w:t>,</w:t>
      </w:r>
      <w:r w:rsidRPr="00DA3C38">
        <w:t xml:space="preserve"> S.</w:t>
      </w:r>
      <w:r w:rsidR="00B467E7" w:rsidRPr="00DA3C38">
        <w:t xml:space="preserve">, </w:t>
      </w:r>
      <w:r w:rsidRPr="00DA3C38">
        <w:t>L., Schaie</w:t>
      </w:r>
      <w:r w:rsidR="00EC625E">
        <w:t>,</w:t>
      </w:r>
      <w:r w:rsidRPr="00DA3C38">
        <w:t xml:space="preserve"> K.</w:t>
      </w:r>
      <w:r w:rsidR="00B467E7" w:rsidRPr="00DA3C38">
        <w:t>,</w:t>
      </w:r>
      <w:r w:rsidRPr="00DA3C38">
        <w:t>W</w:t>
      </w:r>
      <w:r w:rsidR="00B467E7" w:rsidRPr="00DA3C38">
        <w:t>.</w:t>
      </w:r>
      <w:r w:rsidRPr="00DA3C38">
        <w:t xml:space="preserve"> (1995) Everyday problem solving in older adults: observational assessment and cognitive correlates. </w:t>
      </w:r>
      <w:r w:rsidRPr="00DA3C38">
        <w:rPr>
          <w:i/>
        </w:rPr>
        <w:t>Psychology and Ageing</w:t>
      </w:r>
      <w:r w:rsidR="0032479E" w:rsidRPr="00DA3C38">
        <w:t>, 10, 478–491</w:t>
      </w:r>
    </w:p>
    <w:p w:rsidR="00AC1447" w:rsidRPr="00DA3C38" w:rsidRDefault="00AC1447" w:rsidP="00DA3C38">
      <w:pPr>
        <w:pStyle w:val="APARefs"/>
        <w:spacing w:line="480" w:lineRule="auto"/>
      </w:pPr>
      <w:r w:rsidRPr="00DA3C38">
        <w:t xml:space="preserve">Diehl, M., Marsiske, M., Horgas, A. L.,  Rosenberg, A.,  Saczynski, J. S., &amp; Willis, S. L.  (2005). The revised Observed Tasks of Daily Living. A performance based assessment of everyday problem solving in older adults. </w:t>
      </w:r>
      <w:r w:rsidRPr="00DA3C38">
        <w:rPr>
          <w:i/>
        </w:rPr>
        <w:t>Journal of Ap</w:t>
      </w:r>
      <w:r w:rsidR="007A1F31" w:rsidRPr="00DA3C38">
        <w:rPr>
          <w:i/>
        </w:rPr>
        <w:t>p</w:t>
      </w:r>
      <w:r w:rsidRPr="00DA3C38">
        <w:rPr>
          <w:i/>
        </w:rPr>
        <w:t xml:space="preserve">lied Gerontology, 24, </w:t>
      </w:r>
      <w:r w:rsidRPr="00DA3C38">
        <w:t>3, 211-230</w:t>
      </w:r>
      <w:r w:rsidR="006D6685" w:rsidRPr="00DA3C38">
        <w:t>, doi: 10.1177/0733464804273772</w:t>
      </w:r>
    </w:p>
    <w:p w:rsidR="00AC1447" w:rsidRPr="00DA3C38" w:rsidRDefault="00AC1447" w:rsidP="00DA3C38">
      <w:pPr>
        <w:pStyle w:val="APARefs"/>
        <w:spacing w:line="480" w:lineRule="auto"/>
      </w:pPr>
      <w:r w:rsidRPr="00DA3C38">
        <w:t xml:space="preserve">Dishman, R. K., Berthoud, H. R., Booth, F. W., Cotman, C. W., Edgerton, V. R., Fleshner, M.et al. (2006). Neurobiology of exercise. </w:t>
      </w:r>
      <w:r w:rsidRPr="00DA3C38">
        <w:rPr>
          <w:i/>
          <w:iCs/>
        </w:rPr>
        <w:t>Obesity</w:t>
      </w:r>
      <w:r w:rsidRPr="00DA3C38">
        <w:t>, </w:t>
      </w:r>
      <w:r w:rsidRPr="00DA3C38">
        <w:rPr>
          <w:i/>
          <w:iCs/>
        </w:rPr>
        <w:t>14</w:t>
      </w:r>
      <w:r w:rsidRPr="00DA3C38">
        <w:t>(3), 345-356, doi: 10.1038/oby.2006.46</w:t>
      </w:r>
    </w:p>
    <w:p w:rsidR="00C50B53" w:rsidRPr="00DA3C38" w:rsidRDefault="00AC1447" w:rsidP="00DA3C38">
      <w:pPr>
        <w:pStyle w:val="APARefs"/>
        <w:spacing w:line="480" w:lineRule="auto"/>
      </w:pPr>
      <w:r w:rsidRPr="00DA3C38">
        <w:t>Douglas Harper, (November, 2016). Online etymology dictionary. Available at: http://www.etymonline.com/index.php?term=success</w:t>
      </w:r>
    </w:p>
    <w:p w:rsidR="00C50B53" w:rsidRPr="00DA3C38" w:rsidRDefault="00C50B53" w:rsidP="00DA3C38">
      <w:pPr>
        <w:pStyle w:val="APARefs"/>
        <w:spacing w:line="480" w:lineRule="auto"/>
        <w:rPr>
          <w:lang w:val="en-US"/>
        </w:rPr>
      </w:pPr>
      <w:r w:rsidRPr="00DA3C38">
        <w:rPr>
          <w:lang w:val="en-US"/>
        </w:rPr>
        <w:t>Duncan, O. D. (1961). A Socioeconomic Index for all Occupations. In J. Reiss, Jr. (Ed.), Occupations and Social Status (pp. 109–138). New York: Free Press of Glencoe</w:t>
      </w:r>
    </w:p>
    <w:p w:rsidR="000B67C3" w:rsidRPr="00DA3C38" w:rsidRDefault="000B67C3" w:rsidP="00DA3C38">
      <w:pPr>
        <w:pStyle w:val="APARefs"/>
        <w:spacing w:line="480" w:lineRule="auto"/>
        <w:rPr>
          <w:lang w:val="en-US"/>
        </w:rPr>
      </w:pPr>
      <w:r w:rsidRPr="00DA3C38">
        <w:t>ELSA (</w:t>
      </w:r>
      <w:r w:rsidR="00DC2108" w:rsidRPr="00DA3C38">
        <w:t xml:space="preserve">October, </w:t>
      </w:r>
      <w:r w:rsidRPr="00DA3C38">
        <w:t>2017)</w:t>
      </w:r>
      <w:r w:rsidR="00DC2108" w:rsidRPr="00DA3C38">
        <w:t xml:space="preserve">. </w:t>
      </w:r>
      <w:r w:rsidR="00DC2108" w:rsidRPr="00DA3C38">
        <w:rPr>
          <w:lang w:val="en-US"/>
        </w:rPr>
        <w:t xml:space="preserve">Insight into a maturing population. </w:t>
      </w:r>
      <w:r w:rsidR="00DC2108" w:rsidRPr="00DA3C38">
        <w:t>Available at: https://www.elsa-project.ac.uk/</w:t>
      </w:r>
    </w:p>
    <w:p w:rsidR="00AC1447" w:rsidRPr="00DA3C38" w:rsidRDefault="00AC1447" w:rsidP="00DA3C38">
      <w:pPr>
        <w:pStyle w:val="APARefs"/>
        <w:spacing w:line="480" w:lineRule="auto"/>
      </w:pPr>
      <w:r w:rsidRPr="00E041BC">
        <w:rPr>
          <w:lang w:val="sv-SE"/>
        </w:rPr>
        <w:t xml:space="preserve">Erickson, K. I., Prakash, R. S., Voss, M.W., Chaddock, L., Hu, L., Morris, K. S., et al., (2009). </w:t>
      </w:r>
      <w:r w:rsidRPr="00DA3C38">
        <w:t>Aerobic fitne</w:t>
      </w:r>
      <w:r w:rsidR="00B43E71">
        <w:t>ss is associated with hippocamp</w:t>
      </w:r>
      <w:r w:rsidRPr="00DA3C38">
        <w:t>a</w:t>
      </w:r>
      <w:r w:rsidR="00B43E71">
        <w:t>l</w:t>
      </w:r>
      <w:r w:rsidRPr="00DA3C38">
        <w:t xml:space="preserve"> volume in elderly humans. </w:t>
      </w:r>
      <w:r w:rsidRPr="00DA3C38">
        <w:rPr>
          <w:i/>
        </w:rPr>
        <w:t>Hippocampus, 19</w:t>
      </w:r>
      <w:r w:rsidRPr="00DA3C38">
        <w:t>(10), 1030-1039, doi:10.1002/hipo.20547</w:t>
      </w:r>
    </w:p>
    <w:p w:rsidR="00AC1447" w:rsidRPr="00DA3C38" w:rsidRDefault="00AC1447" w:rsidP="00DA3C38">
      <w:pPr>
        <w:pStyle w:val="APARefs"/>
        <w:spacing w:line="480" w:lineRule="auto"/>
      </w:pPr>
      <w:r w:rsidRPr="00DA3C38">
        <w:t xml:space="preserve">Erickson, K. I., Voss, M. W., Prakash, R. S., Basak, C., Szabo, A., Chaddock, L., </w:t>
      </w:r>
      <w:r w:rsidR="002F5874" w:rsidRPr="00DA3C38">
        <w:t xml:space="preserve">&amp; </w:t>
      </w:r>
      <w:r w:rsidRPr="00DA3C38">
        <w:t xml:space="preserve">Kramer, A. F. (2011). Exercise training increases size of hippocampus and improves memory. </w:t>
      </w:r>
      <w:r w:rsidRPr="00DA3C38">
        <w:rPr>
          <w:i/>
          <w:iCs/>
        </w:rPr>
        <w:t>Proceedings of the National Academy of Sciences of the United States of America</w:t>
      </w:r>
      <w:r w:rsidRPr="00DA3C38">
        <w:t xml:space="preserve">, </w:t>
      </w:r>
      <w:r w:rsidRPr="00DA3C38">
        <w:rPr>
          <w:i/>
          <w:iCs/>
        </w:rPr>
        <w:t>108</w:t>
      </w:r>
      <w:r w:rsidRPr="00DA3C38">
        <w:t>(7), 3017–3022. doi:10.1073/pnas.1015950108</w:t>
      </w:r>
    </w:p>
    <w:p w:rsidR="00AC1447" w:rsidRPr="00DA3C38" w:rsidRDefault="00AC1447" w:rsidP="00DA3C38">
      <w:pPr>
        <w:pStyle w:val="APARefs"/>
        <w:spacing w:line="480" w:lineRule="auto"/>
      </w:pPr>
      <w:r w:rsidRPr="00DA3C38">
        <w:t xml:space="preserve">Erikson, E. H. (1950). </w:t>
      </w:r>
      <w:r w:rsidRPr="00DA3C38">
        <w:rPr>
          <w:i/>
        </w:rPr>
        <w:t>Growth and crises of the" healthy personality</w:t>
      </w:r>
      <w:r w:rsidRPr="00DA3C38">
        <w:t>.</w:t>
      </w:r>
      <w:r w:rsidRPr="00DA3C38">
        <w:rPr>
          <w:i/>
        </w:rPr>
        <w:t>"</w:t>
      </w:r>
      <w:r w:rsidRPr="00DA3C38">
        <w:rPr>
          <w:rFonts w:eastAsiaTheme="minorEastAsia"/>
          <w:i/>
          <w:color w:val="000000"/>
          <w:lang w:eastAsia="ja-JP"/>
        </w:rPr>
        <w:t xml:space="preserve"> </w:t>
      </w:r>
      <w:r w:rsidRPr="00DA3C38">
        <w:t>Oxford, UK:  Josiah Macy, Jr. Foundation,</w:t>
      </w:r>
    </w:p>
    <w:p w:rsidR="00AC1447" w:rsidRPr="00DA3C38" w:rsidRDefault="00AC1447" w:rsidP="00DA3C38">
      <w:pPr>
        <w:pStyle w:val="APARefs"/>
        <w:spacing w:line="480" w:lineRule="auto"/>
      </w:pPr>
      <w:r w:rsidRPr="00DA3C38">
        <w:t>Estabrooks, P.</w:t>
      </w:r>
      <w:r w:rsidR="00296E12" w:rsidRPr="00DA3C38">
        <w:t xml:space="preserve">, </w:t>
      </w:r>
      <w:r w:rsidRPr="00DA3C38">
        <w:t>A., Lee, R.</w:t>
      </w:r>
      <w:r w:rsidR="00296E12" w:rsidRPr="00DA3C38">
        <w:t>,</w:t>
      </w:r>
      <w:r w:rsidRPr="00DA3C38">
        <w:t xml:space="preserve"> E., &amp; Gyurcsik, N. C (2003). Resources and physical activity participation. Does availability and accessibility differ by neighborhood socioeconomic status? </w:t>
      </w:r>
      <w:r w:rsidRPr="00DA3C38">
        <w:rPr>
          <w:i/>
        </w:rPr>
        <w:t>Annals of Behavioral Medicine, 25</w:t>
      </w:r>
      <w:r w:rsidRPr="00DA3C38">
        <w:t>(2), 100-104</w:t>
      </w:r>
    </w:p>
    <w:p w:rsidR="00AC1447" w:rsidRPr="00DA3C38" w:rsidRDefault="00AC1447" w:rsidP="00DA3C38">
      <w:pPr>
        <w:pStyle w:val="APARefs"/>
        <w:spacing w:line="480" w:lineRule="auto"/>
      </w:pPr>
      <w:r w:rsidRPr="00DA3C38">
        <w:t>European Commission (December</w:t>
      </w:r>
      <w:r w:rsidR="003A08DA" w:rsidRPr="00DA3C38">
        <w:t>, 2014a</w:t>
      </w:r>
      <w:r w:rsidRPr="00DA3C38">
        <w:t>). Economic and financial affairs: Financial assistance to Greece. Available at http://ec.europa.eu/economy_finance/assistance_eu_ms/greek_loan_facility/index_en.htm</w:t>
      </w:r>
    </w:p>
    <w:p w:rsidR="00AC1447" w:rsidRPr="00DA3C38" w:rsidRDefault="00AC1447" w:rsidP="00DA3C38">
      <w:pPr>
        <w:pStyle w:val="APARefs"/>
        <w:spacing w:line="480" w:lineRule="auto"/>
      </w:pPr>
      <w:r w:rsidRPr="00DA3C38">
        <w:t>European Commission (October, 2014</w:t>
      </w:r>
      <w:r w:rsidR="003A08DA" w:rsidRPr="00DA3C38">
        <w:t>b</w:t>
      </w:r>
      <w:r w:rsidRPr="00DA3C38">
        <w:t>). Public health: Health strategy. Available at http://ec.europa.eu/health/strategy/objectives/index_en.htm</w:t>
      </w:r>
    </w:p>
    <w:p w:rsidR="00AC1447" w:rsidRPr="00DA3C38" w:rsidRDefault="00AC1447" w:rsidP="00DA3C38">
      <w:pPr>
        <w:pStyle w:val="APARefs"/>
        <w:spacing w:line="480" w:lineRule="auto"/>
      </w:pPr>
      <w:r w:rsidRPr="00DA3C38">
        <w:t>European Commission (October, 2014</w:t>
      </w:r>
      <w:r w:rsidR="003A08DA" w:rsidRPr="00DA3C38">
        <w:t>c</w:t>
      </w:r>
      <w:r w:rsidRPr="00DA3C38">
        <w:t xml:space="preserve">). Public health: Europe 2020 – for a healthier EU. Available at </w:t>
      </w:r>
      <w:hyperlink r:id="rId47" w:history="1">
        <w:r w:rsidRPr="00DA3C38">
          <w:t>http://ec.europa.eu/health/europe_2020_en.htm</w:t>
        </w:r>
      </w:hyperlink>
    </w:p>
    <w:p w:rsidR="001C64D1" w:rsidRPr="00DA3C38" w:rsidRDefault="001C64D1" w:rsidP="00DA3C38">
      <w:pPr>
        <w:pStyle w:val="APARefs"/>
        <w:spacing w:line="480" w:lineRule="auto"/>
      </w:pPr>
      <w:r w:rsidRPr="00DA3C38">
        <w:t>Eurostat (October, 2017</w:t>
      </w:r>
      <w:r w:rsidR="00F2255A" w:rsidRPr="00DA3C38">
        <w:rPr>
          <w:vertAlign w:val="subscript"/>
        </w:rPr>
        <w:t>a</w:t>
      </w:r>
      <w:r w:rsidRPr="00DA3C38">
        <w:t xml:space="preserve">). </w:t>
      </w:r>
      <w:r w:rsidR="00AE2AC5" w:rsidRPr="00DA3C38">
        <w:t xml:space="preserve">Mortality and life expectancy statistics. Available at: </w:t>
      </w:r>
      <w:hyperlink r:id="rId48" w:history="1">
        <w:r w:rsidR="00F2255A" w:rsidRPr="00DA3C38">
          <w:rPr>
            <w:rStyle w:val="Hyperlink"/>
          </w:rPr>
          <w:t>http://ec.europa.eu/eurostat/statistics-explained/index.php/Mortality_and_life_expectancy_statistics</w:t>
        </w:r>
      </w:hyperlink>
    </w:p>
    <w:p w:rsidR="00F2255A" w:rsidRPr="00DA3C38" w:rsidRDefault="00F2255A" w:rsidP="00DA3C38">
      <w:pPr>
        <w:pStyle w:val="APARefs"/>
        <w:spacing w:line="480" w:lineRule="auto"/>
      </w:pPr>
      <w:r w:rsidRPr="00DA3C38">
        <w:t>Eurostat (October, 2017</w:t>
      </w:r>
      <w:r w:rsidRPr="00DA3C38">
        <w:rPr>
          <w:vertAlign w:val="subscript"/>
        </w:rPr>
        <w:t>b</w:t>
      </w:r>
      <w:r w:rsidRPr="00DA3C38">
        <w:t xml:space="preserve">). Fertility statistics. Available at: </w:t>
      </w:r>
      <w:hyperlink r:id="rId49" w:history="1">
        <w:r w:rsidRPr="00DA3C38">
          <w:rPr>
            <w:rStyle w:val="Hyperlink"/>
          </w:rPr>
          <w:t>http://ec.europa.eu/eurostat/statistics-explained/index.php/Fertility_statistics</w:t>
        </w:r>
      </w:hyperlink>
    </w:p>
    <w:p w:rsidR="00AC1447" w:rsidRPr="00DA3C38" w:rsidRDefault="00AC1447" w:rsidP="00DA3C38">
      <w:pPr>
        <w:pStyle w:val="APARefs"/>
        <w:spacing w:line="480" w:lineRule="auto"/>
      </w:pPr>
      <w:r w:rsidRPr="00DA3C38">
        <w:t>Evans, A.</w:t>
      </w:r>
      <w:r w:rsidR="00296E12" w:rsidRPr="00DA3C38">
        <w:t>,</w:t>
      </w:r>
      <w:r w:rsidRPr="00DA3C38">
        <w:t xml:space="preserve"> D., Hebert, L.</w:t>
      </w:r>
      <w:r w:rsidR="00296E12" w:rsidRPr="00DA3C38">
        <w:t>,</w:t>
      </w:r>
      <w:r w:rsidRPr="00DA3C38">
        <w:t xml:space="preserve"> E., Beckett, L.</w:t>
      </w:r>
      <w:r w:rsidR="00296E12" w:rsidRPr="00DA3C38">
        <w:t>,</w:t>
      </w:r>
      <w:r w:rsidRPr="00DA3C38">
        <w:t xml:space="preserve"> A., Scherr, P.</w:t>
      </w:r>
      <w:r w:rsidR="00296E12" w:rsidRPr="00DA3C38">
        <w:t>,</w:t>
      </w:r>
      <w:r w:rsidRPr="00DA3C38">
        <w:t xml:space="preserve"> A., Albert, M.</w:t>
      </w:r>
      <w:r w:rsidR="00296E12" w:rsidRPr="00DA3C38">
        <w:t>,</w:t>
      </w:r>
      <w:r w:rsidRPr="00DA3C38">
        <w:t xml:space="preserve"> S., Chown, M.</w:t>
      </w:r>
      <w:r w:rsidR="00296E12" w:rsidRPr="00DA3C38">
        <w:t>,</w:t>
      </w:r>
      <w:r w:rsidRPr="00DA3C38">
        <w:t xml:space="preserve"> J., et al. (1997). Education and other measures of socioeconomic status and risk of incident Alzheimer disease in a defined population of older persons. </w:t>
      </w:r>
      <w:r w:rsidRPr="00DA3C38">
        <w:rPr>
          <w:i/>
        </w:rPr>
        <w:t>Archives of Neurology, 54</w:t>
      </w:r>
      <w:r w:rsidRPr="00DA3C38">
        <w:t>(11), 1399-1405, doi: 10.1001/archneur.1997.00550230066019</w:t>
      </w:r>
    </w:p>
    <w:p w:rsidR="00AC1447" w:rsidRPr="00DA3C38" w:rsidRDefault="00AC1447" w:rsidP="00DA3C38">
      <w:pPr>
        <w:pStyle w:val="APARefs"/>
        <w:spacing w:line="480" w:lineRule="auto"/>
      </w:pPr>
      <w:r w:rsidRPr="00DA3C38">
        <w:t>Everaets, A.</w:t>
      </w:r>
      <w:r w:rsidR="00296E12" w:rsidRPr="00DA3C38">
        <w:t>,</w:t>
      </w:r>
      <w:r w:rsidRPr="00DA3C38">
        <w:t xml:space="preserve"> M. (2013). Across the continuum of care: Neurocognitive profiles that influence where older adults live. Available at: http://gradworks.umi.com/35/89/3589279.html</w:t>
      </w:r>
    </w:p>
    <w:p w:rsidR="00AC1447" w:rsidRPr="00DA3C38" w:rsidRDefault="00296E12" w:rsidP="00DA3C38">
      <w:pPr>
        <w:pStyle w:val="APARefs"/>
        <w:spacing w:line="480" w:lineRule="auto"/>
      </w:pPr>
      <w:r w:rsidRPr="00DA3C38">
        <w:t xml:space="preserve">Farias, S., T., Mungas, D., Reed, B., Haan, M., N., &amp; Jagust, W., J. </w:t>
      </w:r>
      <w:r w:rsidR="00AC1447" w:rsidRPr="00DA3C38">
        <w:t xml:space="preserve">(2004). Everyday functioning in relation to cognitive functioning and neuroimageing in community-dwelling Hispanic and Non-Hispanic older adults.  </w:t>
      </w:r>
      <w:r w:rsidR="00AC1447" w:rsidRPr="00DA3C38">
        <w:rPr>
          <w:i/>
          <w:iCs/>
        </w:rPr>
        <w:t>Journal of the Internaitonal Neuropsychological Society</w:t>
      </w:r>
      <w:r w:rsidR="00AC1447" w:rsidRPr="00DA3C38">
        <w:t xml:space="preserve">, </w:t>
      </w:r>
      <w:r w:rsidR="00AC1447" w:rsidRPr="00DA3C38">
        <w:rPr>
          <w:i/>
        </w:rPr>
        <w:t>10</w:t>
      </w:r>
      <w:r w:rsidR="00AC1447" w:rsidRPr="00DA3C38">
        <w:t>(3), 342–354, doi:10.1017/S1355617704103020</w:t>
      </w:r>
    </w:p>
    <w:p w:rsidR="00AC1447" w:rsidRPr="00DA3C38" w:rsidRDefault="00AC1447" w:rsidP="00DA3C38">
      <w:pPr>
        <w:pStyle w:val="APARefs"/>
        <w:spacing w:line="480" w:lineRule="auto"/>
      </w:pPr>
      <w:r w:rsidRPr="00DA3C38">
        <w:t>Farias, S.</w:t>
      </w:r>
      <w:r w:rsidR="00296E12" w:rsidRPr="00DA3C38">
        <w:t>,</w:t>
      </w:r>
      <w:r w:rsidRPr="00DA3C38">
        <w:t xml:space="preserve"> T., Cahn-Weiner, D.</w:t>
      </w:r>
      <w:r w:rsidR="00296E12" w:rsidRPr="00DA3C38">
        <w:t>,</w:t>
      </w:r>
      <w:r w:rsidRPr="00DA3C38">
        <w:t xml:space="preserve"> A., Harvey, D.</w:t>
      </w:r>
      <w:r w:rsidR="00296E12" w:rsidRPr="00DA3C38">
        <w:t>,</w:t>
      </w:r>
      <w:r w:rsidRPr="00DA3C38">
        <w:t xml:space="preserve"> J., Reed, B.</w:t>
      </w:r>
      <w:r w:rsidR="00296E12" w:rsidRPr="00DA3C38">
        <w:t>,</w:t>
      </w:r>
      <w:r w:rsidRPr="00DA3C38">
        <w:t xml:space="preserve"> R., Mungas, D., Kramer, J.</w:t>
      </w:r>
      <w:r w:rsidR="00296E12" w:rsidRPr="00DA3C38">
        <w:t>,</w:t>
      </w:r>
      <w:r w:rsidRPr="00DA3C38">
        <w:t xml:space="preserve"> H., et al., (2009). Longitudinal changes in memory and executive functioning are associated with longitudinal change in instrumental activities of daily living in older adults. </w:t>
      </w:r>
      <w:r w:rsidRPr="00DA3C38">
        <w:rPr>
          <w:i/>
        </w:rPr>
        <w:t>Clinical Neuropsychology, 23</w:t>
      </w:r>
      <w:r w:rsidRPr="00DA3C38">
        <w:t>, 3, 446-461</w:t>
      </w:r>
    </w:p>
    <w:p w:rsidR="00AC1447" w:rsidRPr="00DA3C38" w:rsidRDefault="00AC1447" w:rsidP="00DA3C38">
      <w:pPr>
        <w:pStyle w:val="APARefs"/>
        <w:spacing w:line="480" w:lineRule="auto"/>
      </w:pPr>
      <w:r w:rsidRPr="00DA3C38">
        <w:t>Farias, S.</w:t>
      </w:r>
      <w:r w:rsidR="00296E12" w:rsidRPr="00DA3C38">
        <w:t xml:space="preserve">, T., Mungas, D., Reed, B., </w:t>
      </w:r>
      <w:r w:rsidRPr="00DA3C38">
        <w:t>R., Cahn-Weiner, D., Jagust, W., Bayenes, K. et al. (2008). The measurement of everyday cognition (ECog): Scale development and psychometric properties. Neuropsychology, 22(4), 531544, doi: 10.</w:t>
      </w:r>
      <w:r w:rsidRPr="00DA3C38">
        <w:rPr>
          <w:rFonts w:eastAsiaTheme="minorHAnsi"/>
          <w:lang w:eastAsia="en-US"/>
        </w:rPr>
        <w:t xml:space="preserve"> </w:t>
      </w:r>
      <w:r w:rsidRPr="00DA3C38">
        <w:t>1037/0894-4105.22.4.531</w:t>
      </w:r>
    </w:p>
    <w:p w:rsidR="00AC1447" w:rsidRPr="00DA3C38" w:rsidRDefault="00AC1447" w:rsidP="00DA3C38">
      <w:pPr>
        <w:pStyle w:val="APARefs"/>
        <w:spacing w:line="480" w:lineRule="auto"/>
      </w:pPr>
      <w:r w:rsidRPr="00DA3C38">
        <w:t>Farias, S.</w:t>
      </w:r>
      <w:r w:rsidR="00DD2B18" w:rsidRPr="00DA3C38">
        <w:t xml:space="preserve">, </w:t>
      </w:r>
      <w:r w:rsidRPr="00DA3C38">
        <w:t>T., Mungas, D., Harvey, D., Simmons, A., Reed, B.</w:t>
      </w:r>
      <w:r w:rsidR="00DD2B18" w:rsidRPr="00DA3C38">
        <w:t xml:space="preserve">, </w:t>
      </w:r>
      <w:r w:rsidRPr="00DA3C38">
        <w:t xml:space="preserve">R., </w:t>
      </w:r>
      <w:r w:rsidR="00DD2B18" w:rsidRPr="00DA3C38">
        <w:t xml:space="preserve">&amp; </w:t>
      </w:r>
      <w:r w:rsidRPr="00DA3C38">
        <w:t xml:space="preserve">DeCarli, C. (2011). The measurement of everyday cognition: Development and validation of short form of the Everyday Cognition scales. </w:t>
      </w:r>
      <w:r w:rsidRPr="00DA3C38">
        <w:rPr>
          <w:i/>
        </w:rPr>
        <w:t>Alzheimer and Dementia, 7,</w:t>
      </w:r>
      <w:r w:rsidRPr="00DA3C38">
        <w:t xml:space="preserve"> 593-601</w:t>
      </w:r>
    </w:p>
    <w:p w:rsidR="00880160" w:rsidRPr="00DA3C38" w:rsidRDefault="00880160" w:rsidP="00DA3C38">
      <w:pPr>
        <w:pStyle w:val="APARefs"/>
        <w:spacing w:line="480" w:lineRule="auto"/>
        <w:rPr>
          <w:lang w:val="en-US"/>
        </w:rPr>
      </w:pPr>
      <w:r w:rsidRPr="00DA3C38">
        <w:rPr>
          <w:lang w:val="en-US"/>
        </w:rPr>
        <w:t>Fernández-Ballesteros, R., GARCIA, L. F., Abarca, D., Blanc, E., Efklides, A., Moraitou, D., ... &amp; Orosa, T. (2010). The concept of ‘ageing well’in ten Latin American and European countries. </w:t>
      </w:r>
      <w:r w:rsidRPr="00DA3C38">
        <w:rPr>
          <w:i/>
          <w:iCs/>
          <w:lang w:val="en-US"/>
        </w:rPr>
        <w:t>Ageing &amp; Society</w:t>
      </w:r>
      <w:r w:rsidRPr="00DA3C38">
        <w:rPr>
          <w:lang w:val="en-US"/>
        </w:rPr>
        <w:t>, </w:t>
      </w:r>
      <w:r w:rsidRPr="00DA3C38">
        <w:rPr>
          <w:i/>
          <w:iCs/>
          <w:lang w:val="en-US"/>
        </w:rPr>
        <w:t>30</w:t>
      </w:r>
      <w:r w:rsidRPr="00DA3C38">
        <w:rPr>
          <w:lang w:val="en-US"/>
        </w:rPr>
        <w:t>(1), 41-56. doi:10.1017/S0144686X09008587</w:t>
      </w:r>
    </w:p>
    <w:p w:rsidR="00296E12" w:rsidRPr="00DA3C38" w:rsidRDefault="00296E12" w:rsidP="00DA3C38">
      <w:pPr>
        <w:pStyle w:val="APARefs"/>
        <w:spacing w:line="480" w:lineRule="auto"/>
      </w:pPr>
      <w:r w:rsidRPr="00DA3C38">
        <w:t>Fillenbaum</w:t>
      </w:r>
      <w:r w:rsidR="00AC1447" w:rsidRPr="00DA3C38">
        <w:t>,</w:t>
      </w:r>
      <w:r w:rsidR="003E4E9A">
        <w:t xml:space="preserve"> </w:t>
      </w:r>
      <w:r w:rsidR="00AC1447" w:rsidRPr="00DA3C38">
        <w:t>G.</w:t>
      </w:r>
      <w:r w:rsidRPr="00DA3C38">
        <w:t>,</w:t>
      </w:r>
      <w:r w:rsidR="00AC1447" w:rsidRPr="00DA3C38">
        <w:t xml:space="preserve"> G. (1978). </w:t>
      </w:r>
      <w:r w:rsidR="00AC1447" w:rsidRPr="00DA3C38">
        <w:rPr>
          <w:i/>
        </w:rPr>
        <w:t>Validity and reliability of the Multidimensional Functional Assessment Questionnaire</w:t>
      </w:r>
      <w:r w:rsidR="00AC1447" w:rsidRPr="00DA3C38">
        <w:t>. In: Duke University Center for the Study of Ageing and Human Development. The OARS methodology. Durham, NC: Duke University</w:t>
      </w:r>
    </w:p>
    <w:p w:rsidR="00AC1447" w:rsidRPr="00DA3C38" w:rsidRDefault="00296E12" w:rsidP="00DA3C38">
      <w:pPr>
        <w:pStyle w:val="APARefs"/>
        <w:spacing w:line="480" w:lineRule="auto"/>
      </w:pPr>
      <w:r w:rsidRPr="00DA3C38">
        <w:t>Fiori, K., L.,</w:t>
      </w:r>
      <w:r w:rsidR="00D31552" w:rsidRPr="00DA3C38">
        <w:t xml:space="preserve"> Anto</w:t>
      </w:r>
      <w:r w:rsidR="00AC1447" w:rsidRPr="00DA3C38">
        <w:t>nucci, T.</w:t>
      </w:r>
      <w:r w:rsidRPr="00DA3C38">
        <w:t>,</w:t>
      </w:r>
      <w:r w:rsidR="00AC1447" w:rsidRPr="00DA3C38">
        <w:t xml:space="preserve"> C., &amp; Akyihama, H. (2008). Profiles of social relations among older adults: a cross-cultural approach. </w:t>
      </w:r>
      <w:r w:rsidR="00AC1447" w:rsidRPr="00DA3C38">
        <w:rPr>
          <w:i/>
        </w:rPr>
        <w:t>Ageing and Society, 28</w:t>
      </w:r>
      <w:r w:rsidR="00AC1447" w:rsidRPr="00DA3C38">
        <w:t>,203-231, doi:10.1017/S0144686X07006472.</w:t>
      </w:r>
    </w:p>
    <w:p w:rsidR="00AC1447" w:rsidRPr="00E041BC" w:rsidRDefault="00C33364" w:rsidP="00DA3C38">
      <w:pPr>
        <w:pStyle w:val="APARefs"/>
        <w:spacing w:line="480" w:lineRule="auto"/>
        <w:rPr>
          <w:lang w:val="de-DE"/>
        </w:rPr>
      </w:pPr>
      <w:r w:rsidRPr="00DA3C38">
        <w:t>Fis</w:t>
      </w:r>
      <w:r w:rsidR="00AC1447" w:rsidRPr="00DA3C38">
        <w:t>her, L.</w:t>
      </w:r>
      <w:r w:rsidR="00296E12" w:rsidRPr="00DA3C38">
        <w:t xml:space="preserve">, </w:t>
      </w:r>
      <w:r w:rsidR="00AC1447" w:rsidRPr="00DA3C38">
        <w:t>R., &amp; Schaffer, K.</w:t>
      </w:r>
      <w:r w:rsidR="00296E12" w:rsidRPr="00DA3C38">
        <w:t xml:space="preserve">, </w:t>
      </w:r>
      <w:r w:rsidR="00AC1447" w:rsidRPr="00DA3C38">
        <w:t xml:space="preserve">B. (1993). Older volunteers: A guide to research and practice. </w:t>
      </w:r>
      <w:r w:rsidR="00AC1447" w:rsidRPr="00E041BC">
        <w:rPr>
          <w:lang w:val="de-DE"/>
        </w:rPr>
        <w:t>Newbury Park, CA: Sage.</w:t>
      </w:r>
    </w:p>
    <w:p w:rsidR="00AC1447" w:rsidRPr="00DA3C38" w:rsidRDefault="00AC1447" w:rsidP="00DA3C38">
      <w:pPr>
        <w:pStyle w:val="APARefs"/>
        <w:spacing w:line="480" w:lineRule="auto"/>
      </w:pPr>
      <w:r w:rsidRPr="00E041BC">
        <w:rPr>
          <w:lang w:val="de-DE"/>
        </w:rPr>
        <w:t xml:space="preserve">Folstein, M., Folstein, S., McHugh, P. R. (1975).  </w:t>
      </w:r>
      <w:r w:rsidRPr="00DA3C38">
        <w:t xml:space="preserve">Mini-mental state: A practical method for grading the cognitive state of patients for the clinician. </w:t>
      </w:r>
      <w:r w:rsidRPr="00DA3C38">
        <w:rPr>
          <w:i/>
        </w:rPr>
        <w:t>Journal of Psychiatric Research</w:t>
      </w:r>
      <w:r w:rsidRPr="00DA3C38">
        <w:t xml:space="preserve">, </w:t>
      </w:r>
      <w:r w:rsidRPr="00DA3C38">
        <w:rPr>
          <w:i/>
        </w:rPr>
        <w:t>12</w:t>
      </w:r>
      <w:r w:rsidRPr="00DA3C38">
        <w:t>,189–198, doi:  http://dx.doi.org/10.1016/0022-3956(75)90026-6</w:t>
      </w:r>
    </w:p>
    <w:p w:rsidR="00AC1447" w:rsidRPr="00DA3C38" w:rsidRDefault="00AC1447" w:rsidP="00DA3C38">
      <w:pPr>
        <w:pStyle w:val="APARefs"/>
        <w:spacing w:line="480" w:lineRule="auto"/>
      </w:pPr>
      <w:r w:rsidRPr="00DA3C38">
        <w:t>Fotenos, A.</w:t>
      </w:r>
      <w:r w:rsidR="009B5741" w:rsidRPr="00DA3C38">
        <w:t xml:space="preserve">, </w:t>
      </w:r>
      <w:r w:rsidRPr="00DA3C38">
        <w:t>F., Mintun, M.</w:t>
      </w:r>
      <w:r w:rsidR="009B5741" w:rsidRPr="00DA3C38">
        <w:t>,</w:t>
      </w:r>
      <w:r w:rsidRPr="00DA3C38">
        <w:t xml:space="preserve"> A., Snyder, A.</w:t>
      </w:r>
      <w:r w:rsidR="009B5741" w:rsidRPr="00DA3C38">
        <w:t>,</w:t>
      </w:r>
      <w:r w:rsidRPr="00DA3C38">
        <w:t xml:space="preserve"> Z., Morris, J.</w:t>
      </w:r>
      <w:r w:rsidR="009B5741" w:rsidRPr="00DA3C38">
        <w:t>,</w:t>
      </w:r>
      <w:r w:rsidRPr="00DA3C38">
        <w:t xml:space="preserve"> C., Buckner, R.</w:t>
      </w:r>
      <w:r w:rsidR="009B5741" w:rsidRPr="00DA3C38">
        <w:t>,</w:t>
      </w:r>
      <w:r w:rsidRPr="00DA3C38">
        <w:t xml:space="preserve"> L. (2008). Brain volume in ageing. Evidence for a relation between socioeconomic status, preclinical Alzheimer disease, and reserve. </w:t>
      </w:r>
      <w:r w:rsidRPr="00DA3C38">
        <w:rPr>
          <w:i/>
        </w:rPr>
        <w:t>Archives of Neurology, 65</w:t>
      </w:r>
      <w:r w:rsidRPr="00DA3C38">
        <w:t>(1), 113-120, doi: 10.1001/archneurol.2007.27</w:t>
      </w:r>
    </w:p>
    <w:p w:rsidR="00AC1447" w:rsidRPr="00DA3C38" w:rsidRDefault="00AC1447" w:rsidP="00DA3C38">
      <w:pPr>
        <w:pStyle w:val="APARefs"/>
        <w:spacing w:line="480" w:lineRule="auto"/>
      </w:pPr>
      <w:r w:rsidRPr="00DA3C38">
        <w:t>Fountoulakis, K.</w:t>
      </w:r>
      <w:r w:rsidR="009B5741" w:rsidRPr="00DA3C38">
        <w:t>,</w:t>
      </w:r>
      <w:r w:rsidRPr="00DA3C38">
        <w:t xml:space="preserve"> N., Tsolaki, M., Chantzi, H., &amp; Kazis, A. (2000). Mini Mental State Examination (MMSE): A validation study in Greece. </w:t>
      </w:r>
      <w:r w:rsidRPr="00DA3C38">
        <w:rPr>
          <w:i/>
        </w:rPr>
        <w:t>American Journal of Alzheimer’s Disease and other Dementias, 15</w:t>
      </w:r>
      <w:r w:rsidRPr="00DA3C38">
        <w:t>, 342 -345, doi: 10.1177/153331750001500604</w:t>
      </w:r>
    </w:p>
    <w:p w:rsidR="0071006B" w:rsidRPr="00DA3C38" w:rsidRDefault="0071006B" w:rsidP="00DA3C38">
      <w:pPr>
        <w:pStyle w:val="APARefs"/>
        <w:spacing w:line="480" w:lineRule="auto"/>
      </w:pPr>
      <w:r w:rsidRPr="00DA3C38">
        <w:rPr>
          <w:lang w:val="en-GB"/>
        </w:rPr>
        <w:t>Frazier, P. A., Tix, A. P., &amp; Barron, K. E. (2004). Testing moderator and mediator effects in counseling psychology research. </w:t>
      </w:r>
      <w:r w:rsidRPr="00DA3C38">
        <w:rPr>
          <w:i/>
          <w:iCs/>
          <w:lang w:val="en-GB"/>
        </w:rPr>
        <w:t>Journal of counseling psychology</w:t>
      </w:r>
      <w:r w:rsidRPr="00DA3C38">
        <w:rPr>
          <w:lang w:val="en-GB"/>
        </w:rPr>
        <w:t>, </w:t>
      </w:r>
      <w:r w:rsidRPr="00DA3C38">
        <w:rPr>
          <w:i/>
          <w:iCs/>
          <w:lang w:val="en-GB"/>
        </w:rPr>
        <w:t>51</w:t>
      </w:r>
      <w:r w:rsidRPr="00DA3C38">
        <w:rPr>
          <w:lang w:val="en-GB"/>
        </w:rPr>
        <w:t>(1), 115, doi</w:t>
      </w:r>
      <w:r w:rsidRPr="00DA3C38">
        <w:t>: 10.1037/0022-0167.51.1.115</w:t>
      </w:r>
    </w:p>
    <w:p w:rsidR="00AC1447" w:rsidRPr="00DA3C38" w:rsidRDefault="00AC1447" w:rsidP="00DA3C38">
      <w:pPr>
        <w:pStyle w:val="APARefs"/>
        <w:spacing w:line="480" w:lineRule="auto"/>
      </w:pPr>
      <w:r w:rsidRPr="00DA3C38">
        <w:t>Franzen, M.</w:t>
      </w:r>
      <w:r w:rsidR="009B5741" w:rsidRPr="00DA3C38">
        <w:t>,</w:t>
      </w:r>
      <w:r w:rsidRPr="00DA3C38">
        <w:t xml:space="preserve"> D. (2000). Reliability and validity in neuropsychological assessments. NY, US: Springer</w:t>
      </w:r>
    </w:p>
    <w:p w:rsidR="00AC1447" w:rsidRPr="00DA3C38" w:rsidRDefault="00AC1447" w:rsidP="00DA3C38">
      <w:pPr>
        <w:pStyle w:val="APARefs"/>
        <w:spacing w:line="480" w:lineRule="auto"/>
      </w:pPr>
      <w:r w:rsidRPr="00DA3C38">
        <w:t>Franzen, M.</w:t>
      </w:r>
      <w:r w:rsidR="009B5741" w:rsidRPr="00DA3C38">
        <w:t>,</w:t>
      </w:r>
      <w:r w:rsidRPr="00DA3C38">
        <w:t xml:space="preserve"> D., &amp; Wilhelm, K.</w:t>
      </w:r>
      <w:r w:rsidR="009B5741" w:rsidRPr="00DA3C38">
        <w:t>,</w:t>
      </w:r>
      <w:r w:rsidRPr="00DA3C38">
        <w:t xml:space="preserve"> L. (1996). Conceptual foundations of ecological validity in neuropsychological assessments. In Sbordone, R. J. &amp; Long, C.J. (eds), </w:t>
      </w:r>
      <w:r w:rsidRPr="00DA3C38">
        <w:rPr>
          <w:i/>
        </w:rPr>
        <w:t>Ecological validity of neuropsychological testing</w:t>
      </w:r>
      <w:r w:rsidRPr="00DA3C38">
        <w:t>, Delray Beach, US: St. Luice Press</w:t>
      </w:r>
    </w:p>
    <w:p w:rsidR="00AC1447" w:rsidRPr="00DA3C38" w:rsidRDefault="00AC1447" w:rsidP="00DA3C38">
      <w:pPr>
        <w:pStyle w:val="APARefs"/>
        <w:spacing w:line="480" w:lineRule="auto"/>
      </w:pPr>
      <w:r w:rsidRPr="00E041BC">
        <w:rPr>
          <w:lang w:val="it-IT"/>
        </w:rPr>
        <w:t xml:space="preserve">Fratiglioni, L., Paillard-Borg, S., &amp; Winblad, B. (2004). </w:t>
      </w:r>
      <w:r w:rsidRPr="00DA3C38">
        <w:t>An active and socially integrated lifestyle in late life might protect against dementia. </w:t>
      </w:r>
      <w:r w:rsidRPr="00DA3C38">
        <w:rPr>
          <w:i/>
          <w:iCs/>
        </w:rPr>
        <w:t>The Lancet Neurology</w:t>
      </w:r>
      <w:r w:rsidRPr="00DA3C38">
        <w:t>, </w:t>
      </w:r>
      <w:r w:rsidRPr="00DA3C38">
        <w:rPr>
          <w:i/>
          <w:iCs/>
        </w:rPr>
        <w:t>3</w:t>
      </w:r>
      <w:r w:rsidRPr="00DA3C38">
        <w:t>(6), 343-353</w:t>
      </w:r>
    </w:p>
    <w:p w:rsidR="00AC1447" w:rsidRPr="00DA3C38" w:rsidRDefault="00AC1447" w:rsidP="00DA3C38">
      <w:pPr>
        <w:pStyle w:val="APARefs"/>
        <w:spacing w:line="480" w:lineRule="auto"/>
      </w:pPr>
      <w:r w:rsidRPr="00DA3C38">
        <w:t>Freund, A.</w:t>
      </w:r>
      <w:r w:rsidR="009B5741" w:rsidRPr="00DA3C38">
        <w:t xml:space="preserve">, </w:t>
      </w:r>
      <w:r w:rsidRPr="00DA3C38">
        <w:t>M., &amp; Baltes, P.</w:t>
      </w:r>
      <w:r w:rsidR="009B5741" w:rsidRPr="00DA3C38">
        <w:t xml:space="preserve">, </w:t>
      </w:r>
      <w:r w:rsidRPr="00DA3C38">
        <w:t>B. (2007). Towards a theory of successful ageing: Selection, optimization and compensation. In Fernandez – Ballesteros, R. (</w:t>
      </w:r>
      <w:r w:rsidRPr="00DA3C38">
        <w:rPr>
          <w:i/>
        </w:rPr>
        <w:t>ed</w:t>
      </w:r>
      <w:r w:rsidRPr="00DA3C38">
        <w:t xml:space="preserve">) </w:t>
      </w:r>
      <w:r w:rsidRPr="00DA3C38">
        <w:rPr>
          <w:i/>
        </w:rPr>
        <w:t>Geropsychology: European perspectives for an ageing world</w:t>
      </w:r>
      <w:r w:rsidRPr="00DA3C38">
        <w:t>. Ashland: Hogrefe and Huber</w:t>
      </w:r>
    </w:p>
    <w:p w:rsidR="00AC1447" w:rsidRPr="00DA3C38" w:rsidRDefault="00AC1447" w:rsidP="00DA3C38">
      <w:pPr>
        <w:pStyle w:val="APARefs"/>
        <w:spacing w:line="480" w:lineRule="auto"/>
      </w:pPr>
      <w:r w:rsidRPr="00DA3C38">
        <w:t>Galatsiatou (July</w:t>
      </w:r>
      <w:r w:rsidR="009B5741" w:rsidRPr="00DA3C38">
        <w:t>, 2013</w:t>
      </w:r>
      <w:r w:rsidRPr="00DA3C38">
        <w:t xml:space="preserve">). </w:t>
      </w:r>
      <w:r w:rsidRPr="00DA3C38">
        <w:rPr>
          <w:i/>
        </w:rPr>
        <w:t>Ageing poverty in a reach Germany</w:t>
      </w:r>
      <w:r w:rsidRPr="00DA3C38">
        <w:t xml:space="preserve">. Available at </w:t>
      </w:r>
      <w:hyperlink r:id="rId50" w:history="1">
        <w:r w:rsidRPr="00DA3C38">
          <w:t>http://news.kathimerini.gr/4dcgi/_w_articles_world_2_28/07/2013_528291</w:t>
        </w:r>
      </w:hyperlink>
    </w:p>
    <w:p w:rsidR="00971750" w:rsidRPr="00DA3C38" w:rsidRDefault="00971750" w:rsidP="00DA3C38">
      <w:pPr>
        <w:pStyle w:val="APARefs"/>
        <w:spacing w:line="480" w:lineRule="auto"/>
        <w:rPr>
          <w:lang w:val="en-US"/>
        </w:rPr>
      </w:pPr>
      <w:r w:rsidRPr="00E041BC">
        <w:rPr>
          <w:lang w:val="sv-SE"/>
        </w:rPr>
        <w:t xml:space="preserve">Glass, T. A., De Leon, C. M., Marottoli, R. A., &amp; Berkman, L. F. (1999). </w:t>
      </w:r>
      <w:r w:rsidRPr="00DA3C38">
        <w:rPr>
          <w:lang w:val="en-US"/>
        </w:rPr>
        <w:t>Population based study of social and productive activities as predictors of survival among elderly Americans. </w:t>
      </w:r>
      <w:r w:rsidRPr="00DA3C38">
        <w:rPr>
          <w:i/>
          <w:iCs/>
          <w:lang w:val="en-US"/>
        </w:rPr>
        <w:t>BMJ</w:t>
      </w:r>
      <w:r w:rsidRPr="00DA3C38">
        <w:rPr>
          <w:lang w:val="en-US"/>
        </w:rPr>
        <w:t>, </w:t>
      </w:r>
      <w:r w:rsidRPr="00DA3C38">
        <w:rPr>
          <w:i/>
          <w:iCs/>
          <w:lang w:val="en-US"/>
        </w:rPr>
        <w:t>319</w:t>
      </w:r>
      <w:r w:rsidRPr="00DA3C38">
        <w:rPr>
          <w:lang w:val="en-US"/>
        </w:rPr>
        <w:t>(7208), 478-483.</w:t>
      </w:r>
    </w:p>
    <w:p w:rsidR="00AC1447" w:rsidRPr="00DA3C38" w:rsidRDefault="00AC1447" w:rsidP="00DA3C38">
      <w:pPr>
        <w:pStyle w:val="APARefs"/>
        <w:spacing w:line="480" w:lineRule="auto"/>
      </w:pPr>
      <w:r w:rsidRPr="00DA3C38">
        <w:t>Glass, T.</w:t>
      </w:r>
      <w:r w:rsidR="009B5741" w:rsidRPr="00DA3C38">
        <w:t>,</w:t>
      </w:r>
      <w:r w:rsidRPr="00DA3C38">
        <w:t xml:space="preserve"> A. (2003). Assessing the success of successful aging. </w:t>
      </w:r>
      <w:r w:rsidRPr="00DA3C38">
        <w:rPr>
          <w:i/>
          <w:iCs/>
        </w:rPr>
        <w:t>Annals of Internal Medicine</w:t>
      </w:r>
      <w:r w:rsidRPr="00DA3C38">
        <w:t>, </w:t>
      </w:r>
      <w:r w:rsidRPr="00DA3C38">
        <w:rPr>
          <w:i/>
          <w:iCs/>
        </w:rPr>
        <w:t>139</w:t>
      </w:r>
      <w:r w:rsidRPr="00DA3C38">
        <w:t xml:space="preserve">, 382-383. </w:t>
      </w:r>
    </w:p>
    <w:p w:rsidR="00AC1447" w:rsidRPr="00DA3C38" w:rsidRDefault="009B5741" w:rsidP="00DA3C38">
      <w:pPr>
        <w:pStyle w:val="APARefs"/>
        <w:spacing w:line="480" w:lineRule="auto"/>
      </w:pPr>
      <w:r w:rsidRPr="00DA3C38">
        <w:t>Glei, D</w:t>
      </w:r>
      <w:r w:rsidR="00AC1447" w:rsidRPr="00DA3C38">
        <w:t>.</w:t>
      </w:r>
      <w:r w:rsidRPr="00DA3C38">
        <w:t>,</w:t>
      </w:r>
      <w:r w:rsidR="00AC1447" w:rsidRPr="00DA3C38">
        <w:t xml:space="preserve"> A., Landau, D. A., Goldman, N., Chuang, Y., Rodriguez, G., &amp; Weinstein, M. (2005). Participating in social activities helps preserve cognitive function: an analysis of a longitudinal, population based study of the elderly. </w:t>
      </w:r>
      <w:r w:rsidR="00AC1447" w:rsidRPr="00DA3C38">
        <w:rPr>
          <w:i/>
        </w:rPr>
        <w:t>International Journal of Epidemiology, 34</w:t>
      </w:r>
      <w:r w:rsidR="00ED5354" w:rsidRPr="00DA3C38">
        <w:t>(4), 864-871</w:t>
      </w:r>
    </w:p>
    <w:p w:rsidR="00ED5354" w:rsidRPr="00DA3C38" w:rsidRDefault="00ED5354" w:rsidP="00DA3C38">
      <w:pPr>
        <w:pStyle w:val="APARefs"/>
        <w:spacing w:line="480" w:lineRule="auto"/>
      </w:pPr>
      <w:r w:rsidRPr="00DA3C38">
        <w:t>Gorelick, P. B., Nyenhuis, D. (2015). Stroke and Cognitive Decline. </w:t>
      </w:r>
      <w:r w:rsidRPr="00DA3C38">
        <w:rPr>
          <w:i/>
          <w:iCs/>
        </w:rPr>
        <w:t>JAMA</w:t>
      </w:r>
      <w:r w:rsidRPr="00DA3C38">
        <w:t xml:space="preserve">, </w:t>
      </w:r>
      <w:r w:rsidRPr="00DA3C38">
        <w:rPr>
          <w:i/>
        </w:rPr>
        <w:t>314</w:t>
      </w:r>
      <w:r w:rsidRPr="00DA3C38">
        <w:t>(1), 29–30. doi:10.1001/jama.2015.7149</w:t>
      </w:r>
    </w:p>
    <w:p w:rsidR="00AC1447" w:rsidRPr="00DA3C38" w:rsidRDefault="009B5741" w:rsidP="00DA3C38">
      <w:pPr>
        <w:pStyle w:val="APARefs"/>
        <w:spacing w:line="480" w:lineRule="auto"/>
      </w:pPr>
      <w:r w:rsidRPr="00DA3C38">
        <w:t xml:space="preserve">Goldberg, E., Podell, </w:t>
      </w:r>
      <w:r w:rsidR="00AC1447" w:rsidRPr="00DA3C38">
        <w:t xml:space="preserve">K., Bilder, R., </w:t>
      </w:r>
      <w:r w:rsidRPr="00DA3C38">
        <w:t xml:space="preserve">&amp; </w:t>
      </w:r>
      <w:r w:rsidR="00AC1447" w:rsidRPr="00DA3C38">
        <w:t>Jaeger, J. (2000). The executive control battery. Psychology Press: Melbourne</w:t>
      </w:r>
    </w:p>
    <w:p w:rsidR="00AC1447" w:rsidRPr="00DA3C38" w:rsidRDefault="00AC1447" w:rsidP="00DA3C38">
      <w:pPr>
        <w:pStyle w:val="APARefs"/>
        <w:spacing w:line="480" w:lineRule="auto"/>
      </w:pPr>
      <w:r w:rsidRPr="00DA3C38">
        <w:t xml:space="preserve">Goldstein, G. (1996). Functional considerations in neuropsychology. In Sbordone, R. J., &amp; Long, C.J. (eds), </w:t>
      </w:r>
      <w:r w:rsidRPr="00DA3C38">
        <w:rPr>
          <w:i/>
        </w:rPr>
        <w:t>Ecological validity of neyropsychological testing</w:t>
      </w:r>
      <w:r w:rsidRPr="00DA3C38">
        <w:t>. Delray Beach, US: ST. Luice Press</w:t>
      </w:r>
    </w:p>
    <w:p w:rsidR="00AC1447" w:rsidRPr="00DA3C38" w:rsidRDefault="00AC1447" w:rsidP="00DA3C38">
      <w:pPr>
        <w:pStyle w:val="APARefs"/>
        <w:spacing w:line="480" w:lineRule="auto"/>
      </w:pPr>
      <w:r w:rsidRPr="00DA3C38">
        <w:t>Gordon-Larsen, P., Nelson, M.</w:t>
      </w:r>
      <w:r w:rsidR="003734B9" w:rsidRPr="00DA3C38">
        <w:t>,</w:t>
      </w:r>
      <w:r w:rsidRPr="00DA3C38">
        <w:t xml:space="preserve"> C., Page, P., &amp; Popkin, B.</w:t>
      </w:r>
      <w:r w:rsidR="003734B9" w:rsidRPr="00DA3C38">
        <w:t>,</w:t>
      </w:r>
      <w:r w:rsidRPr="00DA3C38">
        <w:t xml:space="preserve"> M. (2006). Inequalities</w:t>
      </w:r>
      <w:r w:rsidR="003734B9" w:rsidRPr="00DA3C38">
        <w:t xml:space="preserve"> and the b</w:t>
      </w:r>
      <w:r w:rsidRPr="00DA3C38">
        <w:t xml:space="preserve">uilt environment underlie key health disparities in physical activity and obesity. </w:t>
      </w:r>
      <w:r w:rsidRPr="00DA3C38">
        <w:rPr>
          <w:i/>
        </w:rPr>
        <w:t>Pediatrics, 117</w:t>
      </w:r>
      <w:r w:rsidRPr="00DA3C38">
        <w:t>(2), 417-424</w:t>
      </w:r>
    </w:p>
    <w:p w:rsidR="00AC1447" w:rsidRPr="00DA3C38" w:rsidRDefault="00AC1447" w:rsidP="00DA3C38">
      <w:pPr>
        <w:pStyle w:val="APARefs"/>
        <w:spacing w:line="480" w:lineRule="auto"/>
      </w:pPr>
      <w:r w:rsidRPr="00DA3C38">
        <w:t>Greco, S. P. (2004) .To examine the relationship between neuropsychological tests of executive functioning and living independently. Available at http://scholarship.shu.edu/cgi/viewcontent.cgi?article=2743&amp;context=dissertations</w:t>
      </w:r>
    </w:p>
    <w:p w:rsidR="00AC1447" w:rsidRPr="00E041BC" w:rsidRDefault="00AC1447" w:rsidP="00DA3C38">
      <w:pPr>
        <w:pStyle w:val="APARefs"/>
        <w:spacing w:line="480" w:lineRule="auto"/>
        <w:rPr>
          <w:lang w:val="de-DE"/>
        </w:rPr>
      </w:pPr>
      <w:r w:rsidRPr="00DA3C38">
        <w:t>Greenwood, P.</w:t>
      </w:r>
      <w:r w:rsidR="003734B9" w:rsidRPr="00DA3C38">
        <w:t>,</w:t>
      </w:r>
      <w:r w:rsidRPr="00DA3C38">
        <w:t xml:space="preserve"> M. (2007). Functional plasticity in cognitive ageing: Review and hypothesis. </w:t>
      </w:r>
      <w:r w:rsidRPr="00E041BC">
        <w:rPr>
          <w:lang w:val="de-DE"/>
        </w:rPr>
        <w:t>Neuropsychology, 21, 657-673, doi:   10.1037/0894-4105.21.6.657</w:t>
      </w:r>
    </w:p>
    <w:p w:rsidR="00AC1447" w:rsidRPr="00DA3C38" w:rsidRDefault="00AC1447" w:rsidP="00DA3C38">
      <w:pPr>
        <w:pStyle w:val="APARefs"/>
        <w:spacing w:line="480" w:lineRule="auto"/>
      </w:pPr>
      <w:r w:rsidRPr="00E041BC">
        <w:rPr>
          <w:lang w:val="de-DE"/>
        </w:rPr>
        <w:t>Gross, A.</w:t>
      </w:r>
      <w:r w:rsidR="003734B9" w:rsidRPr="00E041BC">
        <w:rPr>
          <w:lang w:val="de-DE"/>
        </w:rPr>
        <w:t>,</w:t>
      </w:r>
      <w:r w:rsidRPr="00E041BC">
        <w:rPr>
          <w:lang w:val="de-DE"/>
        </w:rPr>
        <w:t xml:space="preserve"> L., Rebok, G.</w:t>
      </w:r>
      <w:r w:rsidR="003734B9" w:rsidRPr="00E041BC">
        <w:rPr>
          <w:lang w:val="de-DE"/>
        </w:rPr>
        <w:t>,</w:t>
      </w:r>
      <w:r w:rsidRPr="00E041BC">
        <w:rPr>
          <w:lang w:val="de-DE"/>
        </w:rPr>
        <w:t xml:space="preserve"> W., Unverzagt, F.</w:t>
      </w:r>
      <w:r w:rsidR="003734B9" w:rsidRPr="00E041BC">
        <w:rPr>
          <w:lang w:val="de-DE"/>
        </w:rPr>
        <w:t>,</w:t>
      </w:r>
      <w:r w:rsidRPr="00E041BC">
        <w:rPr>
          <w:lang w:val="de-DE"/>
        </w:rPr>
        <w:t xml:space="preserve"> W., Willis, S.</w:t>
      </w:r>
      <w:r w:rsidR="003734B9" w:rsidRPr="00E041BC">
        <w:rPr>
          <w:lang w:val="de-DE"/>
        </w:rPr>
        <w:t>,</w:t>
      </w:r>
      <w:r w:rsidRPr="00E041BC">
        <w:rPr>
          <w:lang w:val="de-DE"/>
        </w:rPr>
        <w:t xml:space="preserve"> L., &amp; Brandt, J. (2011). </w:t>
      </w:r>
      <w:r w:rsidRPr="00DA3C38">
        <w:t xml:space="preserve">Word list memory predicts everyday function and problem-solving in the elderly: results from the active cognitive intervention trial. </w:t>
      </w:r>
      <w:r w:rsidRPr="00DA3C38">
        <w:rPr>
          <w:i/>
        </w:rPr>
        <w:t>Neuropsychological Development Cognitive, Ageing, Neuropsycholy and Cognition 18</w:t>
      </w:r>
      <w:r w:rsidRPr="00DA3C38">
        <w:t>(2): 129–146. doi:10.1080/13825585.2010.516814.</w:t>
      </w:r>
    </w:p>
    <w:p w:rsidR="00AC1447" w:rsidRPr="00DA3C38" w:rsidRDefault="00AC1447" w:rsidP="00DA3C38">
      <w:pPr>
        <w:pStyle w:val="APARefs"/>
        <w:spacing w:line="480" w:lineRule="auto"/>
      </w:pPr>
      <w:r w:rsidRPr="00DA3C38">
        <w:t>Hambleton, R.</w:t>
      </w:r>
      <w:r w:rsidR="003734B9" w:rsidRPr="00DA3C38">
        <w:t>,</w:t>
      </w:r>
      <w:r w:rsidRPr="00DA3C38">
        <w:t xml:space="preserve"> K. (2001). The next generation of the ITC test translation and adaptation guidelines.  </w:t>
      </w:r>
      <w:r w:rsidRPr="00DA3C38">
        <w:rPr>
          <w:i/>
        </w:rPr>
        <w:t>European Journal of Psychological Assessment, 17</w:t>
      </w:r>
      <w:r w:rsidRPr="00DA3C38">
        <w:t>(3), 164-172.</w:t>
      </w:r>
    </w:p>
    <w:p w:rsidR="00AC1447" w:rsidRPr="00DA3C38" w:rsidRDefault="00AC1447" w:rsidP="00DA3C38">
      <w:pPr>
        <w:pStyle w:val="APARefs"/>
        <w:spacing w:line="480" w:lineRule="auto"/>
      </w:pPr>
      <w:r w:rsidRPr="00DA3C38">
        <w:t>Hamilton, I.</w:t>
      </w:r>
      <w:r w:rsidR="003734B9" w:rsidRPr="00DA3C38">
        <w:t>,</w:t>
      </w:r>
      <w:r w:rsidRPr="00DA3C38">
        <w:t xml:space="preserve"> S. (2011). Introduction. In </w:t>
      </w:r>
      <w:r w:rsidRPr="00DA3C38">
        <w:rPr>
          <w:i/>
        </w:rPr>
        <w:t>An introduction to gerontology (ed.)</w:t>
      </w:r>
      <w:r w:rsidRPr="00DA3C38">
        <w:t>. Edinburgh, UK: Cambridge University Press.</w:t>
      </w:r>
    </w:p>
    <w:p w:rsidR="00AC1447" w:rsidRPr="00DA3C38" w:rsidRDefault="00AC1447" w:rsidP="00DA3C38">
      <w:pPr>
        <w:pStyle w:val="APARefs"/>
        <w:spacing w:line="480" w:lineRule="auto"/>
      </w:pPr>
      <w:r w:rsidRPr="00DA3C38">
        <w:t>Hamilton, I.</w:t>
      </w:r>
      <w:r w:rsidR="003734B9" w:rsidRPr="00DA3C38">
        <w:t>,</w:t>
      </w:r>
      <w:r w:rsidRPr="00DA3C38">
        <w:t xml:space="preserve"> S. (2012). </w:t>
      </w:r>
      <w:r w:rsidRPr="00DA3C38">
        <w:rPr>
          <w:i/>
        </w:rPr>
        <w:t>The psychology of ageing: An introduction</w:t>
      </w:r>
      <w:r w:rsidRPr="00DA3C38">
        <w:t>. London, UK: Jessica Kinsley Publisher</w:t>
      </w:r>
    </w:p>
    <w:p w:rsidR="00AC1447" w:rsidRPr="00DA3C38" w:rsidRDefault="00AC1447" w:rsidP="00DA3C38">
      <w:pPr>
        <w:pStyle w:val="APARefs"/>
        <w:spacing w:line="480" w:lineRule="auto"/>
      </w:pPr>
      <w:r w:rsidRPr="00DA3C38">
        <w:t>Harel, O. (2009). The estimation of R</w:t>
      </w:r>
      <w:r w:rsidRPr="00DA3C38">
        <w:rPr>
          <w:vertAlign w:val="superscript"/>
        </w:rPr>
        <w:t>2</w:t>
      </w:r>
      <w:r w:rsidRPr="00DA3C38">
        <w:t> and adjusted R</w:t>
      </w:r>
      <w:r w:rsidRPr="00DA3C38">
        <w:rPr>
          <w:vertAlign w:val="superscript"/>
        </w:rPr>
        <w:t>2</w:t>
      </w:r>
      <w:r w:rsidRPr="00DA3C38">
        <w:t> in incomplete data sets using multiple imputation. </w:t>
      </w:r>
      <w:r w:rsidRPr="00DA3C38">
        <w:rPr>
          <w:i/>
        </w:rPr>
        <w:t>Journal of Applied Statistics</w:t>
      </w:r>
      <w:r w:rsidRPr="00DA3C38">
        <w:t xml:space="preserve">, </w:t>
      </w:r>
      <w:r w:rsidRPr="00DA3C38">
        <w:rPr>
          <w:i/>
        </w:rPr>
        <w:t>36</w:t>
      </w:r>
      <w:r w:rsidRPr="00DA3C38">
        <w:t>(10), 1109-1118, doi:10.1080/02664760802553000</w:t>
      </w:r>
    </w:p>
    <w:p w:rsidR="00AC1447" w:rsidRPr="00DA3C38" w:rsidRDefault="00AC1447" w:rsidP="00DA3C38">
      <w:pPr>
        <w:pStyle w:val="APARefs"/>
        <w:spacing w:line="480" w:lineRule="auto"/>
      </w:pPr>
      <w:r w:rsidRPr="00DA3C38">
        <w:t>Hatzifilalithis,</w:t>
      </w:r>
      <w:r w:rsidR="003734B9" w:rsidRPr="00DA3C38">
        <w:t xml:space="preserve"> S.,</w:t>
      </w:r>
      <w:r w:rsidRPr="00DA3C38">
        <w:t xml:space="preserve"> Chrysochoou, E., Pavlidis, G. &amp; Vivas, A.</w:t>
      </w:r>
      <w:r w:rsidR="003734B9" w:rsidRPr="00DA3C38">
        <w:t>,</w:t>
      </w:r>
      <w:r w:rsidRPr="00DA3C38">
        <w:t xml:space="preserve"> B. (2015). </w:t>
      </w:r>
      <w:r w:rsidRPr="00DA3C38">
        <w:rPr>
          <w:i/>
        </w:rPr>
        <w:t>On-line social networking and cognitive performance in older adults: A Greek-Canadian cross-cultural study</w:t>
      </w:r>
      <w:r w:rsidRPr="00DA3C38">
        <w:t>. Poster presented at the 19th European Society for Cognitive Psychology (ESCoP), Pafos, Cyprus.</w:t>
      </w:r>
    </w:p>
    <w:p w:rsidR="00AF4153" w:rsidRPr="00DA3C38" w:rsidRDefault="00AC1447" w:rsidP="00DA3C38">
      <w:pPr>
        <w:pStyle w:val="APARefs"/>
        <w:spacing w:line="480" w:lineRule="auto"/>
      </w:pPr>
      <w:r w:rsidRPr="00DA3C38">
        <w:t xml:space="preserve">Havighurst, R. (1963). Successful ageing. In R. Williams, C. Tibbitts &amp; W. Donahoe (eds), </w:t>
      </w:r>
      <w:r w:rsidRPr="00DA3C38">
        <w:rPr>
          <w:i/>
        </w:rPr>
        <w:t>Process of Ageing</w:t>
      </w:r>
      <w:r w:rsidRPr="00DA3C38">
        <w:t>, University of Chicago Press, 311-315</w:t>
      </w:r>
    </w:p>
    <w:p w:rsidR="00AC1447" w:rsidRPr="00DA3C38" w:rsidRDefault="00AC1447" w:rsidP="00DA3C38">
      <w:pPr>
        <w:pStyle w:val="APARefs"/>
        <w:spacing w:line="480" w:lineRule="auto"/>
      </w:pPr>
      <w:r w:rsidRPr="00E041BC">
        <w:rPr>
          <w:lang w:val="de-DE"/>
        </w:rPr>
        <w:t>Hertzog, C., Kramer, A.</w:t>
      </w:r>
      <w:r w:rsidR="003734B9" w:rsidRPr="00E041BC">
        <w:rPr>
          <w:lang w:val="de-DE"/>
        </w:rPr>
        <w:t>,</w:t>
      </w:r>
      <w:r w:rsidRPr="00E041BC">
        <w:rPr>
          <w:lang w:val="de-DE"/>
        </w:rPr>
        <w:t xml:space="preserve"> F., Wilson, R. S., &amp; Linderberg, U. (2009). </w:t>
      </w:r>
      <w:r w:rsidRPr="00DA3C38">
        <w:t xml:space="preserve">Enrichment effects on adult cognitive development: Can the functional capacity of older adults be preserved and enhanced? </w:t>
      </w:r>
      <w:r w:rsidRPr="00DA3C38">
        <w:rPr>
          <w:i/>
        </w:rPr>
        <w:t>Psychological science in the public interest, 9</w:t>
      </w:r>
      <w:r w:rsidRPr="00DA3C38">
        <w:t>(1), 1-64</w:t>
      </w:r>
    </w:p>
    <w:p w:rsidR="00AC1447" w:rsidRPr="00DA3C38" w:rsidRDefault="00AC1447" w:rsidP="00DA3C38">
      <w:pPr>
        <w:pStyle w:val="APARefs"/>
        <w:spacing w:line="480" w:lineRule="auto"/>
      </w:pPr>
      <w:r w:rsidRPr="00DA3C38">
        <w:t>Hester, R.</w:t>
      </w:r>
      <w:r w:rsidR="00310591" w:rsidRPr="00DA3C38">
        <w:t>,</w:t>
      </w:r>
      <w:r w:rsidRPr="00DA3C38">
        <w:t xml:space="preserve"> L., Kinsella, G.</w:t>
      </w:r>
      <w:r w:rsidR="00310591" w:rsidRPr="00DA3C38">
        <w:t>,</w:t>
      </w:r>
      <w:r w:rsidRPr="00DA3C38">
        <w:t xml:space="preserve"> J., Ong, B., &amp; McGregor (2005). Demographic influences on baseline and derived scores from the trail making test in healthy older Australian adults. The Clinical Neuropsychologist, 19, 45-54, doi:</w:t>
      </w:r>
      <w:r w:rsidRPr="00DA3C38">
        <w:rPr>
          <w:rFonts w:eastAsiaTheme="minorHAnsi"/>
          <w:lang w:eastAsia="en-US"/>
        </w:rPr>
        <w:t xml:space="preserve"> </w:t>
      </w:r>
      <w:r w:rsidRPr="00DA3C38">
        <w:t>10.1080/13854040490524137</w:t>
      </w:r>
    </w:p>
    <w:p w:rsidR="005C19C1" w:rsidRPr="00E72321" w:rsidRDefault="005C19C1" w:rsidP="00E72321">
      <w:pPr>
        <w:pStyle w:val="APARefs"/>
        <w:spacing w:line="480" w:lineRule="auto"/>
        <w:rPr>
          <w:lang w:val="en-US"/>
        </w:rPr>
      </w:pPr>
      <w:r w:rsidRPr="00DA3C38">
        <w:rPr>
          <w:lang w:val="en-US"/>
        </w:rPr>
        <w:t>Hill, R. D., Wahlin, Å., Winblad, B., &amp; Bäckman, L. (1995). The role of demographic and life style variables in utilizing cognitive support for episodic remembering among very old adults. </w:t>
      </w:r>
      <w:r w:rsidRPr="00DA3C38">
        <w:rPr>
          <w:i/>
          <w:iCs/>
          <w:lang w:val="en-US"/>
        </w:rPr>
        <w:t>The Journals of Gerontology Series B: Psychological Sciences and Social Sciences</w:t>
      </w:r>
      <w:r w:rsidRPr="00DA3C38">
        <w:rPr>
          <w:lang w:val="en-US"/>
        </w:rPr>
        <w:t>, </w:t>
      </w:r>
      <w:r w:rsidRPr="00DA3C38">
        <w:rPr>
          <w:i/>
          <w:iCs/>
          <w:lang w:val="en-US"/>
        </w:rPr>
        <w:t>50</w:t>
      </w:r>
      <w:r w:rsidRPr="00DA3C38">
        <w:rPr>
          <w:lang w:val="en-US"/>
        </w:rPr>
        <w:t>(4), 219-227.</w:t>
      </w:r>
    </w:p>
    <w:p w:rsidR="00B72377" w:rsidRPr="00DA3C38" w:rsidRDefault="00B72377" w:rsidP="00DA3C38">
      <w:pPr>
        <w:pStyle w:val="APARefs"/>
        <w:spacing w:line="480" w:lineRule="auto"/>
      </w:pPr>
      <w:r w:rsidRPr="00DA3C38">
        <w:t>Hofer, S.</w:t>
      </w:r>
      <w:r w:rsidR="003734B9" w:rsidRPr="00DA3C38">
        <w:t>,</w:t>
      </w:r>
      <w:r w:rsidRPr="00DA3C38">
        <w:t xml:space="preserve"> M., Christensen, H., Mackinnon, A.</w:t>
      </w:r>
      <w:r w:rsidR="003734B9" w:rsidRPr="00DA3C38">
        <w:t>,</w:t>
      </w:r>
      <w:r w:rsidRPr="00DA3C38">
        <w:t xml:space="preserve"> J., Korten, A.</w:t>
      </w:r>
      <w:r w:rsidR="003734B9" w:rsidRPr="00DA3C38">
        <w:t>,</w:t>
      </w:r>
      <w:r w:rsidRPr="00DA3C38">
        <w:t xml:space="preserve"> E., Jorm, A.</w:t>
      </w:r>
      <w:r w:rsidR="003734B9" w:rsidRPr="00DA3C38">
        <w:t>,</w:t>
      </w:r>
      <w:r w:rsidRPr="00DA3C38">
        <w:t xml:space="preserve"> F., Henderson, A.</w:t>
      </w:r>
      <w:r w:rsidR="003734B9" w:rsidRPr="00DA3C38">
        <w:t>,</w:t>
      </w:r>
      <w:r w:rsidRPr="00DA3C38">
        <w:t xml:space="preserve"> S., &amp; Easteal, S. (2002). Change in cognitive functioning associated with apoE genotype in a community sample of older adults. </w:t>
      </w:r>
      <w:r w:rsidR="00FB0583" w:rsidRPr="00DA3C38">
        <w:rPr>
          <w:i/>
          <w:iCs/>
        </w:rPr>
        <w:t>Psychology and |A</w:t>
      </w:r>
      <w:r w:rsidRPr="00DA3C38">
        <w:rPr>
          <w:i/>
          <w:iCs/>
        </w:rPr>
        <w:t>ging</w:t>
      </w:r>
      <w:r w:rsidRPr="00DA3C38">
        <w:t>, </w:t>
      </w:r>
      <w:r w:rsidRPr="00DA3C38">
        <w:rPr>
          <w:i/>
          <w:iCs/>
        </w:rPr>
        <w:t>17</w:t>
      </w:r>
      <w:r w:rsidRPr="00DA3C38">
        <w:t>(2), 194, doi: 10.1037//0882-7974.17.2.194</w:t>
      </w:r>
    </w:p>
    <w:p w:rsidR="00AC1447" w:rsidRPr="00DA3C38" w:rsidRDefault="00AC1447" w:rsidP="00DA3C38">
      <w:pPr>
        <w:pStyle w:val="APARefs"/>
        <w:spacing w:line="480" w:lineRule="auto"/>
      </w:pPr>
      <w:r w:rsidRPr="00DA3C38">
        <w:t>Holwerda, T.</w:t>
      </w:r>
      <w:r w:rsidR="003734B9" w:rsidRPr="00DA3C38">
        <w:t xml:space="preserve">, </w:t>
      </w:r>
      <w:r w:rsidRPr="00DA3C38">
        <w:t>J., Deeg, D.</w:t>
      </w:r>
      <w:r w:rsidR="003734B9" w:rsidRPr="00DA3C38">
        <w:t xml:space="preserve">, </w:t>
      </w:r>
      <w:r w:rsidRPr="00DA3C38">
        <w:t>J., Beekman, A.</w:t>
      </w:r>
      <w:r w:rsidR="003734B9" w:rsidRPr="00DA3C38">
        <w:t xml:space="preserve">, </w:t>
      </w:r>
      <w:r w:rsidRPr="00DA3C38">
        <w:t>T., Tilburh, T.</w:t>
      </w:r>
      <w:r w:rsidR="003734B9" w:rsidRPr="00DA3C38">
        <w:t xml:space="preserve">, </w:t>
      </w:r>
      <w:r w:rsidRPr="00DA3C38">
        <w:t>G, Stek, M.</w:t>
      </w:r>
      <w:r w:rsidR="003734B9" w:rsidRPr="00DA3C38">
        <w:t xml:space="preserve">, </w:t>
      </w:r>
      <w:r w:rsidRPr="00DA3C38">
        <w:t xml:space="preserve">L, Jonker, et al. (2014). Feelings of loneliness, but not social isolation, predict dementia onset: results from the Amsterdam Study of the Elderly (AMSTEL). </w:t>
      </w:r>
      <w:r w:rsidRPr="00DA3C38">
        <w:rPr>
          <w:i/>
        </w:rPr>
        <w:t>Journal of Neurology, Neurosurgery, and Psychiatry, 85</w:t>
      </w:r>
      <w:r w:rsidRPr="00DA3C38">
        <w:t>, 135-142, doi:10.1136/jnnp-2012-302755</w:t>
      </w:r>
    </w:p>
    <w:p w:rsidR="00AC1447" w:rsidRPr="00DA3C38" w:rsidRDefault="00AC1447" w:rsidP="00DA3C38">
      <w:pPr>
        <w:pStyle w:val="APARefs"/>
        <w:spacing w:line="480" w:lineRule="auto"/>
      </w:pPr>
      <w:r w:rsidRPr="00DA3C38">
        <w:t>Hoyer, W.</w:t>
      </w:r>
      <w:r w:rsidR="00790A01" w:rsidRPr="00DA3C38">
        <w:t>,</w:t>
      </w:r>
      <w:r w:rsidRPr="00DA3C38">
        <w:t xml:space="preserve"> J., &amp; Ingolfsdottir, D. (2003). Age, skill and contextual cuing in target detection. </w:t>
      </w:r>
      <w:r w:rsidRPr="00DA3C38">
        <w:rPr>
          <w:i/>
        </w:rPr>
        <w:t>Psychology of Ageing, 18</w:t>
      </w:r>
      <w:r w:rsidRPr="00DA3C38">
        <w:t xml:space="preserve">, 210-18. </w:t>
      </w:r>
    </w:p>
    <w:p w:rsidR="00AF4153" w:rsidRPr="00DA3C38" w:rsidRDefault="00AF4153" w:rsidP="00DA3C38">
      <w:pPr>
        <w:pStyle w:val="APARefs"/>
        <w:spacing w:line="480" w:lineRule="auto"/>
      </w:pPr>
      <w:r w:rsidRPr="00DA3C38">
        <w:t xml:space="preserve">HRS (October, 2017). </w:t>
      </w:r>
      <w:r w:rsidR="008A4C39" w:rsidRPr="00DA3C38">
        <w:t xml:space="preserve">The health and retirement study. Available at: </w:t>
      </w:r>
      <w:r w:rsidR="003A2DED" w:rsidRPr="00DA3C38">
        <w:t>http://hrsparticipants.isr.umich.edu/</w:t>
      </w:r>
    </w:p>
    <w:p w:rsidR="00AC1447" w:rsidRPr="00DA3C38" w:rsidRDefault="00AC1447" w:rsidP="00DA3C38">
      <w:pPr>
        <w:pStyle w:val="APARefs"/>
        <w:spacing w:line="480" w:lineRule="auto"/>
      </w:pPr>
      <w:r w:rsidRPr="00DA3C38">
        <w:t xml:space="preserve"> Hsu, J.</w:t>
      </w:r>
      <w:r w:rsidR="00790A01" w:rsidRPr="00DA3C38">
        <w:t>,</w:t>
      </w:r>
      <w:r w:rsidRPr="00DA3C38">
        <w:t xml:space="preserve"> W. (2015). Aging and strategic learning: the impact of spousal incentives on financial literacy. </w:t>
      </w:r>
      <w:r w:rsidRPr="00DA3C38">
        <w:rPr>
          <w:i/>
          <w:iCs/>
        </w:rPr>
        <w:t>Journal of Human Resources</w:t>
      </w:r>
      <w:r w:rsidRPr="00DA3C38">
        <w:t>.</w:t>
      </w:r>
    </w:p>
    <w:p w:rsidR="00AC1447" w:rsidRPr="00DA3C38" w:rsidRDefault="00AC1447" w:rsidP="00DA3C38">
      <w:pPr>
        <w:pStyle w:val="APARefs"/>
        <w:spacing w:line="480" w:lineRule="auto"/>
      </w:pPr>
      <w:r w:rsidRPr="00DA3C38">
        <w:t>Hughes, G., Bennett, K.</w:t>
      </w:r>
      <w:r w:rsidR="00A93302" w:rsidRPr="00DA3C38">
        <w:t>,</w:t>
      </w:r>
      <w:r w:rsidRPr="00DA3C38">
        <w:t xml:space="preserve"> M., &amp; Hetherington, M.</w:t>
      </w:r>
      <w:r w:rsidR="00A93302" w:rsidRPr="00DA3C38">
        <w:t>,</w:t>
      </w:r>
      <w:r w:rsidRPr="00DA3C38">
        <w:t xml:space="preserve"> M. (2004). Old and alone: barriers to healthy eating in older men living on their own. </w:t>
      </w:r>
      <w:r w:rsidRPr="00DA3C38">
        <w:rPr>
          <w:i/>
          <w:iCs/>
        </w:rPr>
        <w:t>Appetite</w:t>
      </w:r>
      <w:r w:rsidRPr="00DA3C38">
        <w:t>, </w:t>
      </w:r>
      <w:r w:rsidRPr="00DA3C38">
        <w:rPr>
          <w:i/>
          <w:iCs/>
        </w:rPr>
        <w:t>43</w:t>
      </w:r>
      <w:r w:rsidRPr="00DA3C38">
        <w:t>(3), 269-276, doi: 10.1016/j.appet.2004.06.002</w:t>
      </w:r>
    </w:p>
    <w:p w:rsidR="0068233D" w:rsidRPr="00DA3C38" w:rsidRDefault="0068233D" w:rsidP="00DA3C38">
      <w:pPr>
        <w:pStyle w:val="APARefs"/>
        <w:spacing w:line="480" w:lineRule="auto"/>
        <w:rPr>
          <w:lang w:val="en-US"/>
        </w:rPr>
      </w:pPr>
      <w:r w:rsidRPr="00DA3C38">
        <w:rPr>
          <w:lang w:val="en-US"/>
        </w:rPr>
        <w:t>Hultsch, D. F., Hertzog, C., Small, B. J., &amp; Dixon, R. A. (1999). Use it or lose it: engaged lifestyle as a buffer of cognitive decline in aging?. </w:t>
      </w:r>
      <w:r w:rsidRPr="00DA3C38">
        <w:rPr>
          <w:i/>
          <w:iCs/>
          <w:lang w:val="en-US"/>
        </w:rPr>
        <w:t>Psychology and aging</w:t>
      </w:r>
      <w:r w:rsidRPr="00DA3C38">
        <w:rPr>
          <w:lang w:val="en-US"/>
        </w:rPr>
        <w:t>, </w:t>
      </w:r>
      <w:r w:rsidRPr="00DA3C38">
        <w:rPr>
          <w:i/>
          <w:iCs/>
          <w:lang w:val="en-US"/>
        </w:rPr>
        <w:t>14</w:t>
      </w:r>
      <w:r w:rsidRPr="00DA3C38">
        <w:rPr>
          <w:lang w:val="en-US"/>
        </w:rPr>
        <w:t>(2), 245.</w:t>
      </w:r>
    </w:p>
    <w:p w:rsidR="00526BC9" w:rsidRPr="00DA3C38" w:rsidRDefault="00585DF3" w:rsidP="00DA3C38">
      <w:pPr>
        <w:pStyle w:val="APARefs"/>
        <w:spacing w:line="480" w:lineRule="auto"/>
        <w:rPr>
          <w:lang w:val="en-US"/>
        </w:rPr>
      </w:pPr>
      <w:r w:rsidRPr="00DA3C38">
        <w:rPr>
          <w:lang w:val="en-US"/>
        </w:rPr>
        <w:t>Hultsch, D. F., Hammer, M., &amp; Small, B. J. (1993). Age differences in cognitive performance in later life: Relationships to self-reported health and activity life style. </w:t>
      </w:r>
      <w:r w:rsidRPr="00DA3C38">
        <w:rPr>
          <w:i/>
          <w:iCs/>
          <w:lang w:val="en-US"/>
        </w:rPr>
        <w:t>Journal of Gerontology</w:t>
      </w:r>
      <w:r w:rsidRPr="00DA3C38">
        <w:rPr>
          <w:lang w:val="en-US"/>
        </w:rPr>
        <w:t>, </w:t>
      </w:r>
      <w:r w:rsidRPr="00DA3C38">
        <w:rPr>
          <w:i/>
          <w:iCs/>
          <w:lang w:val="en-US"/>
        </w:rPr>
        <w:t>48</w:t>
      </w:r>
      <w:r w:rsidRPr="00DA3C38">
        <w:rPr>
          <w:lang w:val="en-US"/>
        </w:rPr>
        <w:t>(1), P1-P11.</w:t>
      </w:r>
    </w:p>
    <w:p w:rsidR="00AC1447" w:rsidRPr="00DA3C38" w:rsidRDefault="00AC1447" w:rsidP="00DA3C38">
      <w:pPr>
        <w:pStyle w:val="APARefs"/>
        <w:spacing w:line="480" w:lineRule="auto"/>
      </w:pPr>
      <w:r w:rsidRPr="00DA3C38">
        <w:t>James, B.</w:t>
      </w:r>
      <w:r w:rsidR="00A93302" w:rsidRPr="00DA3C38">
        <w:t>,</w:t>
      </w:r>
      <w:r w:rsidRPr="00DA3C38">
        <w:t xml:space="preserve"> D., Wilson, R.</w:t>
      </w:r>
      <w:r w:rsidR="00A93302" w:rsidRPr="00DA3C38">
        <w:t>,</w:t>
      </w:r>
      <w:r w:rsidRPr="00DA3C38">
        <w:t xml:space="preserve"> S., Barn</w:t>
      </w:r>
      <w:r w:rsidR="00B665A9" w:rsidRPr="00DA3C38">
        <w:t>es, L.</w:t>
      </w:r>
      <w:r w:rsidR="00A93302" w:rsidRPr="00DA3C38">
        <w:t>,</w:t>
      </w:r>
      <w:r w:rsidR="00B665A9" w:rsidRPr="00DA3C38">
        <w:t xml:space="preserve"> L., </w:t>
      </w:r>
      <w:r w:rsidRPr="00DA3C38">
        <w:t>Bennett, D.</w:t>
      </w:r>
      <w:r w:rsidR="00A93302" w:rsidRPr="00DA3C38">
        <w:t>,</w:t>
      </w:r>
      <w:r w:rsidRPr="00DA3C38">
        <w:t xml:space="preserve"> A.</w:t>
      </w:r>
      <w:r w:rsidR="008B21BD" w:rsidRPr="00DA3C38">
        <w:t>, &amp; Evans, T.</w:t>
      </w:r>
      <w:r w:rsidR="00A93302" w:rsidRPr="00DA3C38">
        <w:t>,</w:t>
      </w:r>
      <w:r w:rsidR="008B21BD" w:rsidRPr="00DA3C38">
        <w:t xml:space="preserve"> G</w:t>
      </w:r>
      <w:r w:rsidR="00A93302" w:rsidRPr="00DA3C38">
        <w:t>.</w:t>
      </w:r>
      <w:r w:rsidRPr="00DA3C38">
        <w:t xml:space="preserve"> (2011). Late life social activity and cognitive decline in old age</w:t>
      </w:r>
      <w:r w:rsidRPr="00DA3C38">
        <w:rPr>
          <w:i/>
        </w:rPr>
        <w:t>. Journal of International Neuropsychological Society, 17</w:t>
      </w:r>
      <w:r w:rsidRPr="00DA3C38">
        <w:t>(6), 998-1005</w:t>
      </w:r>
    </w:p>
    <w:p w:rsidR="00AC1447" w:rsidRPr="00DA3C38" w:rsidRDefault="00AC1447" w:rsidP="00DA3C38">
      <w:pPr>
        <w:pStyle w:val="APARefs"/>
        <w:spacing w:line="480" w:lineRule="auto"/>
      </w:pPr>
      <w:r w:rsidRPr="00DA3C38">
        <w:t>Jefferson, A.</w:t>
      </w:r>
      <w:r w:rsidR="00A93302" w:rsidRPr="00DA3C38">
        <w:t>,</w:t>
      </w:r>
      <w:r w:rsidRPr="00DA3C38">
        <w:t xml:space="preserve"> L., Paul, R.</w:t>
      </w:r>
      <w:r w:rsidR="00A93302" w:rsidRPr="00DA3C38">
        <w:t>,</w:t>
      </w:r>
      <w:r w:rsidRPr="00DA3C38">
        <w:t xml:space="preserve"> H., Ozonoff, A., &amp; Cohen, R.</w:t>
      </w:r>
      <w:r w:rsidR="00A93302" w:rsidRPr="00DA3C38">
        <w:t>,</w:t>
      </w:r>
      <w:r w:rsidRPr="00DA3C38">
        <w:t xml:space="preserve"> A. (2006). Evaluating elements of executive functioning as predictors of instrumental activities of daily living (IADLs). Archives of Neuropsychology, 21, 311-320, doi:10.1016/j.acn.2006.03.007</w:t>
      </w:r>
    </w:p>
    <w:p w:rsidR="00AC1447" w:rsidRPr="00DA3C38" w:rsidRDefault="00AC1447" w:rsidP="00DA3C38">
      <w:pPr>
        <w:pStyle w:val="APARefs"/>
        <w:spacing w:line="480" w:lineRule="auto"/>
      </w:pPr>
      <w:r w:rsidRPr="00DA3C38">
        <w:t>Jobe, J.</w:t>
      </w:r>
      <w:r w:rsidR="00A93302" w:rsidRPr="00DA3C38">
        <w:t>,</w:t>
      </w:r>
      <w:r w:rsidRPr="00DA3C38">
        <w:t xml:space="preserve"> B., Smith, D.</w:t>
      </w:r>
      <w:r w:rsidR="00A93302" w:rsidRPr="00DA3C38">
        <w:t>,</w:t>
      </w:r>
      <w:r w:rsidRPr="00DA3C38">
        <w:t xml:space="preserve"> M., Ball, K., Tennstedt, S.</w:t>
      </w:r>
      <w:r w:rsidR="00A93302" w:rsidRPr="00DA3C38">
        <w:t>,</w:t>
      </w:r>
      <w:r w:rsidRPr="00DA3C38">
        <w:t xml:space="preserve"> L., Marsiske, M., Willis, S.</w:t>
      </w:r>
      <w:r w:rsidR="00A93302" w:rsidRPr="00DA3C38">
        <w:t>,</w:t>
      </w:r>
      <w:r w:rsidRPr="00DA3C38">
        <w:t xml:space="preserve"> L., </w:t>
      </w:r>
      <w:r w:rsidR="00A93302" w:rsidRPr="00DA3C38">
        <w:t xml:space="preserve">et al. </w:t>
      </w:r>
      <w:r w:rsidRPr="00DA3C38">
        <w:t>(2001). ACTIVE: A Cognitive Intervention Trial to Promote Independence in Older Adults. </w:t>
      </w:r>
      <w:r w:rsidRPr="00DA3C38">
        <w:rPr>
          <w:i/>
          <w:iCs/>
        </w:rPr>
        <w:t>Controlled Clinical Trials</w:t>
      </w:r>
      <w:r w:rsidRPr="00DA3C38">
        <w:t>, </w:t>
      </w:r>
      <w:r w:rsidRPr="00DA3C38">
        <w:rPr>
          <w:i/>
          <w:iCs/>
        </w:rPr>
        <w:t>22</w:t>
      </w:r>
      <w:r w:rsidRPr="00DA3C38">
        <w:t>(4), 453–479</w:t>
      </w:r>
    </w:p>
    <w:p w:rsidR="00AC1447" w:rsidRPr="00DA3C38" w:rsidRDefault="00AC1447" w:rsidP="00DA3C38">
      <w:pPr>
        <w:pStyle w:val="APARefs"/>
        <w:spacing w:line="480" w:lineRule="auto"/>
      </w:pPr>
      <w:r w:rsidRPr="00DA3C38">
        <w:t xml:space="preserve"> Johnson, K.</w:t>
      </w:r>
      <w:r w:rsidR="00A93302" w:rsidRPr="00DA3C38">
        <w:t>,</w:t>
      </w:r>
      <w:r w:rsidRPr="00DA3C38">
        <w:t xml:space="preserve"> J., &amp; Mutchler, J.</w:t>
      </w:r>
      <w:r w:rsidR="00A93302" w:rsidRPr="00DA3C38">
        <w:t>,</w:t>
      </w:r>
      <w:r w:rsidRPr="00DA3C38">
        <w:t xml:space="preserve"> E. (2013). The emergence of a positive gerontology: From disengagement to social involvement. </w:t>
      </w:r>
      <w:r w:rsidRPr="00DA3C38">
        <w:rPr>
          <w:i/>
          <w:iCs/>
        </w:rPr>
        <w:t>The Gerontologist</w:t>
      </w:r>
      <w:r w:rsidRPr="00DA3C38">
        <w:t>, doi: 10.1093/geront/gnt099</w:t>
      </w:r>
    </w:p>
    <w:p w:rsidR="00572A76" w:rsidRPr="00DA3C38" w:rsidRDefault="001677D1" w:rsidP="00E72321">
      <w:pPr>
        <w:pStyle w:val="APARefs"/>
        <w:spacing w:line="480" w:lineRule="auto"/>
      </w:pPr>
      <w:r w:rsidRPr="00DA3C38">
        <w:rPr>
          <w:lang w:val="en-GB"/>
        </w:rPr>
        <w:t>RIETI</w:t>
      </w:r>
      <w:r w:rsidR="00572A76" w:rsidRPr="00DA3C38">
        <w:rPr>
          <w:lang w:val="en-GB"/>
        </w:rPr>
        <w:t xml:space="preserve"> (</w:t>
      </w:r>
      <w:r w:rsidRPr="00DA3C38">
        <w:rPr>
          <w:lang w:val="en-GB"/>
        </w:rPr>
        <w:t xml:space="preserve">October, 2017). </w:t>
      </w:r>
      <w:r w:rsidRPr="00DA3C38">
        <w:t xml:space="preserve">Japanese Study of Aging and Retirement. Available at: </w:t>
      </w:r>
      <w:r w:rsidR="008B631C" w:rsidRPr="00DA3C38">
        <w:t>http://www.rieti.go.jp/en/projects/jstar/</w:t>
      </w:r>
    </w:p>
    <w:p w:rsidR="00AC1447" w:rsidRPr="00DA3C38" w:rsidRDefault="00AC1447" w:rsidP="00DA3C38">
      <w:pPr>
        <w:pStyle w:val="APARefs"/>
        <w:spacing w:line="480" w:lineRule="auto"/>
      </w:pPr>
      <w:r w:rsidRPr="00E041BC">
        <w:rPr>
          <w:lang w:val="de-DE"/>
        </w:rPr>
        <w:t>Kaye, L.</w:t>
      </w:r>
      <w:r w:rsidR="00A93302" w:rsidRPr="00E041BC">
        <w:rPr>
          <w:lang w:val="de-DE"/>
        </w:rPr>
        <w:t xml:space="preserve">, </w:t>
      </w:r>
      <w:r w:rsidRPr="00E041BC">
        <w:rPr>
          <w:lang w:val="de-DE"/>
        </w:rPr>
        <w:t>W, Butler, S.</w:t>
      </w:r>
      <w:r w:rsidR="00A93302" w:rsidRPr="00E041BC">
        <w:rPr>
          <w:lang w:val="de-DE"/>
        </w:rPr>
        <w:t xml:space="preserve">, </w:t>
      </w:r>
      <w:r w:rsidRPr="00E041BC">
        <w:rPr>
          <w:lang w:val="de-DE"/>
        </w:rPr>
        <w:t>S., Webster, N.</w:t>
      </w:r>
      <w:r w:rsidR="00A93302" w:rsidRPr="00E041BC">
        <w:rPr>
          <w:lang w:val="de-DE"/>
        </w:rPr>
        <w:t xml:space="preserve">, </w:t>
      </w:r>
      <w:r w:rsidRPr="00E041BC">
        <w:rPr>
          <w:lang w:val="de-DE"/>
        </w:rPr>
        <w:t xml:space="preserve">M. (2003). </w:t>
      </w:r>
      <w:r w:rsidRPr="00DA3C38">
        <w:t xml:space="preserve">Towards a productive ageing paradigm for geriatric practice.  </w:t>
      </w:r>
      <w:r w:rsidRPr="00DA3C38">
        <w:rPr>
          <w:i/>
        </w:rPr>
        <w:t>Ageing International, 28</w:t>
      </w:r>
      <w:r w:rsidRPr="00DA3C38">
        <w:t>, 2, 200-2</w:t>
      </w:r>
      <w:r w:rsidR="002F5874" w:rsidRPr="00DA3C38">
        <w:t>13</w:t>
      </w:r>
    </w:p>
    <w:p w:rsidR="002F5874" w:rsidRPr="00DA3C38" w:rsidRDefault="002F5874" w:rsidP="00DA3C38">
      <w:pPr>
        <w:pStyle w:val="APARefs"/>
        <w:spacing w:line="480" w:lineRule="auto"/>
      </w:pPr>
      <w:r w:rsidRPr="00DA3C38">
        <w:t>Kawachi, I., &amp; Berkman, L.</w:t>
      </w:r>
      <w:r w:rsidR="00A93302" w:rsidRPr="00DA3C38">
        <w:t>,</w:t>
      </w:r>
      <w:r w:rsidRPr="00DA3C38">
        <w:t xml:space="preserve"> F. (2001). Social ties and mental health. </w:t>
      </w:r>
      <w:r w:rsidRPr="00DA3C38">
        <w:rPr>
          <w:i/>
          <w:iCs/>
        </w:rPr>
        <w:t>Journal of Urban health</w:t>
      </w:r>
      <w:r w:rsidRPr="00DA3C38">
        <w:t>, </w:t>
      </w:r>
      <w:r w:rsidRPr="00DA3C38">
        <w:rPr>
          <w:i/>
          <w:iCs/>
        </w:rPr>
        <w:t>78</w:t>
      </w:r>
      <w:r w:rsidRPr="00DA3C38">
        <w:t>(3), 458-467.</w:t>
      </w:r>
    </w:p>
    <w:p w:rsidR="00AC1447" w:rsidRPr="00DA3C38" w:rsidRDefault="00AC1447" w:rsidP="00DA3C38">
      <w:pPr>
        <w:pStyle w:val="APARefs"/>
        <w:spacing w:line="480" w:lineRule="auto"/>
      </w:pPr>
      <w:r w:rsidRPr="00DA3C38">
        <w:t>Kelley, G.</w:t>
      </w:r>
      <w:r w:rsidR="007F6CBE" w:rsidRPr="00DA3C38">
        <w:t xml:space="preserve">, </w:t>
      </w:r>
      <w:r w:rsidRPr="00DA3C38">
        <w:t xml:space="preserve">A. (1998). Exercise and regional bone mineral density in postmenopausal women: A meta-analytic review of randomized trials. </w:t>
      </w:r>
      <w:r w:rsidRPr="00DA3C38">
        <w:rPr>
          <w:i/>
        </w:rPr>
        <w:t>American Journal of Physical Medicine and Rehabilitation, 77</w:t>
      </w:r>
      <w:r w:rsidRPr="00DA3C38">
        <w:t>, 76–87.</w:t>
      </w:r>
    </w:p>
    <w:p w:rsidR="00AC1447" w:rsidRPr="00DA3C38" w:rsidRDefault="00AC1447" w:rsidP="00DA3C38">
      <w:pPr>
        <w:pStyle w:val="APARefs"/>
        <w:spacing w:line="480" w:lineRule="auto"/>
      </w:pPr>
      <w:r w:rsidRPr="00DA3C38">
        <w:t>Kiernan, R.</w:t>
      </w:r>
      <w:r w:rsidR="00A93302" w:rsidRPr="00DA3C38">
        <w:t xml:space="preserve">, </w:t>
      </w:r>
      <w:r w:rsidRPr="00DA3C38">
        <w:t>J., Mueller, J., Langston, J.</w:t>
      </w:r>
      <w:r w:rsidR="00A93302" w:rsidRPr="00DA3C38">
        <w:t>,</w:t>
      </w:r>
      <w:r w:rsidRPr="00DA3C38">
        <w:t xml:space="preserve">W., &amp; Van Dyke, C. (1987). The Ncurobehavioral Cognitive Status Examination: A brief but quantitative approach to cognitive assessment. </w:t>
      </w:r>
      <w:r w:rsidRPr="00DA3C38">
        <w:rPr>
          <w:i/>
        </w:rPr>
        <w:t>Annals of Internal Medicine. 107</w:t>
      </w:r>
      <w:r w:rsidRPr="00DA3C38">
        <w:t>, 481-485</w:t>
      </w:r>
    </w:p>
    <w:p w:rsidR="00366B92" w:rsidRPr="00DA3C38" w:rsidRDefault="003C4520" w:rsidP="00DA3C38">
      <w:pPr>
        <w:pStyle w:val="APARefs"/>
        <w:spacing w:line="480" w:lineRule="auto"/>
        <w:rPr>
          <w:lang w:val="en-US"/>
        </w:rPr>
      </w:pPr>
      <w:r w:rsidRPr="00DA3C38">
        <w:rPr>
          <w:lang w:val="en-US"/>
        </w:rPr>
        <w:t>Kimbler, K. J. (2013). Everyday problem solving and instrumental activities of daily living: Support for domain specificity. </w:t>
      </w:r>
      <w:r w:rsidRPr="00DA3C38">
        <w:rPr>
          <w:i/>
          <w:iCs/>
          <w:lang w:val="en-US"/>
        </w:rPr>
        <w:t>Behavioral Sciences</w:t>
      </w:r>
      <w:r w:rsidRPr="00DA3C38">
        <w:rPr>
          <w:lang w:val="en-US"/>
        </w:rPr>
        <w:t>, </w:t>
      </w:r>
      <w:r w:rsidRPr="00DA3C38">
        <w:rPr>
          <w:i/>
          <w:iCs/>
          <w:lang w:val="en-US"/>
        </w:rPr>
        <w:t>3</w:t>
      </w:r>
      <w:r w:rsidRPr="00DA3C38">
        <w:rPr>
          <w:lang w:val="en-US"/>
        </w:rPr>
        <w:t>(1), 170-191, doi:</w:t>
      </w:r>
      <w:r w:rsidR="002551B1" w:rsidRPr="00DA3C38">
        <w:rPr>
          <w:lang w:val="en-US"/>
        </w:rPr>
        <w:t xml:space="preserve"> 10.3390/bs3010170</w:t>
      </w:r>
    </w:p>
    <w:p w:rsidR="00AC1447" w:rsidRPr="00DA3C38" w:rsidRDefault="00AC1447" w:rsidP="00DA3C38">
      <w:pPr>
        <w:pStyle w:val="APARefs"/>
        <w:spacing w:line="480" w:lineRule="auto"/>
        <w:rPr>
          <w:rStyle w:val="Hyperlink"/>
          <w:lang w:val="en-GB"/>
        </w:rPr>
      </w:pPr>
      <w:r w:rsidRPr="00DA3C38">
        <w:t xml:space="preserve">Klinger, J. (1998). Predictability of everyday task performance by perceived health, self-efficacy and cognitive ability. Available at: </w:t>
      </w:r>
      <w:hyperlink r:id="rId51" w:history="1">
        <w:r w:rsidRPr="00DA3C38">
          <w:rPr>
            <w:rStyle w:val="Hyperlink"/>
            <w:lang w:val="en-GB"/>
          </w:rPr>
          <w:t>http://ro.ecu.edu.au/theses/1002/</w:t>
        </w:r>
      </w:hyperlink>
    </w:p>
    <w:p w:rsidR="001075EF" w:rsidRPr="00DA3C38" w:rsidRDefault="001075EF" w:rsidP="00DA3C38">
      <w:pPr>
        <w:pStyle w:val="APARefs"/>
        <w:spacing w:line="480" w:lineRule="auto"/>
      </w:pPr>
      <w:r w:rsidRPr="00DA3C38">
        <w:rPr>
          <w:lang w:val="en-GB"/>
        </w:rPr>
        <w:t>Knofczynski, G. T., &amp; Mundfrom, D. (2008). Sample sizes when using multiple linear regression for prediction. </w:t>
      </w:r>
      <w:r w:rsidRPr="00DA3C38">
        <w:rPr>
          <w:i/>
          <w:iCs/>
          <w:lang w:val="en-GB"/>
        </w:rPr>
        <w:t>Educational and Psychological Measurement</w:t>
      </w:r>
      <w:r w:rsidRPr="00DA3C38">
        <w:rPr>
          <w:lang w:val="en-GB"/>
        </w:rPr>
        <w:t>, </w:t>
      </w:r>
      <w:r w:rsidRPr="00DA3C38">
        <w:rPr>
          <w:i/>
          <w:iCs/>
          <w:lang w:val="en-GB"/>
        </w:rPr>
        <w:t>68</w:t>
      </w:r>
      <w:r w:rsidRPr="00DA3C38">
        <w:rPr>
          <w:lang w:val="en-GB"/>
        </w:rPr>
        <w:t>(3), 431-442, doi:</w:t>
      </w:r>
      <w:r w:rsidRPr="00DA3C38">
        <w:rPr>
          <w:rFonts w:eastAsia="Times New Roman"/>
          <w:lang w:eastAsia="en-GB"/>
        </w:rPr>
        <w:t xml:space="preserve"> </w:t>
      </w:r>
      <w:r w:rsidRPr="00DA3C38">
        <w:t>10.1177/0013164407310131</w:t>
      </w:r>
    </w:p>
    <w:p w:rsidR="00AC1447" w:rsidRPr="00DA3C38" w:rsidRDefault="00AC1447" w:rsidP="00DA3C38">
      <w:pPr>
        <w:pStyle w:val="APARefs"/>
        <w:spacing w:line="480" w:lineRule="auto"/>
      </w:pPr>
      <w:r w:rsidRPr="00DA3C38">
        <w:t>Kohlman, L. (1992). Kohlman evaluation of living skills. 2nd ed.American Occupational Therapy Association</w:t>
      </w:r>
    </w:p>
    <w:p w:rsidR="00AC1447" w:rsidRPr="00DA3C38" w:rsidRDefault="00AC1447" w:rsidP="00DA3C38">
      <w:pPr>
        <w:pStyle w:val="APARefs"/>
        <w:spacing w:line="480" w:lineRule="auto"/>
      </w:pPr>
      <w:r w:rsidRPr="00DA3C38">
        <w:t>Kongs S.</w:t>
      </w:r>
      <w:r w:rsidR="00A93302" w:rsidRPr="00DA3C38">
        <w:t>,</w:t>
      </w:r>
      <w:r w:rsidRPr="00DA3C38">
        <w:t xml:space="preserve"> K., Thompson L.</w:t>
      </w:r>
      <w:r w:rsidR="00A93302" w:rsidRPr="00DA3C38">
        <w:t>,</w:t>
      </w:r>
      <w:r w:rsidRPr="00DA3C38">
        <w:t xml:space="preserve"> L., Iverson G.</w:t>
      </w:r>
      <w:r w:rsidR="00A93302" w:rsidRPr="00DA3C38">
        <w:t>,</w:t>
      </w:r>
      <w:r w:rsidRPr="00DA3C38">
        <w:t xml:space="preserve"> R., Heaton R.</w:t>
      </w:r>
      <w:r w:rsidR="00A93302" w:rsidRPr="00DA3C38">
        <w:t>,</w:t>
      </w:r>
      <w:r w:rsidRPr="00DA3C38">
        <w:t xml:space="preserve"> K. (2000). Wisconsin Card Sorting Test. Psychological Assessment Resources: Odessa, FL.</w:t>
      </w:r>
    </w:p>
    <w:p w:rsidR="00AC1447" w:rsidRPr="00DA3C38" w:rsidRDefault="00AC1447" w:rsidP="00DA3C38">
      <w:pPr>
        <w:pStyle w:val="APARefs"/>
        <w:spacing w:line="480" w:lineRule="auto"/>
      </w:pPr>
      <w:r w:rsidRPr="00DA3C38">
        <w:t>Kounti F., Tsolaki M., Eleftheriou M., Agogiatou C., Karagiozi K., Bakoglidou, E. et al (2007)</w:t>
      </w:r>
      <w:r w:rsidR="00A93302" w:rsidRPr="00DA3C38">
        <w:t>.</w:t>
      </w:r>
      <w:r w:rsidRPr="00DA3C38">
        <w:t xml:space="preserve"> Administration of Montreal Cognitive Assessment (MoCA) test in Greek elderly patients with mild cognitive impairment and patients with dementia</w:t>
      </w:r>
      <w:r w:rsidRPr="00DA3C38">
        <w:rPr>
          <w:i/>
        </w:rPr>
        <w:t>. 9th European Conference on Psychological Assessment; and 2nd International Conference of the Psychological Society of Northern Greece</w:t>
      </w:r>
      <w:r w:rsidRPr="00DA3C38">
        <w:t>, 155-156</w:t>
      </w:r>
    </w:p>
    <w:p w:rsidR="00AC1447" w:rsidRPr="00DA3C38" w:rsidRDefault="00AC1447" w:rsidP="00DA3C38">
      <w:pPr>
        <w:pStyle w:val="APARefs"/>
        <w:spacing w:line="480" w:lineRule="auto"/>
      </w:pPr>
      <w:r w:rsidRPr="00DA3C38">
        <w:rPr>
          <w:bCs/>
        </w:rPr>
        <w:t xml:space="preserve">Kounti, F., Tsolaki, M., &amp; Kioseoglou, G. (2006). </w:t>
      </w:r>
      <w:r w:rsidRPr="00DA3C38">
        <w:t xml:space="preserve">Functional cognitive assessment scale (FUCAS): a new scale to assess executive cognitive function in daily life activities in patients with dementia and mild cognitive impairment. </w:t>
      </w:r>
      <w:r w:rsidRPr="00DA3C38">
        <w:rPr>
          <w:i/>
        </w:rPr>
        <w:t>Human Psychopharmacological Clinical Experimentation, 21</w:t>
      </w:r>
      <w:r w:rsidRPr="00DA3C38">
        <w:t>, 305-311, doi: 10.1002/hup.772</w:t>
      </w:r>
    </w:p>
    <w:p w:rsidR="00AC1447" w:rsidRPr="00DA3C38" w:rsidRDefault="00AC1447" w:rsidP="00DA3C38">
      <w:pPr>
        <w:pStyle w:val="APARefs"/>
        <w:spacing w:line="480" w:lineRule="auto"/>
      </w:pPr>
      <w:r w:rsidRPr="00DA3C38">
        <w:t>Kramer, A.</w:t>
      </w:r>
      <w:r w:rsidR="00A93302" w:rsidRPr="00DA3C38">
        <w:t>,</w:t>
      </w:r>
      <w:r w:rsidRPr="00DA3C38">
        <w:t xml:space="preserve"> F., Bhere, L., Colcombe, J.</w:t>
      </w:r>
      <w:r w:rsidR="00A93302" w:rsidRPr="00DA3C38">
        <w:t>,</w:t>
      </w:r>
      <w:r w:rsidRPr="00DA3C38">
        <w:t xml:space="preserve"> S., Dong, W., &amp; Greenough, W.</w:t>
      </w:r>
      <w:r w:rsidR="009A506C" w:rsidRPr="00DA3C38">
        <w:t>,</w:t>
      </w:r>
      <w:r w:rsidRPr="00DA3C38">
        <w:t xml:space="preserve"> T. (2004). Environmental influences on cognitive and brain plasticity during ageing. </w:t>
      </w:r>
      <w:r w:rsidRPr="00DA3C38">
        <w:rPr>
          <w:i/>
        </w:rPr>
        <w:t>The journals of Gerontology</w:t>
      </w:r>
      <w:r w:rsidRPr="00DA3C38">
        <w:t xml:space="preserve">, </w:t>
      </w:r>
      <w:r w:rsidRPr="00DA3C38">
        <w:rPr>
          <w:i/>
        </w:rPr>
        <w:t>59A</w:t>
      </w:r>
      <w:r w:rsidRPr="00DA3C38">
        <w:t>, 9, 940-957</w:t>
      </w:r>
    </w:p>
    <w:p w:rsidR="00AC1447" w:rsidRPr="00DA3C38" w:rsidRDefault="00AC1447" w:rsidP="00DA3C38">
      <w:pPr>
        <w:pStyle w:val="APARefs"/>
        <w:spacing w:line="480" w:lineRule="auto"/>
      </w:pPr>
      <w:r w:rsidRPr="00DA3C38">
        <w:t>Kramer, A.</w:t>
      </w:r>
      <w:r w:rsidR="009A506C" w:rsidRPr="00DA3C38">
        <w:t xml:space="preserve">, </w:t>
      </w:r>
      <w:r w:rsidRPr="00DA3C38">
        <w:t>F., Coyne, J.</w:t>
      </w:r>
      <w:r w:rsidR="009A506C" w:rsidRPr="00DA3C38">
        <w:t xml:space="preserve">, </w:t>
      </w:r>
      <w:r w:rsidRPr="00DA3C38">
        <w:t>T., &amp; Strayer, D.</w:t>
      </w:r>
      <w:r w:rsidR="009A506C" w:rsidRPr="00DA3C38">
        <w:t xml:space="preserve">, </w:t>
      </w:r>
      <w:r w:rsidRPr="00DA3C38">
        <w:t xml:space="preserve">L. (1993). Cognitive function at high altitude. </w:t>
      </w:r>
      <w:r w:rsidRPr="00DA3C38">
        <w:rPr>
          <w:i/>
        </w:rPr>
        <w:t>Human Factors</w:t>
      </w:r>
      <w:r w:rsidRPr="00DA3C38">
        <w:t>, 35, 329–344</w:t>
      </w:r>
    </w:p>
    <w:p w:rsidR="00AC1447" w:rsidRPr="00DA3C38" w:rsidRDefault="009A506C" w:rsidP="00DA3C38">
      <w:pPr>
        <w:pStyle w:val="APARefs"/>
        <w:spacing w:line="480" w:lineRule="auto"/>
      </w:pPr>
      <w:r w:rsidRPr="00DA3C38">
        <w:t>Laaksonen, D., E., Lindstro</w:t>
      </w:r>
      <w:r w:rsidR="00AC1447" w:rsidRPr="00DA3C38">
        <w:t>m, J., Lakka, T.</w:t>
      </w:r>
      <w:r w:rsidRPr="00DA3C38">
        <w:t xml:space="preserve">, </w:t>
      </w:r>
      <w:r w:rsidR="00AC1447" w:rsidRPr="00DA3C38">
        <w:t>A., Eriksso</w:t>
      </w:r>
      <w:r w:rsidR="007F6CBE" w:rsidRPr="00DA3C38">
        <w:t>n, J.</w:t>
      </w:r>
      <w:r w:rsidRPr="00DA3C38">
        <w:t xml:space="preserve">, </w:t>
      </w:r>
      <w:r w:rsidR="007F6CBE" w:rsidRPr="00DA3C38">
        <w:t>G., Niskanen, L., Wikstro</w:t>
      </w:r>
      <w:r w:rsidR="00AC1447" w:rsidRPr="00DA3C38">
        <w:t>m, K., et al. (2005). Physical activity in the prevention of type 2 diabetes. The Finnish Diabetes Prevention Study</w:t>
      </w:r>
      <w:r w:rsidR="00AC1447" w:rsidRPr="00DA3C38">
        <w:rPr>
          <w:i/>
        </w:rPr>
        <w:t>. Diabetes</w:t>
      </w:r>
      <w:r w:rsidR="00AC1447" w:rsidRPr="00DA3C38">
        <w:t>, 54, 158–165.</w:t>
      </w:r>
    </w:p>
    <w:p w:rsidR="00AC1447" w:rsidRPr="00DA3C38" w:rsidRDefault="00AC1447" w:rsidP="00DA3C38">
      <w:pPr>
        <w:pStyle w:val="APARefs"/>
        <w:spacing w:line="480" w:lineRule="auto"/>
      </w:pPr>
      <w:r w:rsidRPr="00DA3C38">
        <w:t>Lam, L.</w:t>
      </w:r>
      <w:r w:rsidR="009A506C" w:rsidRPr="00DA3C38">
        <w:t xml:space="preserve">, C., Ho, P., </w:t>
      </w:r>
      <w:r w:rsidRPr="00DA3C38">
        <w:t>Lui, V.</w:t>
      </w:r>
      <w:r w:rsidR="009A506C" w:rsidRPr="00DA3C38">
        <w:t>,</w:t>
      </w:r>
      <w:r w:rsidRPr="00DA3C38">
        <w:t xml:space="preserve"> W., &amp; Tam, C. W (2006). Reduced semantic fluency as an additional screening tool for subjects with questionable dementia. </w:t>
      </w:r>
      <w:r w:rsidRPr="00DA3C38">
        <w:rPr>
          <w:i/>
        </w:rPr>
        <w:t>Dementia and Geriatric Cognitive Disorders, 22</w:t>
      </w:r>
      <w:r w:rsidRPr="00DA3C38">
        <w:t>, 159-164, doi: 10.1159/000094543</w:t>
      </w:r>
    </w:p>
    <w:p w:rsidR="00AC1447" w:rsidRPr="00DA3C38" w:rsidRDefault="00AC1447" w:rsidP="00DA3C38">
      <w:pPr>
        <w:pStyle w:val="APARefs"/>
        <w:spacing w:line="480" w:lineRule="auto"/>
      </w:pPr>
      <w:r w:rsidRPr="00DA3C38">
        <w:t>Lamar, M., Price, C.</w:t>
      </w:r>
      <w:r w:rsidR="009A506C" w:rsidRPr="00DA3C38">
        <w:t>,</w:t>
      </w:r>
      <w:r w:rsidRPr="00DA3C38">
        <w:t xml:space="preserve"> C., Davis, K.</w:t>
      </w:r>
      <w:r w:rsidR="009A506C" w:rsidRPr="00DA3C38">
        <w:t>,</w:t>
      </w:r>
      <w:r w:rsidRPr="00DA3C38">
        <w:t xml:space="preserve"> L., Kaplan, E., &amp; Libon, D.</w:t>
      </w:r>
      <w:r w:rsidR="009A506C" w:rsidRPr="00DA3C38">
        <w:t>,</w:t>
      </w:r>
      <w:r w:rsidRPr="00DA3C38">
        <w:t xml:space="preserve"> J. (2002). Capacity to maintain mental set in dementia. </w:t>
      </w:r>
      <w:r w:rsidRPr="00DA3C38">
        <w:rPr>
          <w:i/>
        </w:rPr>
        <w:t>Neuropsychologia, 40</w:t>
      </w:r>
      <w:r w:rsidRPr="00DA3C38">
        <w:t>, 435–445.</w:t>
      </w:r>
    </w:p>
    <w:p w:rsidR="00AC1447" w:rsidRPr="00DA3C38" w:rsidRDefault="00AC1447" w:rsidP="00DA3C38">
      <w:pPr>
        <w:pStyle w:val="APARefs"/>
        <w:spacing w:line="480" w:lineRule="auto"/>
      </w:pPr>
      <w:r w:rsidRPr="00DA3C38">
        <w:t>Landgraph, N.</w:t>
      </w:r>
      <w:r w:rsidR="009A506C" w:rsidRPr="00DA3C38">
        <w:t>,</w:t>
      </w:r>
      <w:r w:rsidRPr="00DA3C38">
        <w:t xml:space="preserve"> C. (2004). Cognitive and physical performance in patients with asymptomatic carotid artery stenosis and occlusion. </w:t>
      </w:r>
      <w:r w:rsidR="00E72321" w:rsidRPr="00DA3C38">
        <w:t>Available</w:t>
      </w:r>
      <w:r w:rsidRPr="00DA3C38">
        <w:t xml:space="preserve"> at: </w:t>
      </w:r>
      <w:r w:rsidR="00310591" w:rsidRPr="00DA3C38">
        <w:t>http://dscholarship.pitt.edu/7700/1/landgraff04.pdf</w:t>
      </w:r>
    </w:p>
    <w:p w:rsidR="00B6142A" w:rsidRPr="00DA3C38" w:rsidRDefault="00B6142A" w:rsidP="00DA3C38">
      <w:pPr>
        <w:pStyle w:val="APARefs"/>
        <w:spacing w:line="480" w:lineRule="auto"/>
      </w:pPr>
      <w:r w:rsidRPr="00DA3C38">
        <w:t xml:space="preserve">LASI (October, 2017). </w:t>
      </w:r>
      <w:r w:rsidR="002D0E59" w:rsidRPr="00DA3C38">
        <w:t>Longitudinal</w:t>
      </w:r>
      <w:r w:rsidRPr="00DA3C38">
        <w:t xml:space="preserve"> agein</w:t>
      </w:r>
      <w:r w:rsidR="002D0E59" w:rsidRPr="00DA3C38">
        <w:t>g study in India. Available at: https://lasi.hsph.harvard.edu/</w:t>
      </w:r>
    </w:p>
    <w:p w:rsidR="00AC1447" w:rsidRPr="00DA3C38" w:rsidRDefault="00AC1447" w:rsidP="00DA3C38">
      <w:pPr>
        <w:pStyle w:val="APARefs"/>
        <w:spacing w:line="480" w:lineRule="auto"/>
      </w:pPr>
      <w:r w:rsidRPr="00DA3C38">
        <w:t>Lawton, M.</w:t>
      </w:r>
      <w:r w:rsidR="007F6CBE" w:rsidRPr="00DA3C38">
        <w:t>,</w:t>
      </w:r>
      <w:r w:rsidRPr="00DA3C38">
        <w:t xml:space="preserve"> P., &amp; Brody, E. M. (1969). Assessment of older people: self-maintaining and instrumental activities of daily living. </w:t>
      </w:r>
      <w:r w:rsidRPr="00DA3C38">
        <w:rPr>
          <w:i/>
        </w:rPr>
        <w:t>Gerontologist, 9</w:t>
      </w:r>
      <w:r w:rsidRPr="00DA3C38">
        <w:t>, 179–186.</w:t>
      </w:r>
    </w:p>
    <w:p w:rsidR="00AC1447" w:rsidRPr="00E041BC" w:rsidRDefault="009A506C" w:rsidP="00DA3C38">
      <w:pPr>
        <w:pStyle w:val="APARefs"/>
        <w:spacing w:line="480" w:lineRule="auto"/>
        <w:rPr>
          <w:lang w:val="fr-FR"/>
        </w:rPr>
      </w:pPr>
      <w:r w:rsidRPr="00DA3C38">
        <w:t>Lee</w:t>
      </w:r>
      <w:r w:rsidR="00AC1447" w:rsidRPr="00DA3C38">
        <w:t>, I.</w:t>
      </w:r>
      <w:r w:rsidR="007F6CBE" w:rsidRPr="00DA3C38">
        <w:t xml:space="preserve">, </w:t>
      </w:r>
      <w:r w:rsidR="00AC1447" w:rsidRPr="00DA3C38">
        <w:t xml:space="preserve">M. (2003). Physical activity and cancer prevention – data from epidemiologic studies. </w:t>
      </w:r>
      <w:r w:rsidR="00AC1447" w:rsidRPr="00E041BC">
        <w:rPr>
          <w:lang w:val="fr-FR"/>
        </w:rPr>
        <w:t>Medical Science in Sports &amp; Exercise, 35, 823–827</w:t>
      </w:r>
    </w:p>
    <w:p w:rsidR="008B2078" w:rsidRPr="00DA3C38" w:rsidRDefault="008B2078" w:rsidP="00DA3C38">
      <w:pPr>
        <w:pStyle w:val="APARefs"/>
        <w:spacing w:line="480" w:lineRule="auto"/>
        <w:rPr>
          <w:lang w:val="en-US"/>
        </w:rPr>
      </w:pPr>
      <w:r w:rsidRPr="00E041BC">
        <w:rPr>
          <w:lang w:val="fr-FR"/>
        </w:rPr>
        <w:t xml:space="preserve">Levasseur, M., Tribble, D. S. C., &amp; Desrosiers, J. (2009). </w:t>
      </w:r>
      <w:r w:rsidRPr="00DA3C38">
        <w:rPr>
          <w:lang w:val="en-US"/>
        </w:rPr>
        <w:t>Meaning of quality of life for older adults: importance of human functioning components. </w:t>
      </w:r>
      <w:r w:rsidRPr="00DA3C38">
        <w:rPr>
          <w:i/>
          <w:iCs/>
          <w:lang w:val="en-US"/>
        </w:rPr>
        <w:t>Archives of gerontology and geriatrics</w:t>
      </w:r>
      <w:r w:rsidRPr="00DA3C38">
        <w:rPr>
          <w:lang w:val="en-US"/>
        </w:rPr>
        <w:t>, </w:t>
      </w:r>
      <w:r w:rsidRPr="00DA3C38">
        <w:rPr>
          <w:i/>
          <w:iCs/>
          <w:lang w:val="en-US"/>
        </w:rPr>
        <w:t>49</w:t>
      </w:r>
      <w:r w:rsidRPr="00DA3C38">
        <w:rPr>
          <w:lang w:val="en-US"/>
        </w:rPr>
        <w:t>(2), e91-e100, https://doi.org/10.1016/j.archger.2008.08.013</w:t>
      </w:r>
    </w:p>
    <w:p w:rsidR="00AC1447" w:rsidRPr="00DA3C38" w:rsidRDefault="00AC1447" w:rsidP="00DA3C38">
      <w:pPr>
        <w:pStyle w:val="APARefs"/>
        <w:spacing w:line="480" w:lineRule="auto"/>
      </w:pPr>
      <w:r w:rsidRPr="00E041BC">
        <w:rPr>
          <w:lang w:val="fr-FR"/>
        </w:rPr>
        <w:t>Levasseur, M., Richard, L., Gauvin, L., &amp; Ray</w:t>
      </w:r>
      <w:r w:rsidR="009A506C" w:rsidRPr="00E041BC">
        <w:rPr>
          <w:lang w:val="fr-FR"/>
        </w:rPr>
        <w:t>mond, E</w:t>
      </w:r>
      <w:r w:rsidR="00310591" w:rsidRPr="00E041BC">
        <w:rPr>
          <w:lang w:val="fr-FR"/>
        </w:rPr>
        <w:t xml:space="preserve">. (2010). </w:t>
      </w:r>
      <w:r w:rsidR="00310591" w:rsidRPr="00DA3C38">
        <w:t>Inventory and analysis of definitions of social participation found in the ageing literature: Proposed taxonomy of social a</w:t>
      </w:r>
      <w:r w:rsidRPr="00DA3C38">
        <w:t xml:space="preserve">ctivities. </w:t>
      </w:r>
      <w:r w:rsidRPr="00DA3C38">
        <w:rPr>
          <w:i/>
          <w:iCs/>
        </w:rPr>
        <w:t>Social Science &amp; Medicine</w:t>
      </w:r>
      <w:r w:rsidRPr="00DA3C38">
        <w:t xml:space="preserve">, </w:t>
      </w:r>
      <w:r w:rsidRPr="00DA3C38">
        <w:rPr>
          <w:i/>
          <w:iCs/>
        </w:rPr>
        <w:t>71</w:t>
      </w:r>
      <w:r w:rsidRPr="00DA3C38">
        <w:t>(12), 2141–2149. doi:10.1016/j.socscimed.2010.09.041</w:t>
      </w:r>
    </w:p>
    <w:p w:rsidR="00AC1447" w:rsidRPr="00E041BC" w:rsidRDefault="00AC1447" w:rsidP="00DA3C38">
      <w:pPr>
        <w:pStyle w:val="APARefs"/>
        <w:spacing w:line="480" w:lineRule="auto"/>
        <w:rPr>
          <w:lang w:val="de-DE"/>
        </w:rPr>
      </w:pPr>
      <w:r w:rsidRPr="00DA3C38">
        <w:t>Linde</w:t>
      </w:r>
      <w:r w:rsidR="00DD2B18" w:rsidRPr="00DA3C38">
        <w:t>n</w:t>
      </w:r>
      <w:r w:rsidRPr="00DA3C38">
        <w:t xml:space="preserve">berger, U., Mayr, U., &amp; Kliegl, R. (1993). Speed and intelligence in old age. </w:t>
      </w:r>
      <w:r w:rsidRPr="00E041BC">
        <w:rPr>
          <w:i/>
          <w:lang w:val="de-DE"/>
        </w:rPr>
        <w:t>Psychology and Ageing, 8</w:t>
      </w:r>
      <w:r w:rsidRPr="00E041BC">
        <w:rPr>
          <w:lang w:val="de-DE"/>
        </w:rPr>
        <w:t>(2), doi: 10.1037/0882 7974.8.2.207</w:t>
      </w:r>
    </w:p>
    <w:p w:rsidR="00AF05A7" w:rsidRPr="00E041BC" w:rsidRDefault="00AF05A7" w:rsidP="00DA3C38">
      <w:pPr>
        <w:pStyle w:val="APARefs"/>
        <w:spacing w:line="480" w:lineRule="auto"/>
        <w:rPr>
          <w:lang w:val="de-DE"/>
        </w:rPr>
      </w:pPr>
      <w:r w:rsidRPr="00E041BC">
        <w:rPr>
          <w:lang w:val="de-DE"/>
        </w:rPr>
        <w:t xml:space="preserve">Lindenberger, U., Marsiske, M., &amp; Baltes, P. B. (2000). </w:t>
      </w:r>
      <w:r w:rsidRPr="00DA3C38">
        <w:t>Memorizing while walking: increase in dual-task costs from young adulthood to old age. </w:t>
      </w:r>
      <w:r w:rsidRPr="00E041BC">
        <w:rPr>
          <w:i/>
          <w:iCs/>
          <w:lang w:val="de-DE"/>
        </w:rPr>
        <w:t>Psychology and aging</w:t>
      </w:r>
      <w:r w:rsidRPr="00E041BC">
        <w:rPr>
          <w:lang w:val="de-DE"/>
        </w:rPr>
        <w:t>, </w:t>
      </w:r>
      <w:r w:rsidRPr="00E041BC">
        <w:rPr>
          <w:i/>
          <w:iCs/>
          <w:lang w:val="de-DE"/>
        </w:rPr>
        <w:t>15</w:t>
      </w:r>
      <w:r w:rsidRPr="00E041BC">
        <w:rPr>
          <w:lang w:val="de-DE"/>
        </w:rPr>
        <w:t>(3), 417.</w:t>
      </w:r>
    </w:p>
    <w:p w:rsidR="00C20132" w:rsidRPr="00DA3C38" w:rsidRDefault="00C20132" w:rsidP="00DA3C38">
      <w:pPr>
        <w:pStyle w:val="APARefs"/>
        <w:spacing w:line="480" w:lineRule="auto"/>
      </w:pPr>
      <w:r w:rsidRPr="00E041BC">
        <w:rPr>
          <w:lang w:val="de-DE"/>
        </w:rPr>
        <w:t xml:space="preserve">Li, K. Z., Lindenberger, U., Freund, A. M., &amp; Baltes, P. B. (2001). </w:t>
      </w:r>
      <w:r w:rsidRPr="00DA3C38">
        <w:t>Walking while memorizing: Age-related differences in compensatory behavior. </w:t>
      </w:r>
      <w:r w:rsidRPr="00DA3C38">
        <w:rPr>
          <w:i/>
          <w:iCs/>
        </w:rPr>
        <w:t>Psychological Science</w:t>
      </w:r>
      <w:r w:rsidRPr="00DA3C38">
        <w:t>, </w:t>
      </w:r>
      <w:r w:rsidRPr="00DA3C38">
        <w:rPr>
          <w:i/>
          <w:iCs/>
        </w:rPr>
        <w:t>12</w:t>
      </w:r>
      <w:r w:rsidRPr="00DA3C38">
        <w:t>(3), 230-237.</w:t>
      </w:r>
    </w:p>
    <w:p w:rsidR="00AC1447" w:rsidRPr="00DA3C38" w:rsidRDefault="002F5874" w:rsidP="00DA3C38">
      <w:pPr>
        <w:pStyle w:val="APARefs"/>
        <w:spacing w:line="480" w:lineRule="auto"/>
      </w:pPr>
      <w:r w:rsidRPr="00DA3C38">
        <w:t>Lindst</w:t>
      </w:r>
      <w:r w:rsidR="00AC1447" w:rsidRPr="00DA3C38">
        <w:t>o</w:t>
      </w:r>
      <w:r w:rsidRPr="00DA3C38">
        <w:t>r</w:t>
      </w:r>
      <w:r w:rsidR="00AC1447" w:rsidRPr="00DA3C38">
        <w:t>m, M., Hanson, B.</w:t>
      </w:r>
      <w:r w:rsidR="009A506C" w:rsidRPr="00DA3C38">
        <w:t xml:space="preserve">, </w:t>
      </w:r>
      <w:r w:rsidR="00AC1447" w:rsidRPr="00DA3C38">
        <w:t xml:space="preserve">S., and Ostergeren, P. (2001). Socioeconomic differences in leisure time physical activity: the role of social participation and social capital in shaping health related behavior. </w:t>
      </w:r>
      <w:r w:rsidR="00AC1447" w:rsidRPr="00DA3C38">
        <w:rPr>
          <w:i/>
        </w:rPr>
        <w:t>Social Science and Medicine, 52</w:t>
      </w:r>
      <w:r w:rsidR="00AC1447" w:rsidRPr="00DA3C38">
        <w:t>, 441-451</w:t>
      </w:r>
    </w:p>
    <w:p w:rsidR="00AC1447" w:rsidRPr="00DA3C38" w:rsidRDefault="00AC1447" w:rsidP="00DA3C38">
      <w:pPr>
        <w:pStyle w:val="APARefs"/>
        <w:spacing w:line="480" w:lineRule="auto"/>
      </w:pPr>
      <w:r w:rsidRPr="00DA3C38">
        <w:t xml:space="preserve">Livingston, G., &amp; Parker, K. (2013). Since the start of the Great Recession. More children raised by grandparents. Available at </w:t>
      </w:r>
      <w:hyperlink r:id="rId52" w:history="1">
        <w:r w:rsidRPr="00DA3C38">
          <w:t>http://www.pewsocialtrends.org/files/2010/10/764-children-raised-by-grandparents.pdf</w:t>
        </w:r>
      </w:hyperlink>
    </w:p>
    <w:p w:rsidR="00AC1447" w:rsidRPr="00DA3C38" w:rsidRDefault="00AC1447" w:rsidP="00DA3C38">
      <w:pPr>
        <w:pStyle w:val="APARefs"/>
        <w:spacing w:line="480" w:lineRule="auto"/>
      </w:pPr>
      <w:r w:rsidRPr="00DA3C38">
        <w:t>Loeb P.</w:t>
      </w:r>
      <w:r w:rsidR="00EA6206" w:rsidRPr="00DA3C38">
        <w:t xml:space="preserve">, </w:t>
      </w:r>
      <w:r w:rsidRPr="00DA3C38">
        <w:t>A. (1996)</w:t>
      </w:r>
      <w:r w:rsidRPr="00DA3C38">
        <w:rPr>
          <w:i/>
        </w:rPr>
        <w:t>. Independent Living Scales (ILS)</w:t>
      </w:r>
      <w:r w:rsidRPr="00DA3C38">
        <w:t xml:space="preserve">. The Psychological Corporation, San Antonio </w:t>
      </w:r>
    </w:p>
    <w:p w:rsidR="00AC1447" w:rsidRPr="00DA3C38" w:rsidRDefault="00AC1447" w:rsidP="00DA3C38">
      <w:pPr>
        <w:pStyle w:val="APARefs"/>
        <w:spacing w:line="480" w:lineRule="auto"/>
      </w:pPr>
      <w:r w:rsidRPr="00DA3C38">
        <w:t>Loewenstein, D.</w:t>
      </w:r>
      <w:r w:rsidR="009A506C" w:rsidRPr="00DA3C38">
        <w:t>,</w:t>
      </w:r>
      <w:r w:rsidRPr="00DA3C38">
        <w:t xml:space="preserve"> A,</w:t>
      </w:r>
      <w:r w:rsidR="00790A01" w:rsidRPr="00DA3C38">
        <w:t xml:space="preserve"> &amp;</w:t>
      </w:r>
      <w:r w:rsidRPr="00DA3C38">
        <w:t xml:space="preserve"> Bates, B.</w:t>
      </w:r>
      <w:r w:rsidR="009A506C" w:rsidRPr="00DA3C38">
        <w:t>,</w:t>
      </w:r>
      <w:r w:rsidRPr="00DA3C38">
        <w:t xml:space="preserve"> C (1992). The Direct Assessment of Functional Status (DAFS) Manual for Administration and Scoring: Scale for Older Adults. Miami Beach: Mount Sinai Medical Center</w:t>
      </w:r>
    </w:p>
    <w:p w:rsidR="00AC1447" w:rsidRPr="00DA3C38" w:rsidRDefault="00AC1447" w:rsidP="00DA3C38">
      <w:pPr>
        <w:pStyle w:val="APARefs"/>
        <w:spacing w:line="480" w:lineRule="auto"/>
      </w:pPr>
      <w:r w:rsidRPr="00DA3C38">
        <w:t xml:space="preserve">Loewenstein, D., &amp; Acevedo, A. (2010). The relationship between instrumental activities of daily living and neuropsychological performance. In Marcotte, T. D. &amp; Grant, I. (eds), </w:t>
      </w:r>
      <w:r w:rsidRPr="00DA3C38">
        <w:rPr>
          <w:i/>
        </w:rPr>
        <w:t>Neuropsychology of everyday functioning</w:t>
      </w:r>
      <w:r w:rsidRPr="00DA3C38">
        <w:t>, London, UK: The Guilford Press</w:t>
      </w:r>
    </w:p>
    <w:p w:rsidR="00AC1447" w:rsidRPr="00DA3C38" w:rsidRDefault="00AC1447" w:rsidP="00DA3C38">
      <w:pPr>
        <w:pStyle w:val="APARefs"/>
        <w:spacing w:line="480" w:lineRule="auto"/>
      </w:pPr>
      <w:r w:rsidRPr="00DA3C38">
        <w:t xml:space="preserve">Loring, D., Martin, R., Meador, K., &amp; Lee, G. (1990). Psychometric construction of the Rey-Osterrieth Complex Figure: methodological considerations and interrater reliability. </w:t>
      </w:r>
      <w:r w:rsidRPr="00DA3C38">
        <w:rPr>
          <w:i/>
        </w:rPr>
        <w:t>Archives of Clinical Neuropsychology 5</w:t>
      </w:r>
      <w:r w:rsidRPr="00DA3C38">
        <w:t>, 1–14, doi: 10.1093/arclin/5.1.1</w:t>
      </w:r>
    </w:p>
    <w:p w:rsidR="00AC1447" w:rsidRPr="00E041BC" w:rsidRDefault="008422AD" w:rsidP="00DA3C38">
      <w:pPr>
        <w:pStyle w:val="APARefs"/>
        <w:spacing w:line="480" w:lineRule="auto"/>
        <w:rPr>
          <w:lang w:val="it-IT"/>
        </w:rPr>
      </w:pPr>
      <w:r w:rsidRPr="00DA3C38">
        <w:t>Lovde</w:t>
      </w:r>
      <w:r w:rsidR="00AC1447" w:rsidRPr="00DA3C38">
        <w:t>n, M., Ghisletta, P., &amp; Lindenberger, U. (2005). Social participation attenuates decline in perceptual speed in old and very old age. </w:t>
      </w:r>
      <w:r w:rsidR="00AC1447" w:rsidRPr="00E041BC">
        <w:rPr>
          <w:i/>
          <w:iCs/>
          <w:lang w:val="it-IT"/>
        </w:rPr>
        <w:t>Psychology and aging</w:t>
      </w:r>
      <w:r w:rsidR="00AC1447" w:rsidRPr="00E041BC">
        <w:rPr>
          <w:lang w:val="it-IT"/>
        </w:rPr>
        <w:t>, </w:t>
      </w:r>
      <w:r w:rsidR="00AC1447" w:rsidRPr="00E041BC">
        <w:rPr>
          <w:i/>
          <w:iCs/>
          <w:lang w:val="it-IT"/>
        </w:rPr>
        <w:t>20</w:t>
      </w:r>
      <w:r w:rsidR="00AC1447" w:rsidRPr="00E041BC">
        <w:rPr>
          <w:lang w:val="it-IT"/>
        </w:rPr>
        <w:t>(3), 423, doi:</w:t>
      </w:r>
      <w:r w:rsidR="00AC1447" w:rsidRPr="00E041BC">
        <w:rPr>
          <w:rFonts w:eastAsia="Times New Roman"/>
          <w:lang w:val="it-IT" w:eastAsia="en-US"/>
        </w:rPr>
        <w:t xml:space="preserve"> </w:t>
      </w:r>
      <w:r w:rsidR="00AC1447" w:rsidRPr="00E041BC">
        <w:rPr>
          <w:lang w:val="it-IT"/>
        </w:rPr>
        <w:t>10.1037/0882-7974.20.3.423</w:t>
      </w:r>
    </w:p>
    <w:p w:rsidR="00AC1447" w:rsidRPr="00E041BC" w:rsidRDefault="00AC1447" w:rsidP="00DA3C38">
      <w:pPr>
        <w:pStyle w:val="APARefs"/>
        <w:spacing w:line="480" w:lineRule="auto"/>
        <w:rPr>
          <w:lang w:val="it-IT"/>
        </w:rPr>
      </w:pPr>
      <w:r w:rsidRPr="00E041BC">
        <w:rPr>
          <w:lang w:val="it-IT"/>
        </w:rPr>
        <w:t xml:space="preserve">Lucca, U., Garri, M., Recchia, A., Logroscino, G., Tiraboshi, P., Franceschi, M. et al. </w:t>
      </w:r>
      <w:r w:rsidRPr="00DA3C38">
        <w:t xml:space="preserve">(2011). A population-based study of dementia in the oldest old: the Monzino 80-plus Study. </w:t>
      </w:r>
      <w:r w:rsidRPr="00E041BC">
        <w:rPr>
          <w:i/>
          <w:lang w:val="it-IT"/>
        </w:rPr>
        <w:t>BMC Neurology</w:t>
      </w:r>
      <w:r w:rsidRPr="00E041BC">
        <w:rPr>
          <w:lang w:val="it-IT"/>
        </w:rPr>
        <w:t>, 11(54), 1-14</w:t>
      </w:r>
    </w:p>
    <w:p w:rsidR="00AC1447" w:rsidRPr="00DA3C38" w:rsidRDefault="00AC1447" w:rsidP="00DA3C38">
      <w:pPr>
        <w:pStyle w:val="APARefs"/>
        <w:spacing w:line="480" w:lineRule="auto"/>
      </w:pPr>
      <w:r w:rsidRPr="00E041BC">
        <w:rPr>
          <w:lang w:val="it-IT"/>
        </w:rPr>
        <w:t xml:space="preserve">Lucca, U., Tettamanti, M., Martelli, P., Lucchelli, F., Alberoni, M., &amp; Spagnoli, A. (1996). </w:t>
      </w:r>
      <w:r w:rsidRPr="00DA3C38">
        <w:rPr>
          <w:i/>
        </w:rPr>
        <w:t>Spontaneous Behaviour Interview: from test performance to daily lifebased Alzheimer patient evaluation</w:t>
      </w:r>
      <w:r w:rsidRPr="00DA3C38">
        <w:t xml:space="preserve"> [abstract]. The challenge of the dementias Edinburgh, UK: The Lancet</w:t>
      </w:r>
    </w:p>
    <w:p w:rsidR="00325590" w:rsidRPr="00DA3C38" w:rsidRDefault="00325590" w:rsidP="00DA3C38">
      <w:pPr>
        <w:pStyle w:val="APARefs"/>
        <w:spacing w:line="480" w:lineRule="auto"/>
      </w:pPr>
      <w:r w:rsidRPr="00DA3C38">
        <w:rPr>
          <w:lang w:val="en-GB"/>
        </w:rPr>
        <w:t>Lumley, T., Diehr, P., Emerson, S., &amp; Chen, L. (2002). The importance of the normality assumption in large public health data sets. </w:t>
      </w:r>
      <w:r w:rsidRPr="00DA3C38">
        <w:rPr>
          <w:i/>
          <w:iCs/>
          <w:lang w:val="en-GB"/>
        </w:rPr>
        <w:t>Annual review of public health</w:t>
      </w:r>
      <w:r w:rsidRPr="00DA3C38">
        <w:rPr>
          <w:lang w:val="en-GB"/>
        </w:rPr>
        <w:t>, </w:t>
      </w:r>
      <w:r w:rsidRPr="00DA3C38">
        <w:rPr>
          <w:i/>
          <w:iCs/>
          <w:lang w:val="en-GB"/>
        </w:rPr>
        <w:t>23</w:t>
      </w:r>
      <w:r w:rsidRPr="00DA3C38">
        <w:rPr>
          <w:lang w:val="en-GB"/>
        </w:rPr>
        <w:t>(1), 151-169, doi:</w:t>
      </w:r>
      <w:r w:rsidRPr="00DA3C38">
        <w:rPr>
          <w:color w:val="000000"/>
        </w:rPr>
        <w:t xml:space="preserve"> </w:t>
      </w:r>
      <w:r w:rsidRPr="00DA3C38">
        <w:t xml:space="preserve">23.100901.140546 </w:t>
      </w:r>
    </w:p>
    <w:p w:rsidR="00790A01" w:rsidRPr="00DA3C38" w:rsidRDefault="00790A01" w:rsidP="00DA3C38">
      <w:pPr>
        <w:pStyle w:val="APARefs"/>
        <w:spacing w:line="480" w:lineRule="auto"/>
      </w:pPr>
      <w:r w:rsidRPr="00DA3C38">
        <w:t>Lyketsos, C., G., Chen, L., S., &amp; Anthony, J., C. (1999). Cognitive decline in adulthood: an 11.5-year follow-up of the Baltimore Epidemiologic Catchment Area study. </w:t>
      </w:r>
      <w:r w:rsidRPr="00DA3C38">
        <w:rPr>
          <w:i/>
          <w:iCs/>
        </w:rPr>
        <w:t>American Journal of Psychiatry</w:t>
      </w:r>
      <w:r w:rsidRPr="00DA3C38">
        <w:t>, </w:t>
      </w:r>
      <w:r w:rsidRPr="00DA3C38">
        <w:rPr>
          <w:i/>
          <w:iCs/>
        </w:rPr>
        <w:t>156</w:t>
      </w:r>
      <w:r w:rsidRPr="00DA3C38">
        <w:t>(1), 58-65.</w:t>
      </w:r>
    </w:p>
    <w:p w:rsidR="00AC1447" w:rsidRPr="00DA3C38" w:rsidRDefault="00AC1447" w:rsidP="00DA3C38">
      <w:pPr>
        <w:pStyle w:val="APARefs"/>
        <w:spacing w:line="480" w:lineRule="auto"/>
      </w:pPr>
      <w:r w:rsidRPr="00DA3C38">
        <w:t>Maddox, G.</w:t>
      </w:r>
      <w:r w:rsidR="009A506C" w:rsidRPr="00DA3C38">
        <w:t xml:space="preserve">, </w:t>
      </w:r>
      <w:r w:rsidRPr="00DA3C38">
        <w:t xml:space="preserve">I. (1970). Themes and issues in sociological theories of human ageing. </w:t>
      </w:r>
      <w:r w:rsidRPr="00DA3C38">
        <w:rPr>
          <w:i/>
        </w:rPr>
        <w:t>Human Development, 13</w:t>
      </w:r>
      <w:r w:rsidRPr="00DA3C38">
        <w:t>, 17-27</w:t>
      </w:r>
    </w:p>
    <w:p w:rsidR="00E01DAC" w:rsidRPr="00DA3C38" w:rsidRDefault="00E01DAC" w:rsidP="00DA3C38">
      <w:pPr>
        <w:pStyle w:val="APARefs"/>
        <w:spacing w:line="480" w:lineRule="auto"/>
      </w:pPr>
      <w:r w:rsidRPr="00DA3C38">
        <w:t>Mackinnon, A., Christensen, H., Hofer, S.</w:t>
      </w:r>
      <w:r w:rsidR="009A506C" w:rsidRPr="00DA3C38">
        <w:t>,</w:t>
      </w:r>
      <w:r w:rsidRPr="00DA3C38">
        <w:t xml:space="preserve"> M., Korten, A.</w:t>
      </w:r>
      <w:r w:rsidR="009A506C" w:rsidRPr="00DA3C38">
        <w:t>,</w:t>
      </w:r>
      <w:r w:rsidRPr="00DA3C38">
        <w:t xml:space="preserve"> E., &amp; Jorm, A. (2003). Use it and still lose it? The association between activity and cognitive performance established using latent growth techniques in a community sample. </w:t>
      </w:r>
      <w:r w:rsidRPr="00DA3C38">
        <w:rPr>
          <w:i/>
          <w:iCs/>
        </w:rPr>
        <w:t>Aging, Neuropsychology, and Cognition</w:t>
      </w:r>
      <w:r w:rsidRPr="00DA3C38">
        <w:t>, </w:t>
      </w:r>
      <w:r w:rsidRPr="00DA3C38">
        <w:rPr>
          <w:i/>
          <w:iCs/>
        </w:rPr>
        <w:t>10</w:t>
      </w:r>
      <w:r w:rsidRPr="00DA3C38">
        <w:t>(3), 215-229.</w:t>
      </w:r>
    </w:p>
    <w:p w:rsidR="00AC1447" w:rsidRPr="00DA3C38" w:rsidRDefault="00553800" w:rsidP="00DA3C38">
      <w:pPr>
        <w:pStyle w:val="APARefs"/>
        <w:spacing w:line="480" w:lineRule="auto"/>
      </w:pPr>
      <w:r w:rsidRPr="00DA3C38">
        <w:t>Magai, C., Cohen, C., Milburn, N., Thorpe, B., McPherson, R., &amp; Peralta, D. </w:t>
      </w:r>
      <w:r w:rsidR="00AC1447" w:rsidRPr="00DA3C38">
        <w:t xml:space="preserve">(2001). Attachment styles in older European American and African American adults. </w:t>
      </w:r>
      <w:r w:rsidR="00AC1447" w:rsidRPr="00DA3C38">
        <w:rPr>
          <w:i/>
        </w:rPr>
        <w:t>Journal of Gerontology, b, Psychological Sciences and Social Sciences, 56</w:t>
      </w:r>
      <w:r w:rsidR="00AC1447" w:rsidRPr="00DA3C38">
        <w:t xml:space="preserve">, 28-45 </w:t>
      </w:r>
    </w:p>
    <w:p w:rsidR="00AC1447" w:rsidRPr="00DA3C38" w:rsidRDefault="00AC1447" w:rsidP="00DA3C38">
      <w:pPr>
        <w:pStyle w:val="APARefs"/>
        <w:spacing w:line="480" w:lineRule="auto"/>
      </w:pPr>
      <w:r w:rsidRPr="00DA3C38">
        <w:t>Marcotte, T.</w:t>
      </w:r>
      <w:r w:rsidR="00790A01" w:rsidRPr="00DA3C38">
        <w:t>,</w:t>
      </w:r>
      <w:r w:rsidRPr="00DA3C38">
        <w:t xml:space="preserve"> D., Scott, J.</w:t>
      </w:r>
      <w:r w:rsidR="00790A01" w:rsidRPr="00DA3C38">
        <w:t>,</w:t>
      </w:r>
      <w:r w:rsidRPr="00DA3C38">
        <w:t xml:space="preserve"> C., Kamat, R.,M, &amp; Heaton, R.</w:t>
      </w:r>
      <w:r w:rsidR="00790A01" w:rsidRPr="00DA3C38">
        <w:t>,</w:t>
      </w:r>
      <w:r w:rsidRPr="00DA3C38">
        <w:t xml:space="preserve"> K. (2010). Neuropsychology and the prediction of everyday functionality. In Marcotte, T. D. &amp; Grant, I. (eds), </w:t>
      </w:r>
      <w:r w:rsidRPr="00DA3C38">
        <w:rPr>
          <w:i/>
        </w:rPr>
        <w:t>Neuropsychology of everyday functioning</w:t>
      </w:r>
      <w:r w:rsidRPr="00DA3C38">
        <w:t>, London, UK: The Guilford Press</w:t>
      </w:r>
    </w:p>
    <w:p w:rsidR="00AC1447" w:rsidRPr="00DA3C38" w:rsidRDefault="00AC1447" w:rsidP="00DA3C38">
      <w:pPr>
        <w:pStyle w:val="APARefs"/>
        <w:spacing w:line="480" w:lineRule="auto"/>
      </w:pPr>
      <w:r w:rsidRPr="00DA3C38">
        <w:t>Martin, P., Kelly, N., Kahana, B., Kahana, E., Willcox, B.</w:t>
      </w:r>
      <w:r w:rsidR="00553800" w:rsidRPr="00DA3C38">
        <w:t>,</w:t>
      </w:r>
      <w:r w:rsidRPr="00DA3C38">
        <w:t xml:space="preserve"> J., Willcox, D.</w:t>
      </w:r>
      <w:r w:rsidR="00553800" w:rsidRPr="00DA3C38">
        <w:t>,</w:t>
      </w:r>
      <w:r w:rsidRPr="00DA3C38">
        <w:t xml:space="preserve"> C., &amp; Poon, L.</w:t>
      </w:r>
      <w:r w:rsidR="00553800" w:rsidRPr="00DA3C38">
        <w:t>,</w:t>
      </w:r>
      <w:r w:rsidRPr="00DA3C38">
        <w:t xml:space="preserve"> W. (2015). Defining successful aging: A tangible or elusive concept?. </w:t>
      </w:r>
      <w:r w:rsidRPr="00DA3C38">
        <w:rPr>
          <w:i/>
          <w:iCs/>
        </w:rPr>
        <w:t>The Gerontologist</w:t>
      </w:r>
      <w:r w:rsidRPr="00DA3C38">
        <w:t>, </w:t>
      </w:r>
      <w:r w:rsidRPr="00DA3C38">
        <w:rPr>
          <w:i/>
          <w:iCs/>
        </w:rPr>
        <w:t>55</w:t>
      </w:r>
      <w:r w:rsidRPr="00DA3C38">
        <w:t>(1), 14-25, doi:</w:t>
      </w:r>
      <w:r w:rsidRPr="00DA3C38">
        <w:rPr>
          <w:rFonts w:eastAsiaTheme="minorEastAsia"/>
          <w:color w:val="333300"/>
          <w:shd w:val="clear" w:color="auto" w:fill="FFFFFF"/>
          <w:lang w:eastAsia="ja-JP"/>
        </w:rPr>
        <w:t xml:space="preserve"> </w:t>
      </w:r>
      <w:r w:rsidRPr="00DA3C38">
        <w:t>10.1093/geront/gnu044</w:t>
      </w:r>
    </w:p>
    <w:p w:rsidR="00AC1447" w:rsidRPr="00DA3C38" w:rsidRDefault="00AC1447" w:rsidP="00DA3C38">
      <w:pPr>
        <w:pStyle w:val="APARefs"/>
        <w:spacing w:line="480" w:lineRule="auto"/>
      </w:pPr>
      <w:r w:rsidRPr="00DA3C38">
        <w:t xml:space="preserve">Martyr, A., &amp; Clare, L. (2012). Executive function and activities of daily living in Alzheimer disease: a correlational meta-analysis. </w:t>
      </w:r>
      <w:r w:rsidRPr="00DA3C38">
        <w:rPr>
          <w:i/>
        </w:rPr>
        <w:t>Dementia Geriatric Cognitive Disorders</w:t>
      </w:r>
      <w:r w:rsidRPr="00DA3C38">
        <w:t>, 189-203, doi:10.1159/000338233</w:t>
      </w:r>
    </w:p>
    <w:p w:rsidR="00AC1447" w:rsidRPr="00DA3C38" w:rsidRDefault="00AC1447" w:rsidP="00DA3C38">
      <w:pPr>
        <w:pStyle w:val="APARefs"/>
        <w:spacing w:line="480" w:lineRule="auto"/>
      </w:pPr>
      <w:r w:rsidRPr="00DA3C38">
        <w:t xml:space="preserve">Mattis, S. (1988). </w:t>
      </w:r>
      <w:r w:rsidRPr="00DA3C38">
        <w:rPr>
          <w:i/>
        </w:rPr>
        <w:t>Dementia Rating Scale</w:t>
      </w:r>
      <w:r w:rsidRPr="00DA3C38">
        <w:t>. Odessa, FL: Psychological Assessment Resources, Inc.</w:t>
      </w:r>
    </w:p>
    <w:p w:rsidR="00AC1447" w:rsidRPr="00DA3C38" w:rsidRDefault="00AC1447" w:rsidP="00DA3C38">
      <w:pPr>
        <w:pStyle w:val="APARefs"/>
        <w:spacing w:line="480" w:lineRule="auto"/>
      </w:pPr>
      <w:r w:rsidRPr="00DA3C38">
        <w:t>Milne, G.</w:t>
      </w:r>
      <w:r w:rsidR="00553800" w:rsidRPr="00DA3C38">
        <w:t>,</w:t>
      </w:r>
      <w:r w:rsidRPr="00DA3C38">
        <w:t xml:space="preserve"> G. (1956). Deterioration and over-learning. </w:t>
      </w:r>
      <w:r w:rsidRPr="00DA3C38">
        <w:rPr>
          <w:i/>
        </w:rPr>
        <w:t>Australian Journal of Psychology, 8</w:t>
      </w:r>
      <w:r w:rsidRPr="00DA3C38">
        <w:t>, 163-172</w:t>
      </w:r>
    </w:p>
    <w:p w:rsidR="00AC1447" w:rsidRPr="00DA3C38" w:rsidRDefault="00AC1447" w:rsidP="00DA3C38">
      <w:pPr>
        <w:pStyle w:val="APARefs"/>
        <w:spacing w:line="480" w:lineRule="auto"/>
      </w:pPr>
      <w:r w:rsidRPr="00DA3C38">
        <w:rPr>
          <w:rFonts w:eastAsia="Times New Roman"/>
          <w:color w:val="000000"/>
        </w:rPr>
        <w:t xml:space="preserve">Mitchell, M. (2006). </w:t>
      </w:r>
      <w:r w:rsidRPr="00DA3C38">
        <w:t xml:space="preserve">Executive functioning and daily functioning in older adults. Available at </w:t>
      </w:r>
      <w:hyperlink r:id="rId53" w:history="1">
        <w:r w:rsidRPr="00DA3C38">
          <w:rPr>
            <w:rStyle w:val="Hyperlink"/>
            <w:lang w:val="en-GB"/>
          </w:rPr>
          <w:t>https://getd.libs.uga.edu/pdfs/mitchell_meghan_b_200605_ms.pdf</w:t>
        </w:r>
      </w:hyperlink>
    </w:p>
    <w:p w:rsidR="00AC1447" w:rsidRPr="00DA3C38" w:rsidRDefault="00AC1447" w:rsidP="00DA3C38">
      <w:pPr>
        <w:pStyle w:val="APARefs"/>
        <w:spacing w:line="480" w:lineRule="auto"/>
      </w:pPr>
      <w:r w:rsidRPr="00E041BC">
        <w:rPr>
          <w:lang w:val="sv-SE"/>
        </w:rPr>
        <w:t>Moore D.</w:t>
      </w:r>
      <w:r w:rsidR="008422AD" w:rsidRPr="00E041BC">
        <w:rPr>
          <w:lang w:val="sv-SE"/>
        </w:rPr>
        <w:t>,</w:t>
      </w:r>
      <w:r w:rsidRPr="00E041BC">
        <w:rPr>
          <w:lang w:val="sv-SE"/>
        </w:rPr>
        <w:t xml:space="preserve"> J., Palmer, B.</w:t>
      </w:r>
      <w:r w:rsidR="008422AD" w:rsidRPr="00E041BC">
        <w:rPr>
          <w:lang w:val="sv-SE"/>
        </w:rPr>
        <w:t>,</w:t>
      </w:r>
      <w:r w:rsidRPr="00E041BC">
        <w:rPr>
          <w:lang w:val="sv-SE"/>
        </w:rPr>
        <w:t xml:space="preserve"> M., Patterson, T.</w:t>
      </w:r>
      <w:r w:rsidR="008422AD" w:rsidRPr="00E041BC">
        <w:rPr>
          <w:lang w:val="sv-SE"/>
        </w:rPr>
        <w:t>, L</w:t>
      </w:r>
      <w:r w:rsidRPr="00E041BC">
        <w:rPr>
          <w:lang w:val="sv-SE"/>
        </w:rPr>
        <w:t>., &amp; Jeste, D.</w:t>
      </w:r>
      <w:r w:rsidR="008422AD" w:rsidRPr="00E041BC">
        <w:rPr>
          <w:lang w:val="sv-SE"/>
        </w:rPr>
        <w:t>,</w:t>
      </w:r>
      <w:r w:rsidRPr="00E041BC">
        <w:rPr>
          <w:lang w:val="sv-SE"/>
        </w:rPr>
        <w:t>V. (2007)</w:t>
      </w:r>
      <w:r w:rsidR="008422AD" w:rsidRPr="00E041BC">
        <w:rPr>
          <w:lang w:val="sv-SE"/>
        </w:rPr>
        <w:t>.</w:t>
      </w:r>
      <w:r w:rsidRPr="00E041BC">
        <w:rPr>
          <w:lang w:val="sv-SE"/>
        </w:rPr>
        <w:t xml:space="preserve"> </w:t>
      </w:r>
      <w:r w:rsidRPr="00DA3C38">
        <w:t xml:space="preserve">A review of performance based measures of functional living skills. </w:t>
      </w:r>
      <w:r w:rsidRPr="00DA3C38">
        <w:rPr>
          <w:i/>
        </w:rPr>
        <w:t>Journal of Psychiatric Research</w:t>
      </w:r>
      <w:r w:rsidRPr="00DA3C38">
        <w:t xml:space="preserve">, </w:t>
      </w:r>
      <w:r w:rsidRPr="00DA3C38">
        <w:rPr>
          <w:i/>
        </w:rPr>
        <w:t>41</w:t>
      </w:r>
      <w:r w:rsidRPr="00DA3C38">
        <w:t>, 97-118</w:t>
      </w:r>
    </w:p>
    <w:p w:rsidR="007F6CBE" w:rsidRPr="00DA3C38" w:rsidRDefault="007F6CBE" w:rsidP="00DA3C38">
      <w:pPr>
        <w:pStyle w:val="APARefs"/>
        <w:spacing w:line="480" w:lineRule="auto"/>
      </w:pPr>
      <w:r w:rsidRPr="00DA3C38">
        <w:t>Morris, J.</w:t>
      </w:r>
      <w:r w:rsidR="00C469D4" w:rsidRPr="00DA3C38">
        <w:t>,</w:t>
      </w:r>
      <w:r w:rsidRPr="00DA3C38">
        <w:t xml:space="preserve"> N., Heady, J.</w:t>
      </w:r>
      <w:r w:rsidR="00C469D4" w:rsidRPr="00DA3C38">
        <w:t>,</w:t>
      </w:r>
      <w:r w:rsidRPr="00DA3C38">
        <w:t xml:space="preserve"> A., Raffle, P.</w:t>
      </w:r>
      <w:r w:rsidR="00C469D4" w:rsidRPr="00DA3C38">
        <w:t xml:space="preserve">, </w:t>
      </w:r>
      <w:r w:rsidRPr="00DA3C38">
        <w:t>B., Roberts, C.</w:t>
      </w:r>
      <w:r w:rsidR="00C469D4" w:rsidRPr="00DA3C38">
        <w:t>,</w:t>
      </w:r>
      <w:r w:rsidRPr="00DA3C38">
        <w:t xml:space="preserve"> G., &amp; Parks, J.</w:t>
      </w:r>
      <w:r w:rsidR="00C469D4" w:rsidRPr="00DA3C38">
        <w:t>,</w:t>
      </w:r>
      <w:r w:rsidRPr="00DA3C38">
        <w:t xml:space="preserve"> W. (1953). Coronary heart-disease and physical activity of work. </w:t>
      </w:r>
      <w:r w:rsidRPr="00DA3C38">
        <w:rPr>
          <w:i/>
          <w:iCs/>
        </w:rPr>
        <w:t>The Lancet</w:t>
      </w:r>
      <w:r w:rsidRPr="00DA3C38">
        <w:t>, </w:t>
      </w:r>
      <w:r w:rsidRPr="00DA3C38">
        <w:rPr>
          <w:i/>
          <w:iCs/>
        </w:rPr>
        <w:t>262</w:t>
      </w:r>
      <w:r w:rsidRPr="00DA3C38">
        <w:t>(6796), 1111-1120.</w:t>
      </w:r>
    </w:p>
    <w:p w:rsidR="00AC1447" w:rsidRPr="00DA3C38" w:rsidRDefault="00AC1447" w:rsidP="00DA3C38">
      <w:pPr>
        <w:pStyle w:val="APARefs"/>
        <w:spacing w:line="480" w:lineRule="auto"/>
      </w:pPr>
      <w:r w:rsidRPr="00DA3C38">
        <w:t>Morris, J., Heyman, A., Mohs, R., Hughes, J.</w:t>
      </w:r>
      <w:r w:rsidR="00C469D4" w:rsidRPr="00DA3C38">
        <w:t>,</w:t>
      </w:r>
      <w:r w:rsidRPr="00DA3C38">
        <w:t xml:space="preserve"> P., van Belle, G., Fillenbaum, G., et al. (1989). The consortium to establish a registry for Alzheimer’s disease (CERAD). Part I. Clinical and neuropsychological assessment of Alzheimer’s disease. </w:t>
      </w:r>
      <w:r w:rsidRPr="00DA3C38">
        <w:rPr>
          <w:i/>
        </w:rPr>
        <w:t>Neurology, 39</w:t>
      </w:r>
      <w:r w:rsidRPr="00DA3C38">
        <w:t xml:space="preserve">, 1159–1165 </w:t>
      </w:r>
    </w:p>
    <w:p w:rsidR="00AC1447" w:rsidRPr="00DA3C38" w:rsidRDefault="00AC1447" w:rsidP="00DA3C38">
      <w:pPr>
        <w:pStyle w:val="APARefs"/>
        <w:spacing w:line="480" w:lineRule="auto"/>
      </w:pPr>
      <w:r w:rsidRPr="00DA3C38">
        <w:t>Mortiner, J.</w:t>
      </w:r>
      <w:r w:rsidR="00C469D4" w:rsidRPr="00DA3C38">
        <w:t>,</w:t>
      </w:r>
      <w:r w:rsidRPr="00DA3C38">
        <w:t xml:space="preserve"> A., (1988). Do psychosocial factors contribute to Alzheimer’s disease? In </w:t>
      </w:r>
      <w:r w:rsidRPr="00DA3C38">
        <w:rPr>
          <w:i/>
        </w:rPr>
        <w:t>Etiology of dementia of Alzheimer’s type</w:t>
      </w:r>
      <w:r w:rsidRPr="00DA3C38">
        <w:t>, A.S Hendersen, J. H. Hendersen (eds.) pp. 39-52. John Wiley and Sons, Chichester, UK</w:t>
      </w:r>
    </w:p>
    <w:p w:rsidR="00AC1447" w:rsidRPr="00DA3C38" w:rsidRDefault="00AC1447" w:rsidP="00DA3C38">
      <w:pPr>
        <w:pStyle w:val="APARefs"/>
        <w:spacing w:line="480" w:lineRule="auto"/>
      </w:pPr>
      <w:r w:rsidRPr="00DA3C38">
        <w:t xml:space="preserve">Moss, M., Franks, M., Briggs, P., Kennedy, D., &amp; Scholey, A. (2005). Compromised arterial oxygen saturation in elderly asthma suffers results in selective cognitive impairment. </w:t>
      </w:r>
      <w:r w:rsidRPr="00DA3C38">
        <w:rPr>
          <w:i/>
        </w:rPr>
        <w:t>Journal of Clinical and Experimental Neuropsychology</w:t>
      </w:r>
      <w:r w:rsidRPr="00DA3C38">
        <w:t>, 27, 139–150.</w:t>
      </w:r>
    </w:p>
    <w:p w:rsidR="00AC1447" w:rsidRPr="00DA3C38" w:rsidRDefault="00AC1447" w:rsidP="00DA3C38">
      <w:pPr>
        <w:pStyle w:val="APARefs"/>
        <w:spacing w:line="480" w:lineRule="auto"/>
      </w:pPr>
      <w:r w:rsidRPr="00DA3C38">
        <w:t>Mungas, D., Reed, B.</w:t>
      </w:r>
      <w:r w:rsidR="00C469D4" w:rsidRPr="00DA3C38">
        <w:t>,</w:t>
      </w:r>
      <w:r w:rsidRPr="00DA3C38">
        <w:t xml:space="preserve"> R., Marshall, S.</w:t>
      </w:r>
      <w:r w:rsidR="00C469D4" w:rsidRPr="00DA3C38">
        <w:t>,</w:t>
      </w:r>
      <w:r w:rsidRPr="00DA3C38">
        <w:t xml:space="preserve"> C., González, H. M. (2000). Development of psychometrically matched English and Spanish neuropsychological tests for older persons. </w:t>
      </w:r>
      <w:r w:rsidRPr="00DA3C38">
        <w:rPr>
          <w:i/>
        </w:rPr>
        <w:t>Neuropsychology, 14</w:t>
      </w:r>
      <w:r w:rsidRPr="00DA3C38">
        <w:t>, 209–223, doi:</w:t>
      </w:r>
      <w:r w:rsidRPr="00DA3C38">
        <w:rPr>
          <w:rFonts w:eastAsiaTheme="minorHAnsi"/>
          <w:color w:val="000000"/>
          <w:lang w:eastAsia="en-US"/>
        </w:rPr>
        <w:t xml:space="preserve"> </w:t>
      </w:r>
      <w:r w:rsidRPr="00DA3C38">
        <w:t> </w:t>
      </w:r>
      <w:hyperlink r:id="rId54" w:tgtFrame="_blank" w:history="1">
        <w:r w:rsidRPr="00DA3C38">
          <w:rPr>
            <w:rStyle w:val="Hyperlink"/>
            <w:bCs/>
            <w:lang w:val="en-GB"/>
          </w:rPr>
          <w:t>http://dx.doi.org/10.1037/0894-4105.14.2.209</w:t>
        </w:r>
      </w:hyperlink>
    </w:p>
    <w:p w:rsidR="00AC1447" w:rsidRPr="00DA3C38" w:rsidRDefault="00AC1447" w:rsidP="00DA3C38">
      <w:pPr>
        <w:pStyle w:val="APARefs"/>
        <w:spacing w:line="480" w:lineRule="auto"/>
      </w:pPr>
      <w:r w:rsidRPr="00DA3C38">
        <w:t xml:space="preserve">Mystakidou, K., Parpa, E., Tsilika, E., Panagioutou, I., </w:t>
      </w:r>
      <w:r w:rsidR="002E5619" w:rsidRPr="00DA3C38">
        <w:t>Roumeliotou, A., Symeonidi, M. e</w:t>
      </w:r>
      <w:r w:rsidRPr="00DA3C38">
        <w:t xml:space="preserve">t al., (2013). Evaluation of instrumental activities of daily living in Greek patients with advanced cancer. </w:t>
      </w:r>
      <w:r w:rsidRPr="00DA3C38">
        <w:rPr>
          <w:i/>
        </w:rPr>
        <w:t>International Journal of Rehabilitation Research, 36</w:t>
      </w:r>
      <w:r w:rsidRPr="00DA3C38">
        <w:t>(1), 75-80, doi:</w:t>
      </w:r>
      <w:r w:rsidRPr="00DA3C38">
        <w:rPr>
          <w:rFonts w:eastAsiaTheme="minorHAnsi"/>
          <w:color w:val="000000"/>
          <w:shd w:val="clear" w:color="auto" w:fill="F4F4F4"/>
          <w:lang w:eastAsia="en-US"/>
        </w:rPr>
        <w:t xml:space="preserve"> </w:t>
      </w:r>
      <w:r w:rsidRPr="00DA3C38">
        <w:t>10.1097/MRR.0b013e328359a2cc</w:t>
      </w:r>
    </w:p>
    <w:p w:rsidR="00AC1447" w:rsidRPr="00DA3C38" w:rsidRDefault="00AC1447" w:rsidP="00DA3C38">
      <w:pPr>
        <w:pStyle w:val="APARefs"/>
        <w:spacing w:line="480" w:lineRule="auto"/>
      </w:pPr>
      <w:r w:rsidRPr="00DA3C38">
        <w:t>Nail, L.</w:t>
      </w:r>
      <w:r w:rsidR="00C469D4" w:rsidRPr="00DA3C38">
        <w:t xml:space="preserve">, </w:t>
      </w:r>
      <w:r w:rsidRPr="00DA3C38">
        <w:t xml:space="preserve">M. (2006). Cognitive changes in cancer survivors. </w:t>
      </w:r>
      <w:r w:rsidRPr="00DA3C38">
        <w:rPr>
          <w:i/>
        </w:rPr>
        <w:t>American Journal of Nursing</w:t>
      </w:r>
      <w:r w:rsidRPr="00DA3C38">
        <w:t>, 106, 48–54</w:t>
      </w:r>
    </w:p>
    <w:p w:rsidR="007B692E" w:rsidRPr="00DA3C38" w:rsidRDefault="007B692E" w:rsidP="00DA3C38">
      <w:pPr>
        <w:pStyle w:val="APARefs"/>
        <w:spacing w:line="480" w:lineRule="auto"/>
        <w:rPr>
          <w:lang w:val="en-US"/>
        </w:rPr>
      </w:pPr>
      <w:r w:rsidRPr="00E041BC">
        <w:rPr>
          <w:lang w:val="pl-PL"/>
        </w:rPr>
        <w:t>Nam, C</w:t>
      </w:r>
      <w:r w:rsidR="006857B7" w:rsidRPr="00E041BC">
        <w:rPr>
          <w:lang w:val="pl-PL"/>
        </w:rPr>
        <w:t>.</w:t>
      </w:r>
      <w:r w:rsidRPr="00E041BC">
        <w:rPr>
          <w:lang w:val="pl-PL"/>
        </w:rPr>
        <w:t xml:space="preserve"> B., </w:t>
      </w:r>
      <w:r w:rsidR="006857B7" w:rsidRPr="00E041BC">
        <w:rPr>
          <w:lang w:val="pl-PL"/>
        </w:rPr>
        <w:t>&amp;</w:t>
      </w:r>
      <w:r w:rsidRPr="00E041BC">
        <w:rPr>
          <w:lang w:val="pl-PL"/>
        </w:rPr>
        <w:t xml:space="preserve"> Powers</w:t>
      </w:r>
      <w:r w:rsidR="006857B7" w:rsidRPr="00E041BC">
        <w:rPr>
          <w:lang w:val="pl-PL"/>
        </w:rPr>
        <w:t>, M. G</w:t>
      </w:r>
      <w:r w:rsidRPr="00E041BC">
        <w:rPr>
          <w:lang w:val="pl-PL"/>
        </w:rPr>
        <w:t xml:space="preserve">.  </w:t>
      </w:r>
      <w:r w:rsidR="006857B7">
        <w:rPr>
          <w:lang w:val="en-US"/>
        </w:rPr>
        <w:t>(</w:t>
      </w:r>
      <w:r w:rsidRPr="00DA3C38">
        <w:rPr>
          <w:lang w:val="en-US"/>
        </w:rPr>
        <w:t>1968</w:t>
      </w:r>
      <w:r w:rsidR="006857B7">
        <w:rPr>
          <w:lang w:val="en-US"/>
        </w:rPr>
        <w:t>)</w:t>
      </w:r>
      <w:r w:rsidRPr="00DA3C38">
        <w:rPr>
          <w:lang w:val="en-US"/>
        </w:rPr>
        <w:t xml:space="preserve">.  Changes in the Relative Status of Workers in the United States, </w:t>
      </w:r>
      <w:r w:rsidRPr="006857B7">
        <w:rPr>
          <w:i/>
          <w:lang w:val="en-US"/>
        </w:rPr>
        <w:t xml:space="preserve">Social Forces, </w:t>
      </w:r>
      <w:r w:rsidR="006857B7" w:rsidRPr="006857B7">
        <w:rPr>
          <w:i/>
          <w:lang w:val="en-US"/>
        </w:rPr>
        <w:t>47</w:t>
      </w:r>
      <w:r w:rsidR="006857B7">
        <w:rPr>
          <w:lang w:val="en-US"/>
        </w:rPr>
        <w:t xml:space="preserve">, </w:t>
      </w:r>
      <w:r w:rsidRPr="00DA3C38">
        <w:rPr>
          <w:lang w:val="en-US"/>
        </w:rPr>
        <w:t>158-170.</w:t>
      </w:r>
    </w:p>
    <w:p w:rsidR="00AC1447" w:rsidRPr="00DA3C38" w:rsidRDefault="007B692E" w:rsidP="00DA3C38">
      <w:pPr>
        <w:pStyle w:val="APARefs"/>
        <w:spacing w:line="480" w:lineRule="auto"/>
      </w:pPr>
      <w:r w:rsidRPr="00DA3C38">
        <w:rPr>
          <w:lang w:val="en-GB"/>
        </w:rPr>
        <w:t xml:space="preserve"> </w:t>
      </w:r>
      <w:r w:rsidR="00AC1447" w:rsidRPr="00DA3C38">
        <w:t>Nasreddine, Z.</w:t>
      </w:r>
      <w:r w:rsidR="00C469D4" w:rsidRPr="00DA3C38">
        <w:t>,</w:t>
      </w:r>
      <w:r w:rsidR="00AC1447" w:rsidRPr="00DA3C38">
        <w:t xml:space="preserve"> S., Phillips, N.</w:t>
      </w:r>
      <w:r w:rsidR="00C469D4" w:rsidRPr="00DA3C38">
        <w:t>,</w:t>
      </w:r>
      <w:r w:rsidR="00AC1447" w:rsidRPr="00DA3C38">
        <w:t xml:space="preserve"> A., Bedirian, V., Charbonneau, S., Whitehead, V., Collin, I., </w:t>
      </w:r>
      <w:r w:rsidR="00C469D4" w:rsidRPr="00DA3C38">
        <w:t xml:space="preserve">et al. </w:t>
      </w:r>
      <w:r w:rsidR="00AC1447" w:rsidRPr="00DA3C38">
        <w:t xml:space="preserve">(2005). The Montreal Cognitive Assessment, MoCA: a Brief Screening Tool for Mild Cognitive Impairment. </w:t>
      </w:r>
      <w:r w:rsidR="00AC1447" w:rsidRPr="00DA3C38">
        <w:rPr>
          <w:i/>
        </w:rPr>
        <w:t>American Journal of Geriatric Society, 53</w:t>
      </w:r>
      <w:r w:rsidR="00AC1447" w:rsidRPr="00DA3C38">
        <w:t>(4), 695-99, doi:</w:t>
      </w:r>
      <w:r w:rsidR="00AC1447" w:rsidRPr="00DA3C38">
        <w:rPr>
          <w:rFonts w:eastAsiaTheme="minorHAnsi"/>
          <w:color w:val="000000"/>
          <w:shd w:val="clear" w:color="auto" w:fill="FFFFFF"/>
          <w:lang w:eastAsia="en-US"/>
        </w:rPr>
        <w:t xml:space="preserve"> </w:t>
      </w:r>
      <w:r w:rsidR="00AC1447" w:rsidRPr="00DA3C38">
        <w:t>10.1111/j.1532-5415.2005.53221.x</w:t>
      </w:r>
    </w:p>
    <w:p w:rsidR="00B15571" w:rsidRPr="00DA3C38" w:rsidRDefault="00407CB7" w:rsidP="00DA3C38">
      <w:pPr>
        <w:pStyle w:val="APARefs"/>
        <w:spacing w:line="480" w:lineRule="auto"/>
      </w:pPr>
      <w:r w:rsidRPr="00DA3C38">
        <w:rPr>
          <w:lang w:val="en-GB"/>
        </w:rPr>
        <w:t>Nordin, S., Elf, M., McKee, K., &amp; Wijk, H. (2015). Assessing the physical environment of older people’s residential care facilities: development of the Swedish version of the Sheffield Care Environment Assessment Matrix (S-SCEAM). </w:t>
      </w:r>
      <w:r w:rsidRPr="00DA3C38">
        <w:rPr>
          <w:i/>
          <w:iCs/>
          <w:lang w:val="en-GB"/>
        </w:rPr>
        <w:t>BMC geriatrics</w:t>
      </w:r>
      <w:r w:rsidRPr="00DA3C38">
        <w:rPr>
          <w:lang w:val="en-GB"/>
        </w:rPr>
        <w:t>, </w:t>
      </w:r>
      <w:r w:rsidRPr="00DA3C38">
        <w:rPr>
          <w:i/>
          <w:iCs/>
          <w:lang w:val="en-GB"/>
        </w:rPr>
        <w:t>15</w:t>
      </w:r>
      <w:r w:rsidR="00B15571" w:rsidRPr="00DA3C38">
        <w:rPr>
          <w:lang w:val="en-GB"/>
        </w:rPr>
        <w:t xml:space="preserve">(1), 3, available at </w:t>
      </w:r>
      <w:r w:rsidR="00B15571" w:rsidRPr="00DA3C38">
        <w:t xml:space="preserve">http://www.biomedcentral.com/1471-2318/15/3 </w:t>
      </w:r>
    </w:p>
    <w:p w:rsidR="00407CB7" w:rsidRPr="00DA3C38" w:rsidRDefault="00730451" w:rsidP="00DA3C38">
      <w:pPr>
        <w:pStyle w:val="APARefs"/>
        <w:spacing w:line="480" w:lineRule="auto"/>
        <w:rPr>
          <w:lang w:val="en-GB"/>
        </w:rPr>
      </w:pPr>
      <w:r w:rsidRPr="00DA3C38">
        <w:rPr>
          <w:lang w:val="en-GB"/>
        </w:rPr>
        <w:t>Nova Southea</w:t>
      </w:r>
      <w:r w:rsidR="006857B7">
        <w:rPr>
          <w:lang w:val="en-GB"/>
        </w:rPr>
        <w:t>ster</w:t>
      </w:r>
      <w:r w:rsidRPr="00DA3C38">
        <w:rPr>
          <w:lang w:val="en-GB"/>
        </w:rPr>
        <w:t xml:space="preserve"> University (January, 2018). </w:t>
      </w:r>
      <w:r w:rsidRPr="006857B7">
        <w:rPr>
          <w:i/>
          <w:lang w:val="en-GB"/>
        </w:rPr>
        <w:t>Criterion related validity</w:t>
      </w:r>
      <w:r w:rsidRPr="00DA3C38">
        <w:rPr>
          <w:lang w:val="en-GB"/>
        </w:rPr>
        <w:t>. Available at http://www.cps.nova.edu/~cpphelp/class/psy0507/critv.html</w:t>
      </w:r>
    </w:p>
    <w:p w:rsidR="00AB0895" w:rsidRPr="00DA3C38" w:rsidRDefault="00AB0895" w:rsidP="00DA3C38">
      <w:pPr>
        <w:pStyle w:val="APARefs"/>
        <w:spacing w:line="480" w:lineRule="auto"/>
        <w:rPr>
          <w:i/>
          <w:iCs/>
          <w:lang w:val="en-US"/>
        </w:rPr>
      </w:pPr>
      <w:r w:rsidRPr="00DA3C38">
        <w:rPr>
          <w:lang w:val="en-US"/>
        </w:rPr>
        <w:t>Oakes,</w:t>
      </w:r>
      <w:r w:rsidR="006B0B48" w:rsidRPr="00DA3C38">
        <w:rPr>
          <w:lang w:val="en-US"/>
        </w:rPr>
        <w:t xml:space="preserve"> J., M., &amp; P., H., Rossi (2003). </w:t>
      </w:r>
      <w:r w:rsidRPr="00DA3C38">
        <w:rPr>
          <w:lang w:val="en-US"/>
        </w:rPr>
        <w:t>The measurement of SES in health research: current practice a</w:t>
      </w:r>
      <w:r w:rsidR="006B0B48" w:rsidRPr="00DA3C38">
        <w:rPr>
          <w:lang w:val="en-US"/>
        </w:rPr>
        <w:t>nd steps toward a new approach.</w:t>
      </w:r>
      <w:r w:rsidRPr="00DA3C38">
        <w:rPr>
          <w:lang w:val="en-US"/>
        </w:rPr>
        <w:t xml:space="preserve"> </w:t>
      </w:r>
      <w:r w:rsidR="007527E9" w:rsidRPr="00DA3C38">
        <w:rPr>
          <w:i/>
          <w:iCs/>
          <w:lang w:val="en-US"/>
        </w:rPr>
        <w:t>Social Science &amp; Medicine, 56</w:t>
      </w:r>
      <w:r w:rsidR="007527E9" w:rsidRPr="00DA3C38">
        <w:rPr>
          <w:iCs/>
          <w:lang w:val="en-US"/>
        </w:rPr>
        <w:t xml:space="preserve">(4), 769-784, doi: </w:t>
      </w:r>
    </w:p>
    <w:p w:rsidR="00C64A07" w:rsidRPr="00DA3C38" w:rsidRDefault="00C64A07" w:rsidP="00DA3C38">
      <w:pPr>
        <w:pStyle w:val="APARefs"/>
        <w:spacing w:line="480" w:lineRule="auto"/>
      </w:pPr>
      <w:r w:rsidRPr="00DA3C38">
        <w:t>Oakes (November, 2017). Measuring Socio Economic Status. Available at</w:t>
      </w:r>
      <w:r w:rsidR="00E64100" w:rsidRPr="00DA3C38">
        <w:t>: http://www.esourceresearch.org/Portals/0/Uploads/Documents/Public/Oakes_FullChapter.pdf</w:t>
      </w:r>
      <w:r w:rsidRPr="00DA3C38">
        <w:t xml:space="preserve"> </w:t>
      </w:r>
    </w:p>
    <w:p w:rsidR="00AC1447" w:rsidRPr="00DA3C38" w:rsidRDefault="00AC1447" w:rsidP="00DA3C38">
      <w:pPr>
        <w:pStyle w:val="APARefs"/>
        <w:spacing w:line="480" w:lineRule="auto"/>
      </w:pPr>
      <w:r w:rsidRPr="00DA3C38">
        <w:t>O'</w:t>
      </w:r>
      <w:r w:rsidR="00C469D4" w:rsidRPr="00DA3C38">
        <w:t xml:space="preserve"> </w:t>
      </w:r>
      <w:r w:rsidRPr="00DA3C38">
        <w:t xml:space="preserve">Connor, M. L. (2010). How does mobility change over time for older adults, and how are changes influenced by cognitive functioning? Available at </w:t>
      </w:r>
      <w:hyperlink r:id="rId55" w:history="1">
        <w:r w:rsidRPr="00DA3C38">
          <w:rPr>
            <w:rStyle w:val="Hyperlink"/>
            <w:lang w:val="en-GB"/>
          </w:rPr>
          <w:t>http://scholarcommons.usf.edu/etd/1728</w:t>
        </w:r>
      </w:hyperlink>
    </w:p>
    <w:p w:rsidR="00AC1447" w:rsidRPr="00DA3C38" w:rsidRDefault="00AC1447" w:rsidP="00DA3C38">
      <w:pPr>
        <w:pStyle w:val="APARefs"/>
        <w:spacing w:line="480" w:lineRule="auto"/>
        <w:rPr>
          <w:bCs/>
        </w:rPr>
      </w:pPr>
      <w:r w:rsidRPr="00DA3C38">
        <w:t xml:space="preserve">OECD </w:t>
      </w:r>
      <w:r w:rsidRPr="00DA3C38">
        <w:rPr>
          <w:bCs/>
        </w:rPr>
        <w:t xml:space="preserve">(2013). </w:t>
      </w:r>
      <w:r w:rsidRPr="00DA3C38">
        <w:t xml:space="preserve">The Survey of Adult Skills: Reader’s Companion, </w:t>
      </w:r>
      <w:r w:rsidRPr="00DA3C38">
        <w:rPr>
          <w:bCs/>
        </w:rPr>
        <w:t xml:space="preserve">OECD Publishing. </w:t>
      </w:r>
      <w:r w:rsidRPr="00DA3C38">
        <w:t>Available athttp://dx.doi.org/10.1787/9789264204027-en</w:t>
      </w:r>
    </w:p>
    <w:p w:rsidR="00AC1447" w:rsidRPr="00DA3C38" w:rsidRDefault="00AC1447" w:rsidP="00DA3C38">
      <w:pPr>
        <w:pStyle w:val="APARefs"/>
        <w:spacing w:line="480" w:lineRule="auto"/>
      </w:pPr>
      <w:r w:rsidRPr="00DA3C38">
        <w:t>OECD (2014</w:t>
      </w:r>
      <w:r w:rsidRPr="00DA3C38">
        <w:rPr>
          <w:vertAlign w:val="subscript"/>
        </w:rPr>
        <w:t>a</w:t>
      </w:r>
      <w:r w:rsidRPr="00DA3C38">
        <w:t>). Mortality assumptions and longevity risk: Implications for pensions and funds and annuity providers. OECS publishing. Available at http://www.keepeek.com/Digital-Asset-Management/oecd/finance-and-investment/mortality-assumptions-and-longevity-risk_9789264222748-en#page1</w:t>
      </w:r>
    </w:p>
    <w:p w:rsidR="00AC1447" w:rsidRPr="00DA3C38" w:rsidRDefault="00AC1447" w:rsidP="00DA3C38">
      <w:pPr>
        <w:pStyle w:val="APARefs"/>
        <w:spacing w:line="480" w:lineRule="auto"/>
      </w:pPr>
      <w:r w:rsidRPr="00DA3C38">
        <w:t>OECD (2014</w:t>
      </w:r>
      <w:r w:rsidRPr="00DA3C38">
        <w:rPr>
          <w:vertAlign w:val="subscript"/>
        </w:rPr>
        <w:t>b</w:t>
      </w:r>
      <w:r w:rsidRPr="00DA3C38">
        <w:t>). OECD Pension outlook 2014. OECD Publishing, doi: 10.1787/9789264222687-en</w:t>
      </w:r>
    </w:p>
    <w:p w:rsidR="00E75219" w:rsidRPr="00DA3C38" w:rsidRDefault="00E75219" w:rsidP="00DA3C38">
      <w:pPr>
        <w:pStyle w:val="APARefs"/>
        <w:spacing w:line="480" w:lineRule="auto"/>
        <w:rPr>
          <w:b/>
        </w:rPr>
      </w:pPr>
      <w:r w:rsidRPr="00DA3C38">
        <w:rPr>
          <w:lang w:val="en-GB"/>
        </w:rPr>
        <w:t xml:space="preserve">OECD (2017). </w:t>
      </w:r>
      <w:r w:rsidR="00EF466E" w:rsidRPr="00DA3C38">
        <w:t>Population ageing and rising inequality will hit younger generations hard. Available at: http://www.oecd.org/pensions/population-ageing-and-rising-inequality-will-hit-younger-generations-hard.htm</w:t>
      </w:r>
    </w:p>
    <w:p w:rsidR="00AC1447" w:rsidRPr="00DA3C38" w:rsidRDefault="00AC1447" w:rsidP="00DA3C38">
      <w:pPr>
        <w:pStyle w:val="APARefs"/>
        <w:spacing w:line="480" w:lineRule="auto"/>
      </w:pPr>
      <w:r w:rsidRPr="00DA3C38">
        <w:t xml:space="preserve">Oguma, Y., &amp; Shinoda-Tagawa, T. (2004). Physical activity decreases cardiovascular disease risk in women: Review and meta-analysis. </w:t>
      </w:r>
      <w:r w:rsidRPr="00DA3C38">
        <w:rPr>
          <w:i/>
        </w:rPr>
        <w:t>American Journal of Preventive Medicine, 26</w:t>
      </w:r>
      <w:r w:rsidRPr="00DA3C38">
        <w:t>, 407–418.</w:t>
      </w:r>
    </w:p>
    <w:p w:rsidR="00AC1447" w:rsidRPr="00DA3C38" w:rsidRDefault="00AC1447" w:rsidP="00DA3C38">
      <w:pPr>
        <w:pStyle w:val="APARefs"/>
        <w:spacing w:line="480" w:lineRule="auto"/>
      </w:pPr>
      <w:r w:rsidRPr="00DA3C38">
        <w:t xml:space="preserve">Ortapamuk, H., &amp; Naldoken, S. (2006). Brain perfusion abnormalities in chronic obstructive pulmonary disease: Comparison with cognitive impairment. </w:t>
      </w:r>
      <w:r w:rsidRPr="00DA3C38">
        <w:rPr>
          <w:i/>
        </w:rPr>
        <w:t>Annals of Nuclear Medicine, 20</w:t>
      </w:r>
      <w:r w:rsidRPr="00DA3C38">
        <w:t>, 99–106.</w:t>
      </w:r>
    </w:p>
    <w:p w:rsidR="00AC1447" w:rsidRPr="00DA3C38" w:rsidRDefault="00AC1447" w:rsidP="00DA3C38">
      <w:pPr>
        <w:pStyle w:val="APARefs"/>
        <w:spacing w:line="480" w:lineRule="auto"/>
      </w:pPr>
      <w:r w:rsidRPr="00DA3C38">
        <w:t>Owsley, C., Sloane, M., McGwin, G., Jr., &amp; Ball, K. (2002). Timed instru</w:t>
      </w:r>
      <w:r w:rsidRPr="00DA3C38">
        <w:softHyphen/>
        <w:t>mental activities of daily living tasks: Relationship to cognitive func</w:t>
      </w:r>
      <w:r w:rsidRPr="00DA3C38">
        <w:softHyphen/>
        <w:t xml:space="preserve">tion and everyday performance assessments in older adults. </w:t>
      </w:r>
      <w:r w:rsidRPr="00DA3C38">
        <w:rPr>
          <w:i/>
          <w:iCs/>
        </w:rPr>
        <w:t>Gerontology</w:t>
      </w:r>
      <w:r w:rsidRPr="00DA3C38">
        <w:t xml:space="preserve">, </w:t>
      </w:r>
      <w:r w:rsidRPr="00DA3C38">
        <w:rPr>
          <w:i/>
          <w:iCs/>
        </w:rPr>
        <w:t>48</w:t>
      </w:r>
      <w:r w:rsidRPr="00DA3C38">
        <w:t>, 254–265, doi: 10.1159/000058360</w:t>
      </w:r>
    </w:p>
    <w:p w:rsidR="00AC1447" w:rsidRPr="00DA3C38" w:rsidRDefault="00AC1447" w:rsidP="00DA3C38">
      <w:pPr>
        <w:pStyle w:val="APARefs"/>
        <w:spacing w:line="480" w:lineRule="auto"/>
      </w:pPr>
      <w:r w:rsidRPr="00DA3C38">
        <w:t>Park, D.</w:t>
      </w:r>
      <w:r w:rsidR="00C469D4" w:rsidRPr="00DA3C38">
        <w:t>,</w:t>
      </w:r>
      <w:r w:rsidRPr="00DA3C38">
        <w:t xml:space="preserve"> C., &amp; Reuter –Lorenz, P.</w:t>
      </w:r>
      <w:r w:rsidR="00C469D4" w:rsidRPr="00DA3C38">
        <w:t>,</w:t>
      </w:r>
      <w:r w:rsidRPr="00DA3C38">
        <w:t xml:space="preserve"> A. (2009). The adaptive brain: Ageing and neurocogntive scallfolding. </w:t>
      </w:r>
      <w:r w:rsidRPr="00DA3C38">
        <w:rPr>
          <w:i/>
        </w:rPr>
        <w:t>Annual Review of Psychology, 60</w:t>
      </w:r>
      <w:r w:rsidRPr="00DA3C38">
        <w:t>, 173-196,  10.1146/annurev.psych.59.103006.093656</w:t>
      </w:r>
    </w:p>
    <w:p w:rsidR="001B61E9" w:rsidRPr="00DA3C38" w:rsidRDefault="001B61E9" w:rsidP="00DA3C38">
      <w:pPr>
        <w:pStyle w:val="APARefs"/>
        <w:spacing w:line="480" w:lineRule="auto"/>
        <w:rPr>
          <w:lang w:val="en-US"/>
        </w:rPr>
      </w:pPr>
      <w:r w:rsidRPr="00DA3C38">
        <w:rPr>
          <w:lang w:val="en-US"/>
        </w:rPr>
        <w:t>Peel, N., Bartlett, H., &amp; McClure, R. (2004). Healthy ageing: how is it defined and measured?. </w:t>
      </w:r>
      <w:r w:rsidRPr="00DA3C38">
        <w:rPr>
          <w:i/>
          <w:iCs/>
          <w:lang w:val="en-US"/>
        </w:rPr>
        <w:t>Australasian Journal on Ageing</w:t>
      </w:r>
      <w:r w:rsidRPr="00DA3C38">
        <w:rPr>
          <w:lang w:val="en-US"/>
        </w:rPr>
        <w:t>, </w:t>
      </w:r>
      <w:r w:rsidRPr="00DA3C38">
        <w:rPr>
          <w:i/>
          <w:iCs/>
          <w:lang w:val="en-US"/>
        </w:rPr>
        <w:t>23</w:t>
      </w:r>
      <w:r w:rsidRPr="00DA3C38">
        <w:rPr>
          <w:lang w:val="en-US"/>
        </w:rPr>
        <w:t>(3), 115-119</w:t>
      </w:r>
    </w:p>
    <w:p w:rsidR="00AC1447" w:rsidRPr="00DA3C38" w:rsidRDefault="00AC1447" w:rsidP="00DA3C38">
      <w:pPr>
        <w:pStyle w:val="APARefs"/>
        <w:spacing w:line="480" w:lineRule="auto"/>
      </w:pPr>
      <w:r w:rsidRPr="00DA3C38">
        <w:t>Pereira, F.</w:t>
      </w:r>
      <w:r w:rsidR="00C469D4" w:rsidRPr="00DA3C38">
        <w:t>,</w:t>
      </w:r>
      <w:r w:rsidRPr="00DA3C38">
        <w:t xml:space="preserve"> S., Yassuda, M.</w:t>
      </w:r>
      <w:r w:rsidR="00C469D4" w:rsidRPr="00DA3C38">
        <w:t>,</w:t>
      </w:r>
      <w:r w:rsidRPr="00DA3C38">
        <w:t xml:space="preserve"> S., Oliveira, A.</w:t>
      </w:r>
      <w:r w:rsidR="00C469D4" w:rsidRPr="00DA3C38">
        <w:t>,</w:t>
      </w:r>
      <w:r w:rsidRPr="00DA3C38">
        <w:t xml:space="preserve"> M. &amp; Florenza, O.</w:t>
      </w:r>
      <w:r w:rsidR="00C469D4" w:rsidRPr="00DA3C38">
        <w:t>,</w:t>
      </w:r>
      <w:r w:rsidRPr="00DA3C38">
        <w:t xml:space="preserve"> V. (2008). Executive dysfunction correlates with impaired functional status in older adults with varying degrees of cognitive impairment. </w:t>
      </w:r>
      <w:r w:rsidRPr="00DA3C38">
        <w:rPr>
          <w:i/>
          <w:iCs/>
        </w:rPr>
        <w:t xml:space="preserve">International Psychogeriatrics, </w:t>
      </w:r>
      <w:r w:rsidRPr="00DA3C38">
        <w:rPr>
          <w:i/>
        </w:rPr>
        <w:t>20</w:t>
      </w:r>
      <w:r w:rsidRPr="00DA3C38">
        <w:t>(6), 1104–1115, doi:10.1017/S1041610208007631</w:t>
      </w:r>
    </w:p>
    <w:p w:rsidR="00AC1447" w:rsidRPr="00E041BC" w:rsidRDefault="00AC1447" w:rsidP="00DA3C38">
      <w:pPr>
        <w:pStyle w:val="APARefs"/>
        <w:spacing w:line="480" w:lineRule="auto"/>
        <w:rPr>
          <w:lang w:val="de-DE"/>
        </w:rPr>
      </w:pPr>
      <w:r w:rsidRPr="00DA3C38">
        <w:t>Perry, B.</w:t>
      </w:r>
      <w:r w:rsidR="00C469D4" w:rsidRPr="00DA3C38">
        <w:t>,</w:t>
      </w:r>
      <w:r w:rsidRPr="00DA3C38">
        <w:t xml:space="preserve"> D. (2002). Childhood experience and the expression of genetic potential: What childhood neglect tells us about nature and nurture? </w:t>
      </w:r>
      <w:r w:rsidRPr="00E041BC">
        <w:rPr>
          <w:i/>
          <w:lang w:val="de-DE"/>
        </w:rPr>
        <w:t>Brain Mind, 3</w:t>
      </w:r>
      <w:r w:rsidRPr="00E041BC">
        <w:rPr>
          <w:lang w:val="de-DE"/>
        </w:rPr>
        <w:t>, 79-100, doi: 10.1023/A:1016557824657</w:t>
      </w:r>
    </w:p>
    <w:p w:rsidR="00AC1447" w:rsidRPr="00DA3C38" w:rsidRDefault="00AC1447" w:rsidP="00DA3C38">
      <w:pPr>
        <w:pStyle w:val="APARefs"/>
        <w:spacing w:line="480" w:lineRule="auto"/>
      </w:pPr>
      <w:r w:rsidRPr="00E041BC">
        <w:rPr>
          <w:lang w:val="de-DE"/>
        </w:rPr>
        <w:t>Persson, J., Lustig, C., Nelson J.</w:t>
      </w:r>
      <w:r w:rsidR="00DD2B18" w:rsidRPr="00E041BC">
        <w:rPr>
          <w:lang w:val="de-DE"/>
        </w:rPr>
        <w:t>,</w:t>
      </w:r>
      <w:r w:rsidRPr="00E041BC">
        <w:rPr>
          <w:lang w:val="de-DE"/>
        </w:rPr>
        <w:t xml:space="preserve"> K., &amp; Reuter-Lorenz, P.</w:t>
      </w:r>
      <w:r w:rsidR="00DD2B18" w:rsidRPr="00E041BC">
        <w:rPr>
          <w:lang w:val="de-DE"/>
        </w:rPr>
        <w:t xml:space="preserve">, </w:t>
      </w:r>
      <w:r w:rsidRPr="00E041BC">
        <w:rPr>
          <w:lang w:val="de-DE"/>
        </w:rPr>
        <w:t xml:space="preserve">A. (2007). </w:t>
      </w:r>
      <w:r w:rsidRPr="00DA3C38">
        <w:t>Age differences in deactivation: a link to cognitive control? </w:t>
      </w:r>
      <w:r w:rsidRPr="00DA3C38">
        <w:rPr>
          <w:i/>
        </w:rPr>
        <w:t>Journal of Cognitive Neuroscience, 19</w:t>
      </w:r>
      <w:r w:rsidRPr="00DA3C38">
        <w:t>(6), 1021–1032.</w:t>
      </w:r>
    </w:p>
    <w:p w:rsidR="00AC1447" w:rsidRPr="00DA3C38" w:rsidRDefault="00AC1447" w:rsidP="00DA3C38">
      <w:pPr>
        <w:pStyle w:val="APARefs"/>
        <w:spacing w:line="480" w:lineRule="auto"/>
      </w:pPr>
      <w:r w:rsidRPr="00DA3C38">
        <w:t>Petersen</w:t>
      </w:r>
      <w:r w:rsidR="009B2C71" w:rsidRPr="00DA3C38">
        <w:t>,</w:t>
      </w:r>
      <w:r w:rsidRPr="00DA3C38">
        <w:t xml:space="preserve"> R.</w:t>
      </w:r>
      <w:r w:rsidR="009B2C71" w:rsidRPr="00DA3C38">
        <w:t>,</w:t>
      </w:r>
      <w:r w:rsidRPr="00DA3C38">
        <w:t xml:space="preserve"> C. (2004). Mild cognitive impairment as a diagnostic entity. </w:t>
      </w:r>
      <w:r w:rsidRPr="00DA3C38">
        <w:rPr>
          <w:i/>
        </w:rPr>
        <w:t>Journal of Internal Medicine, 256</w:t>
      </w:r>
      <w:r w:rsidRPr="00DA3C38">
        <w:t>, 183-194</w:t>
      </w:r>
    </w:p>
    <w:p w:rsidR="00AC1447" w:rsidRPr="00DA3C38" w:rsidRDefault="00AC1447" w:rsidP="00DA3C38">
      <w:pPr>
        <w:pStyle w:val="APARefs"/>
        <w:spacing w:line="480" w:lineRule="auto"/>
      </w:pPr>
      <w:r w:rsidRPr="00DA3C38">
        <w:t>Peterson R.</w:t>
      </w:r>
      <w:r w:rsidR="00C469D4" w:rsidRPr="00DA3C38">
        <w:t>,</w:t>
      </w:r>
      <w:r w:rsidRPr="00DA3C38">
        <w:t xml:space="preserve"> A, &amp; Brown S.</w:t>
      </w:r>
      <w:r w:rsidR="00C469D4" w:rsidRPr="00DA3C38">
        <w:t>,</w:t>
      </w:r>
      <w:r w:rsidRPr="00DA3C38">
        <w:t xml:space="preserve"> P. (2005). On the use of beta coefficients in meta-analysis. </w:t>
      </w:r>
      <w:r w:rsidRPr="00DA3C38">
        <w:rPr>
          <w:i/>
        </w:rPr>
        <w:t>Journal of Applied  Psychology,  90</w:t>
      </w:r>
      <w:r w:rsidRPr="00DA3C38">
        <w:t>,  175–181, doi: 10.1037/0021-9010.90.1.175</w:t>
      </w:r>
    </w:p>
    <w:p w:rsidR="00AC1447" w:rsidRPr="00DA3C38" w:rsidRDefault="00AC1447" w:rsidP="00DA3C38">
      <w:pPr>
        <w:pStyle w:val="APARefs"/>
        <w:spacing w:line="480" w:lineRule="auto"/>
      </w:pPr>
      <w:r w:rsidRPr="00DA3C38">
        <w:t xml:space="preserve">Pinquart, M., &amp; Sorensen, S. (2011). Spouses, adult children, and children in law as caregivers of older adults. A meta-analytic comparison. </w:t>
      </w:r>
      <w:r w:rsidRPr="00DA3C38">
        <w:rPr>
          <w:i/>
        </w:rPr>
        <w:t>Psychology and Ageing, 26</w:t>
      </w:r>
      <w:r w:rsidRPr="00DA3C38">
        <w:t>(1), 1-14</w:t>
      </w:r>
    </w:p>
    <w:p w:rsidR="00284D60" w:rsidRPr="00DA3C38" w:rsidRDefault="00284D60" w:rsidP="00DA3C38">
      <w:pPr>
        <w:pStyle w:val="APARefs"/>
        <w:spacing w:line="480" w:lineRule="auto"/>
        <w:rPr>
          <w:lang w:val="en-GB"/>
        </w:rPr>
      </w:pPr>
      <w:r w:rsidRPr="00DA3C38">
        <w:rPr>
          <w:lang w:val="en-GB"/>
        </w:rPr>
        <w:t>Ponterotto, J. G., &amp; Ruckdeschel, D. E. (2007). An overview of coefficient alpha and a reliability matrix for estimating adequacy of internal consistency coefficients with psychological research measures. </w:t>
      </w:r>
      <w:r w:rsidRPr="00DA3C38">
        <w:rPr>
          <w:i/>
          <w:iCs/>
          <w:lang w:val="en-GB"/>
        </w:rPr>
        <w:t>Perceptual and motor skills</w:t>
      </w:r>
      <w:r w:rsidRPr="00DA3C38">
        <w:rPr>
          <w:lang w:val="en-GB"/>
        </w:rPr>
        <w:t>, </w:t>
      </w:r>
      <w:r w:rsidRPr="00DA3C38">
        <w:rPr>
          <w:i/>
          <w:iCs/>
          <w:lang w:val="en-GB"/>
        </w:rPr>
        <w:t>105</w:t>
      </w:r>
      <w:r w:rsidRPr="00DA3C38">
        <w:rPr>
          <w:lang w:val="en-GB"/>
        </w:rPr>
        <w:t>(3), 997-1014, doi:10.2466/PMS.105.3.997-1014</w:t>
      </w:r>
    </w:p>
    <w:p w:rsidR="00AC1447" w:rsidRPr="00DA3C38" w:rsidRDefault="00AC1447" w:rsidP="00DA3C38">
      <w:pPr>
        <w:pStyle w:val="APARefs"/>
        <w:spacing w:line="480" w:lineRule="auto"/>
      </w:pPr>
      <w:r w:rsidRPr="00DA3C38">
        <w:t>Population Reference Bureau (November, 2016</w:t>
      </w:r>
      <w:r w:rsidR="00C33364" w:rsidRPr="00DA3C38">
        <w:t>a</w:t>
      </w:r>
      <w:r w:rsidRPr="00DA3C38">
        <w:t>). More of us on track to reach age 100: genes, habits, baboons examined for longevity clues. Available at: http://www.prb.org/Publications/Articles/2011/biodemography.aspx</w:t>
      </w:r>
    </w:p>
    <w:p w:rsidR="00AC1447" w:rsidRPr="00DA3C38" w:rsidRDefault="00AC1447" w:rsidP="00DA3C38">
      <w:pPr>
        <w:pStyle w:val="APARefs"/>
        <w:spacing w:line="480" w:lineRule="auto"/>
      </w:pPr>
      <w:r w:rsidRPr="00DA3C38">
        <w:t>Population Reference Bureau</w:t>
      </w:r>
      <w:r w:rsidRPr="00DA3C38">
        <w:rPr>
          <w:i/>
        </w:rPr>
        <w:t xml:space="preserve"> </w:t>
      </w:r>
      <w:r w:rsidRPr="00DA3C38">
        <w:t>(November, 2016</w:t>
      </w:r>
      <w:r w:rsidR="00C33364" w:rsidRPr="00DA3C38">
        <w:t>b</w:t>
      </w:r>
      <w:r w:rsidRPr="00DA3C38">
        <w:t>). Fact sheet: The decline in U.S. Fertility. Available at: http://www.prb.org/publications/datasheets/2012/world-population-data-sheet/fact-sheet-us-population.aspx</w:t>
      </w:r>
    </w:p>
    <w:p w:rsidR="00AC1447" w:rsidRPr="00DA3C38" w:rsidRDefault="00AC1447" w:rsidP="00DA3C38">
      <w:pPr>
        <w:pStyle w:val="APARefs"/>
        <w:spacing w:line="480" w:lineRule="auto"/>
      </w:pPr>
      <w:r w:rsidRPr="00DA3C38">
        <w:t>Price, C.</w:t>
      </w:r>
      <w:r w:rsidR="00AC7688" w:rsidRPr="00DA3C38">
        <w:t>,</w:t>
      </w:r>
      <w:r w:rsidRPr="00DA3C38">
        <w:t xml:space="preserve"> C., Garrett, K.</w:t>
      </w:r>
      <w:r w:rsidR="00AC7688" w:rsidRPr="00DA3C38">
        <w:t>,</w:t>
      </w:r>
      <w:r w:rsidRPr="00DA3C38">
        <w:t xml:space="preserve"> D., Jefferson, A.</w:t>
      </w:r>
      <w:r w:rsidR="00AC7688" w:rsidRPr="00DA3C38">
        <w:t>,</w:t>
      </w:r>
      <w:r w:rsidRPr="00DA3C38">
        <w:t xml:space="preserve"> L., Cosentino, S., Tanner, J.</w:t>
      </w:r>
      <w:r w:rsidR="00AC7688" w:rsidRPr="00DA3C38">
        <w:t xml:space="preserve">, J., Penney, D., </w:t>
      </w:r>
      <w:r w:rsidRPr="00DA3C38">
        <w:t xml:space="preserve">L., et al. (2009). Leukoaraiosis severity and list-learning in dementia. </w:t>
      </w:r>
      <w:r w:rsidRPr="00DA3C38">
        <w:rPr>
          <w:i/>
        </w:rPr>
        <w:t>The Clinical Neuropsychologist, 23</w:t>
      </w:r>
      <w:r w:rsidRPr="00DA3C38">
        <w:t>, 944–961, doi:10.1080/13854040802681664</w:t>
      </w:r>
    </w:p>
    <w:p w:rsidR="00AC74FC" w:rsidRPr="00DA3C38" w:rsidRDefault="007E4B89" w:rsidP="00DA3C38">
      <w:pPr>
        <w:pStyle w:val="APARefs"/>
        <w:spacing w:line="480" w:lineRule="auto"/>
        <w:rPr>
          <w:lang w:val="en-US"/>
        </w:rPr>
      </w:pPr>
      <w:r w:rsidRPr="00DA3C38">
        <w:rPr>
          <w:lang w:val="en-US"/>
        </w:rPr>
        <w:t>Prince, S. A., Adamo, K. B., Hamel, M. E., Hardt, J., Gorber, S. C., &amp; Tremblay, M. (2008). A comparison of direct versus self-report measures for assessing physical activity in adults: a systematic review. </w:t>
      </w:r>
      <w:r w:rsidRPr="00DA3C38">
        <w:rPr>
          <w:i/>
          <w:iCs/>
          <w:lang w:val="en-US"/>
        </w:rPr>
        <w:t>International Journal of Behavioral Nutrition and Physical Activity</w:t>
      </w:r>
      <w:r w:rsidRPr="00DA3C38">
        <w:rPr>
          <w:lang w:val="en-US"/>
        </w:rPr>
        <w:t>, </w:t>
      </w:r>
      <w:r w:rsidRPr="00DA3C38">
        <w:rPr>
          <w:i/>
          <w:iCs/>
          <w:lang w:val="en-US"/>
        </w:rPr>
        <w:t>5</w:t>
      </w:r>
      <w:r w:rsidR="004A4B22" w:rsidRPr="00DA3C38">
        <w:rPr>
          <w:lang w:val="en-US"/>
        </w:rPr>
        <w:t>(1), 56, doi:10.1186/1479-5868-5-56</w:t>
      </w:r>
    </w:p>
    <w:p w:rsidR="00AC1447" w:rsidRPr="00DA3C38" w:rsidRDefault="00AC1447" w:rsidP="00DA3C38">
      <w:pPr>
        <w:pStyle w:val="APARefs"/>
        <w:spacing w:line="480" w:lineRule="auto"/>
      </w:pPr>
      <w:r w:rsidRPr="00DA3C38">
        <w:t>Randolph, C. (1998). Repeatable battery for the assessment of neuropsychological status. San Antonio, TX: The Psychological Corporation</w:t>
      </w:r>
    </w:p>
    <w:p w:rsidR="00AC1447" w:rsidRPr="00DA3C38" w:rsidRDefault="00AC1447" w:rsidP="00DA3C38">
      <w:pPr>
        <w:pStyle w:val="APARefs"/>
        <w:spacing w:line="480" w:lineRule="auto"/>
      </w:pPr>
      <w:r w:rsidRPr="00DA3C38">
        <w:t xml:space="preserve">Ratcliff, R., Thapar, A., &amp; McKoon, G. (2001). The effect of ageing on reaction time in a signal detection task. </w:t>
      </w:r>
      <w:r w:rsidRPr="00DA3C38">
        <w:rPr>
          <w:i/>
        </w:rPr>
        <w:t>Psychology and Ageing, 16</w:t>
      </w:r>
      <w:r w:rsidRPr="00DA3C38">
        <w:t>, 323-41</w:t>
      </w:r>
    </w:p>
    <w:p w:rsidR="00AC1447" w:rsidRPr="00DA3C38" w:rsidRDefault="00AC1447" w:rsidP="00DA3C38">
      <w:pPr>
        <w:pStyle w:val="APARefs"/>
        <w:spacing w:line="480" w:lineRule="auto"/>
      </w:pPr>
      <w:r w:rsidRPr="00DA3C38">
        <w:t>Reitan R.</w:t>
      </w:r>
      <w:r w:rsidR="00AC7688" w:rsidRPr="00DA3C38">
        <w:t>,</w:t>
      </w:r>
      <w:r w:rsidRPr="00DA3C38">
        <w:t xml:space="preserve"> M.,Wolfson, D. (1985). </w:t>
      </w:r>
      <w:r w:rsidRPr="00DA3C38">
        <w:rPr>
          <w:i/>
        </w:rPr>
        <w:t>The Halstead—Reitan Neuropsychological Test Battery</w:t>
      </w:r>
      <w:r w:rsidRPr="00DA3C38">
        <w:t xml:space="preserve">. Neuropsychology Press: Tucson </w:t>
      </w:r>
    </w:p>
    <w:p w:rsidR="00374861" w:rsidRPr="00DA3C38" w:rsidRDefault="00374861" w:rsidP="00DA3C38">
      <w:pPr>
        <w:pStyle w:val="APARefs"/>
        <w:spacing w:line="480" w:lineRule="auto"/>
        <w:rPr>
          <w:lang w:val="en-GB"/>
        </w:rPr>
      </w:pPr>
      <w:r w:rsidRPr="00DA3C38">
        <w:t xml:space="preserve">Reporting Standards for Research in Psychology (2008). </w:t>
      </w:r>
      <w:r w:rsidRPr="00DA3C38">
        <w:rPr>
          <w:lang w:val="en-GB"/>
        </w:rPr>
        <w:t>Journal Article Reporting Standards (JARS), Meta-Analysis Reporting Standards (MARS), and Flow of Participants Through Each Stage of an Experiment or Quasi-Experiment. Available at: http://www.apastyle.org/manual/related/JARS-MARS.pdf</w:t>
      </w:r>
    </w:p>
    <w:p w:rsidR="00AC1447" w:rsidRPr="00DA3C38" w:rsidRDefault="00AC1447" w:rsidP="00DA3C38">
      <w:pPr>
        <w:pStyle w:val="APARefs"/>
        <w:spacing w:line="480" w:lineRule="auto"/>
      </w:pPr>
      <w:r w:rsidRPr="00E041BC">
        <w:rPr>
          <w:lang w:val="sv-SE"/>
        </w:rPr>
        <w:t>Reppermund, S., Sachdev, P.</w:t>
      </w:r>
      <w:r w:rsidR="00AC7688" w:rsidRPr="00E041BC">
        <w:rPr>
          <w:lang w:val="sv-SE"/>
        </w:rPr>
        <w:t xml:space="preserve">, </w:t>
      </w:r>
      <w:r w:rsidRPr="00E041BC">
        <w:rPr>
          <w:lang w:val="sv-SE"/>
        </w:rPr>
        <w:t>S., Crawford, J., Kochan, N.</w:t>
      </w:r>
      <w:r w:rsidR="00AC7688" w:rsidRPr="00E041BC">
        <w:rPr>
          <w:lang w:val="sv-SE"/>
        </w:rPr>
        <w:t xml:space="preserve">, </w:t>
      </w:r>
      <w:r w:rsidRPr="00E041BC">
        <w:rPr>
          <w:lang w:val="sv-SE"/>
        </w:rPr>
        <w:t>A., Slavin, M.</w:t>
      </w:r>
      <w:r w:rsidR="00AC7688" w:rsidRPr="00E041BC">
        <w:rPr>
          <w:lang w:val="sv-SE"/>
        </w:rPr>
        <w:t xml:space="preserve">, </w:t>
      </w:r>
      <w:r w:rsidRPr="00E041BC">
        <w:rPr>
          <w:lang w:val="sv-SE"/>
        </w:rPr>
        <w:t xml:space="preserve">J., Kang, K. et al. </w:t>
      </w:r>
      <w:r w:rsidRPr="00DA3C38">
        <w:t xml:space="preserve">(2010). The relationship of neuropsychological function to instrumental activities of daily living in mild cognitive impairement. </w:t>
      </w:r>
      <w:r w:rsidRPr="00DA3C38">
        <w:rPr>
          <w:i/>
        </w:rPr>
        <w:t xml:space="preserve">Geriatric Psychiatry, </w:t>
      </w:r>
      <w:r w:rsidRPr="00DA3C38">
        <w:t>26, 843-852</w:t>
      </w:r>
    </w:p>
    <w:p w:rsidR="00EF3E13" w:rsidRPr="00DA3C38" w:rsidRDefault="00EF3E13" w:rsidP="00DA3C38">
      <w:pPr>
        <w:pStyle w:val="APARefs"/>
        <w:spacing w:line="480" w:lineRule="auto"/>
        <w:rPr>
          <w:iCs/>
          <w:lang w:val="en-US"/>
        </w:rPr>
      </w:pPr>
      <w:r w:rsidRPr="00DA3C38">
        <w:rPr>
          <w:iCs/>
          <w:lang w:val="en-US"/>
        </w:rPr>
        <w:t>Pfefferbaum, A., &amp; Sullivan, E. V. (2015). Cross-sectional versus longitudinal estimates of age-related changes in the adult brain: overlaps and discrepancies. </w:t>
      </w:r>
      <w:r w:rsidRPr="00DA3C38">
        <w:rPr>
          <w:i/>
          <w:iCs/>
          <w:lang w:val="en-US"/>
        </w:rPr>
        <w:t>Neurobiology of Aging</w:t>
      </w:r>
      <w:r w:rsidRPr="00DA3C38">
        <w:rPr>
          <w:iCs/>
          <w:lang w:val="en-US"/>
        </w:rPr>
        <w:t>, </w:t>
      </w:r>
      <w:r w:rsidRPr="00DA3C38">
        <w:rPr>
          <w:i/>
          <w:iCs/>
          <w:lang w:val="en-US"/>
        </w:rPr>
        <w:t>36</w:t>
      </w:r>
      <w:r w:rsidRPr="00DA3C38">
        <w:rPr>
          <w:iCs/>
          <w:lang w:val="en-US"/>
        </w:rPr>
        <w:t>(9), 2563–2567. http://doi.org/10.1016/j.neurobiolaging.2015.05.005</w:t>
      </w:r>
    </w:p>
    <w:p w:rsidR="00F26F9C" w:rsidRPr="00E041BC" w:rsidRDefault="009A1BB1" w:rsidP="00DA3C38">
      <w:pPr>
        <w:pStyle w:val="APARefs"/>
        <w:spacing w:line="480" w:lineRule="auto"/>
        <w:rPr>
          <w:iCs/>
          <w:lang w:val="fr-FR"/>
        </w:rPr>
      </w:pPr>
      <w:r w:rsidRPr="00DA3C38">
        <w:rPr>
          <w:iCs/>
          <w:lang w:val="en-US"/>
        </w:rPr>
        <w:t>Richard</w:t>
      </w:r>
      <w:r w:rsidR="00F26F9C" w:rsidRPr="00DA3C38">
        <w:rPr>
          <w:iCs/>
          <w:lang w:val="en-US"/>
        </w:rPr>
        <w:t>, M., Hardy, R., &amp; Wadsworth, M. E. (2003). Does active leisure protect cognition? Evidence from a national birth cohort. </w:t>
      </w:r>
      <w:r w:rsidR="00F26F9C" w:rsidRPr="00E041BC">
        <w:rPr>
          <w:i/>
          <w:iCs/>
          <w:lang w:val="fr-FR"/>
        </w:rPr>
        <w:t>Social science &amp; medicine</w:t>
      </w:r>
      <w:r w:rsidR="00F26F9C" w:rsidRPr="00E041BC">
        <w:rPr>
          <w:iCs/>
          <w:lang w:val="fr-FR"/>
        </w:rPr>
        <w:t>, </w:t>
      </w:r>
      <w:r w:rsidR="00F26F9C" w:rsidRPr="00E041BC">
        <w:rPr>
          <w:i/>
          <w:iCs/>
          <w:lang w:val="fr-FR"/>
        </w:rPr>
        <w:t>56</w:t>
      </w:r>
      <w:r w:rsidR="009A6B44" w:rsidRPr="00E041BC">
        <w:rPr>
          <w:iCs/>
          <w:lang w:val="fr-FR"/>
        </w:rPr>
        <w:t>(4), 785-792</w:t>
      </w:r>
    </w:p>
    <w:p w:rsidR="006D3961" w:rsidRPr="00DA3C38" w:rsidRDefault="006D3961" w:rsidP="00DA3C38">
      <w:pPr>
        <w:pStyle w:val="APARefs"/>
        <w:spacing w:line="480" w:lineRule="auto"/>
        <w:rPr>
          <w:iCs/>
          <w:lang w:val="en-US"/>
        </w:rPr>
      </w:pPr>
      <w:r w:rsidRPr="00E041BC">
        <w:rPr>
          <w:iCs/>
          <w:lang w:val="fr-FR"/>
        </w:rPr>
        <w:t xml:space="preserve">Richard, L., Gauvin, L., Kestens, Y., Shatenstein, B., Payette, H., Daniel, M., </w:t>
      </w:r>
      <w:r w:rsidR="009A1BB1" w:rsidRPr="00E041BC">
        <w:rPr>
          <w:iCs/>
          <w:lang w:val="fr-FR"/>
        </w:rPr>
        <w:t xml:space="preserve">et. al </w:t>
      </w:r>
      <w:r w:rsidR="002B7645" w:rsidRPr="00E041BC">
        <w:rPr>
          <w:iCs/>
          <w:lang w:val="fr-FR"/>
        </w:rPr>
        <w:t>(2012</w:t>
      </w:r>
      <w:r w:rsidRPr="00E041BC">
        <w:rPr>
          <w:iCs/>
          <w:lang w:val="fr-FR"/>
        </w:rPr>
        <w:t xml:space="preserve">). </w:t>
      </w:r>
      <w:r w:rsidRPr="00DA3C38">
        <w:rPr>
          <w:iCs/>
          <w:lang w:val="en-US"/>
        </w:rPr>
        <w:t>Neighborhood resources and social participation among older adults: results from the VoisiNuage study. </w:t>
      </w:r>
      <w:r w:rsidRPr="00DA3C38">
        <w:rPr>
          <w:i/>
          <w:iCs/>
          <w:lang w:val="en-US"/>
        </w:rPr>
        <w:t>Journal of Aging and Health</w:t>
      </w:r>
      <w:r w:rsidRPr="00DA3C38">
        <w:rPr>
          <w:iCs/>
          <w:lang w:val="en-US"/>
        </w:rPr>
        <w:t>, </w:t>
      </w:r>
      <w:r w:rsidRPr="00DA3C38">
        <w:rPr>
          <w:i/>
          <w:iCs/>
          <w:lang w:val="en-US"/>
        </w:rPr>
        <w:t>25</w:t>
      </w:r>
      <w:r w:rsidRPr="00DA3C38">
        <w:rPr>
          <w:iCs/>
          <w:lang w:val="en-US"/>
        </w:rPr>
        <w:t>(2), 296-318, d</w:t>
      </w:r>
      <w:r w:rsidR="00D91AEC" w:rsidRPr="00DA3C38">
        <w:rPr>
          <w:iCs/>
          <w:lang w:val="en-US"/>
        </w:rPr>
        <w:t xml:space="preserve"> doi:</w:t>
      </w:r>
      <w:r w:rsidR="00D91AEC" w:rsidRPr="00DA3C38">
        <w:rPr>
          <w:rFonts w:eastAsiaTheme="minorEastAsia"/>
          <w:lang w:val="en-US" w:eastAsia="ja-JP"/>
        </w:rPr>
        <w:t xml:space="preserve"> </w:t>
      </w:r>
      <w:r w:rsidR="00D91AEC" w:rsidRPr="00DA3C38">
        <w:rPr>
          <w:iCs/>
          <w:lang w:val="en-US"/>
        </w:rPr>
        <w:t>0.1177/0898264312468487</w:t>
      </w:r>
    </w:p>
    <w:p w:rsidR="00AC1447" w:rsidRPr="00DA3C38" w:rsidRDefault="00AC1447" w:rsidP="00DA3C38">
      <w:pPr>
        <w:pStyle w:val="APARefs"/>
        <w:spacing w:line="480" w:lineRule="auto"/>
      </w:pPr>
      <w:r w:rsidRPr="00DA3C38">
        <w:t xml:space="preserve">Ridgway, L., &amp; McFarland, K. (2006). Apnea diving: Long-term neurocognitive sequelae of repeated hypoxemia. </w:t>
      </w:r>
      <w:r w:rsidRPr="00DA3C38">
        <w:rPr>
          <w:i/>
        </w:rPr>
        <w:t>Clinical Neuropsychology, 20</w:t>
      </w:r>
      <w:r w:rsidRPr="00DA3C38">
        <w:t>, 160–176.</w:t>
      </w:r>
    </w:p>
    <w:p w:rsidR="00796A02" w:rsidRPr="00E041BC" w:rsidRDefault="00796A02" w:rsidP="00DA3C38">
      <w:pPr>
        <w:pStyle w:val="APARefs"/>
        <w:spacing w:line="480" w:lineRule="auto"/>
        <w:rPr>
          <w:lang w:val="it-IT"/>
        </w:rPr>
      </w:pPr>
      <w:r w:rsidRPr="00DA3C38">
        <w:t>Roberts, R., &amp; Knopman, D. S. (2013). Classification and epidemiology of MCI. </w:t>
      </w:r>
      <w:r w:rsidRPr="00E041BC">
        <w:rPr>
          <w:i/>
          <w:iCs/>
          <w:lang w:val="it-IT"/>
        </w:rPr>
        <w:t>Clinics in geriatric medicine</w:t>
      </w:r>
      <w:r w:rsidRPr="00E041BC">
        <w:rPr>
          <w:lang w:val="it-IT"/>
        </w:rPr>
        <w:t>, </w:t>
      </w:r>
      <w:r w:rsidRPr="00E041BC">
        <w:rPr>
          <w:i/>
          <w:iCs/>
          <w:lang w:val="it-IT"/>
        </w:rPr>
        <w:t>29</w:t>
      </w:r>
      <w:r w:rsidRPr="00E041BC">
        <w:rPr>
          <w:lang w:val="it-IT"/>
        </w:rPr>
        <w:t>(4), 1-19. doi:  </w:t>
      </w:r>
      <w:hyperlink r:id="rId56" w:tgtFrame="pmc_ext" w:history="1">
        <w:r w:rsidRPr="00E041BC">
          <w:rPr>
            <w:rStyle w:val="Hyperlink"/>
            <w:lang w:val="it-IT"/>
          </w:rPr>
          <w:t>10.1016/j.cger.2013.07.003</w:t>
        </w:r>
      </w:hyperlink>
    </w:p>
    <w:p w:rsidR="00AC1447" w:rsidRPr="00DA3C38" w:rsidRDefault="00AC1447" w:rsidP="00DA3C38">
      <w:pPr>
        <w:pStyle w:val="APARefs"/>
        <w:spacing w:line="480" w:lineRule="auto"/>
      </w:pPr>
      <w:r w:rsidRPr="00E041BC">
        <w:rPr>
          <w:lang w:val="it-IT"/>
        </w:rPr>
        <w:t xml:space="preserve">Rodin, J., &amp; McAvay, G. (1992). </w:t>
      </w:r>
      <w:r w:rsidRPr="00DA3C38">
        <w:t xml:space="preserve">Determinants of change in perceived health in a longitudinal study of older adults. </w:t>
      </w:r>
      <w:r w:rsidRPr="00DA3C38">
        <w:rPr>
          <w:i/>
        </w:rPr>
        <w:t>Journal of Gerontology, 47</w:t>
      </w:r>
      <w:r w:rsidRPr="00DA3C38">
        <w:t>(6), 373-384</w:t>
      </w:r>
    </w:p>
    <w:p w:rsidR="00AC1447" w:rsidRPr="00DA3C38" w:rsidRDefault="00AC1447" w:rsidP="00DA3C38">
      <w:pPr>
        <w:pStyle w:val="APARefs"/>
        <w:spacing w:line="480" w:lineRule="auto"/>
      </w:pPr>
      <w:r w:rsidRPr="00DA3C38">
        <w:t>Rosano, C., Venkatraman, V.</w:t>
      </w:r>
      <w:r w:rsidR="00AC7688" w:rsidRPr="00DA3C38">
        <w:t>,</w:t>
      </w:r>
      <w:r w:rsidRPr="00DA3C38">
        <w:t xml:space="preserve"> K., Guralnik, J., Newman, A.</w:t>
      </w:r>
      <w:r w:rsidR="00AC7688" w:rsidRPr="00DA3C38">
        <w:t>,</w:t>
      </w:r>
      <w:r w:rsidRPr="00DA3C38">
        <w:t xml:space="preserve"> B., Glynn, N.</w:t>
      </w:r>
      <w:r w:rsidR="00AC7688" w:rsidRPr="00DA3C38">
        <w:t>,</w:t>
      </w:r>
      <w:r w:rsidRPr="00DA3C38">
        <w:t xml:space="preserve"> W., Launer, L</w:t>
      </w:r>
      <w:r w:rsidR="00AC7688" w:rsidRPr="00DA3C38">
        <w:t xml:space="preserve">., et al. </w:t>
      </w:r>
      <w:r w:rsidRPr="00DA3C38">
        <w:t>(2010). Psychomotor speed and functional brain MRI 2 years after completing a physical activity treatment. </w:t>
      </w:r>
      <w:r w:rsidRPr="00DA3C38">
        <w:rPr>
          <w:i/>
          <w:iCs/>
        </w:rPr>
        <w:t>The Journals of Gerontology Series A: Biological Sciences and Medical Sciences</w:t>
      </w:r>
      <w:r w:rsidRPr="00DA3C38">
        <w:t xml:space="preserve">, 65(6), 639-647, doi: doi:10.1093/gerona/glq038 </w:t>
      </w:r>
    </w:p>
    <w:p w:rsidR="00AC5129" w:rsidRPr="00DA3C38" w:rsidRDefault="00AC5129" w:rsidP="00DA3C38">
      <w:pPr>
        <w:pStyle w:val="APARefs"/>
        <w:spacing w:line="480" w:lineRule="auto"/>
      </w:pPr>
      <w:r w:rsidRPr="00E041BC">
        <w:rPr>
          <w:lang w:val="pl-PL"/>
        </w:rPr>
        <w:t xml:space="preserve">Rowe, J., W., &amp; Kahn, R., L. (1987). </w:t>
      </w:r>
      <w:r w:rsidRPr="00DA3C38">
        <w:t>Human aging: usual and successful. </w:t>
      </w:r>
      <w:r w:rsidRPr="00DA3C38">
        <w:rPr>
          <w:i/>
          <w:iCs/>
        </w:rPr>
        <w:t>Science</w:t>
      </w:r>
      <w:r w:rsidRPr="00DA3C38">
        <w:t>, </w:t>
      </w:r>
      <w:r w:rsidRPr="00DA3C38">
        <w:rPr>
          <w:i/>
          <w:iCs/>
        </w:rPr>
        <w:t>237</w:t>
      </w:r>
      <w:r w:rsidRPr="00DA3C38">
        <w:t>(4811), 143-149</w:t>
      </w:r>
    </w:p>
    <w:p w:rsidR="00AC1447" w:rsidRPr="00DA3C38" w:rsidRDefault="00AC1447" w:rsidP="00DA3C38">
      <w:pPr>
        <w:pStyle w:val="APARefs"/>
        <w:spacing w:line="480" w:lineRule="auto"/>
      </w:pPr>
      <w:r w:rsidRPr="00DA3C38">
        <w:t>Rowe, J.</w:t>
      </w:r>
      <w:r w:rsidR="00AC5129" w:rsidRPr="00DA3C38">
        <w:t>,</w:t>
      </w:r>
      <w:r w:rsidRPr="00DA3C38">
        <w:t xml:space="preserve"> W., &amp; Kahn, R. L. (1997). Successful aging. </w:t>
      </w:r>
      <w:r w:rsidRPr="00DA3C38">
        <w:rPr>
          <w:i/>
          <w:iCs/>
        </w:rPr>
        <w:t>The gerontologist</w:t>
      </w:r>
      <w:r w:rsidRPr="00DA3C38">
        <w:t xml:space="preserve">, </w:t>
      </w:r>
      <w:r w:rsidRPr="00DA3C38">
        <w:rPr>
          <w:i/>
          <w:iCs/>
        </w:rPr>
        <w:t>37</w:t>
      </w:r>
      <w:r w:rsidRPr="00DA3C38">
        <w:t>(4), 433-440</w:t>
      </w:r>
    </w:p>
    <w:p w:rsidR="00AC1447" w:rsidRPr="00DA3C38" w:rsidRDefault="00AC1447" w:rsidP="00DA3C38">
      <w:pPr>
        <w:pStyle w:val="APARefs"/>
        <w:spacing w:line="480" w:lineRule="auto"/>
      </w:pPr>
      <w:r w:rsidRPr="00E041BC">
        <w:rPr>
          <w:lang w:val="it-IT"/>
        </w:rPr>
        <w:t>Royal, M.</w:t>
      </w:r>
      <w:r w:rsidR="001506FD" w:rsidRPr="00E041BC">
        <w:rPr>
          <w:lang w:val="it-IT"/>
        </w:rPr>
        <w:t>,</w:t>
      </w:r>
      <w:r w:rsidRPr="00E041BC">
        <w:rPr>
          <w:lang w:val="it-IT"/>
        </w:rPr>
        <w:t xml:space="preserve"> D., Palmer, R., Chiodo, L.</w:t>
      </w:r>
      <w:r w:rsidR="001506FD" w:rsidRPr="00E041BC">
        <w:rPr>
          <w:lang w:val="it-IT"/>
        </w:rPr>
        <w:t>,</w:t>
      </w:r>
      <w:r w:rsidRPr="00E041BC">
        <w:rPr>
          <w:lang w:val="it-IT"/>
        </w:rPr>
        <w:t xml:space="preserve"> K., &amp; Polk, M.</w:t>
      </w:r>
      <w:r w:rsidR="001506FD" w:rsidRPr="00E041BC">
        <w:rPr>
          <w:lang w:val="it-IT"/>
        </w:rPr>
        <w:t>,</w:t>
      </w:r>
      <w:r w:rsidRPr="00E041BC">
        <w:rPr>
          <w:lang w:val="it-IT"/>
        </w:rPr>
        <w:t xml:space="preserve"> J. (2004). </w:t>
      </w:r>
      <w:r w:rsidRPr="00DA3C38">
        <w:t>Declining executive control in normal ageing predicts change in functional status: the Freedom House study</w:t>
      </w:r>
      <w:r w:rsidRPr="00DA3C38">
        <w:rPr>
          <w:i/>
        </w:rPr>
        <w:t>. Journal of American Geriatric Society, 52</w:t>
      </w:r>
      <w:r w:rsidRPr="00DA3C38">
        <w:t>, 346-352</w:t>
      </w:r>
    </w:p>
    <w:p w:rsidR="00AC1447" w:rsidRPr="00DA3C38" w:rsidRDefault="00AC1447" w:rsidP="00DA3C38">
      <w:pPr>
        <w:pStyle w:val="APARefs"/>
        <w:spacing w:line="480" w:lineRule="auto"/>
      </w:pPr>
      <w:r w:rsidRPr="00DA3C38">
        <w:t>Royall, D.</w:t>
      </w:r>
      <w:r w:rsidR="001506FD" w:rsidRPr="00DA3C38">
        <w:t>,</w:t>
      </w:r>
      <w:r w:rsidRPr="00DA3C38">
        <w:t xml:space="preserve"> R., Cordes, J., &amp; Polk, M.</w:t>
      </w:r>
      <w:r w:rsidR="001506FD" w:rsidRPr="00DA3C38">
        <w:t>,</w:t>
      </w:r>
      <w:r w:rsidRPr="00DA3C38">
        <w:t xml:space="preserve"> J. (1998). CLOX: an executive clock-drawing task. </w:t>
      </w:r>
      <w:r w:rsidRPr="00DA3C38">
        <w:rPr>
          <w:i/>
        </w:rPr>
        <w:t>Journal of Neurology, Neurosurgery, and Psychiatry, 64</w:t>
      </w:r>
      <w:r w:rsidRPr="00DA3C38">
        <w:t xml:space="preserve">, 588–594, </w:t>
      </w:r>
    </w:p>
    <w:p w:rsidR="00AC1447" w:rsidRPr="00DA3C38" w:rsidRDefault="00AC1447" w:rsidP="00DA3C38">
      <w:pPr>
        <w:pStyle w:val="APARefs"/>
        <w:spacing w:line="480" w:lineRule="auto"/>
      </w:pPr>
      <w:r w:rsidRPr="00DA3C38">
        <w:t>Royall, D.</w:t>
      </w:r>
      <w:r w:rsidR="001506FD" w:rsidRPr="00DA3C38">
        <w:t>,</w:t>
      </w:r>
      <w:r w:rsidRPr="00DA3C38">
        <w:t xml:space="preserve"> R., Lauterbach, E.</w:t>
      </w:r>
      <w:r w:rsidR="001506FD" w:rsidRPr="00DA3C38">
        <w:t>,</w:t>
      </w:r>
      <w:r w:rsidRPr="00DA3C38">
        <w:t xml:space="preserve"> C., Malloy, P., Coburn, K.</w:t>
      </w:r>
      <w:r w:rsidR="001506FD" w:rsidRPr="00DA3C38">
        <w:t>,</w:t>
      </w:r>
      <w:r w:rsidRPr="00DA3C38">
        <w:t xml:space="preserve"> L., Blak, K.</w:t>
      </w:r>
      <w:r w:rsidR="001506FD" w:rsidRPr="00DA3C38">
        <w:t>,</w:t>
      </w:r>
      <w:r w:rsidRPr="00DA3C38">
        <w:t xml:space="preserve"> J. (2007). The cognitive correlates of functional status: a review from the committee on research of the American neuropsychiatric association. </w:t>
      </w:r>
      <w:r w:rsidRPr="00DA3C38">
        <w:rPr>
          <w:i/>
        </w:rPr>
        <w:t xml:space="preserve">Journal of Neuropsychiatry and Clinical Neuroscience, </w:t>
      </w:r>
      <w:r w:rsidRPr="00DA3C38">
        <w:t>19, 249-265</w:t>
      </w:r>
    </w:p>
    <w:p w:rsidR="00AC1447" w:rsidRPr="00DA3C38" w:rsidRDefault="00AC1447" w:rsidP="00DA3C38">
      <w:pPr>
        <w:pStyle w:val="APARefs"/>
        <w:spacing w:line="480" w:lineRule="auto"/>
      </w:pPr>
      <w:r w:rsidRPr="00DA3C38">
        <w:t>Royall, D.</w:t>
      </w:r>
      <w:r w:rsidR="001506FD" w:rsidRPr="00DA3C38">
        <w:t>,</w:t>
      </w:r>
      <w:r w:rsidRPr="00DA3C38">
        <w:t xml:space="preserve"> R., Mahurin, R.</w:t>
      </w:r>
      <w:r w:rsidR="001506FD" w:rsidRPr="00DA3C38">
        <w:t>,</w:t>
      </w:r>
      <w:r w:rsidRPr="00DA3C38">
        <w:t xml:space="preserve"> K., Gray, K.</w:t>
      </w:r>
      <w:r w:rsidR="001506FD" w:rsidRPr="00DA3C38">
        <w:t>,</w:t>
      </w:r>
      <w:r w:rsidRPr="00DA3C38">
        <w:t xml:space="preserve"> F (1992). Bedside assessment of executive cognitive impairment: the executive interview. </w:t>
      </w:r>
      <w:r w:rsidRPr="00DA3C38">
        <w:rPr>
          <w:i/>
        </w:rPr>
        <w:t>Journal of the American Geriatric Society</w:t>
      </w:r>
      <w:r w:rsidRPr="00DA3C38">
        <w:t xml:space="preserve">, </w:t>
      </w:r>
      <w:r w:rsidRPr="00DA3C38">
        <w:rPr>
          <w:i/>
        </w:rPr>
        <w:t>40</w:t>
      </w:r>
      <w:r w:rsidRPr="00DA3C38">
        <w:t>, 1221–1226, doi: 10.1111/j.1532-5415.1992.tb03646.x</w:t>
      </w:r>
    </w:p>
    <w:p w:rsidR="00AC1447" w:rsidRPr="00DA3C38" w:rsidRDefault="00AC1447" w:rsidP="00DA3C38">
      <w:pPr>
        <w:pStyle w:val="APARefs"/>
        <w:spacing w:line="480" w:lineRule="auto"/>
      </w:pPr>
      <w:r w:rsidRPr="00DA3C38">
        <w:t>Ruff, R.</w:t>
      </w:r>
      <w:r w:rsidR="001506FD" w:rsidRPr="00DA3C38">
        <w:t>,</w:t>
      </w:r>
      <w:r w:rsidRPr="00DA3C38">
        <w:t xml:space="preserve"> M., Light, R.</w:t>
      </w:r>
      <w:r w:rsidR="001506FD" w:rsidRPr="00DA3C38">
        <w:t>,</w:t>
      </w:r>
      <w:r w:rsidRPr="00DA3C38">
        <w:t xml:space="preserve"> H. &amp; Evans, R.</w:t>
      </w:r>
      <w:r w:rsidR="001506FD" w:rsidRPr="00DA3C38">
        <w:t>,</w:t>
      </w:r>
      <w:r w:rsidRPr="00DA3C38">
        <w:t xml:space="preserve">W. (1987). The Ruff figural fluency test: A normative study with adults. </w:t>
      </w:r>
      <w:r w:rsidRPr="00DA3C38">
        <w:rPr>
          <w:i/>
          <w:iCs/>
        </w:rPr>
        <w:t>Developmental Neuropsychology</w:t>
      </w:r>
      <w:r w:rsidRPr="00DA3C38">
        <w:t xml:space="preserve">, </w:t>
      </w:r>
      <w:r w:rsidRPr="00DA3C38">
        <w:rPr>
          <w:i/>
          <w:iCs/>
        </w:rPr>
        <w:t>3</w:t>
      </w:r>
      <w:r w:rsidRPr="00DA3C38">
        <w:t>, 37–52</w:t>
      </w:r>
    </w:p>
    <w:p w:rsidR="00E7400C" w:rsidRDefault="00E7400C" w:rsidP="00DA3C38">
      <w:pPr>
        <w:pStyle w:val="APARefs"/>
        <w:spacing w:line="480" w:lineRule="auto"/>
      </w:pPr>
    </w:p>
    <w:p w:rsidR="00E87F3A" w:rsidRPr="00E041BC" w:rsidRDefault="00E7400C">
      <w:pPr>
        <w:pStyle w:val="APARefs"/>
        <w:spacing w:line="480" w:lineRule="auto"/>
        <w:rPr>
          <w:lang w:val="en-US"/>
        </w:rPr>
      </w:pPr>
      <w:r w:rsidRPr="00E7400C">
        <w:rPr>
          <w:lang w:val="en-US"/>
        </w:rPr>
        <w:t>Sainani, K. L. (2009). The problem of multiple testing. </w:t>
      </w:r>
      <w:r w:rsidRPr="00E7400C">
        <w:rPr>
          <w:i/>
          <w:iCs/>
          <w:lang w:val="en-US"/>
        </w:rPr>
        <w:t>PM&amp;R</w:t>
      </w:r>
      <w:r w:rsidRPr="00E7400C">
        <w:rPr>
          <w:lang w:val="en-US"/>
        </w:rPr>
        <w:t>, </w:t>
      </w:r>
      <w:r w:rsidRPr="00E7400C">
        <w:rPr>
          <w:i/>
          <w:iCs/>
          <w:lang w:val="en-US"/>
        </w:rPr>
        <w:t>1</w:t>
      </w:r>
      <w:r w:rsidRPr="00E7400C">
        <w:rPr>
          <w:lang w:val="en-US"/>
        </w:rPr>
        <w:t>(12), 1098-1103.</w:t>
      </w:r>
      <w:r>
        <w:rPr>
          <w:lang w:val="en-US"/>
        </w:rPr>
        <w:t xml:space="preserve"> Available at: </w:t>
      </w:r>
      <w:r w:rsidRPr="00E7400C">
        <w:rPr>
          <w:lang w:val="en-US"/>
        </w:rPr>
        <w:t>https://www.pmrjournal.org/article/s1934-1482(09)01460-9/pdf</w:t>
      </w:r>
    </w:p>
    <w:p w:rsidR="00AC1447" w:rsidRPr="00DA3C38" w:rsidRDefault="00AC1447" w:rsidP="00DA3C38">
      <w:pPr>
        <w:pStyle w:val="APARefs"/>
        <w:spacing w:line="480" w:lineRule="auto"/>
      </w:pPr>
      <w:r w:rsidRPr="00DA3C38">
        <w:t xml:space="preserve">Salthouse, T. (1984). Effects of age and skill in typing. </w:t>
      </w:r>
      <w:r w:rsidRPr="00DA3C38">
        <w:rPr>
          <w:i/>
        </w:rPr>
        <w:t>Journal of Experimental Psychology, 113</w:t>
      </w:r>
      <w:r w:rsidRPr="00DA3C38">
        <w:t>(3), 345-371</w:t>
      </w:r>
    </w:p>
    <w:p w:rsidR="00AC1447" w:rsidRPr="00DA3C38" w:rsidRDefault="00AC1447" w:rsidP="00DA3C38">
      <w:pPr>
        <w:pStyle w:val="APARefs"/>
        <w:spacing w:line="480" w:lineRule="auto"/>
      </w:pPr>
      <w:r w:rsidRPr="00DA3C38">
        <w:t xml:space="preserve">Salthouse, T. (1992). Reasoning and spatial abilities. In Craik and T. Salthouse (eds). </w:t>
      </w:r>
      <w:r w:rsidRPr="00DA3C38">
        <w:rPr>
          <w:i/>
        </w:rPr>
        <w:t>The Handbook of ageing and cognition</w:t>
      </w:r>
      <w:r w:rsidRPr="00DA3C38">
        <w:t>. Hilldale, NJ: Lowrence Erlbaum.</w:t>
      </w:r>
    </w:p>
    <w:p w:rsidR="00AC1447" w:rsidRPr="00DA3C38" w:rsidRDefault="00AC1447" w:rsidP="00DA3C38">
      <w:pPr>
        <w:pStyle w:val="APARefs"/>
        <w:spacing w:line="480" w:lineRule="auto"/>
      </w:pPr>
      <w:r w:rsidRPr="00DA3C38">
        <w:t xml:space="preserve">Salthouse, T. (2006). Mental exercise and mental ageing. Evaluating the validity of the use it or lose it hypothesis. </w:t>
      </w:r>
      <w:r w:rsidRPr="00DA3C38">
        <w:rPr>
          <w:i/>
        </w:rPr>
        <w:t>Perspectives of Psychological Science, 1</w:t>
      </w:r>
      <w:r w:rsidRPr="00DA3C38">
        <w:t>(1), 848-87l</w:t>
      </w:r>
    </w:p>
    <w:p w:rsidR="00AC1447" w:rsidRPr="00DA3C38" w:rsidRDefault="00AC1447" w:rsidP="00DA3C38">
      <w:pPr>
        <w:pStyle w:val="APARefs"/>
        <w:spacing w:line="480" w:lineRule="auto"/>
      </w:pPr>
      <w:r w:rsidRPr="00DA3C38">
        <w:t xml:space="preserve">Salthouse, T. A. (1996). The processing-speed theory of adult age differences in cognition. </w:t>
      </w:r>
      <w:r w:rsidRPr="00DA3C38">
        <w:rPr>
          <w:i/>
        </w:rPr>
        <w:t>Psychological Review, 103</w:t>
      </w:r>
      <w:r w:rsidRPr="00DA3C38">
        <w:t>, 403-428</w:t>
      </w:r>
    </w:p>
    <w:p w:rsidR="004D2A27" w:rsidRPr="00DA3C38" w:rsidRDefault="004D2A27" w:rsidP="00DA3C38">
      <w:pPr>
        <w:pStyle w:val="APARefs"/>
        <w:spacing w:line="480" w:lineRule="auto"/>
        <w:rPr>
          <w:lang w:val="en-GB"/>
        </w:rPr>
      </w:pPr>
      <w:r w:rsidRPr="00DA3C38">
        <w:rPr>
          <w:lang w:val="en-GB"/>
        </w:rPr>
        <w:t>Salthouse, T. A., &amp; Pink, J. E. (2008). Why is working memory related to fluid intelligence?. </w:t>
      </w:r>
      <w:r w:rsidRPr="00DA3C38">
        <w:rPr>
          <w:i/>
          <w:iCs/>
          <w:lang w:val="en-GB"/>
        </w:rPr>
        <w:t>Psychonomic bulletin &amp; review</w:t>
      </w:r>
      <w:r w:rsidRPr="00DA3C38">
        <w:rPr>
          <w:lang w:val="en-GB"/>
        </w:rPr>
        <w:t>, </w:t>
      </w:r>
      <w:r w:rsidRPr="00DA3C38">
        <w:rPr>
          <w:i/>
          <w:iCs/>
          <w:lang w:val="en-GB"/>
        </w:rPr>
        <w:t>15</w:t>
      </w:r>
      <w:r w:rsidRPr="00DA3C38">
        <w:rPr>
          <w:lang w:val="en-GB"/>
        </w:rPr>
        <w:t>(2), 364-371, doi:</w:t>
      </w:r>
    </w:p>
    <w:p w:rsidR="00AC1447" w:rsidRPr="00DA3C38" w:rsidRDefault="00AC1447" w:rsidP="00DA3C38">
      <w:pPr>
        <w:pStyle w:val="APARefs"/>
        <w:spacing w:line="480" w:lineRule="auto"/>
      </w:pPr>
      <w:r w:rsidRPr="00DA3C38">
        <w:t>Sbordone, R.</w:t>
      </w:r>
      <w:r w:rsidR="001506FD" w:rsidRPr="00DA3C38">
        <w:t>,</w:t>
      </w:r>
      <w:r w:rsidRPr="00DA3C38">
        <w:t xml:space="preserve"> J. (1996). Ecological validity: Some critical issues for the neuropsychologist. In</w:t>
      </w:r>
      <w:r w:rsidR="001506FD" w:rsidRPr="00DA3C38">
        <w:t xml:space="preserve"> </w:t>
      </w:r>
      <w:r w:rsidRPr="00DA3C38">
        <w:t>Sbordone, R.</w:t>
      </w:r>
      <w:r w:rsidR="001506FD" w:rsidRPr="00DA3C38">
        <w:t>,</w:t>
      </w:r>
      <w:r w:rsidRPr="00DA3C38">
        <w:t xml:space="preserve"> J. &amp; Long, C.</w:t>
      </w:r>
      <w:r w:rsidR="001506FD" w:rsidRPr="00DA3C38">
        <w:t xml:space="preserve">, </w:t>
      </w:r>
      <w:r w:rsidRPr="00DA3C38">
        <w:t xml:space="preserve">J. (eds), </w:t>
      </w:r>
      <w:r w:rsidRPr="00DA3C38">
        <w:rPr>
          <w:i/>
        </w:rPr>
        <w:t>Ecological validity of neuropsychological testing</w:t>
      </w:r>
      <w:r w:rsidRPr="00DA3C38">
        <w:t>, Delray Beach, US: St. Luice Press</w:t>
      </w:r>
    </w:p>
    <w:p w:rsidR="00AC1447" w:rsidRPr="00DA3C38" w:rsidRDefault="005D4563" w:rsidP="00DA3C38">
      <w:pPr>
        <w:pStyle w:val="APARefs"/>
        <w:spacing w:line="480" w:lineRule="auto"/>
      </w:pPr>
      <w:r w:rsidRPr="00DA3C38">
        <w:t>S</w:t>
      </w:r>
      <w:r w:rsidR="00AC1447" w:rsidRPr="00DA3C38">
        <w:t xml:space="preserve">harf T., Phillipson C., </w:t>
      </w:r>
      <w:r w:rsidR="001506FD" w:rsidRPr="00DA3C38">
        <w:t xml:space="preserve">&amp; </w:t>
      </w:r>
      <w:r w:rsidR="00AC1447" w:rsidRPr="00DA3C38">
        <w:t>Smith A. (2004). Poverty and social exclusion:.growing older in deprived urban neighbourhoods. In: Walker A,</w:t>
      </w:r>
      <w:r w:rsidR="001506FD" w:rsidRPr="00DA3C38">
        <w:t xml:space="preserve"> </w:t>
      </w:r>
      <w:r w:rsidR="00AC1447" w:rsidRPr="00DA3C38">
        <w:t xml:space="preserve">Hagan Hennessy C (eds), </w:t>
      </w:r>
      <w:r w:rsidR="00AC1447" w:rsidRPr="00DA3C38">
        <w:rPr>
          <w:i/>
        </w:rPr>
        <w:t>Growing older: quality of life in old age</w:t>
      </w:r>
      <w:r w:rsidR="00AC1447" w:rsidRPr="00DA3C38">
        <w:t>. OU Press, Maidenhead, 168–200</w:t>
      </w:r>
    </w:p>
    <w:p w:rsidR="00AC1447" w:rsidRPr="00DA3C38" w:rsidRDefault="00AC1447" w:rsidP="00DA3C38">
      <w:pPr>
        <w:pStyle w:val="APARefs"/>
        <w:spacing w:line="480" w:lineRule="auto"/>
      </w:pPr>
      <w:r w:rsidRPr="00DA3C38">
        <w:t xml:space="preserve">Schmitter- Edgecombe, M., &amp; Parsey, C. (2014). Assessment of functional change and cognitive correlates in the progression from healthy cognitive ageing to dementia. </w:t>
      </w:r>
      <w:r w:rsidRPr="00DA3C38">
        <w:rPr>
          <w:i/>
        </w:rPr>
        <w:t>Neuropsychology,</w:t>
      </w:r>
      <w:r w:rsidRPr="00DA3C38">
        <w:t xml:space="preserve"> </w:t>
      </w:r>
      <w:r w:rsidRPr="00DA3C38">
        <w:rPr>
          <w:i/>
        </w:rPr>
        <w:t>28</w:t>
      </w:r>
      <w:r w:rsidRPr="00DA3C38">
        <w:t xml:space="preserve">(6), 881-893, </w:t>
      </w:r>
      <w:hyperlink r:id="rId57" w:history="1">
        <w:r w:rsidRPr="00DA3C38">
          <w:rPr>
            <w:rStyle w:val="Hyperlink"/>
            <w:lang w:val="en-GB"/>
          </w:rPr>
          <w:t>http://dx.doi.org/10.1037/neu0000109</w:t>
        </w:r>
      </w:hyperlink>
    </w:p>
    <w:p w:rsidR="00AC1447" w:rsidRPr="00DA3C38" w:rsidRDefault="00AC1447" w:rsidP="00DA3C38">
      <w:pPr>
        <w:pStyle w:val="APARefs"/>
        <w:spacing w:line="480" w:lineRule="auto"/>
      </w:pPr>
      <w:r w:rsidRPr="00DA3C38">
        <w:t xml:space="preserve">Schmitter-Edgecombe, M., McAlister, C., &amp; Weakly, A. (2012). Naturalistic assessment of everyday functioning in individuals with mild cognitive impairment: The day out Task. Neuropsychology, </w:t>
      </w:r>
      <w:r w:rsidRPr="00DA3C38">
        <w:rPr>
          <w:i/>
        </w:rPr>
        <w:t>26</w:t>
      </w:r>
      <w:r w:rsidRPr="00DA3C38">
        <w:t>(5), 631-641, doi:10.1037/a0029352</w:t>
      </w:r>
    </w:p>
    <w:p w:rsidR="00AC1447" w:rsidRPr="00DA3C38" w:rsidRDefault="00AC1447" w:rsidP="00DA3C38">
      <w:pPr>
        <w:pStyle w:val="APARefs"/>
        <w:spacing w:line="480" w:lineRule="auto"/>
      </w:pPr>
      <w:r w:rsidRPr="00DA3C38">
        <w:t>Schmitter-Edgecombe, M., Parsey, C., &amp; Cook, D. J. (2011). Cognitive correlates of functional performance in older adults: comparison of self-reports, direct observation, and performance based measures. Journal of the International Neuropsychological Society, 17, 853-864, doi: 10.1017/S1355617711000865</w:t>
      </w:r>
    </w:p>
    <w:p w:rsidR="00AC1447" w:rsidRPr="00DA3C38" w:rsidRDefault="00AC1447" w:rsidP="00DA3C38">
      <w:pPr>
        <w:pStyle w:val="APARefs"/>
        <w:spacing w:line="480" w:lineRule="auto"/>
      </w:pPr>
      <w:r w:rsidRPr="00DA3C38">
        <w:t xml:space="preserve">Schmitter-Edgecombe, M., Woo, E., &amp; Greeley, D. (2009). Characterizing multiple memory deficits and their relation to everyday functioning in individuals with mild cognitive impairment. </w:t>
      </w:r>
      <w:r w:rsidRPr="00DA3C38">
        <w:rPr>
          <w:i/>
        </w:rPr>
        <w:t>Neuropsychology, 2</w:t>
      </w:r>
      <w:r w:rsidRPr="00DA3C38">
        <w:t>, 168–177, doi:10.1037/a0014186</w:t>
      </w:r>
    </w:p>
    <w:p w:rsidR="00AC1447" w:rsidRPr="00DA3C38" w:rsidRDefault="00AC1447" w:rsidP="00DA3C38">
      <w:pPr>
        <w:pStyle w:val="APARefs"/>
        <w:spacing w:line="480" w:lineRule="auto"/>
      </w:pPr>
      <w:r w:rsidRPr="00DA3C38">
        <w:t>Schwartz, M.</w:t>
      </w:r>
      <w:r w:rsidR="001506FD" w:rsidRPr="00DA3C38">
        <w:t>,</w:t>
      </w:r>
      <w:r w:rsidRPr="00DA3C38">
        <w:t xml:space="preserve"> F., Segal, M., Veramonti, R., Ferraro, M., &amp; Buxbaum, L.</w:t>
      </w:r>
      <w:r w:rsidR="001506FD" w:rsidRPr="00DA3C38">
        <w:t>,</w:t>
      </w:r>
      <w:r w:rsidRPr="00DA3C38">
        <w:t xml:space="preserve"> J. (2002). The Naturalistic Action Test: A standardised assessment for everyday action impairment. </w:t>
      </w:r>
      <w:r w:rsidRPr="00DA3C38">
        <w:rPr>
          <w:i/>
        </w:rPr>
        <w:t>Neuropsychological Rehabilitation, 12</w:t>
      </w:r>
      <w:r w:rsidRPr="00DA3C38">
        <w:t>, 311–339, doi: 10.1080/09602010244000084</w:t>
      </w:r>
    </w:p>
    <w:p w:rsidR="00AC1447" w:rsidRPr="00E041BC" w:rsidRDefault="00AC1447" w:rsidP="00DA3C38">
      <w:pPr>
        <w:pStyle w:val="APARefs"/>
        <w:spacing w:line="480" w:lineRule="auto"/>
        <w:rPr>
          <w:lang w:val="it-IT"/>
        </w:rPr>
      </w:pPr>
      <w:r w:rsidRPr="00DA3C38">
        <w:t>Seeman, T.</w:t>
      </w:r>
      <w:r w:rsidR="001506FD" w:rsidRPr="00DA3C38">
        <w:t>,</w:t>
      </w:r>
      <w:r w:rsidRPr="00DA3C38">
        <w:t xml:space="preserve"> E., Lusingolo, T.</w:t>
      </w:r>
      <w:r w:rsidR="001506FD" w:rsidRPr="00DA3C38">
        <w:t>,</w:t>
      </w:r>
      <w:r w:rsidRPr="00DA3C38">
        <w:t xml:space="preserve"> M., Albert, M., &amp; Berkman, L. (2001). Social relationships, social support, and patterns of cognitive ageing in healthy, high-functioning older adults: The MacArthur studies of successful ageing. </w:t>
      </w:r>
      <w:r w:rsidRPr="00E041BC">
        <w:rPr>
          <w:i/>
          <w:lang w:val="it-IT"/>
        </w:rPr>
        <w:t>Health Psychology, 20</w:t>
      </w:r>
      <w:r w:rsidRPr="00E041BC">
        <w:rPr>
          <w:lang w:val="it-IT"/>
        </w:rPr>
        <w:t>(4), 243-255, doi: 10.1037//0278-6133.20.2.23</w:t>
      </w:r>
    </w:p>
    <w:p w:rsidR="00AC1447" w:rsidRPr="00DA3C38" w:rsidRDefault="00AC1447" w:rsidP="00DA3C38">
      <w:pPr>
        <w:pStyle w:val="APARefs"/>
        <w:spacing w:line="480" w:lineRule="auto"/>
      </w:pPr>
      <w:r w:rsidRPr="00E041BC">
        <w:rPr>
          <w:lang w:val="it-IT"/>
        </w:rPr>
        <w:t>Selingman, S.</w:t>
      </w:r>
      <w:r w:rsidR="001506FD" w:rsidRPr="00E041BC">
        <w:rPr>
          <w:lang w:val="it-IT"/>
        </w:rPr>
        <w:t>,</w:t>
      </w:r>
      <w:r w:rsidRPr="00E041BC">
        <w:rPr>
          <w:lang w:val="it-IT"/>
        </w:rPr>
        <w:t xml:space="preserve"> C., Giovannetti, T., Sestitio, J., &amp; Libon, D. J. (2013).  </w:t>
      </w:r>
      <w:r w:rsidRPr="00DA3C38">
        <w:t xml:space="preserve">A new approach to the characterization of subtle errors in everyday action: implications for mild cognitive impairment. </w:t>
      </w:r>
      <w:r w:rsidRPr="00DA3C38">
        <w:rPr>
          <w:i/>
        </w:rPr>
        <w:t>The Clinical neuropsychologist</w:t>
      </w:r>
      <w:r w:rsidRPr="00DA3C38">
        <w:t xml:space="preserve">, </w:t>
      </w:r>
      <w:r w:rsidRPr="00DA3C38">
        <w:rPr>
          <w:i/>
        </w:rPr>
        <w:t>28</w:t>
      </w:r>
      <w:r w:rsidRPr="00DA3C38">
        <w:t>(1), 97-115, doi:10.1080/13854046.2013.852624</w:t>
      </w:r>
    </w:p>
    <w:p w:rsidR="001506FD" w:rsidRPr="00DA3C38" w:rsidRDefault="001506FD" w:rsidP="00DA3C38">
      <w:pPr>
        <w:pStyle w:val="APARefs"/>
        <w:spacing w:line="480" w:lineRule="auto"/>
      </w:pPr>
      <w:r w:rsidRPr="00DA3C38">
        <w:t xml:space="preserve">Shaie, K. W. (1985). </w:t>
      </w:r>
      <w:r w:rsidRPr="00DA3C38">
        <w:rPr>
          <w:i/>
        </w:rPr>
        <w:t>Schaie-Thurstone Adult Mental Abilities Test</w:t>
      </w:r>
      <w:r w:rsidRPr="00DA3C38">
        <w:t>.; Palo Alto, CA</w:t>
      </w:r>
      <w:r w:rsidRPr="00DA3C38">
        <w:rPr>
          <w:i/>
        </w:rPr>
        <w:t xml:space="preserve">: </w:t>
      </w:r>
      <w:r w:rsidRPr="00DA3C38">
        <w:t>Consulting Psychologists Press</w:t>
      </w:r>
    </w:p>
    <w:p w:rsidR="00AC1447" w:rsidRPr="00DA3C38" w:rsidRDefault="00AC1447" w:rsidP="00DA3C38">
      <w:pPr>
        <w:pStyle w:val="APARefs"/>
        <w:spacing w:line="480" w:lineRule="auto"/>
      </w:pPr>
      <w:r w:rsidRPr="00DA3C38">
        <w:t>Shaie, K. W. (1994). The course for adult intellectual development. American Psychology, 49(4), 304-313</w:t>
      </w:r>
    </w:p>
    <w:p w:rsidR="00AC1447" w:rsidRPr="00DA3C38" w:rsidRDefault="00AC1447" w:rsidP="00DA3C38">
      <w:pPr>
        <w:pStyle w:val="APARefs"/>
        <w:spacing w:line="480" w:lineRule="auto"/>
      </w:pPr>
      <w:r w:rsidRPr="00DA3C38">
        <w:t xml:space="preserve">Shankar, A., McMunn, A., Banks, J., &amp; Steptoe, A. (2011). Loneliness, social isolation, and behavioral and biological health indicators in older adults. </w:t>
      </w:r>
      <w:r w:rsidRPr="00DA3C38">
        <w:rPr>
          <w:i/>
        </w:rPr>
        <w:t>Health Psychology, 30</w:t>
      </w:r>
      <w:r w:rsidRPr="00DA3C38">
        <w:t>(4), 377-385</w:t>
      </w:r>
    </w:p>
    <w:p w:rsidR="00AC1447" w:rsidRPr="00DA3C38" w:rsidRDefault="00AC1447" w:rsidP="00DA3C38">
      <w:pPr>
        <w:pStyle w:val="APARefs"/>
        <w:spacing w:line="480" w:lineRule="auto"/>
      </w:pPr>
      <w:r w:rsidRPr="00DA3C38">
        <w:t>SHARE (October, 2014). Share 2004</w:t>
      </w:r>
      <w:r w:rsidR="001506FD" w:rsidRPr="00DA3C38">
        <w:t>:</w:t>
      </w:r>
      <w:r w:rsidRPr="00DA3C38">
        <w:t xml:space="preserve"> Questionnaire version 10. Available at </w:t>
      </w:r>
      <w:hyperlink r:id="rId58" w:history="1">
        <w:r w:rsidRPr="00DA3C38">
          <w:t>http://www.share-project.org/t3/share/new_sites/Fragebogen/ma-Gree.pdf</w:t>
        </w:r>
      </w:hyperlink>
    </w:p>
    <w:p w:rsidR="003D4DD0" w:rsidRPr="00DA3C38" w:rsidRDefault="003D4DD0" w:rsidP="00DA3C38">
      <w:pPr>
        <w:pStyle w:val="APARefs"/>
        <w:spacing w:line="480" w:lineRule="auto"/>
        <w:rPr>
          <w:bCs/>
          <w:lang w:val="en-US"/>
        </w:rPr>
      </w:pPr>
      <w:r w:rsidRPr="00DA3C38">
        <w:t>SHARE (October, 2017).</w:t>
      </w:r>
      <w:r w:rsidR="00EA4C6F" w:rsidRPr="00DA3C38">
        <w:t xml:space="preserve"> </w:t>
      </w:r>
      <w:r w:rsidR="00EA4C6F" w:rsidRPr="00DA3C38">
        <w:rPr>
          <w:bCs/>
          <w:lang w:val="en-US"/>
        </w:rPr>
        <w:t xml:space="preserve">Survey of Health, Ageing and Retirement in Europe. </w:t>
      </w:r>
      <w:r w:rsidRPr="00DA3C38">
        <w:t>Available at: http://www.share-project.org/</w:t>
      </w:r>
    </w:p>
    <w:p w:rsidR="00AC1447" w:rsidRPr="00DA3C38" w:rsidRDefault="00AC1447" w:rsidP="00DA3C38">
      <w:pPr>
        <w:pStyle w:val="APARefs"/>
        <w:spacing w:line="480" w:lineRule="auto"/>
      </w:pPr>
      <w:r w:rsidRPr="00DA3C38">
        <w:t>Sheppard, L.</w:t>
      </w:r>
      <w:r w:rsidR="001506FD" w:rsidRPr="00DA3C38">
        <w:t xml:space="preserve">, D., &amp; Vernon, P., </w:t>
      </w:r>
      <w:r w:rsidRPr="00DA3C38">
        <w:t xml:space="preserve">A. (2008). Intelligence and speed of information-processing: A review of 50 years of research. </w:t>
      </w:r>
      <w:r w:rsidRPr="00DA3C38">
        <w:rPr>
          <w:i/>
        </w:rPr>
        <w:t>Personality and Individual Differences, 44</w:t>
      </w:r>
      <w:r w:rsidRPr="00DA3C38">
        <w:t>, 535-51, doi: 10.1016/j.paid.2007.09.015</w:t>
      </w:r>
    </w:p>
    <w:p w:rsidR="00AC1447" w:rsidRPr="00DA3C38" w:rsidRDefault="00AC1447" w:rsidP="00DA3C38">
      <w:pPr>
        <w:pStyle w:val="APARefs"/>
        <w:spacing w:line="480" w:lineRule="auto"/>
      </w:pPr>
      <w:r w:rsidRPr="00DA3C38">
        <w:t>Shock, N.</w:t>
      </w:r>
      <w:r w:rsidR="00295DEF" w:rsidRPr="00DA3C38">
        <w:t>,</w:t>
      </w:r>
      <w:r w:rsidRPr="00DA3C38">
        <w:t xml:space="preserve"> W. (1984). Normal human aging: The Baltimore longitudinal study of aging. Available at: http://files.eric.ed.gov/fulltext/ED292030.pdf</w:t>
      </w:r>
    </w:p>
    <w:p w:rsidR="00AC1447" w:rsidRPr="00DA3C38" w:rsidRDefault="00295DEF" w:rsidP="00DA3C38">
      <w:pPr>
        <w:pStyle w:val="APARefs"/>
        <w:spacing w:line="480" w:lineRule="auto"/>
      </w:pPr>
      <w:r w:rsidRPr="00DA3C38">
        <w:t>Simonazzi</w:t>
      </w:r>
      <w:r w:rsidR="00AC1447" w:rsidRPr="00DA3C38">
        <w:t>, A. M. (2009). Ageing employment: Old and new challenges in a global crisis scenario. Available at http://urbact.eu/fileadmin/general_library/article-SIMONAZZI_01.pdf</w:t>
      </w:r>
    </w:p>
    <w:p w:rsidR="00AC1447" w:rsidRPr="00DA3C38" w:rsidRDefault="00AC1447" w:rsidP="00DA3C38">
      <w:pPr>
        <w:pStyle w:val="APARefs"/>
        <w:spacing w:line="480" w:lineRule="auto"/>
      </w:pPr>
      <w:r w:rsidRPr="00DA3C38">
        <w:t>Small, G.</w:t>
      </w:r>
      <w:r w:rsidR="00295DEF" w:rsidRPr="00DA3C38">
        <w:t>,</w:t>
      </w:r>
      <w:r w:rsidRPr="00DA3C38">
        <w:t xml:space="preserve"> W., Moody, T.</w:t>
      </w:r>
      <w:r w:rsidR="00295DEF" w:rsidRPr="00DA3C38">
        <w:t xml:space="preserve">, </w:t>
      </w:r>
      <w:r w:rsidRPr="00DA3C38">
        <w:t>D., Siddarth, P., &amp; Bookheimer, S.</w:t>
      </w:r>
      <w:r w:rsidR="00295DEF" w:rsidRPr="00DA3C38">
        <w:t xml:space="preserve">, </w:t>
      </w:r>
      <w:r w:rsidRPr="00DA3C38">
        <w:t xml:space="preserve">Y. (2009). Your brain on Google: Patterns of cerebral activation during internet searching. </w:t>
      </w:r>
      <w:r w:rsidRPr="00DA3C38">
        <w:rPr>
          <w:i/>
        </w:rPr>
        <w:t>The American Journal of Geriatric Psychiatry, 17</w:t>
      </w:r>
      <w:r w:rsidR="002F5874" w:rsidRPr="00DA3C38">
        <w:t xml:space="preserve">(2), 116-126, doi: </w:t>
      </w:r>
      <w:r w:rsidRPr="00DA3C38">
        <w:t>http://dx.doi.org/10.1097/JGP.0b013e3181953a02</w:t>
      </w:r>
    </w:p>
    <w:p w:rsidR="00AC1447" w:rsidRPr="00DA3C38" w:rsidRDefault="00AC1447" w:rsidP="00DA3C38">
      <w:pPr>
        <w:pStyle w:val="APARefs"/>
        <w:spacing w:line="480" w:lineRule="auto"/>
      </w:pPr>
      <w:r w:rsidRPr="00DA3C38">
        <w:t xml:space="preserve">Smith, A. (1983). Clinical psychological practice and principals of neuropsychological assessment. In </w:t>
      </w:r>
      <w:r w:rsidRPr="00DA3C38">
        <w:rPr>
          <w:i/>
        </w:rPr>
        <w:t>Handbook of Clinical Psychology: Theory, Research, and Practice</w:t>
      </w:r>
      <w:r w:rsidRPr="00DA3C38">
        <w:t>. (ed. Walker). Homewood, IL: Dorsey Press</w:t>
      </w:r>
    </w:p>
    <w:p w:rsidR="00AC1447" w:rsidRPr="00DA3C38" w:rsidRDefault="00AC1447" w:rsidP="00DA3C38">
      <w:pPr>
        <w:pStyle w:val="APARefs"/>
        <w:spacing w:line="480" w:lineRule="auto"/>
      </w:pPr>
      <w:r w:rsidRPr="00DA3C38">
        <w:t xml:space="preserve">Smith, A. (1991). </w:t>
      </w:r>
      <w:r w:rsidRPr="00DA3C38">
        <w:rPr>
          <w:i/>
        </w:rPr>
        <w:t>Symbol Digit Modalities Test</w:t>
      </w:r>
      <w:r w:rsidRPr="00DA3C38">
        <w:t>. Los Angeles, CA: Western Psychological Services</w:t>
      </w:r>
    </w:p>
    <w:p w:rsidR="00833D42" w:rsidRPr="00DA3C38" w:rsidRDefault="00833D42" w:rsidP="00DA3C38">
      <w:pPr>
        <w:pStyle w:val="APARefs"/>
        <w:spacing w:line="480" w:lineRule="auto"/>
      </w:pPr>
      <w:r w:rsidRPr="00DA3C38">
        <w:t>Snowdon, D.</w:t>
      </w:r>
      <w:r w:rsidR="00295DEF" w:rsidRPr="00DA3C38">
        <w:t>,</w:t>
      </w:r>
      <w:r w:rsidRPr="00DA3C38">
        <w:t xml:space="preserve"> A., Kemper, S.</w:t>
      </w:r>
      <w:r w:rsidR="00295DEF" w:rsidRPr="00DA3C38">
        <w:t>,</w:t>
      </w:r>
      <w:r w:rsidRPr="00DA3C38">
        <w:t xml:space="preserve"> J., Mortimer, J.</w:t>
      </w:r>
      <w:r w:rsidR="00295DEF" w:rsidRPr="00DA3C38">
        <w:t>,</w:t>
      </w:r>
      <w:r w:rsidRPr="00DA3C38">
        <w:t xml:space="preserve"> A., Greiner, L.</w:t>
      </w:r>
      <w:r w:rsidR="00295DEF" w:rsidRPr="00DA3C38">
        <w:t>,</w:t>
      </w:r>
      <w:r w:rsidRPr="00DA3C38">
        <w:t xml:space="preserve"> H., Wekstein, D.</w:t>
      </w:r>
      <w:r w:rsidR="00295DEF" w:rsidRPr="00DA3C38">
        <w:t>,</w:t>
      </w:r>
      <w:r w:rsidRPr="00DA3C38">
        <w:t xml:space="preserve"> R., &amp; Markesbery, W.</w:t>
      </w:r>
      <w:r w:rsidR="00295DEF" w:rsidRPr="00DA3C38">
        <w:t>,</w:t>
      </w:r>
      <w:r w:rsidRPr="00DA3C38">
        <w:t xml:space="preserve"> R. (1996). Linguistic ability in early life and cognitive function and Alzheimer's disease in late life: findings from the Nun Study. </w:t>
      </w:r>
      <w:r w:rsidRPr="00DA3C38">
        <w:rPr>
          <w:i/>
          <w:iCs/>
        </w:rPr>
        <w:t>Jama</w:t>
      </w:r>
      <w:r w:rsidRPr="00DA3C38">
        <w:t>, </w:t>
      </w:r>
      <w:r w:rsidRPr="00DA3C38">
        <w:rPr>
          <w:i/>
          <w:iCs/>
        </w:rPr>
        <w:t>275</w:t>
      </w:r>
      <w:r w:rsidRPr="00DA3C38">
        <w:t xml:space="preserve">(7), 528-532, doi: </w:t>
      </w:r>
      <w:r w:rsidR="002704F5" w:rsidRPr="00DA3C38">
        <w:t>10.1001/jama.1996.03530310034029</w:t>
      </w:r>
    </w:p>
    <w:p w:rsidR="00AC1447" w:rsidRPr="00DA3C38" w:rsidRDefault="00AC1447" w:rsidP="00DA3C38">
      <w:pPr>
        <w:pStyle w:val="APARefs"/>
        <w:spacing w:line="480" w:lineRule="auto"/>
      </w:pPr>
      <w:r w:rsidRPr="00DA3C38">
        <w:t>Spector, P.</w:t>
      </w:r>
      <w:r w:rsidR="00310591" w:rsidRPr="00DA3C38">
        <w:t>, E</w:t>
      </w:r>
      <w:r w:rsidRPr="00DA3C38">
        <w:t>., &amp; Jex, S.</w:t>
      </w:r>
      <w:r w:rsidR="00310591" w:rsidRPr="00DA3C38">
        <w:t>,</w:t>
      </w:r>
      <w:r w:rsidRPr="00DA3C38">
        <w:t xml:space="preserve"> M. (1998). Development of Four Self-Report Measures of Job Stressors and Strain: Interpersonal Conflict at Work Scale, Organizational Constraints Scale, Quantitative Workload Inventory, and Physical Symptoms Inventory. </w:t>
      </w:r>
      <w:r w:rsidRPr="00DA3C38">
        <w:rPr>
          <w:i/>
          <w:iCs/>
        </w:rPr>
        <w:t>Journal of Occupational Health Psychology</w:t>
      </w:r>
      <w:r w:rsidRPr="00DA3C38">
        <w:t>, </w:t>
      </w:r>
      <w:r w:rsidRPr="00DA3C38">
        <w:rPr>
          <w:i/>
          <w:iCs/>
        </w:rPr>
        <w:t>3</w:t>
      </w:r>
      <w:r w:rsidRPr="00DA3C38">
        <w:t>, 356-367</w:t>
      </w:r>
    </w:p>
    <w:p w:rsidR="00AC1447" w:rsidRPr="00DA3C38" w:rsidRDefault="00AC1447" w:rsidP="00DA3C38">
      <w:pPr>
        <w:pStyle w:val="APARefs"/>
        <w:spacing w:line="480" w:lineRule="auto"/>
      </w:pPr>
      <w:r w:rsidRPr="00DA3C38">
        <w:t xml:space="preserve">Spreen, O., &amp; Strauss, E. (1991). </w:t>
      </w:r>
      <w:r w:rsidRPr="00DA3C38">
        <w:rPr>
          <w:i/>
          <w:iCs/>
        </w:rPr>
        <w:t>A compendium of neuropsychological tests</w:t>
      </w:r>
      <w:r w:rsidRPr="00DA3C38">
        <w:t>. New York: Oxford University Press.</w:t>
      </w:r>
    </w:p>
    <w:p w:rsidR="00AC1447" w:rsidRPr="00DA3C38" w:rsidRDefault="00AC1447" w:rsidP="00DA3C38">
      <w:pPr>
        <w:pStyle w:val="APARefs"/>
        <w:spacing w:line="480" w:lineRule="auto"/>
      </w:pPr>
      <w:r w:rsidRPr="00DA3C38">
        <w:t xml:space="preserve">Stalker, G. (2011). Leisure diversity as an indicator of cultural capital. </w:t>
      </w:r>
      <w:r w:rsidRPr="00DA3C38">
        <w:rPr>
          <w:i/>
        </w:rPr>
        <w:t>Leisure Sciences, 33</w:t>
      </w:r>
      <w:r w:rsidRPr="00DA3C38">
        <w:t>, 88-102</w:t>
      </w:r>
    </w:p>
    <w:p w:rsidR="00AC1447" w:rsidRPr="00DA3C38" w:rsidRDefault="00AC1447" w:rsidP="00DA3C38">
      <w:pPr>
        <w:pStyle w:val="APARefs"/>
        <w:spacing w:line="480" w:lineRule="auto"/>
        <w:rPr>
          <w:bCs/>
        </w:rPr>
      </w:pPr>
      <w:r w:rsidRPr="00DA3C38">
        <w:t>Stalvey, B.</w:t>
      </w:r>
      <w:r w:rsidR="00295DEF" w:rsidRPr="00DA3C38">
        <w:t>,</w:t>
      </w:r>
      <w:r w:rsidRPr="00DA3C38">
        <w:t xml:space="preserve"> T., Owsley, C., Sloane, M.</w:t>
      </w:r>
      <w:r w:rsidR="00295DEF" w:rsidRPr="00DA3C38">
        <w:t>,</w:t>
      </w:r>
      <w:r w:rsidRPr="00DA3C38">
        <w:t xml:space="preserve"> E., &amp; Ball, K.</w:t>
      </w:r>
      <w:r w:rsidR="00295DEF" w:rsidRPr="00DA3C38">
        <w:t>,</w:t>
      </w:r>
      <w:r w:rsidRPr="00DA3C38">
        <w:t xml:space="preserve"> K. (1999). The Life Space Questionnaire: A measure of the extent of mobility of older adults. </w:t>
      </w:r>
      <w:r w:rsidRPr="00DA3C38">
        <w:rPr>
          <w:i/>
        </w:rPr>
        <w:t>Journal of Applied Gerontology</w:t>
      </w:r>
      <w:r w:rsidRPr="00DA3C38">
        <w:rPr>
          <w:i/>
          <w:iCs/>
        </w:rPr>
        <w:t xml:space="preserve">, </w:t>
      </w:r>
      <w:r w:rsidRPr="00DA3C38">
        <w:rPr>
          <w:i/>
        </w:rPr>
        <w:t>18</w:t>
      </w:r>
      <w:r w:rsidRPr="00DA3C38">
        <w:t>(4), 460-478, doi:</w:t>
      </w:r>
      <w:r w:rsidRPr="00DA3C38">
        <w:rPr>
          <w:rFonts w:eastAsiaTheme="minorHAnsi"/>
          <w:b/>
          <w:bCs/>
          <w:color w:val="333300"/>
          <w:shd w:val="clear" w:color="auto" w:fill="FFFFFF"/>
          <w:lang w:eastAsia="en-US"/>
        </w:rPr>
        <w:t xml:space="preserve"> </w:t>
      </w:r>
      <w:r w:rsidRPr="00DA3C38">
        <w:rPr>
          <w:bCs/>
        </w:rPr>
        <w:t>10.1177/07334648990180040</w:t>
      </w:r>
    </w:p>
    <w:p w:rsidR="00AC1447" w:rsidRPr="00DA3C38" w:rsidRDefault="00AC1447" w:rsidP="00DA3C38">
      <w:pPr>
        <w:pStyle w:val="APARefs"/>
        <w:spacing w:line="480" w:lineRule="auto"/>
      </w:pPr>
      <w:r w:rsidRPr="00DA3C38">
        <w:t>Stergiou, L. (2014). Reduction 40% in pensions after the budget cuts. Available at http://www.kathimerini.gr/452099/article/oikonomia/ellhnikh-oikonomia/meiwseis-40-stis-synta3eis-meta-tis-perikopes</w:t>
      </w:r>
    </w:p>
    <w:p w:rsidR="00FE4077" w:rsidRPr="00DA3C38" w:rsidRDefault="00FE4077" w:rsidP="00DA3C38">
      <w:pPr>
        <w:pStyle w:val="APARefs"/>
        <w:spacing w:line="480" w:lineRule="auto"/>
      </w:pPr>
      <w:r w:rsidRPr="00DA3C38">
        <w:t>Stern, Y. (2002). What is cognitive reserve? Theory and research application of the reserve concept. </w:t>
      </w:r>
      <w:r w:rsidRPr="00DA3C38">
        <w:rPr>
          <w:i/>
          <w:iCs/>
        </w:rPr>
        <w:t>Journal of the International Neuropsychological Society</w:t>
      </w:r>
      <w:r w:rsidRPr="00DA3C38">
        <w:t>, </w:t>
      </w:r>
      <w:r w:rsidRPr="00DA3C38">
        <w:rPr>
          <w:i/>
          <w:iCs/>
        </w:rPr>
        <w:t>8</w:t>
      </w:r>
      <w:r w:rsidRPr="00DA3C38">
        <w:t>(03), 448-460, doi: 10.1017.S1355617701020240</w:t>
      </w:r>
    </w:p>
    <w:p w:rsidR="00AC1447" w:rsidRPr="00DA3C38" w:rsidRDefault="00AC1447" w:rsidP="00DA3C38">
      <w:pPr>
        <w:pStyle w:val="APARefs"/>
        <w:spacing w:line="480" w:lineRule="auto"/>
      </w:pPr>
      <w:r w:rsidRPr="00DA3C38">
        <w:t xml:space="preserve">Suchy, Y., Williams, p. G., Kraybill, M. L. Franchow, E., &amp; Butner, J. (2010).  Instrumental activities of daily living among community-dwelling older adults: personality associations with self-report, performance, and awareness of functional difficulties. </w:t>
      </w:r>
      <w:r w:rsidRPr="00DA3C38">
        <w:rPr>
          <w:i/>
          <w:iCs/>
        </w:rPr>
        <w:t xml:space="preserve">Journal of Gerontology: Psychological Sciences, </w:t>
      </w:r>
      <w:r w:rsidRPr="00DA3C38">
        <w:rPr>
          <w:iCs/>
        </w:rPr>
        <w:t>doi:</w:t>
      </w:r>
      <w:r w:rsidRPr="00DA3C38">
        <w:rPr>
          <w:i/>
          <w:iCs/>
        </w:rPr>
        <w:t xml:space="preserve"> </w:t>
      </w:r>
      <w:r w:rsidRPr="00DA3C38">
        <w:t>10.1093/geronb/gbq037</w:t>
      </w:r>
    </w:p>
    <w:p w:rsidR="002C2B66" w:rsidRPr="00DA3C38" w:rsidRDefault="002C2B66" w:rsidP="00DA3C38">
      <w:pPr>
        <w:pStyle w:val="APARefs"/>
        <w:spacing w:line="480" w:lineRule="auto"/>
        <w:rPr>
          <w:rFonts w:eastAsia="Times New Roman"/>
          <w:lang w:eastAsia="en-GB"/>
        </w:rPr>
      </w:pPr>
      <w:r w:rsidRPr="00DA3C38">
        <w:t>Taib, F., &amp; Yusoff, M. S. B. (2014). Difficulty index, discrimination index, sensitivity and specificity of long case and multiple choice questions to predict medical students’ examination performance. </w:t>
      </w:r>
      <w:r w:rsidRPr="00DA3C38">
        <w:rPr>
          <w:i/>
          <w:iCs/>
        </w:rPr>
        <w:t>Journal of Taibah University Medical Sciences</w:t>
      </w:r>
      <w:r w:rsidRPr="00DA3C38">
        <w:t>, </w:t>
      </w:r>
      <w:r w:rsidRPr="00DA3C38">
        <w:rPr>
          <w:i/>
          <w:iCs/>
        </w:rPr>
        <w:t>9</w:t>
      </w:r>
      <w:r w:rsidRPr="00DA3C38">
        <w:t xml:space="preserve">(2), 110-114, doi: </w:t>
      </w:r>
      <w:r w:rsidRPr="00DA3C38">
        <w:rPr>
          <w:rFonts w:eastAsia="Times New Roman"/>
        </w:rPr>
        <w:t>https://doi.org/10.1016/j.jtumed.2013.12.002</w:t>
      </w:r>
    </w:p>
    <w:p w:rsidR="00AC1447" w:rsidRPr="00DA3C38" w:rsidRDefault="00AC1447" w:rsidP="00DA3C38">
      <w:pPr>
        <w:pStyle w:val="APARefs"/>
        <w:spacing w:line="480" w:lineRule="auto"/>
      </w:pPr>
      <w:r w:rsidRPr="00DA3C38">
        <w:t xml:space="preserve">Townsend, P. 1957. </w:t>
      </w:r>
      <w:r w:rsidRPr="00DA3C38">
        <w:rPr>
          <w:i/>
        </w:rPr>
        <w:t>The Family Life of Older People</w:t>
      </w:r>
      <w:r w:rsidRPr="00DA3C38">
        <w:t xml:space="preserve">. </w:t>
      </w:r>
      <w:r w:rsidR="00833D42" w:rsidRPr="00DA3C38">
        <w:t>London</w:t>
      </w:r>
      <w:r w:rsidR="00295DEF" w:rsidRPr="00DA3C38">
        <w:t>, UK: Routledge and Kegan Paul</w:t>
      </w:r>
    </w:p>
    <w:p w:rsidR="00FB0583" w:rsidRPr="00DA3C38" w:rsidRDefault="005432C0" w:rsidP="00DA3C38">
      <w:pPr>
        <w:pStyle w:val="APARefs"/>
        <w:spacing w:line="480" w:lineRule="auto"/>
      </w:pPr>
      <w:r w:rsidRPr="00E041BC">
        <w:rPr>
          <w:lang w:val="fr-FR"/>
        </w:rPr>
        <w:t>Tuch</w:t>
      </w:r>
      <w:r w:rsidR="00015CAE" w:rsidRPr="00E041BC">
        <w:rPr>
          <w:lang w:val="fr-FR"/>
        </w:rPr>
        <w:t>er-Drop</w:t>
      </w:r>
      <w:r w:rsidR="00833D42" w:rsidRPr="00E041BC">
        <w:rPr>
          <w:lang w:val="fr-FR"/>
        </w:rPr>
        <w:t>, E.</w:t>
      </w:r>
      <w:r w:rsidR="00295DEF" w:rsidRPr="00E041BC">
        <w:rPr>
          <w:lang w:val="fr-FR"/>
        </w:rPr>
        <w:t>,</w:t>
      </w:r>
      <w:r w:rsidR="00833D42" w:rsidRPr="00E041BC">
        <w:rPr>
          <w:lang w:val="fr-FR"/>
        </w:rPr>
        <w:t xml:space="preserve"> M., Johnson, K.</w:t>
      </w:r>
      <w:r w:rsidR="00295DEF" w:rsidRPr="00E041BC">
        <w:rPr>
          <w:lang w:val="fr-FR"/>
        </w:rPr>
        <w:t>,</w:t>
      </w:r>
      <w:r w:rsidR="00833D42" w:rsidRPr="00E041BC">
        <w:rPr>
          <w:lang w:val="fr-FR"/>
        </w:rPr>
        <w:t xml:space="preserve"> E., &amp; Jones, R.</w:t>
      </w:r>
      <w:r w:rsidR="00295DEF" w:rsidRPr="00E041BC">
        <w:rPr>
          <w:lang w:val="fr-FR"/>
        </w:rPr>
        <w:t>,</w:t>
      </w:r>
      <w:r w:rsidR="00833D42" w:rsidRPr="00E041BC">
        <w:rPr>
          <w:lang w:val="fr-FR"/>
        </w:rPr>
        <w:t xml:space="preserve"> N. (2009). </w:t>
      </w:r>
      <w:r w:rsidR="00833D42" w:rsidRPr="00DA3C38">
        <w:t>The cognitive reserve hypothesis: a longitudinal examination of age-associated declines in reasoning and processing speed. </w:t>
      </w:r>
      <w:r w:rsidR="00833D42" w:rsidRPr="00DA3C38">
        <w:rPr>
          <w:i/>
          <w:iCs/>
        </w:rPr>
        <w:t>Developmental psychology</w:t>
      </w:r>
      <w:r w:rsidR="00833D42" w:rsidRPr="00DA3C38">
        <w:t>, </w:t>
      </w:r>
      <w:r w:rsidR="00833D42" w:rsidRPr="00DA3C38">
        <w:rPr>
          <w:i/>
          <w:iCs/>
        </w:rPr>
        <w:t>45</w:t>
      </w:r>
      <w:r w:rsidR="00833D42" w:rsidRPr="00DA3C38">
        <w:t>(2), 431- 446,</w:t>
      </w:r>
    </w:p>
    <w:p w:rsidR="002F5874" w:rsidRPr="00E041BC" w:rsidRDefault="002F5874" w:rsidP="00DA3C38">
      <w:pPr>
        <w:pStyle w:val="APARefs"/>
        <w:spacing w:line="480" w:lineRule="auto"/>
        <w:rPr>
          <w:lang w:val="el-GR"/>
        </w:rPr>
      </w:pPr>
      <w:r w:rsidRPr="00DA3C38">
        <w:t>Tun, P.</w:t>
      </w:r>
      <w:r w:rsidR="00295DEF" w:rsidRPr="00DA3C38">
        <w:t>,</w:t>
      </w:r>
      <w:r w:rsidRPr="00DA3C38">
        <w:t xml:space="preserve"> A., &amp; Lachman, M.</w:t>
      </w:r>
      <w:r w:rsidR="00295DEF" w:rsidRPr="00DA3C38">
        <w:t>,</w:t>
      </w:r>
      <w:r w:rsidRPr="00DA3C38">
        <w:t xml:space="preserve"> E. (2010). The association between computer use and cognition across adulthood: use it so you won't lose it?. </w:t>
      </w:r>
      <w:r w:rsidRPr="00DA3C38">
        <w:rPr>
          <w:i/>
          <w:iCs/>
        </w:rPr>
        <w:t>Psychology</w:t>
      </w:r>
      <w:r w:rsidRPr="00E041BC">
        <w:rPr>
          <w:i/>
          <w:iCs/>
          <w:lang w:val="el-GR"/>
        </w:rPr>
        <w:t xml:space="preserve"> </w:t>
      </w:r>
      <w:r w:rsidRPr="00DA3C38">
        <w:rPr>
          <w:i/>
          <w:iCs/>
        </w:rPr>
        <w:t>and</w:t>
      </w:r>
      <w:r w:rsidRPr="00E041BC">
        <w:rPr>
          <w:i/>
          <w:iCs/>
          <w:lang w:val="el-GR"/>
        </w:rPr>
        <w:t xml:space="preserve"> </w:t>
      </w:r>
      <w:r w:rsidRPr="00DA3C38">
        <w:rPr>
          <w:i/>
          <w:iCs/>
        </w:rPr>
        <w:t>aging</w:t>
      </w:r>
      <w:r w:rsidRPr="00E041BC">
        <w:rPr>
          <w:lang w:val="el-GR"/>
        </w:rPr>
        <w:t>,</w:t>
      </w:r>
      <w:r w:rsidRPr="00DA3C38">
        <w:t> </w:t>
      </w:r>
      <w:r w:rsidRPr="00E041BC">
        <w:rPr>
          <w:i/>
          <w:iCs/>
          <w:lang w:val="el-GR"/>
        </w:rPr>
        <w:t>25</w:t>
      </w:r>
      <w:r w:rsidRPr="00E041BC">
        <w:rPr>
          <w:lang w:val="el-GR"/>
        </w:rPr>
        <w:t xml:space="preserve">(3), 560–568, </w:t>
      </w:r>
      <w:r w:rsidRPr="00DA3C38">
        <w:t>doi</w:t>
      </w:r>
      <w:r w:rsidRPr="00E041BC">
        <w:rPr>
          <w:lang w:val="el-GR"/>
        </w:rPr>
        <w:t>:10.1037/</w:t>
      </w:r>
      <w:r w:rsidRPr="00DA3C38">
        <w:t>a</w:t>
      </w:r>
      <w:r w:rsidRPr="00E041BC">
        <w:rPr>
          <w:lang w:val="el-GR"/>
        </w:rPr>
        <w:t>0019543</w:t>
      </w:r>
    </w:p>
    <w:p w:rsidR="00AC1447" w:rsidRPr="00E041BC" w:rsidRDefault="00AC1447" w:rsidP="00DA3C38">
      <w:pPr>
        <w:pStyle w:val="APARefs"/>
        <w:spacing w:line="480" w:lineRule="auto"/>
        <w:rPr>
          <w:lang w:val="el-GR"/>
        </w:rPr>
      </w:pPr>
      <w:r w:rsidRPr="00DA3C38">
        <w:t>Vlachou</w:t>
      </w:r>
      <w:r w:rsidRPr="00E041BC">
        <w:rPr>
          <w:lang w:val="el-GR"/>
        </w:rPr>
        <w:t xml:space="preserve">, </w:t>
      </w:r>
      <w:r w:rsidRPr="00DA3C38">
        <w:t>C</w:t>
      </w:r>
      <w:r w:rsidRPr="00E041BC">
        <w:rPr>
          <w:lang w:val="el-GR"/>
        </w:rPr>
        <w:t>.</w:t>
      </w:r>
      <w:r w:rsidR="00FB6439" w:rsidRPr="00E041BC">
        <w:rPr>
          <w:lang w:val="el-GR"/>
        </w:rPr>
        <w:t>,</w:t>
      </w:r>
      <w:r w:rsidRPr="00E041BC">
        <w:rPr>
          <w:lang w:val="el-GR"/>
        </w:rPr>
        <w:t xml:space="preserve"> </w:t>
      </w:r>
      <w:r w:rsidRPr="00DA3C38">
        <w:t>H</w:t>
      </w:r>
      <w:r w:rsidRPr="00E041BC">
        <w:rPr>
          <w:lang w:val="el-GR"/>
        </w:rPr>
        <w:t xml:space="preserve">., &amp; </w:t>
      </w:r>
      <w:r w:rsidRPr="00DA3C38">
        <w:t>Kosmidou</w:t>
      </w:r>
      <w:r w:rsidRPr="00E041BC">
        <w:rPr>
          <w:lang w:val="el-GR"/>
        </w:rPr>
        <w:t xml:space="preserve">, </w:t>
      </w:r>
      <w:r w:rsidRPr="00DA3C38">
        <w:t>M</w:t>
      </w:r>
      <w:r w:rsidRPr="00E041BC">
        <w:rPr>
          <w:lang w:val="el-GR"/>
        </w:rPr>
        <w:t xml:space="preserve">. </w:t>
      </w:r>
      <w:r w:rsidRPr="00DA3C38">
        <w:t>H</w:t>
      </w:r>
      <w:r w:rsidRPr="00E041BC">
        <w:rPr>
          <w:lang w:val="el-GR"/>
        </w:rPr>
        <w:t xml:space="preserve">. (2002). </w:t>
      </w:r>
      <w:r w:rsidRPr="00DA3C38">
        <w:rPr>
          <w:lang w:val="el-GR"/>
        </w:rPr>
        <w:t xml:space="preserve">Η ελληνική δοκιμασία οπτικο-νοητικής ιχνηλάτησης: Προκαταρτικές νόρμες για κλινική και ερευνητική εφαρμογή. </w:t>
      </w:r>
      <w:r w:rsidRPr="00DA3C38">
        <w:rPr>
          <w:i/>
        </w:rPr>
        <w:t>Psychology</w:t>
      </w:r>
      <w:r w:rsidRPr="00E041BC">
        <w:rPr>
          <w:i/>
          <w:lang w:val="el-GR"/>
        </w:rPr>
        <w:t>, 9</w:t>
      </w:r>
      <w:r w:rsidRPr="00E041BC">
        <w:rPr>
          <w:lang w:val="el-GR"/>
        </w:rPr>
        <w:t>(3), 336-352</w:t>
      </w:r>
    </w:p>
    <w:p w:rsidR="00AC1447" w:rsidRPr="00DA3C38" w:rsidRDefault="00AC1447" w:rsidP="00DA3C38">
      <w:pPr>
        <w:pStyle w:val="APARefs"/>
        <w:spacing w:line="480" w:lineRule="auto"/>
      </w:pPr>
      <w:r w:rsidRPr="00DA3C38">
        <w:t>Vlachou</w:t>
      </w:r>
      <w:r w:rsidRPr="00E041BC">
        <w:rPr>
          <w:lang w:val="el-GR"/>
        </w:rPr>
        <w:t xml:space="preserve">, </w:t>
      </w:r>
      <w:r w:rsidRPr="00DA3C38">
        <w:t>C</w:t>
      </w:r>
      <w:r w:rsidRPr="00E041BC">
        <w:rPr>
          <w:lang w:val="el-GR"/>
        </w:rPr>
        <w:t>.</w:t>
      </w:r>
      <w:r w:rsidR="00FB6439" w:rsidRPr="00E041BC">
        <w:rPr>
          <w:lang w:val="el-GR"/>
        </w:rPr>
        <w:t>,</w:t>
      </w:r>
      <w:r w:rsidRPr="00E041BC">
        <w:rPr>
          <w:lang w:val="el-GR"/>
        </w:rPr>
        <w:t xml:space="preserve"> </w:t>
      </w:r>
      <w:r w:rsidRPr="00DA3C38">
        <w:t>H</w:t>
      </w:r>
      <w:r w:rsidRPr="00E041BC">
        <w:rPr>
          <w:lang w:val="el-GR"/>
        </w:rPr>
        <w:t xml:space="preserve">., </w:t>
      </w:r>
      <w:r w:rsidRPr="00DA3C38">
        <w:t>Kosmidis</w:t>
      </w:r>
      <w:r w:rsidRPr="00E041BC">
        <w:rPr>
          <w:lang w:val="el-GR"/>
        </w:rPr>
        <w:t xml:space="preserve">, </w:t>
      </w:r>
      <w:r w:rsidRPr="00DA3C38">
        <w:t>M</w:t>
      </w:r>
      <w:r w:rsidRPr="00E041BC">
        <w:rPr>
          <w:lang w:val="el-GR"/>
        </w:rPr>
        <w:t>.</w:t>
      </w:r>
      <w:r w:rsidR="00FB6439" w:rsidRPr="00E041BC">
        <w:rPr>
          <w:lang w:val="el-GR"/>
        </w:rPr>
        <w:t>,</w:t>
      </w:r>
      <w:r w:rsidRPr="00E041BC">
        <w:rPr>
          <w:lang w:val="el-GR"/>
        </w:rPr>
        <w:t xml:space="preserve"> </w:t>
      </w:r>
      <w:r w:rsidRPr="00DA3C38">
        <w:t>H</w:t>
      </w:r>
      <w:r w:rsidRPr="00E041BC">
        <w:rPr>
          <w:lang w:val="el-GR"/>
        </w:rPr>
        <w:t xml:space="preserve">., </w:t>
      </w:r>
      <w:r w:rsidRPr="00DA3C38">
        <w:t>Dardagani</w:t>
      </w:r>
      <w:r w:rsidRPr="00E041BC">
        <w:rPr>
          <w:lang w:val="el-GR"/>
        </w:rPr>
        <w:t xml:space="preserve">, </w:t>
      </w:r>
      <w:r w:rsidRPr="00DA3C38">
        <w:t>A</w:t>
      </w:r>
      <w:r w:rsidRPr="00E041BC">
        <w:rPr>
          <w:lang w:val="el-GR"/>
        </w:rPr>
        <w:t xml:space="preserve">., </w:t>
      </w:r>
      <w:r w:rsidRPr="00DA3C38">
        <w:t>Tsotsi</w:t>
      </w:r>
      <w:r w:rsidRPr="00E041BC">
        <w:rPr>
          <w:lang w:val="el-GR"/>
        </w:rPr>
        <w:t xml:space="preserve">, </w:t>
      </w:r>
      <w:r w:rsidRPr="00DA3C38">
        <w:t>S</w:t>
      </w:r>
      <w:r w:rsidRPr="00E041BC">
        <w:rPr>
          <w:lang w:val="el-GR"/>
        </w:rPr>
        <w:t xml:space="preserve">., </w:t>
      </w:r>
      <w:r w:rsidRPr="00DA3C38">
        <w:t>Giannakou</w:t>
      </w:r>
      <w:r w:rsidRPr="00E041BC">
        <w:rPr>
          <w:lang w:val="el-GR"/>
        </w:rPr>
        <w:t xml:space="preserve">, </w:t>
      </w:r>
      <w:r w:rsidRPr="00DA3C38">
        <w:t>M</w:t>
      </w:r>
      <w:r w:rsidRPr="00E041BC">
        <w:rPr>
          <w:lang w:val="el-GR"/>
        </w:rPr>
        <w:t xml:space="preserve">., </w:t>
      </w:r>
      <w:r w:rsidRPr="00DA3C38">
        <w:t>Giazkoulidou</w:t>
      </w:r>
      <w:r w:rsidRPr="00E041BC">
        <w:rPr>
          <w:lang w:val="el-GR"/>
        </w:rPr>
        <w:t xml:space="preserve">, </w:t>
      </w:r>
      <w:r w:rsidRPr="00DA3C38">
        <w:t>A</w:t>
      </w:r>
      <w:r w:rsidRPr="00E041BC">
        <w:rPr>
          <w:lang w:val="el-GR"/>
        </w:rPr>
        <w:t xml:space="preserve">. </w:t>
      </w:r>
      <w:r w:rsidRPr="00DA3C38">
        <w:t>et</w:t>
      </w:r>
      <w:r w:rsidRPr="00E041BC">
        <w:rPr>
          <w:lang w:val="el-GR"/>
        </w:rPr>
        <w:t xml:space="preserve"> </w:t>
      </w:r>
      <w:r w:rsidRPr="00DA3C38">
        <w:t>al</w:t>
      </w:r>
      <w:r w:rsidRPr="00E041BC">
        <w:rPr>
          <w:lang w:val="el-GR"/>
        </w:rPr>
        <w:t xml:space="preserve">. </w:t>
      </w:r>
      <w:r w:rsidRPr="00DA3C38">
        <w:t xml:space="preserve">(2012). Development of the Greek Verbal Learning Test: reliability, construct validity, and normative standards. </w:t>
      </w:r>
      <w:r w:rsidRPr="00DA3C38">
        <w:rPr>
          <w:i/>
        </w:rPr>
        <w:t>Archives of Clinical Neuropsychology, 28</w:t>
      </w:r>
      <w:r w:rsidRPr="00DA3C38">
        <w:t>, 52-64</w:t>
      </w:r>
    </w:p>
    <w:p w:rsidR="00AC1447" w:rsidRPr="00DA3C38" w:rsidRDefault="00AC1447" w:rsidP="00DA3C38">
      <w:pPr>
        <w:pStyle w:val="APARefs"/>
        <w:spacing w:line="480" w:lineRule="auto"/>
      </w:pPr>
      <w:r w:rsidRPr="00DA3C38">
        <w:t xml:space="preserve">Walker, A. (1981). Towards a political economy of old age. </w:t>
      </w:r>
      <w:r w:rsidRPr="00DA3C38">
        <w:rPr>
          <w:i/>
        </w:rPr>
        <w:t>Ageing and society, 1</w:t>
      </w:r>
      <w:r w:rsidRPr="00DA3C38">
        <w:t>, 73-94, doi: doi:10.1017/S0144686X81000056</w:t>
      </w:r>
    </w:p>
    <w:p w:rsidR="00AC1447" w:rsidRPr="00DA3C38" w:rsidRDefault="00AC1447" w:rsidP="00DA3C38">
      <w:pPr>
        <w:pStyle w:val="APARefs"/>
        <w:spacing w:line="480" w:lineRule="auto"/>
      </w:pPr>
      <w:r w:rsidRPr="00DA3C38">
        <w:t xml:space="preserve">Walker, A. (1999). The future of pensions and retirement in Europe: Towards productive ageing. </w:t>
      </w:r>
      <w:r w:rsidRPr="00DA3C38">
        <w:rPr>
          <w:i/>
        </w:rPr>
        <w:t>Hallam International Journal of Ageing, 1</w:t>
      </w:r>
      <w:r w:rsidRPr="00DA3C38">
        <w:t>(2), 3-15, doi:10.2190/HAI.2.a</w:t>
      </w:r>
    </w:p>
    <w:p w:rsidR="00AC1447" w:rsidRPr="00DA3C38" w:rsidRDefault="00AC1447" w:rsidP="00DA3C38">
      <w:pPr>
        <w:pStyle w:val="APARefs"/>
        <w:spacing w:line="480" w:lineRule="auto"/>
      </w:pPr>
      <w:r w:rsidRPr="00DA3C38">
        <w:t>Walker, A. (2002). A strategy for active ageing. </w:t>
      </w:r>
      <w:r w:rsidRPr="00DA3C38">
        <w:rPr>
          <w:i/>
          <w:iCs/>
        </w:rPr>
        <w:t>International Social Security Review</w:t>
      </w:r>
      <w:r w:rsidRPr="00DA3C38">
        <w:t>, </w:t>
      </w:r>
      <w:r w:rsidRPr="00DA3C38">
        <w:rPr>
          <w:i/>
          <w:iCs/>
        </w:rPr>
        <w:t>55</w:t>
      </w:r>
      <w:r w:rsidRPr="00DA3C38">
        <w:t>(1), 121-139.</w:t>
      </w:r>
    </w:p>
    <w:p w:rsidR="00AC1447" w:rsidRPr="00DA3C38" w:rsidRDefault="00AC1447" w:rsidP="00DA3C38">
      <w:pPr>
        <w:pStyle w:val="APARefs"/>
        <w:spacing w:line="480" w:lineRule="auto"/>
      </w:pPr>
      <w:r w:rsidRPr="00DA3C38">
        <w:t xml:space="preserve">Walker, A. &amp; Maltby, T. (2012). Active ageing: A strategic policy solution to demographic ageing in the European Union. </w:t>
      </w:r>
      <w:r w:rsidRPr="00DA3C38">
        <w:rPr>
          <w:i/>
        </w:rPr>
        <w:t>International Journal of Social Welfare, 21</w:t>
      </w:r>
      <w:r w:rsidRPr="00DA3C38">
        <w:t>, 117-130, doi doi:10.1017/S0144686X81000056</w:t>
      </w:r>
    </w:p>
    <w:p w:rsidR="00AC1447" w:rsidRPr="00DA3C38" w:rsidRDefault="00AC1447" w:rsidP="00DA3C38">
      <w:pPr>
        <w:pStyle w:val="APARefs"/>
        <w:spacing w:line="480" w:lineRule="auto"/>
      </w:pPr>
      <w:r w:rsidRPr="00DA3C38">
        <w:t>Wang, H.</w:t>
      </w:r>
      <w:r w:rsidR="00FB6439" w:rsidRPr="00DA3C38">
        <w:t>,</w:t>
      </w:r>
      <w:r w:rsidRPr="00DA3C38">
        <w:t xml:space="preserve"> X., Karp, A., Winblad, B., &amp; Fratiglioni, L. (2002). Late-life engagement in social and leisure activities is associated with a decreased risk of dementia: a longitudinal study from the Kungsholmen project. </w:t>
      </w:r>
      <w:r w:rsidRPr="00DA3C38">
        <w:rPr>
          <w:i/>
          <w:iCs/>
        </w:rPr>
        <w:t>American journal of epidemiology</w:t>
      </w:r>
      <w:r w:rsidRPr="00DA3C38">
        <w:t>, </w:t>
      </w:r>
      <w:r w:rsidRPr="00DA3C38">
        <w:rPr>
          <w:i/>
          <w:iCs/>
        </w:rPr>
        <w:t>155</w:t>
      </w:r>
      <w:r w:rsidRPr="00DA3C38">
        <w:t xml:space="preserve">(12), 1081-1087, </w:t>
      </w:r>
    </w:p>
    <w:p w:rsidR="00AC1447" w:rsidRPr="00DA3C38" w:rsidRDefault="00AC1447" w:rsidP="00DA3C38">
      <w:pPr>
        <w:pStyle w:val="APARefs"/>
        <w:spacing w:line="480" w:lineRule="auto"/>
      </w:pPr>
      <w:r w:rsidRPr="00DA3C38">
        <w:t xml:space="preserve">Wechsler, D. (1981). </w:t>
      </w:r>
      <w:r w:rsidRPr="00DA3C38">
        <w:rPr>
          <w:i/>
        </w:rPr>
        <w:t>WAIS-R: Wechsler Adult Intelligence Scale-Revised</w:t>
      </w:r>
      <w:r w:rsidRPr="00DA3C38">
        <w:t>. NY: The Psychological Corporation</w:t>
      </w:r>
    </w:p>
    <w:p w:rsidR="00AC1447" w:rsidRPr="00DA3C38" w:rsidRDefault="00AC1447" w:rsidP="00DA3C38">
      <w:pPr>
        <w:pStyle w:val="APARefs"/>
        <w:spacing w:line="480" w:lineRule="auto"/>
      </w:pPr>
      <w:r w:rsidRPr="00DA3C38">
        <w:t>Weiss, R.</w:t>
      </w:r>
      <w:r w:rsidR="00FB6439" w:rsidRPr="00DA3C38">
        <w:t>,</w:t>
      </w:r>
      <w:r w:rsidRPr="00DA3C38">
        <w:t xml:space="preserve"> S. 1982. Issues in the study of loneliness. In Peplau, L. and Perlman, D. (eds), Loneliness : </w:t>
      </w:r>
      <w:r w:rsidRPr="00DA3C38">
        <w:rPr>
          <w:i/>
        </w:rPr>
        <w:t>A Source Book of Current Theory, Research and Therapy</w:t>
      </w:r>
      <w:r w:rsidRPr="00DA3C38">
        <w:t>. Wiley, New York, 71–80.</w:t>
      </w:r>
    </w:p>
    <w:p w:rsidR="00AC1447" w:rsidRPr="00DA3C38" w:rsidRDefault="00FB6439" w:rsidP="00DA3C38">
      <w:pPr>
        <w:pStyle w:val="APARefs"/>
        <w:spacing w:line="480" w:lineRule="auto"/>
      </w:pPr>
      <w:r w:rsidRPr="00DA3C38">
        <w:t>Wegn</w:t>
      </w:r>
      <w:r w:rsidR="00AC1447" w:rsidRPr="00DA3C38">
        <w:t>er, G. C., Davies, R., Shahtahmasebi, S. and Scott, A. 1996. Social-isolation and loneliness in old-age: review and model refinement</w:t>
      </w:r>
      <w:r w:rsidR="00AC1447" w:rsidRPr="00DA3C38">
        <w:rPr>
          <w:i/>
        </w:rPr>
        <w:t>. Ageing and Society, 16</w:t>
      </w:r>
      <w:r w:rsidR="00AC1447" w:rsidRPr="00DA3C38">
        <w:t>, 333–58.</w:t>
      </w:r>
    </w:p>
    <w:p w:rsidR="00AC1447" w:rsidRPr="00DA3C38" w:rsidRDefault="00AC1447" w:rsidP="00DA3C38">
      <w:pPr>
        <w:pStyle w:val="APARefs"/>
        <w:spacing w:line="480" w:lineRule="auto"/>
      </w:pPr>
      <w:r w:rsidRPr="00DA3C38">
        <w:t xml:space="preserve">Wheelock, J., &amp; Jones, K. (2002). Grandparents are the next best thing: informal childcare for working parents in urban Britain. </w:t>
      </w:r>
      <w:r w:rsidRPr="00DA3C38">
        <w:rPr>
          <w:i/>
        </w:rPr>
        <w:t>Journal of Social Policy, 31</w:t>
      </w:r>
      <w:r w:rsidRPr="00DA3C38">
        <w:t>, 441-463, doi:10.1017/S0047279402006657</w:t>
      </w:r>
    </w:p>
    <w:p w:rsidR="00AC1447" w:rsidRPr="00DA3C38" w:rsidRDefault="00FB6439" w:rsidP="00DA3C38">
      <w:pPr>
        <w:pStyle w:val="APARefs"/>
        <w:spacing w:line="480" w:lineRule="auto"/>
      </w:pPr>
      <w:r w:rsidRPr="00DA3C38">
        <w:t xml:space="preserve">Williams, J., </w:t>
      </w:r>
      <w:r w:rsidR="00AC1447" w:rsidRPr="00DA3C38">
        <w:t xml:space="preserve">M. (1991).  Memory </w:t>
      </w:r>
      <w:r w:rsidR="00AC1447" w:rsidRPr="00DA3C38">
        <w:rPr>
          <w:i/>
        </w:rPr>
        <w:t>Assessment Scales professional manual</w:t>
      </w:r>
      <w:r w:rsidR="00AC1447" w:rsidRPr="00DA3C38">
        <w:t>. Psychological Assessment Resources, Inc.; Odessa: 1991.</w:t>
      </w:r>
    </w:p>
    <w:p w:rsidR="00EA6206" w:rsidRPr="00DA3C38" w:rsidRDefault="00EA6206" w:rsidP="00DA3C38">
      <w:pPr>
        <w:pStyle w:val="APARefs"/>
        <w:spacing w:line="480" w:lineRule="auto"/>
      </w:pPr>
      <w:r w:rsidRPr="00DA3C38">
        <w:t>Willis, S., L. (1990). Everyday Problems Test. </w:t>
      </w:r>
      <w:r w:rsidRPr="00DA3C38">
        <w:rPr>
          <w:i/>
          <w:iCs/>
        </w:rPr>
        <w:t>Philadelphia, PA: Pennsylvania State University</w:t>
      </w:r>
      <w:r w:rsidRPr="00DA3C38">
        <w:t>.</w:t>
      </w:r>
    </w:p>
    <w:p w:rsidR="00AC1447" w:rsidRPr="00DA3C38" w:rsidRDefault="00AC1447" w:rsidP="00DA3C38">
      <w:pPr>
        <w:pStyle w:val="APARefs"/>
        <w:spacing w:line="480" w:lineRule="auto"/>
      </w:pPr>
      <w:r w:rsidRPr="00E041BC">
        <w:rPr>
          <w:lang w:val="sv-SE"/>
        </w:rPr>
        <w:t>Willis, S.</w:t>
      </w:r>
      <w:r w:rsidR="00EA6206" w:rsidRPr="00E041BC">
        <w:rPr>
          <w:lang w:val="sv-SE"/>
        </w:rPr>
        <w:t>,</w:t>
      </w:r>
      <w:r w:rsidRPr="00E041BC">
        <w:rPr>
          <w:lang w:val="sv-SE"/>
        </w:rPr>
        <w:t xml:space="preserve"> L., &amp; Marsiske, M. (1993). </w:t>
      </w:r>
      <w:r w:rsidRPr="00DA3C38">
        <w:rPr>
          <w:i/>
        </w:rPr>
        <w:t>Manual for the Everyday Problems Test</w:t>
      </w:r>
      <w:r w:rsidRPr="00DA3C38">
        <w:t>. University Park: Department of Human Development and Family Studies, Pennsylvania State University.</w:t>
      </w:r>
    </w:p>
    <w:p w:rsidR="00AC1447" w:rsidRPr="00DA3C38" w:rsidRDefault="00AC1447" w:rsidP="00DA3C38">
      <w:pPr>
        <w:pStyle w:val="APARefs"/>
        <w:spacing w:line="480" w:lineRule="auto"/>
      </w:pPr>
      <w:r w:rsidRPr="00E041BC">
        <w:rPr>
          <w:lang w:val="de-DE"/>
        </w:rPr>
        <w:t>Willis, S. L., Jay, G.</w:t>
      </w:r>
      <w:r w:rsidR="00FB6439" w:rsidRPr="00E041BC">
        <w:rPr>
          <w:lang w:val="de-DE"/>
        </w:rPr>
        <w:t>,</w:t>
      </w:r>
      <w:r w:rsidRPr="00E041BC">
        <w:rPr>
          <w:lang w:val="de-DE"/>
        </w:rPr>
        <w:t xml:space="preserve"> M., Diehl, M., &amp; Marsiske, M. (1992). </w:t>
      </w:r>
      <w:r w:rsidRPr="00DA3C38">
        <w:t>Longitudinal Change and Prediction of Everyday Task Competence in the Elderly.</w:t>
      </w:r>
      <w:r w:rsidRPr="00DA3C38">
        <w:rPr>
          <w:i/>
        </w:rPr>
        <w:t> Research on Ageing, 14</w:t>
      </w:r>
      <w:r w:rsidRPr="00DA3C38">
        <w:t>(1), 68–91. doi:10.1177/0164027592141004</w:t>
      </w:r>
    </w:p>
    <w:p w:rsidR="00AC1447" w:rsidRPr="00DA3C38" w:rsidRDefault="00AC1447" w:rsidP="00DA3C38">
      <w:pPr>
        <w:pStyle w:val="APARefs"/>
        <w:spacing w:line="480" w:lineRule="auto"/>
      </w:pPr>
      <w:r w:rsidRPr="00DA3C38">
        <w:t>Willis, S.</w:t>
      </w:r>
      <w:r w:rsidR="00FB6439" w:rsidRPr="00DA3C38">
        <w:t xml:space="preserve">, </w:t>
      </w:r>
      <w:r w:rsidRPr="00DA3C38">
        <w:t>L., Tennstedt, S.</w:t>
      </w:r>
      <w:r w:rsidR="00FB6439" w:rsidRPr="00DA3C38">
        <w:t xml:space="preserve">, </w:t>
      </w:r>
      <w:r w:rsidRPr="00DA3C38">
        <w:t xml:space="preserve">L., Marsiske, M., Ball, K., Elias, J., Koepke,K.M., et al. (2006). Long-term effects of cognitive training on everyday functional outcomes in older adults. </w:t>
      </w:r>
      <w:r w:rsidRPr="00DA3C38">
        <w:rPr>
          <w:i/>
        </w:rPr>
        <w:t>Journal of the American Medical Association, 296</w:t>
      </w:r>
      <w:r w:rsidRPr="00DA3C38">
        <w:t>, 2805–2814</w:t>
      </w:r>
    </w:p>
    <w:p w:rsidR="00AC1447" w:rsidRPr="00DA3C38" w:rsidRDefault="00AC1447" w:rsidP="00DA3C38">
      <w:pPr>
        <w:pStyle w:val="APARefs"/>
        <w:spacing w:line="480" w:lineRule="auto"/>
      </w:pPr>
      <w:r w:rsidRPr="00DA3C38">
        <w:t>Wilson, B</w:t>
      </w:r>
      <w:r w:rsidR="00FB6439" w:rsidRPr="00DA3C38">
        <w:t>.,</w:t>
      </w:r>
      <w:r w:rsidRPr="00DA3C38">
        <w:t xml:space="preserve"> A., Alderman, N., Burgess, P.</w:t>
      </w:r>
      <w:r w:rsidR="00FB6439" w:rsidRPr="00DA3C38">
        <w:t>,</w:t>
      </w:r>
      <w:r w:rsidRPr="00DA3C38">
        <w:t xml:space="preserve"> W., Em</w:t>
      </w:r>
      <w:r w:rsidR="00FB6439" w:rsidRPr="00DA3C38">
        <w:t xml:space="preserve">slie, H., Evans, J., J. (1996). </w:t>
      </w:r>
      <w:r w:rsidRPr="00DA3C38">
        <w:rPr>
          <w:i/>
        </w:rPr>
        <w:t>Behavioural assessment of the dysexecutive syndrome.</w:t>
      </w:r>
      <w:r w:rsidRPr="00DA3C38">
        <w:t xml:space="preserve"> Thames Valley Test Company: Bury St Edmunds</w:t>
      </w:r>
    </w:p>
    <w:p w:rsidR="00AC1447" w:rsidRPr="00DA3C38" w:rsidRDefault="00AC1447" w:rsidP="00DA3C38">
      <w:pPr>
        <w:pStyle w:val="APARefs"/>
        <w:spacing w:line="480" w:lineRule="auto"/>
      </w:pPr>
      <w:r w:rsidRPr="00DA3C38">
        <w:t xml:space="preserve">Wilson, B., Cochburn, J., &amp; Baddelley, A. (1991). </w:t>
      </w:r>
      <w:r w:rsidRPr="00DA3C38">
        <w:rPr>
          <w:i/>
        </w:rPr>
        <w:t>The Rivermead Behavioural Memory Test</w:t>
      </w:r>
      <w:r w:rsidRPr="00DA3C38">
        <w:t xml:space="preserve"> (2</w:t>
      </w:r>
      <w:r w:rsidRPr="00DA3C38">
        <w:rPr>
          <w:vertAlign w:val="superscript"/>
        </w:rPr>
        <w:t>nd</w:t>
      </w:r>
      <w:r w:rsidRPr="00DA3C38">
        <w:t xml:space="preserve"> Edition). Bury-St-Edmonds, England: Thames Valey Test Company</w:t>
      </w:r>
    </w:p>
    <w:p w:rsidR="00AC1447" w:rsidRPr="00DA3C38" w:rsidRDefault="00AC1447" w:rsidP="00DA3C38">
      <w:pPr>
        <w:pStyle w:val="APARefs"/>
        <w:spacing w:line="480" w:lineRule="auto"/>
      </w:pPr>
      <w:r w:rsidRPr="00DA3C38">
        <w:t xml:space="preserve">Wilson, R. S., Hebert, L. E., Scherr, P. A., Barnes, L. L., De Leon, C. M., &amp; Evans, D. A. (2009). Educational attainment and cognitive decline in old age. </w:t>
      </w:r>
      <w:r w:rsidRPr="00DA3C38">
        <w:rPr>
          <w:i/>
          <w:iCs/>
        </w:rPr>
        <w:t>Neurology</w:t>
      </w:r>
      <w:r w:rsidRPr="00DA3C38">
        <w:t>, </w:t>
      </w:r>
      <w:r w:rsidRPr="00DA3C38">
        <w:rPr>
          <w:i/>
          <w:iCs/>
        </w:rPr>
        <w:t>72</w:t>
      </w:r>
      <w:r w:rsidRPr="00DA3C38">
        <w:t>(5), 460-465.</w:t>
      </w:r>
    </w:p>
    <w:p w:rsidR="006D743B" w:rsidRPr="00DA3C38" w:rsidRDefault="006D743B" w:rsidP="00DA3C38">
      <w:pPr>
        <w:pStyle w:val="APARefs"/>
        <w:spacing w:line="480" w:lineRule="auto"/>
        <w:rPr>
          <w:rFonts w:eastAsia="Times New Roman"/>
          <w:lang w:eastAsia="en-GB"/>
        </w:rPr>
      </w:pPr>
      <w:r w:rsidRPr="00DA3C38">
        <w:t>Wolf, E. J., Harrington, K. M., Clark, S. L., &amp; Miller, M. W. (2013). Sample size requirements for structural equation models: An evaluation of power, bias, and solution propriety. </w:t>
      </w:r>
      <w:r w:rsidRPr="00DA3C38">
        <w:rPr>
          <w:i/>
          <w:iCs/>
        </w:rPr>
        <w:t>Educational and psychological measurement</w:t>
      </w:r>
      <w:r w:rsidRPr="00DA3C38">
        <w:t>, </w:t>
      </w:r>
      <w:r w:rsidRPr="00DA3C38">
        <w:rPr>
          <w:i/>
          <w:iCs/>
        </w:rPr>
        <w:t>73</w:t>
      </w:r>
      <w:r w:rsidRPr="00DA3C38">
        <w:t>(6), 913-934, doi:</w:t>
      </w:r>
      <w:r w:rsidRPr="00DA3C38">
        <w:rPr>
          <w:rFonts w:eastAsia="Times New Roman"/>
          <w:color w:val="000000"/>
          <w:shd w:val="clear" w:color="auto" w:fill="FFFFFF"/>
        </w:rPr>
        <w:t xml:space="preserve">  </w:t>
      </w:r>
      <w:r w:rsidRPr="00DA3C38">
        <w:rPr>
          <w:rFonts w:eastAsia="Times New Roman"/>
          <w:shd w:val="clear" w:color="auto" w:fill="FFFFFF"/>
        </w:rPr>
        <w:t>10.1177/0013164413495237</w:t>
      </w:r>
    </w:p>
    <w:p w:rsidR="00AC1447" w:rsidRPr="00DA3C38" w:rsidRDefault="00AC1447" w:rsidP="00DA3C38">
      <w:pPr>
        <w:pStyle w:val="APARefs"/>
        <w:spacing w:line="480" w:lineRule="auto"/>
        <w:rPr>
          <w:lang w:val="en-US"/>
        </w:rPr>
      </w:pPr>
      <w:r w:rsidRPr="00DA3C38">
        <w:t>Wor</w:t>
      </w:r>
      <w:r w:rsidR="00AC5129" w:rsidRPr="00DA3C38">
        <w:t>l</w:t>
      </w:r>
      <w:r w:rsidRPr="00DA3C38">
        <w:t>d Economic Forum (January, 2015). Maximizing healthy life years: Investments that pay off. Available at: http://www3.weforum.org/docs/WEF_Maximizing_Healthy_Life_Years.pdf</w:t>
      </w:r>
    </w:p>
    <w:p w:rsidR="00FF2EC3" w:rsidRPr="00DA3C38" w:rsidRDefault="00FF2EC3" w:rsidP="00DA3C38">
      <w:pPr>
        <w:pStyle w:val="APARefs"/>
        <w:spacing w:line="480" w:lineRule="auto"/>
        <w:rPr>
          <w:lang w:val="en-US"/>
        </w:rPr>
      </w:pPr>
      <w:r w:rsidRPr="00DA3C38">
        <w:t>World Health Organization (2002)</w:t>
      </w:r>
      <w:r w:rsidRPr="00DA3C38">
        <w:rPr>
          <w:lang w:val="en-US"/>
        </w:rPr>
        <w:t>. Active Ageing: A Policy Framework. Madrid, Spain: 2002.</w:t>
      </w:r>
    </w:p>
    <w:p w:rsidR="00AC1447" w:rsidRPr="00DA3C38" w:rsidRDefault="00AC1447" w:rsidP="00DA3C38">
      <w:pPr>
        <w:pStyle w:val="APARefs"/>
        <w:spacing w:line="480" w:lineRule="auto"/>
      </w:pPr>
      <w:r w:rsidRPr="00DA3C38">
        <w:t xml:space="preserve">World Health Organization (2005). Launch of the chronic disease report. Available at </w:t>
      </w:r>
      <w:hyperlink r:id="rId59" w:history="1">
        <w:r w:rsidRPr="00DA3C38">
          <w:t>http://www.who.int/dg/lee/speeches/2006/mauritius_chronic_disease/en/</w:t>
        </w:r>
      </w:hyperlink>
    </w:p>
    <w:p w:rsidR="00AC1447" w:rsidRPr="00DA3C38" w:rsidRDefault="00AC1447" w:rsidP="00DA3C38">
      <w:pPr>
        <w:pStyle w:val="APARefs"/>
        <w:spacing w:line="480" w:lineRule="auto"/>
      </w:pPr>
      <w:r w:rsidRPr="00DA3C38">
        <w:t>World Health Organization (October</w:t>
      </w:r>
      <w:r w:rsidR="006174B7" w:rsidRPr="00DA3C38">
        <w:t>, 2014a</w:t>
      </w:r>
      <w:r w:rsidRPr="00DA3C38">
        <w:t xml:space="preserve">). Healthy life expectancy (HALE). Available at </w:t>
      </w:r>
      <w:hyperlink r:id="rId60" w:history="1">
        <w:r w:rsidRPr="00DA3C38">
          <w:t>http://www.who.int/healthinfo/statistics/indhale/en/</w:t>
        </w:r>
      </w:hyperlink>
    </w:p>
    <w:p w:rsidR="00AC1447" w:rsidRPr="00DA3C38" w:rsidRDefault="00AC1447" w:rsidP="00DA3C38">
      <w:pPr>
        <w:pStyle w:val="APARefs"/>
        <w:spacing w:line="480" w:lineRule="auto"/>
      </w:pPr>
      <w:r w:rsidRPr="00DA3C38">
        <w:t>World Health Organization (December</w:t>
      </w:r>
      <w:r w:rsidR="006174B7" w:rsidRPr="00DA3C38">
        <w:t>, 2014b</w:t>
      </w:r>
      <w:r w:rsidRPr="00DA3C38">
        <w:t xml:space="preserve">). Active ageing: a policy framework. Available at </w:t>
      </w:r>
      <w:hyperlink r:id="rId61" w:history="1">
        <w:r w:rsidRPr="00DA3C38">
          <w:t>http://www.who.int/ageing/publications/active_ageing/en/</w:t>
        </w:r>
      </w:hyperlink>
    </w:p>
    <w:p w:rsidR="0070439E" w:rsidRPr="00DA3C38" w:rsidRDefault="0070439E" w:rsidP="00DA3C38">
      <w:pPr>
        <w:pStyle w:val="APARefs"/>
        <w:spacing w:line="480" w:lineRule="auto"/>
      </w:pPr>
      <w:r w:rsidRPr="00DA3C38">
        <w:rPr>
          <w:lang w:val="en-GB"/>
        </w:rPr>
        <w:t>World Health Organization (December, 2017</w:t>
      </w:r>
      <w:r w:rsidR="006F0D03" w:rsidRPr="00DA3C38">
        <w:rPr>
          <w:vertAlign w:val="subscript"/>
          <w:lang w:val="en-GB"/>
        </w:rPr>
        <w:t>a</w:t>
      </w:r>
      <w:r w:rsidRPr="00DA3C38">
        <w:rPr>
          <w:lang w:val="en-GB"/>
        </w:rPr>
        <w:t xml:space="preserve">). </w:t>
      </w:r>
      <w:r w:rsidRPr="00DA3C38">
        <w:t xml:space="preserve">Proposed working definition of an older person in Africa for the MDS Project. Available at </w:t>
      </w:r>
      <w:hyperlink r:id="rId62" w:history="1">
        <w:r w:rsidR="006F0D03" w:rsidRPr="00DA3C38">
          <w:rPr>
            <w:rStyle w:val="Hyperlink"/>
            <w:bCs/>
            <w:lang w:val="en-US"/>
          </w:rPr>
          <w:t>http://www.who.int/healthinfo/survey/ageingdefnolder/en/</w:t>
        </w:r>
      </w:hyperlink>
    </w:p>
    <w:p w:rsidR="006F0D03" w:rsidRPr="00DA3C38" w:rsidRDefault="006F0D03" w:rsidP="00DA3C38">
      <w:pPr>
        <w:pStyle w:val="APARefs"/>
        <w:spacing w:line="480" w:lineRule="auto"/>
        <w:rPr>
          <w:b/>
        </w:rPr>
      </w:pPr>
      <w:r w:rsidRPr="00DA3C38">
        <w:rPr>
          <w:lang w:val="en-GB"/>
        </w:rPr>
        <w:t>World Health Organization (</w:t>
      </w:r>
      <w:r w:rsidR="00504519" w:rsidRPr="00DA3C38">
        <w:rPr>
          <w:lang w:val="en-GB"/>
        </w:rPr>
        <w:t>October</w:t>
      </w:r>
      <w:r w:rsidRPr="00DA3C38">
        <w:rPr>
          <w:lang w:val="en-GB"/>
        </w:rPr>
        <w:t>, 2017</w:t>
      </w:r>
      <w:r w:rsidRPr="00DA3C38">
        <w:rPr>
          <w:vertAlign w:val="subscript"/>
          <w:lang w:val="en-GB"/>
        </w:rPr>
        <w:t>b</w:t>
      </w:r>
      <w:r w:rsidRPr="00DA3C38">
        <w:rPr>
          <w:lang w:val="en-GB"/>
        </w:rPr>
        <w:t xml:space="preserve">). </w:t>
      </w:r>
      <w:r w:rsidR="00504519" w:rsidRPr="00DA3C38">
        <w:t>Constitution of WHO: principles. Available at: http://www.who.int/about/mission/en/</w:t>
      </w:r>
    </w:p>
    <w:p w:rsidR="00AC1447" w:rsidRPr="00DA3C38" w:rsidRDefault="00AC1447" w:rsidP="00DA3C38">
      <w:pPr>
        <w:pStyle w:val="APARefs"/>
        <w:spacing w:line="480" w:lineRule="auto"/>
      </w:pPr>
      <w:r w:rsidRPr="00DA3C38">
        <w:t>Yeh, S.</w:t>
      </w:r>
      <w:r w:rsidR="006174B7" w:rsidRPr="00DA3C38">
        <w:t>,</w:t>
      </w:r>
      <w:r w:rsidRPr="00DA3C38">
        <w:t xml:space="preserve"> J., &amp; Liu, Y. (2003). Influence of social support on cognitive function in the elderly. </w:t>
      </w:r>
      <w:r w:rsidRPr="00DA3C38">
        <w:rPr>
          <w:i/>
        </w:rPr>
        <w:t>BMC Health services Research, 3</w:t>
      </w:r>
      <w:r w:rsidRPr="00DA3C38">
        <w:t>(9), 1-9</w:t>
      </w:r>
    </w:p>
    <w:p w:rsidR="00AC1447" w:rsidRPr="00DA3C38" w:rsidRDefault="00AC1447" w:rsidP="00DA3C38">
      <w:pPr>
        <w:pStyle w:val="APARefs"/>
        <w:spacing w:line="480" w:lineRule="auto"/>
        <w:rPr>
          <w:i/>
          <w:iCs/>
        </w:rPr>
      </w:pPr>
      <w:r w:rsidRPr="00DA3C38">
        <w:t>Young, J., Angevaren, M., Rusted, J., &amp; Tabet, N. (2015). Aerobic exercise to improve cognitive function in older people without known cognitive impairment. </w:t>
      </w:r>
      <w:r w:rsidRPr="00DA3C38">
        <w:rPr>
          <w:i/>
          <w:iCs/>
        </w:rPr>
        <w:t>Cochrane Database of Systematic Reviews</w:t>
      </w:r>
      <w:r w:rsidRPr="00DA3C38">
        <w:t xml:space="preserve">, </w:t>
      </w:r>
      <w:r w:rsidRPr="00DA3C38">
        <w:rPr>
          <w:i/>
        </w:rPr>
        <w:t>4</w:t>
      </w:r>
      <w:r w:rsidRPr="00DA3C38">
        <w:t xml:space="preserve">, 1-145, doi: 0.1002/14651858.CD005381.pub4. </w:t>
      </w:r>
    </w:p>
    <w:p w:rsidR="00AC1447" w:rsidRPr="00DA3C38" w:rsidRDefault="00AC1447" w:rsidP="00DA3C38">
      <w:pPr>
        <w:pStyle w:val="APARefs"/>
        <w:spacing w:line="480" w:lineRule="auto"/>
      </w:pPr>
      <w:r w:rsidRPr="00DA3C38">
        <w:t>Zimprich, D.,</w:t>
      </w:r>
      <w:r w:rsidR="007F6CBE" w:rsidRPr="00DA3C38">
        <w:t xml:space="preserve"> &amp;</w:t>
      </w:r>
      <w:r w:rsidRPr="00DA3C38">
        <w:t xml:space="preserve"> Martin, M. (2002). Can longitudinal changes in processing speed explain longitudinal age changes in fluid intelligence? </w:t>
      </w:r>
      <w:r w:rsidRPr="00DA3C38">
        <w:rPr>
          <w:i/>
        </w:rPr>
        <w:t>Psychology and Ageing, 17</w:t>
      </w:r>
      <w:r w:rsidRPr="00DA3C38">
        <w:t>(4), 690-695, doi: 10.1037/0882-7974.17.4.690</w:t>
      </w:r>
    </w:p>
    <w:p w:rsidR="003D4AE6" w:rsidRPr="007A15F6" w:rsidRDefault="00AC1447" w:rsidP="00DA3C38">
      <w:pPr>
        <w:pStyle w:val="APARefs"/>
        <w:spacing w:line="480" w:lineRule="auto"/>
      </w:pPr>
      <w:r w:rsidRPr="00DA3C38">
        <w:t>Zunzunegui, M.</w:t>
      </w:r>
      <w:r w:rsidR="006174B7" w:rsidRPr="00DA3C38">
        <w:t>,</w:t>
      </w:r>
      <w:r w:rsidRPr="00DA3C38">
        <w:t xml:space="preserve"> V., Alvarado, B.</w:t>
      </w:r>
      <w:r w:rsidR="006174B7" w:rsidRPr="00DA3C38">
        <w:t>,</w:t>
      </w:r>
      <w:r w:rsidRPr="00DA3C38">
        <w:t xml:space="preserve"> E., Del Ser, T., &amp; Otero, A. (2003). Social networks, social integration, and social engagement determine cognitive decline in community-dwelling Spanish older adults. </w:t>
      </w:r>
      <w:r w:rsidRPr="00DA3C38">
        <w:rPr>
          <w:i/>
          <w:iCs/>
        </w:rPr>
        <w:t>The Journals of Gerontology Series B: Psychological Sciences and Social Sciences</w:t>
      </w:r>
      <w:r w:rsidRPr="00DA3C38">
        <w:t>, </w:t>
      </w:r>
      <w:r w:rsidRPr="00DA3C38">
        <w:rPr>
          <w:i/>
          <w:iCs/>
        </w:rPr>
        <w:t>58</w:t>
      </w:r>
      <w:r w:rsidRPr="00DA3C38">
        <w:t xml:space="preserve">(2), 93-100, </w:t>
      </w:r>
      <w:r w:rsidR="00833D42" w:rsidRPr="00DA3C38">
        <w:t>doi: 10.1093/geronb/58.2.S9</w:t>
      </w:r>
      <w:r w:rsidR="00015CAE" w:rsidRPr="007A15F6">
        <w:br w:type="page"/>
      </w:r>
    </w:p>
    <w:p w:rsidR="00861649" w:rsidRPr="00CF7468" w:rsidRDefault="00923786" w:rsidP="00640C1B">
      <w:pPr>
        <w:pStyle w:val="Heading0"/>
      </w:pPr>
      <w:bookmarkStart w:id="213" w:name="_Toc373426004"/>
      <w:bookmarkStart w:id="214" w:name="_Toc521184277"/>
      <w:r w:rsidRPr="00CF7468">
        <w:t>Appendix I</w:t>
      </w:r>
      <w:bookmarkEnd w:id="213"/>
      <w:bookmarkEnd w:id="214"/>
    </w:p>
    <w:p w:rsidR="00535996" w:rsidRPr="00FC6145" w:rsidRDefault="00535996" w:rsidP="00FE028D">
      <w:pPr>
        <w:pStyle w:val="Heading2"/>
        <w:rPr>
          <w:lang w:val="en-AU"/>
        </w:rPr>
      </w:pPr>
      <w:bookmarkStart w:id="215" w:name="_Toc521184278"/>
      <w:r>
        <w:t xml:space="preserve">Studies Included in the </w:t>
      </w:r>
      <w:r w:rsidR="006B2F75">
        <w:t>Meta-</w:t>
      </w:r>
      <w:r>
        <w:t>Analysis</w:t>
      </w:r>
      <w:bookmarkEnd w:id="215"/>
    </w:p>
    <w:p w:rsidR="00535996" w:rsidRPr="00FC6145" w:rsidRDefault="00535996" w:rsidP="00535996">
      <w:pPr>
        <w:spacing w:line="480" w:lineRule="auto"/>
        <w:ind w:left="720" w:hanging="720"/>
        <w:rPr>
          <w:rFonts w:ascii="Times New Roman" w:hAnsi="Times New Roman"/>
          <w:lang w:val="en-AU"/>
        </w:rPr>
      </w:pPr>
      <w:r w:rsidRPr="00E041BC">
        <w:rPr>
          <w:rFonts w:ascii="Times New Roman" w:hAnsi="Times New Roman"/>
          <w:lang w:val="de-DE"/>
        </w:rPr>
        <w:t xml:space="preserve">Aichenberger, M., C., Busch, M., A., Reischies, F., M, Stroehle, A., Heinz, A., Rapp, M., A. (2010). </w:t>
      </w:r>
      <w:r>
        <w:rPr>
          <w:rFonts w:ascii="Times New Roman" w:hAnsi="Times New Roman"/>
          <w:lang w:val="en-AU"/>
        </w:rPr>
        <w:t xml:space="preserve">Effect of physical inactivity on cognitive performance after 2.5 years of follow up. </w:t>
      </w:r>
      <w:r>
        <w:rPr>
          <w:rFonts w:ascii="Times New Roman" w:hAnsi="Times New Roman"/>
          <w:i/>
          <w:lang w:val="en-AU"/>
        </w:rPr>
        <w:t>Geropsychology, 23</w:t>
      </w:r>
      <w:r>
        <w:rPr>
          <w:rFonts w:ascii="Times New Roman" w:hAnsi="Times New Roman"/>
          <w:lang w:val="en-AU"/>
        </w:rPr>
        <w:t xml:space="preserve">(1), 7-15, </w:t>
      </w:r>
      <w:r>
        <w:rPr>
          <w:rFonts w:ascii="Times New Roman" w:hAnsi="Times New Roman"/>
          <w:iCs/>
        </w:rPr>
        <w:t>http://dx.doi.org/10.1024/1662-9647/a000003</w:t>
      </w:r>
    </w:p>
    <w:p w:rsidR="00535996" w:rsidRPr="00FC6145" w:rsidRDefault="00535996" w:rsidP="00535996">
      <w:pPr>
        <w:spacing w:line="480" w:lineRule="auto"/>
        <w:ind w:left="720" w:hanging="720"/>
        <w:rPr>
          <w:rFonts w:ascii="Times New Roman" w:hAnsi="Times New Roman"/>
          <w:lang w:val="en-AU"/>
        </w:rPr>
      </w:pPr>
      <w:r>
        <w:rPr>
          <w:rFonts w:ascii="Times New Roman" w:hAnsi="Times New Roman"/>
          <w:lang w:val="en-AU"/>
        </w:rPr>
        <w:t>Alosco, M. L. (2013). Executive function and instrumental ADL performance in older adults with heart failure. Available at https://etd.ohiolink.edu/!etd.send_file?accession=kent1364204867&amp;disposition=inline</w:t>
      </w:r>
    </w:p>
    <w:p w:rsidR="00535996" w:rsidRPr="00FC6145" w:rsidRDefault="00535996" w:rsidP="00535996">
      <w:pPr>
        <w:spacing w:line="480" w:lineRule="auto"/>
        <w:ind w:left="720" w:hanging="720"/>
        <w:rPr>
          <w:rFonts w:ascii="Times New Roman" w:hAnsi="Times New Roman"/>
          <w:lang w:val="en-AU"/>
        </w:rPr>
      </w:pPr>
      <w:r>
        <w:rPr>
          <w:rFonts w:ascii="Times New Roman" w:hAnsi="Times New Roman"/>
          <w:lang w:val="en-AU"/>
        </w:rPr>
        <w:t xml:space="preserve">Alosco, M. L., Spitznagel, M. B., Cohen, R. C., Sweet, L., Colbert, L. H., Josephon, R., et al. (2013). Executive dysfunction is independently associated with reduced functional independence in heart failure. </w:t>
      </w:r>
      <w:r>
        <w:rPr>
          <w:rFonts w:ascii="Times New Roman" w:hAnsi="Times New Roman"/>
          <w:i/>
          <w:lang w:val="en-AU"/>
        </w:rPr>
        <w:t>Journal of Clinical Nursing, 23</w:t>
      </w:r>
      <w:r>
        <w:rPr>
          <w:rFonts w:ascii="Times New Roman" w:hAnsi="Times New Roman"/>
          <w:lang w:val="en-AU"/>
        </w:rPr>
        <w:t>, 829–836, doi: 10.1111/jocn.12214</w:t>
      </w:r>
    </w:p>
    <w:p w:rsidR="00535996" w:rsidRPr="00FC6145" w:rsidRDefault="00535996" w:rsidP="00535996">
      <w:pPr>
        <w:spacing w:line="480" w:lineRule="auto"/>
        <w:ind w:left="720" w:hanging="720"/>
        <w:rPr>
          <w:rFonts w:ascii="Times New Roman" w:hAnsi="Times New Roman"/>
          <w:lang w:val="en-US"/>
        </w:rPr>
      </w:pPr>
      <w:r>
        <w:rPr>
          <w:rFonts w:ascii="Times New Roman" w:hAnsi="Times New Roman"/>
          <w:lang w:val="en-AU"/>
        </w:rPr>
        <w:t>Alosco, M. L., Spitznagel, M. B., Cohen, R. C., Sweet, L., Colbert, L. H., Josephon, R., et al. (2012). Cognitive impairment is independently associated with reduced instrumental adls in persons with heart failure. Journal of Cardiovascular Nursing, 27(1), 44-50, doi: 1 0.1097/JCN.0b013e318216a6cd</w:t>
      </w:r>
    </w:p>
    <w:p w:rsidR="00535996" w:rsidRPr="00FC6145" w:rsidRDefault="00535996" w:rsidP="00535996">
      <w:pPr>
        <w:spacing w:line="480" w:lineRule="auto"/>
        <w:ind w:left="720" w:hanging="720"/>
        <w:rPr>
          <w:rFonts w:ascii="Times New Roman" w:hAnsi="Times New Roman"/>
          <w:lang w:val="en-AU"/>
        </w:rPr>
      </w:pPr>
      <w:r>
        <w:rPr>
          <w:rFonts w:ascii="Times New Roman" w:hAnsi="Times New Roman"/>
          <w:lang w:val="en-US"/>
        </w:rPr>
        <w:t>Ball, K., Berch, D. B., Helmers, K. F., Jobe, J. B., Leveck, M. D., Marsiske, M., ... &amp; Unverzagt, F. W. (2002). Effects of cognitive training interventions with older adults: a randomized controlled trial. </w:t>
      </w:r>
      <w:r>
        <w:rPr>
          <w:rFonts w:ascii="Times New Roman" w:hAnsi="Times New Roman"/>
          <w:i/>
          <w:iCs/>
          <w:lang w:val="en-US"/>
        </w:rPr>
        <w:t>Jama</w:t>
      </w:r>
      <w:r>
        <w:rPr>
          <w:rFonts w:ascii="Times New Roman" w:hAnsi="Times New Roman"/>
          <w:lang w:val="en-US"/>
        </w:rPr>
        <w:t>, </w:t>
      </w:r>
      <w:r>
        <w:rPr>
          <w:rFonts w:ascii="Times New Roman" w:hAnsi="Times New Roman"/>
          <w:i/>
          <w:iCs/>
          <w:lang w:val="en-US"/>
        </w:rPr>
        <w:t>288</w:t>
      </w:r>
      <w:r>
        <w:rPr>
          <w:rFonts w:ascii="Times New Roman" w:hAnsi="Times New Roman"/>
          <w:lang w:val="en-US"/>
        </w:rPr>
        <w:t>(18), 2271-2281, doi:10.1001/jama.288.18.2271</w:t>
      </w:r>
    </w:p>
    <w:p w:rsidR="00535996" w:rsidRPr="00FC6145" w:rsidRDefault="00535996" w:rsidP="00535996">
      <w:pPr>
        <w:spacing w:line="480" w:lineRule="auto"/>
        <w:ind w:left="720" w:hanging="720"/>
        <w:rPr>
          <w:rFonts w:ascii="Times New Roman" w:hAnsi="Times New Roman"/>
          <w:lang w:val="en-US"/>
        </w:rPr>
      </w:pPr>
      <w:r>
        <w:rPr>
          <w:rFonts w:ascii="Times New Roman" w:hAnsi="Times New Roman"/>
          <w:lang w:val="en-AU"/>
        </w:rPr>
        <w:t>Bell-McGhinty, S., Podell, K., Franzen, M., Baird, A., &amp; Wlliams, M., J. (2002). Standard measures of executive function in predicting instrumental activities of daily living in older adults</w:t>
      </w:r>
      <w:r>
        <w:rPr>
          <w:rFonts w:ascii="Times New Roman" w:hAnsi="Times New Roman"/>
          <w:i/>
          <w:lang w:val="en-AU"/>
        </w:rPr>
        <w:t xml:space="preserve">. International Journal of Geriatric Psychiatry, </w:t>
      </w:r>
      <w:r>
        <w:rPr>
          <w:rFonts w:ascii="Times New Roman" w:hAnsi="Times New Roman"/>
          <w:lang w:val="en-AU"/>
        </w:rPr>
        <w:t>17</w:t>
      </w:r>
      <w:r>
        <w:rPr>
          <w:rFonts w:ascii="Times New Roman" w:hAnsi="Times New Roman"/>
          <w:i/>
          <w:lang w:val="en-AU"/>
        </w:rPr>
        <w:t>,</w:t>
      </w:r>
      <w:r>
        <w:rPr>
          <w:rFonts w:ascii="Times New Roman" w:hAnsi="Times New Roman"/>
          <w:lang w:val="en-AU"/>
        </w:rPr>
        <w:t xml:space="preserve"> 828-834</w:t>
      </w:r>
    </w:p>
    <w:p w:rsidR="00535996" w:rsidRPr="00FC6145" w:rsidRDefault="00535996" w:rsidP="00535996">
      <w:pPr>
        <w:spacing w:line="480" w:lineRule="auto"/>
        <w:ind w:left="720" w:hanging="720"/>
        <w:rPr>
          <w:rFonts w:ascii="Times New Roman" w:hAnsi="Times New Roman"/>
          <w:lang w:val="en-US"/>
        </w:rPr>
      </w:pPr>
      <w:r>
        <w:rPr>
          <w:rFonts w:ascii="Times New Roman" w:hAnsi="Times New Roman"/>
          <w:lang w:val="en-US"/>
        </w:rPr>
        <w:t>Burnett, J., Dyer, C. B., &amp; Naik, A. D. (2009). Convergent validation of the Kohlman Evaluation of Living Skills as a screening tool of older adults' ability to live safely and independently in the community. </w:t>
      </w:r>
      <w:r>
        <w:rPr>
          <w:rFonts w:ascii="Times New Roman" w:hAnsi="Times New Roman"/>
          <w:i/>
          <w:iCs/>
          <w:lang w:val="en-US"/>
        </w:rPr>
        <w:t>Archives of physical medicine and rehabilitation</w:t>
      </w:r>
      <w:r>
        <w:rPr>
          <w:rFonts w:ascii="Times New Roman" w:hAnsi="Times New Roman"/>
          <w:lang w:val="en-US"/>
        </w:rPr>
        <w:t>, </w:t>
      </w:r>
      <w:r>
        <w:rPr>
          <w:rFonts w:ascii="Times New Roman" w:hAnsi="Times New Roman"/>
          <w:i/>
          <w:iCs/>
          <w:lang w:val="en-US"/>
        </w:rPr>
        <w:t>90</w:t>
      </w:r>
      <w:r>
        <w:rPr>
          <w:rFonts w:ascii="Times New Roman" w:hAnsi="Times New Roman"/>
          <w:lang w:val="en-US"/>
        </w:rPr>
        <w:t xml:space="preserve">(11), 1948-1952, doi: </w:t>
      </w:r>
      <w:hyperlink r:id="rId63" w:history="1">
        <w:r>
          <w:rPr>
            <w:rStyle w:val="Hyperlink"/>
            <w:lang w:val="en-US"/>
          </w:rPr>
          <w:t>http://dx.doi.org/10.1016/j.apmr.2009.05.021</w:t>
        </w:r>
      </w:hyperlink>
    </w:p>
    <w:p w:rsidR="00535996" w:rsidRDefault="00535996" w:rsidP="00535996">
      <w:pPr>
        <w:spacing w:line="480" w:lineRule="auto"/>
        <w:ind w:left="720" w:hanging="720"/>
        <w:rPr>
          <w:rFonts w:ascii="Times New Roman" w:hAnsi="Times New Roman"/>
        </w:rPr>
      </w:pPr>
      <w:r w:rsidRPr="0005794A">
        <w:rPr>
          <w:rFonts w:ascii="Times New Roman" w:hAnsi="Times New Roman"/>
          <w:lang w:val="en-AU"/>
        </w:rPr>
        <w:t xml:space="preserve"> </w:t>
      </w:r>
      <w:r w:rsidRPr="0005794A">
        <w:rPr>
          <w:rFonts w:ascii="Times New Roman" w:hAnsi="Times New Roman"/>
          <w:lang w:val="en-US"/>
        </w:rPr>
        <w:t xml:space="preserve">Burton, C., L. (2007). Cognitive ability and inconsistency in reaction time as predictors of everyday problem solving in older adults. Available at: </w:t>
      </w:r>
      <w:r w:rsidRPr="0005794A">
        <w:rPr>
          <w:rFonts w:ascii="Times New Roman" w:hAnsi="Times New Roman"/>
        </w:rPr>
        <w:t>http://dspace.library.uvic.ca/handle/1828/181?show=full</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rPr>
        <w:t>Christman, A., L., Vannorsdall, T., D., Pearlson, G., D., Hill-Briggs, F., &amp; Schretlen, D., J. (2010). Cranial volume, mild cognitive deficits, and functional limitations associated with diabetes in a community sample. </w:t>
      </w:r>
      <w:r w:rsidRPr="0005794A">
        <w:rPr>
          <w:rFonts w:ascii="Times New Roman" w:hAnsi="Times New Roman"/>
          <w:i/>
          <w:iCs/>
        </w:rPr>
        <w:t>Archives of Clinical Neuropsychology</w:t>
      </w:r>
      <w:r w:rsidRPr="0005794A">
        <w:rPr>
          <w:rFonts w:ascii="Times New Roman" w:hAnsi="Times New Roman"/>
        </w:rPr>
        <w:t>, </w:t>
      </w:r>
      <w:r w:rsidRPr="0005794A">
        <w:rPr>
          <w:rFonts w:ascii="Times New Roman" w:hAnsi="Times New Roman"/>
          <w:i/>
          <w:iCs/>
        </w:rPr>
        <w:t>25</w:t>
      </w:r>
      <w:r w:rsidRPr="0005794A">
        <w:rPr>
          <w:rFonts w:ascii="Times New Roman" w:hAnsi="Times New Roman"/>
        </w:rPr>
        <w:t xml:space="preserve">(1), 49-59, </w:t>
      </w:r>
      <w:r w:rsidRPr="0005794A">
        <w:rPr>
          <w:rFonts w:ascii="Times New Roman" w:hAnsi="Times New Roman"/>
          <w:lang w:val="en-AU"/>
        </w:rPr>
        <w:t>doi:10.1093/arclin/acp091</w:t>
      </w:r>
    </w:p>
    <w:p w:rsidR="00535996" w:rsidRPr="00FC6145" w:rsidRDefault="00535996" w:rsidP="00535996">
      <w:pPr>
        <w:spacing w:line="480" w:lineRule="auto"/>
        <w:ind w:left="720" w:hanging="720"/>
        <w:rPr>
          <w:rFonts w:ascii="Times New Roman" w:hAnsi="Times New Roman"/>
        </w:rPr>
      </w:pPr>
      <w:r w:rsidRPr="0005794A">
        <w:rPr>
          <w:rFonts w:ascii="Times New Roman" w:hAnsi="Times New Roman"/>
          <w:lang w:val="en-AU"/>
        </w:rPr>
        <w:t>Everaets, A., M. (2013). Across the continuum of care: Neurocognitive profiles that influence where older adults live. Available at: http://gradworks.umi.com/35/89/3589279.html</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rPr>
        <w:t xml:space="preserve">Farias, S., T., Mungas, D., Reed, B., Haan, M., N., &amp; Jagust, W., J. </w:t>
      </w:r>
      <w:r w:rsidRPr="0005794A">
        <w:rPr>
          <w:rFonts w:ascii="Times New Roman" w:hAnsi="Times New Roman"/>
          <w:lang w:val="en-AU"/>
        </w:rPr>
        <w:t xml:space="preserve">(2004). Everyday functioning in relation to cognitive functioning and neuroimageing in community-dwelling Hispanic and Non-Hispanic older adults.  </w:t>
      </w:r>
      <w:r w:rsidRPr="0005794A">
        <w:rPr>
          <w:rFonts w:ascii="Times New Roman" w:hAnsi="Times New Roman"/>
          <w:i/>
          <w:iCs/>
          <w:lang w:val="en-AU"/>
        </w:rPr>
        <w:t>Journal of the Internaitonal Neuropsychological Society</w:t>
      </w:r>
      <w:r w:rsidRPr="0005794A">
        <w:rPr>
          <w:rFonts w:ascii="Times New Roman" w:hAnsi="Times New Roman"/>
          <w:lang w:val="en-AU"/>
        </w:rPr>
        <w:t xml:space="preserve">, </w:t>
      </w:r>
      <w:r w:rsidRPr="0005794A">
        <w:rPr>
          <w:rFonts w:ascii="Times New Roman" w:hAnsi="Times New Roman"/>
          <w:i/>
          <w:lang w:val="en-AU"/>
        </w:rPr>
        <w:t>10</w:t>
      </w:r>
      <w:r w:rsidRPr="0005794A">
        <w:rPr>
          <w:rFonts w:ascii="Times New Roman" w:hAnsi="Times New Roman"/>
          <w:lang w:val="en-AU"/>
        </w:rPr>
        <w:t>(3), 342–354, doi:10.1017/S1355617704103020</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lang w:val="en-AU"/>
        </w:rPr>
        <w:t>Farias, S., T., Mungas, D., Reed, B., R., Cahn-Weiner, D., Jagust, W., Bayenes, K. et al. (2008). The measurement of everyday cognition (ECog): Scale development and psychometric properties. Neuropsychology, 22(4), 531-544, doi: 10. 1037/0894-4105.22.4.531</w:t>
      </w:r>
    </w:p>
    <w:p w:rsidR="00535996" w:rsidRPr="00FC6145" w:rsidRDefault="00535996" w:rsidP="00535996">
      <w:pPr>
        <w:spacing w:line="480" w:lineRule="auto"/>
        <w:ind w:left="720" w:hanging="720"/>
        <w:rPr>
          <w:rFonts w:ascii="Times New Roman" w:hAnsi="Times New Roman"/>
        </w:rPr>
      </w:pPr>
      <w:r w:rsidRPr="0005794A">
        <w:rPr>
          <w:rFonts w:ascii="Times New Roman" w:hAnsi="Times New Roman"/>
          <w:lang w:val="en-AU"/>
        </w:rPr>
        <w:t xml:space="preserve">Greco, S. P. (2004). To examine the relationship between neuropsychological tests of executive functioning and living independently. Available at </w:t>
      </w:r>
      <w:r w:rsidRPr="0005794A">
        <w:rPr>
          <w:rFonts w:ascii="Times New Roman" w:hAnsi="Times New Roman"/>
        </w:rPr>
        <w:t>http://scholarship.shu.edu/cgi/viewcontent.cgi?article=2743&amp;context=dissertations</w:t>
      </w:r>
    </w:p>
    <w:p w:rsidR="00535996" w:rsidRPr="00FC6145" w:rsidRDefault="00535996" w:rsidP="00535996">
      <w:pPr>
        <w:spacing w:line="480" w:lineRule="auto"/>
        <w:ind w:left="720" w:hanging="720"/>
        <w:rPr>
          <w:rFonts w:ascii="Times New Roman" w:hAnsi="Times New Roman"/>
          <w:lang w:val="en-AU"/>
        </w:rPr>
      </w:pPr>
      <w:r w:rsidRPr="00E041BC">
        <w:rPr>
          <w:rFonts w:ascii="Times New Roman" w:hAnsi="Times New Roman"/>
          <w:lang w:val="de-DE"/>
        </w:rPr>
        <w:t xml:space="preserve">Gross, A., L., Rebok, G., W., Unverzagt, F., W., Willis, S., L., &amp; Brandt, J. (2011). </w:t>
      </w:r>
      <w:r w:rsidRPr="0005794A">
        <w:rPr>
          <w:rFonts w:ascii="Times New Roman" w:hAnsi="Times New Roman"/>
        </w:rPr>
        <w:t xml:space="preserve">Word list memory predicts everyday function and problem-solving in the elderly: results from the active cognitive intervention trial. </w:t>
      </w:r>
      <w:r w:rsidRPr="0005794A">
        <w:rPr>
          <w:rFonts w:ascii="Times New Roman" w:hAnsi="Times New Roman"/>
          <w:i/>
        </w:rPr>
        <w:t>Neuropsychological Development Cognitive, Ageing, Neuropsycholy and Cognition 18</w:t>
      </w:r>
      <w:r w:rsidRPr="0005794A">
        <w:rPr>
          <w:rFonts w:ascii="Times New Roman" w:hAnsi="Times New Roman"/>
        </w:rPr>
        <w:t>(2): 129–146. doi:10.1080/13825585.2010.516814.</w:t>
      </w:r>
    </w:p>
    <w:p w:rsidR="00535996" w:rsidRPr="00FC6145" w:rsidRDefault="00535996" w:rsidP="00535996">
      <w:pPr>
        <w:spacing w:line="480" w:lineRule="auto"/>
        <w:ind w:left="720" w:hanging="720"/>
        <w:rPr>
          <w:rFonts w:ascii="Times New Roman" w:hAnsi="Times New Roman"/>
        </w:rPr>
      </w:pPr>
      <w:r w:rsidRPr="0005794A">
        <w:rPr>
          <w:rFonts w:ascii="Times New Roman" w:hAnsi="Times New Roman"/>
          <w:lang w:val="en-AU"/>
        </w:rPr>
        <w:t>Jefferson, A., L., Paul, R., H., Ozonoff, A., &amp; Cohen, R., A. (2006). Evaluating elements of executive functioning as predictors of instrumental activities of daily living (IADLs). Archives of Neuropsychology, 21, 311-320, doi:10.1016/j.acn.2006.03.007</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rPr>
        <w:t>Keil, M. (2005). </w:t>
      </w:r>
      <w:r w:rsidRPr="0005794A">
        <w:rPr>
          <w:rFonts w:ascii="Times New Roman" w:hAnsi="Times New Roman"/>
          <w:i/>
          <w:iCs/>
        </w:rPr>
        <w:t>Brief Neuropsychological Assessment in the Prediction of Everyday Functional Abilities of Older Adults.</w:t>
      </w:r>
      <w:r w:rsidRPr="0005794A">
        <w:rPr>
          <w:rFonts w:ascii="Times New Roman" w:hAnsi="Times New Roman"/>
        </w:rPr>
        <w:t> (Electronic Thesis or Dissertation). Retrieved from https://etd.ohiolink.edu/</w:t>
      </w:r>
    </w:p>
    <w:p w:rsidR="00535996" w:rsidRPr="00FC6145" w:rsidRDefault="00535996" w:rsidP="00535996">
      <w:pPr>
        <w:spacing w:line="480" w:lineRule="auto"/>
        <w:ind w:left="720" w:hanging="720"/>
        <w:rPr>
          <w:rFonts w:ascii="Times New Roman" w:hAnsi="Times New Roman"/>
        </w:rPr>
      </w:pPr>
      <w:r w:rsidRPr="0005794A">
        <w:rPr>
          <w:rFonts w:ascii="Times New Roman" w:hAnsi="Times New Roman"/>
          <w:lang w:val="en-AU"/>
        </w:rPr>
        <w:t>Klinger, J. (1998). Predictability of everyday task performance by perceived health, self-efficacy and cognitive ability. Available at: http://ro.ecu.edu.au/theses/1002/</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rPr>
        <w:t>Lam, L. C. W., &amp; Tam, C. W. C. (2012). Cognitive function, functional performance and severity of depression in Chinese older persons with late-onset depression. </w:t>
      </w:r>
      <w:r w:rsidRPr="0005794A">
        <w:rPr>
          <w:rFonts w:ascii="Times New Roman" w:hAnsi="Times New Roman"/>
          <w:i/>
          <w:iCs/>
        </w:rPr>
        <w:t>East Asian Archives of Psychiatry</w:t>
      </w:r>
      <w:r w:rsidRPr="0005794A">
        <w:rPr>
          <w:rFonts w:ascii="Times New Roman" w:hAnsi="Times New Roman"/>
        </w:rPr>
        <w:t>, </w:t>
      </w:r>
      <w:r w:rsidRPr="0005794A">
        <w:rPr>
          <w:rFonts w:ascii="Times New Roman" w:hAnsi="Times New Roman"/>
          <w:i/>
          <w:iCs/>
        </w:rPr>
        <w:t>22</w:t>
      </w:r>
      <w:r w:rsidRPr="0005794A">
        <w:rPr>
          <w:rFonts w:ascii="Times New Roman" w:hAnsi="Times New Roman"/>
        </w:rPr>
        <w:t>(1), 12.</w:t>
      </w:r>
    </w:p>
    <w:p w:rsidR="00535996" w:rsidRPr="00E041BC" w:rsidRDefault="00535996" w:rsidP="00535996">
      <w:pPr>
        <w:spacing w:line="480" w:lineRule="auto"/>
        <w:ind w:left="720" w:hanging="720"/>
        <w:rPr>
          <w:rFonts w:ascii="Times New Roman" w:hAnsi="Times New Roman"/>
          <w:lang w:val="it-IT"/>
        </w:rPr>
      </w:pPr>
      <w:r w:rsidRPr="0005794A">
        <w:rPr>
          <w:rFonts w:ascii="Times New Roman" w:hAnsi="Times New Roman"/>
          <w:lang w:val="en-AU"/>
        </w:rPr>
        <w:t xml:space="preserve">Landgraff, N., C. (2004). Cognitive and physical performance in patients with asymptomatic carotid artery stenosis and occlusion. </w:t>
      </w:r>
      <w:r w:rsidRPr="00E041BC">
        <w:rPr>
          <w:rFonts w:ascii="Times New Roman" w:hAnsi="Times New Roman"/>
          <w:lang w:val="it-IT"/>
        </w:rPr>
        <w:t>Available at: http://dscholarship.pitt.edu/7700/1/landgraff04.pdf</w:t>
      </w:r>
    </w:p>
    <w:p w:rsidR="00535996" w:rsidRPr="00FC6145" w:rsidRDefault="00535996" w:rsidP="00535996">
      <w:pPr>
        <w:spacing w:line="480" w:lineRule="auto"/>
        <w:ind w:left="720" w:hanging="720"/>
        <w:rPr>
          <w:rFonts w:ascii="Times New Roman" w:hAnsi="Times New Roman"/>
          <w:lang w:val="en-AU"/>
        </w:rPr>
      </w:pPr>
      <w:r w:rsidRPr="00E041BC">
        <w:rPr>
          <w:rFonts w:ascii="Times New Roman" w:hAnsi="Times New Roman"/>
          <w:lang w:val="it-IT"/>
        </w:rPr>
        <w:t xml:space="preserve">Lucca, U., Garri, M., Recchia, A., Logroscino, G., Tiraboshi, P., Franceschi, M. et al. </w:t>
      </w:r>
      <w:r w:rsidRPr="0005794A">
        <w:rPr>
          <w:rFonts w:ascii="Times New Roman" w:hAnsi="Times New Roman"/>
          <w:lang w:val="en-AU"/>
        </w:rPr>
        <w:t xml:space="preserve">(2011). A population-based study of dementia in the oldest old: the Monzino 80-plus Study. </w:t>
      </w:r>
      <w:r w:rsidRPr="0005794A">
        <w:rPr>
          <w:rFonts w:ascii="Times New Roman" w:hAnsi="Times New Roman"/>
          <w:i/>
          <w:lang w:val="en-AU"/>
        </w:rPr>
        <w:t>BMC Neurology</w:t>
      </w:r>
      <w:r w:rsidRPr="0005794A">
        <w:rPr>
          <w:rFonts w:ascii="Times New Roman" w:hAnsi="Times New Roman"/>
          <w:lang w:val="en-AU"/>
        </w:rPr>
        <w:t xml:space="preserve">, 11(54), 1-14, doi: </w:t>
      </w:r>
      <w:r w:rsidRPr="0005794A">
        <w:rPr>
          <w:rFonts w:ascii="Times New Roman" w:hAnsi="Times New Roman"/>
          <w:b/>
          <w:bCs/>
        </w:rPr>
        <w:t> </w:t>
      </w:r>
      <w:r w:rsidRPr="0005794A">
        <w:rPr>
          <w:rFonts w:ascii="Times New Roman" w:hAnsi="Times New Roman"/>
        </w:rPr>
        <w:t>10.1186/1471-2377-11-54</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lang w:val="en-AU"/>
        </w:rPr>
        <w:t xml:space="preserve">Mitchell, M. (2006). Executive functioning and daily functioning in older adults. Available at </w:t>
      </w:r>
      <w:hyperlink r:id="rId64" w:history="1">
        <w:r>
          <w:rPr>
            <w:rStyle w:val="Hyperlink"/>
          </w:rPr>
          <w:t>https://getd.libs.uga.edu/pdfs/mitchell_meghan_b_200605_ms.pdf</w:t>
        </w:r>
      </w:hyperlink>
    </w:p>
    <w:p w:rsidR="00535996" w:rsidRPr="00E041BC" w:rsidRDefault="00535996" w:rsidP="00535996">
      <w:pPr>
        <w:spacing w:line="480" w:lineRule="auto"/>
        <w:ind w:left="720" w:hanging="720"/>
        <w:rPr>
          <w:rFonts w:ascii="Times New Roman" w:hAnsi="Times New Roman"/>
        </w:rPr>
      </w:pPr>
      <w:r w:rsidRPr="0005794A">
        <w:rPr>
          <w:rFonts w:ascii="Times New Roman" w:hAnsi="Times New Roman"/>
          <w:lang w:val="en-AU"/>
        </w:rPr>
        <w:t xml:space="preserve">O' Connor, M. L. (2010). How does mobility change over time for older adults, and how are changes influenced by cognitive functioning? </w:t>
      </w:r>
      <w:r w:rsidRPr="00E041BC">
        <w:rPr>
          <w:rFonts w:ascii="Times New Roman" w:hAnsi="Times New Roman"/>
        </w:rPr>
        <w:t xml:space="preserve">Available at </w:t>
      </w:r>
      <w:hyperlink r:id="rId65" w:history="1">
        <w:r w:rsidRPr="00E041BC">
          <w:rPr>
            <w:rStyle w:val="Hyperlink"/>
          </w:rPr>
          <w:t>http://scholarcommons.usf.edu/etd/1728</w:t>
        </w:r>
      </w:hyperlink>
    </w:p>
    <w:p w:rsidR="00535996" w:rsidRPr="00FC6145" w:rsidRDefault="00535996" w:rsidP="00535996">
      <w:pPr>
        <w:spacing w:line="480" w:lineRule="auto"/>
        <w:ind w:left="720" w:hanging="720"/>
        <w:rPr>
          <w:rFonts w:ascii="Times New Roman" w:hAnsi="Times New Roman"/>
        </w:rPr>
      </w:pPr>
      <w:r w:rsidRPr="00E041BC">
        <w:rPr>
          <w:rFonts w:ascii="Times New Roman" w:hAnsi="Times New Roman"/>
        </w:rPr>
        <w:t xml:space="preserve">Pereira, F., S., Yassuda, M., S., Oliveira, A., M. &amp; Florenza, O., V. (2008). </w:t>
      </w:r>
      <w:r w:rsidRPr="0005794A">
        <w:rPr>
          <w:rFonts w:ascii="Times New Roman" w:hAnsi="Times New Roman"/>
          <w:lang w:val="en-AU"/>
        </w:rPr>
        <w:t xml:space="preserve">Executive dysfunction correlates with impaired functional status in older adults with varying degrees of cognitive impairment. </w:t>
      </w:r>
      <w:r w:rsidRPr="0005794A">
        <w:rPr>
          <w:rFonts w:ascii="Times New Roman" w:hAnsi="Times New Roman"/>
          <w:i/>
          <w:iCs/>
          <w:lang w:val="en-AU"/>
        </w:rPr>
        <w:t xml:space="preserve">International Psychogeriatrics, </w:t>
      </w:r>
      <w:r w:rsidRPr="0005794A">
        <w:rPr>
          <w:rFonts w:ascii="Times New Roman" w:hAnsi="Times New Roman"/>
          <w:i/>
          <w:lang w:val="en-AU"/>
        </w:rPr>
        <w:t>20</w:t>
      </w:r>
      <w:r w:rsidRPr="0005794A">
        <w:rPr>
          <w:rFonts w:ascii="Times New Roman" w:hAnsi="Times New Roman"/>
          <w:lang w:val="en-AU"/>
        </w:rPr>
        <w:t>(6), 1104–1115, doi:10.1017/S1041610208007631</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rPr>
        <w:t xml:space="preserve">Reppermund, S., Sachdev, P., S., Crawford, J., Kochan, N., A., Slavin, M., J., Kang, K. et al. (2010). The relationship of neuropsychological function to instrumental activities of daily living in mild cognitive impairment. </w:t>
      </w:r>
      <w:r w:rsidRPr="0005794A">
        <w:rPr>
          <w:rFonts w:ascii="Times New Roman" w:hAnsi="Times New Roman"/>
          <w:i/>
        </w:rPr>
        <w:t xml:space="preserve">Geriatric Psychiatry, </w:t>
      </w:r>
      <w:r w:rsidRPr="0005794A">
        <w:rPr>
          <w:rFonts w:ascii="Times New Roman" w:hAnsi="Times New Roman"/>
        </w:rPr>
        <w:t>26, 843-852, doi:</w:t>
      </w:r>
      <w:r w:rsidRPr="0005794A">
        <w:rPr>
          <w:rFonts w:ascii="Times New Roman" w:hAnsi="Times New Roman"/>
          <w:color w:val="333333"/>
        </w:rPr>
        <w:t xml:space="preserve"> </w:t>
      </w:r>
      <w:r w:rsidRPr="0005794A">
        <w:rPr>
          <w:rFonts w:ascii="Times New Roman" w:hAnsi="Times New Roman"/>
        </w:rPr>
        <w:t>10.1002/gps.2612</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lang w:val="en-AU"/>
        </w:rPr>
        <w:t>Royal, M., D., Palmer, R., Chiodo, L., K., &amp; Polk, M., J. (2004). Declining executive control in normal ageing predicts change in functional status: the Freedom House study</w:t>
      </w:r>
      <w:r w:rsidRPr="0005794A">
        <w:rPr>
          <w:rFonts w:ascii="Times New Roman" w:hAnsi="Times New Roman"/>
          <w:i/>
          <w:lang w:val="en-AU"/>
        </w:rPr>
        <w:t>. Journal of American Geriatric Society, 52</w:t>
      </w:r>
      <w:r w:rsidRPr="0005794A">
        <w:rPr>
          <w:rFonts w:ascii="Times New Roman" w:hAnsi="Times New Roman"/>
          <w:lang w:val="en-AU"/>
        </w:rPr>
        <w:t>, 346-352</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lang w:val="en-AU"/>
        </w:rPr>
        <w:t xml:space="preserve">Schmitter- Edgecombe, M., &amp; Parsey, C. (2014). Assessment of functional change and cognitive correlates in the progression from healthy cognitive ageing to dementia. </w:t>
      </w:r>
      <w:r w:rsidRPr="0005794A">
        <w:rPr>
          <w:rFonts w:ascii="Times New Roman" w:hAnsi="Times New Roman"/>
          <w:i/>
          <w:lang w:val="en-AU"/>
        </w:rPr>
        <w:t>Neuropsychology,</w:t>
      </w:r>
      <w:r w:rsidRPr="0005794A">
        <w:rPr>
          <w:rFonts w:ascii="Times New Roman" w:hAnsi="Times New Roman"/>
          <w:lang w:val="en-AU"/>
        </w:rPr>
        <w:t xml:space="preserve"> </w:t>
      </w:r>
      <w:r w:rsidRPr="0005794A">
        <w:rPr>
          <w:rFonts w:ascii="Times New Roman" w:hAnsi="Times New Roman"/>
          <w:i/>
          <w:lang w:val="en-AU"/>
        </w:rPr>
        <w:t>28</w:t>
      </w:r>
      <w:r w:rsidRPr="0005794A">
        <w:rPr>
          <w:rFonts w:ascii="Times New Roman" w:hAnsi="Times New Roman"/>
          <w:lang w:val="en-AU"/>
        </w:rPr>
        <w:t xml:space="preserve">(6), 881-893, </w:t>
      </w:r>
      <w:hyperlink r:id="rId66" w:history="1">
        <w:r>
          <w:rPr>
            <w:rStyle w:val="Hyperlink"/>
          </w:rPr>
          <w:t>http://dx.doi.org/10.1037/neu0000109</w:t>
        </w:r>
      </w:hyperlink>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lang w:val="en-AU"/>
        </w:rPr>
        <w:t xml:space="preserve">Schmitter-Edgecombe, M., McAlister, C., &amp; Weakly, A. (2012). Naturalistic assessment of everyday functioning in individuals with mild cognitive impairment: The day out Task. Neuropsychology, </w:t>
      </w:r>
      <w:r w:rsidRPr="0005794A">
        <w:rPr>
          <w:rFonts w:ascii="Times New Roman" w:hAnsi="Times New Roman"/>
          <w:i/>
          <w:lang w:val="en-AU"/>
        </w:rPr>
        <w:t>26</w:t>
      </w:r>
      <w:r w:rsidRPr="0005794A">
        <w:rPr>
          <w:rFonts w:ascii="Times New Roman" w:hAnsi="Times New Roman"/>
          <w:lang w:val="en-AU"/>
        </w:rPr>
        <w:t>(5), 631-641, doi:10.1037/a0029352</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lang w:val="en-AU"/>
        </w:rPr>
        <w:t>Schmitter-Edgecombe, M., Parsey, C., &amp; Cook, D. J. (2011). Cognitive correlates of functional performance in older adults: comparison of self-reports, direct observation, and performance based measures. Journal of the International Neuropsychological Society, 17, 853-864, doi: 10.1017/S1355617711000865</w:t>
      </w:r>
    </w:p>
    <w:p w:rsidR="00535996" w:rsidRPr="00FC6145" w:rsidRDefault="00535996" w:rsidP="00535996">
      <w:pPr>
        <w:spacing w:line="480" w:lineRule="auto"/>
        <w:ind w:left="720" w:hanging="720"/>
        <w:rPr>
          <w:rFonts w:ascii="Times New Roman" w:hAnsi="Times New Roman"/>
          <w:lang w:val="en-AU"/>
        </w:rPr>
      </w:pPr>
      <w:r w:rsidRPr="0005794A">
        <w:rPr>
          <w:rFonts w:ascii="Times New Roman" w:hAnsi="Times New Roman"/>
          <w:lang w:val="en-AU"/>
        </w:rPr>
        <w:t xml:space="preserve">Selingman, S., C., Giovannetti, T., Sestitio, J., &amp; Libon, D. J. (2013).  A new approach to the characterization of subtle errors in everyday action: implications for mild cognitive impairment. </w:t>
      </w:r>
      <w:r w:rsidRPr="0005794A">
        <w:rPr>
          <w:rFonts w:ascii="Times New Roman" w:hAnsi="Times New Roman"/>
          <w:i/>
          <w:lang w:val="en-AU"/>
        </w:rPr>
        <w:t>The Clinical neuropsychologist</w:t>
      </w:r>
      <w:r w:rsidRPr="0005794A">
        <w:rPr>
          <w:rFonts w:ascii="Times New Roman" w:hAnsi="Times New Roman"/>
          <w:lang w:val="en-AU"/>
        </w:rPr>
        <w:t xml:space="preserve">, </w:t>
      </w:r>
      <w:r w:rsidRPr="0005794A">
        <w:rPr>
          <w:rFonts w:ascii="Times New Roman" w:hAnsi="Times New Roman"/>
          <w:i/>
          <w:lang w:val="en-AU"/>
        </w:rPr>
        <w:t>28</w:t>
      </w:r>
      <w:r w:rsidRPr="0005794A">
        <w:rPr>
          <w:rFonts w:ascii="Times New Roman" w:hAnsi="Times New Roman"/>
          <w:lang w:val="en-AU"/>
        </w:rPr>
        <w:t>(1), 97-115, doi:10.1080/13854046.2013.852624</w:t>
      </w:r>
    </w:p>
    <w:p w:rsidR="00ED55F3" w:rsidRDefault="00535996" w:rsidP="00535996">
      <w:pPr>
        <w:spacing w:line="480" w:lineRule="auto"/>
        <w:ind w:left="720" w:hanging="720"/>
        <w:rPr>
          <w:rFonts w:ascii="Times New Roman" w:hAnsi="Times New Roman"/>
          <w:lang w:val="en-AU"/>
        </w:rPr>
      </w:pPr>
      <w:r w:rsidRPr="0005794A">
        <w:rPr>
          <w:rFonts w:ascii="Times New Roman" w:hAnsi="Times New Roman"/>
          <w:lang w:val="en-AU"/>
        </w:rPr>
        <w:t xml:space="preserve">Suchy, Y., Williams, p. G., Kraybill, M. L. Franchow, E., &amp; Butner, J. (2010).  Instrumental activities of daily living among community-dwelling older adults: personality associations with self-report, performance, and awareness of functional difficulties. </w:t>
      </w:r>
      <w:r w:rsidRPr="0005794A">
        <w:rPr>
          <w:rFonts w:ascii="Times New Roman" w:hAnsi="Times New Roman"/>
          <w:i/>
          <w:iCs/>
          <w:lang w:val="en-AU"/>
        </w:rPr>
        <w:t xml:space="preserve">Journal of Gerontology: Psychological Sciences, </w:t>
      </w:r>
      <w:r w:rsidRPr="0005794A">
        <w:rPr>
          <w:rFonts w:ascii="Times New Roman" w:hAnsi="Times New Roman"/>
          <w:iCs/>
          <w:lang w:val="en-AU"/>
        </w:rPr>
        <w:t>doi:</w:t>
      </w:r>
      <w:r w:rsidRPr="0005794A">
        <w:rPr>
          <w:rFonts w:ascii="Times New Roman" w:hAnsi="Times New Roman"/>
          <w:i/>
          <w:iCs/>
          <w:lang w:val="en-AU"/>
        </w:rPr>
        <w:t xml:space="preserve"> </w:t>
      </w:r>
      <w:r w:rsidRPr="0005794A">
        <w:rPr>
          <w:rFonts w:ascii="Times New Roman" w:hAnsi="Times New Roman"/>
          <w:lang w:val="en-AU"/>
        </w:rPr>
        <w:t>10.1093/geronb/gbq037</w:t>
      </w:r>
    </w:p>
    <w:p w:rsidR="00ED55F3" w:rsidRDefault="00ED55F3">
      <w:pPr>
        <w:rPr>
          <w:rFonts w:ascii="Times New Roman" w:hAnsi="Times New Roman"/>
          <w:lang w:val="en-AU"/>
        </w:rPr>
      </w:pPr>
      <w:r>
        <w:rPr>
          <w:rFonts w:ascii="Times New Roman" w:hAnsi="Times New Roman"/>
          <w:lang w:val="en-AU"/>
        </w:rPr>
        <w:br w:type="page"/>
      </w:r>
    </w:p>
    <w:p w:rsidR="00535996" w:rsidRPr="00CF7468" w:rsidRDefault="00ED55F3" w:rsidP="00DA7E68">
      <w:pPr>
        <w:pStyle w:val="Heading1"/>
      </w:pPr>
      <w:bookmarkStart w:id="216" w:name="_Toc521184279"/>
      <w:r w:rsidRPr="00CF7468">
        <w:t>Appendix II</w:t>
      </w:r>
      <w:bookmarkEnd w:id="216"/>
    </w:p>
    <w:p w:rsidR="0090111A" w:rsidRPr="00ED55F3" w:rsidRDefault="0090111A" w:rsidP="00FE028D">
      <w:pPr>
        <w:pStyle w:val="Heading2"/>
      </w:pPr>
      <w:bookmarkStart w:id="217" w:name="_Toc521184280"/>
      <w:r>
        <w:t xml:space="preserve">The OTDL-R </w:t>
      </w:r>
      <w:r w:rsidR="00182470">
        <w:t>Booklet for Measuring</w:t>
      </w:r>
      <w:r>
        <w:t xml:space="preserve"> Everyday Functioning</w:t>
      </w:r>
      <w:bookmarkEnd w:id="217"/>
    </w:p>
    <w:p w:rsidR="006A1473" w:rsidRDefault="0038542B" w:rsidP="005C41B7">
      <w:pPr>
        <w:pStyle w:val="APAPar"/>
        <w:rPr>
          <w:lang w:val="en-US"/>
        </w:rPr>
      </w:pPr>
      <w:bookmarkStart w:id="218" w:name="_Toc373426005"/>
      <w:r>
        <w:rPr>
          <w:noProof/>
          <w:lang w:eastAsia="zh-CN"/>
        </w:rPr>
        <w:drawing>
          <wp:inline distT="0" distB="0" distL="0" distR="0">
            <wp:extent cx="5493790" cy="6972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0.39.png"/>
                    <pic:cNvPicPr/>
                  </pic:nvPicPr>
                  <pic:blipFill>
                    <a:blip r:embed="rId67">
                      <a:extLst>
                        <a:ext uri="{28A0092B-C50C-407E-A947-70E740481C1C}">
                          <a14:useLocalDpi xmlns:a14="http://schemas.microsoft.com/office/drawing/2010/main" val="0"/>
                        </a:ext>
                      </a:extLst>
                    </a:blip>
                    <a:stretch>
                      <a:fillRect/>
                    </a:stretch>
                  </pic:blipFill>
                  <pic:spPr>
                    <a:xfrm>
                      <a:off x="0" y="0"/>
                      <a:ext cx="5493790" cy="6972300"/>
                    </a:xfrm>
                    <a:prstGeom prst="rect">
                      <a:avLst/>
                    </a:prstGeom>
                  </pic:spPr>
                </pic:pic>
              </a:graphicData>
            </a:graphic>
          </wp:inline>
        </w:drawing>
      </w:r>
    </w:p>
    <w:p w:rsidR="00182213" w:rsidRDefault="0038542B" w:rsidP="005C41B7">
      <w:pPr>
        <w:pStyle w:val="APAPar"/>
      </w:pPr>
      <w:bookmarkStart w:id="219" w:name="_Toc501378775"/>
      <w:r>
        <w:rPr>
          <w:noProof/>
          <w:lang w:eastAsia="zh-CN"/>
        </w:rPr>
        <w:drawing>
          <wp:inline distT="0" distB="0" distL="0" distR="0">
            <wp:extent cx="5943600" cy="77393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0.56.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7739380"/>
                    </a:xfrm>
                    <a:prstGeom prst="rect">
                      <a:avLst/>
                    </a:prstGeom>
                  </pic:spPr>
                </pic:pic>
              </a:graphicData>
            </a:graphic>
          </wp:inline>
        </w:drawing>
      </w:r>
      <w:r w:rsidR="009D1025">
        <w:rPr>
          <w:noProof/>
          <w:lang w:eastAsia="zh-CN"/>
        </w:rPr>
        <w:drawing>
          <wp:inline distT="0" distB="0" distL="0" distR="0">
            <wp:extent cx="5943600" cy="78422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1.10.png"/>
                    <pic:cNvPicPr/>
                  </pic:nvPicPr>
                  <pic:blipFill>
                    <a:blip r:embed="rId69">
                      <a:extLst>
                        <a:ext uri="{28A0092B-C50C-407E-A947-70E740481C1C}">
                          <a14:useLocalDpi xmlns:a14="http://schemas.microsoft.com/office/drawing/2010/main" val="0"/>
                        </a:ext>
                      </a:extLst>
                    </a:blip>
                    <a:stretch>
                      <a:fillRect/>
                    </a:stretch>
                  </pic:blipFill>
                  <pic:spPr>
                    <a:xfrm>
                      <a:off x="0" y="0"/>
                      <a:ext cx="5943600" cy="7842250"/>
                    </a:xfrm>
                    <a:prstGeom prst="rect">
                      <a:avLst/>
                    </a:prstGeom>
                  </pic:spPr>
                </pic:pic>
              </a:graphicData>
            </a:graphic>
          </wp:inline>
        </w:drawing>
      </w:r>
      <w:r w:rsidR="009D1025">
        <w:rPr>
          <w:noProof/>
          <w:lang w:eastAsia="zh-CN"/>
        </w:rPr>
        <w:drawing>
          <wp:inline distT="0" distB="0" distL="0" distR="0">
            <wp:extent cx="5943600" cy="72942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1.22.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7294245"/>
                    </a:xfrm>
                    <a:prstGeom prst="rect">
                      <a:avLst/>
                    </a:prstGeom>
                  </pic:spPr>
                </pic:pic>
              </a:graphicData>
            </a:graphic>
          </wp:inline>
        </w:drawing>
      </w:r>
      <w:r w:rsidR="009D1025">
        <w:rPr>
          <w:noProof/>
          <w:lang w:eastAsia="zh-CN"/>
        </w:rPr>
        <w:drawing>
          <wp:inline distT="0" distB="0" distL="0" distR="0">
            <wp:extent cx="5943600" cy="79819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1.33.png"/>
                    <pic:cNvPicPr/>
                  </pic:nvPicPr>
                  <pic:blipFill>
                    <a:blip r:embed="rId71">
                      <a:extLst>
                        <a:ext uri="{28A0092B-C50C-407E-A947-70E740481C1C}">
                          <a14:useLocalDpi xmlns:a14="http://schemas.microsoft.com/office/drawing/2010/main" val="0"/>
                        </a:ext>
                      </a:extLst>
                    </a:blip>
                    <a:stretch>
                      <a:fillRect/>
                    </a:stretch>
                  </pic:blipFill>
                  <pic:spPr>
                    <a:xfrm>
                      <a:off x="0" y="0"/>
                      <a:ext cx="5943600" cy="7981950"/>
                    </a:xfrm>
                    <a:prstGeom prst="rect">
                      <a:avLst/>
                    </a:prstGeom>
                  </pic:spPr>
                </pic:pic>
              </a:graphicData>
            </a:graphic>
          </wp:inline>
        </w:drawing>
      </w:r>
      <w:r w:rsidR="00617B52">
        <w:rPr>
          <w:noProof/>
          <w:lang w:eastAsia="zh-CN"/>
        </w:rPr>
        <w:drawing>
          <wp:inline distT="0" distB="0" distL="0" distR="0">
            <wp:extent cx="5943600" cy="78270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1.46.png"/>
                    <pic:cNvPicPr/>
                  </pic:nvPicPr>
                  <pic:blipFill>
                    <a:blip r:embed="rId72">
                      <a:extLst>
                        <a:ext uri="{28A0092B-C50C-407E-A947-70E740481C1C}">
                          <a14:useLocalDpi xmlns:a14="http://schemas.microsoft.com/office/drawing/2010/main" val="0"/>
                        </a:ext>
                      </a:extLst>
                    </a:blip>
                    <a:stretch>
                      <a:fillRect/>
                    </a:stretch>
                  </pic:blipFill>
                  <pic:spPr>
                    <a:xfrm>
                      <a:off x="0" y="0"/>
                      <a:ext cx="5943600" cy="7827010"/>
                    </a:xfrm>
                    <a:prstGeom prst="rect">
                      <a:avLst/>
                    </a:prstGeom>
                  </pic:spPr>
                </pic:pic>
              </a:graphicData>
            </a:graphic>
          </wp:inline>
        </w:drawing>
      </w:r>
      <w:r w:rsidR="00617B52">
        <w:rPr>
          <w:noProof/>
          <w:lang w:eastAsia="zh-CN"/>
        </w:rPr>
        <w:drawing>
          <wp:inline distT="0" distB="0" distL="0" distR="0">
            <wp:extent cx="5943600" cy="69564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1.57.png"/>
                    <pic:cNvPicPr/>
                  </pic:nvPicPr>
                  <pic:blipFill>
                    <a:blip r:embed="rId73">
                      <a:extLst>
                        <a:ext uri="{28A0092B-C50C-407E-A947-70E740481C1C}">
                          <a14:useLocalDpi xmlns:a14="http://schemas.microsoft.com/office/drawing/2010/main" val="0"/>
                        </a:ext>
                      </a:extLst>
                    </a:blip>
                    <a:stretch>
                      <a:fillRect/>
                    </a:stretch>
                  </pic:blipFill>
                  <pic:spPr>
                    <a:xfrm>
                      <a:off x="0" y="0"/>
                      <a:ext cx="5943600" cy="6956425"/>
                    </a:xfrm>
                    <a:prstGeom prst="rect">
                      <a:avLst/>
                    </a:prstGeom>
                  </pic:spPr>
                </pic:pic>
              </a:graphicData>
            </a:graphic>
          </wp:inline>
        </w:drawing>
      </w:r>
      <w:r w:rsidR="003C745D">
        <w:rPr>
          <w:noProof/>
          <w:lang w:eastAsia="zh-CN"/>
        </w:rPr>
        <w:drawing>
          <wp:inline distT="0" distB="0" distL="0" distR="0">
            <wp:extent cx="5943600" cy="74764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2.07.png"/>
                    <pic:cNvPicPr/>
                  </pic:nvPicPr>
                  <pic:blipFill>
                    <a:blip r:embed="rId74">
                      <a:extLst>
                        <a:ext uri="{28A0092B-C50C-407E-A947-70E740481C1C}">
                          <a14:useLocalDpi xmlns:a14="http://schemas.microsoft.com/office/drawing/2010/main" val="0"/>
                        </a:ext>
                      </a:extLst>
                    </a:blip>
                    <a:stretch>
                      <a:fillRect/>
                    </a:stretch>
                  </pic:blipFill>
                  <pic:spPr>
                    <a:xfrm>
                      <a:off x="0" y="0"/>
                      <a:ext cx="5943600" cy="7476490"/>
                    </a:xfrm>
                    <a:prstGeom prst="rect">
                      <a:avLst/>
                    </a:prstGeom>
                  </pic:spPr>
                </pic:pic>
              </a:graphicData>
            </a:graphic>
          </wp:inline>
        </w:drawing>
      </w:r>
      <w:r w:rsidR="003C745D">
        <w:rPr>
          <w:noProof/>
          <w:lang w:eastAsia="zh-CN"/>
        </w:rPr>
        <w:drawing>
          <wp:inline distT="0" distB="0" distL="0" distR="0">
            <wp:extent cx="5943600" cy="774954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2.19.png"/>
                    <pic:cNvPicPr/>
                  </pic:nvPicPr>
                  <pic:blipFill>
                    <a:blip r:embed="rId75">
                      <a:extLst>
                        <a:ext uri="{28A0092B-C50C-407E-A947-70E740481C1C}">
                          <a14:useLocalDpi xmlns:a14="http://schemas.microsoft.com/office/drawing/2010/main" val="0"/>
                        </a:ext>
                      </a:extLst>
                    </a:blip>
                    <a:stretch>
                      <a:fillRect/>
                    </a:stretch>
                  </pic:blipFill>
                  <pic:spPr>
                    <a:xfrm>
                      <a:off x="0" y="0"/>
                      <a:ext cx="5943600" cy="7749540"/>
                    </a:xfrm>
                    <a:prstGeom prst="rect">
                      <a:avLst/>
                    </a:prstGeom>
                  </pic:spPr>
                </pic:pic>
              </a:graphicData>
            </a:graphic>
          </wp:inline>
        </w:drawing>
      </w:r>
      <w:r w:rsidR="000A03EB">
        <w:rPr>
          <w:noProof/>
          <w:lang w:eastAsia="zh-CN"/>
        </w:rPr>
        <w:drawing>
          <wp:inline distT="0" distB="0" distL="0" distR="0">
            <wp:extent cx="5943600" cy="76911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2.31.png"/>
                    <pic:cNvPicPr/>
                  </pic:nvPicPr>
                  <pic:blipFill>
                    <a:blip r:embed="rId76">
                      <a:extLst>
                        <a:ext uri="{28A0092B-C50C-407E-A947-70E740481C1C}">
                          <a14:useLocalDpi xmlns:a14="http://schemas.microsoft.com/office/drawing/2010/main" val="0"/>
                        </a:ext>
                      </a:extLst>
                    </a:blip>
                    <a:stretch>
                      <a:fillRect/>
                    </a:stretch>
                  </pic:blipFill>
                  <pic:spPr>
                    <a:xfrm>
                      <a:off x="0" y="0"/>
                      <a:ext cx="5943600" cy="7691120"/>
                    </a:xfrm>
                    <a:prstGeom prst="rect">
                      <a:avLst/>
                    </a:prstGeom>
                  </pic:spPr>
                </pic:pic>
              </a:graphicData>
            </a:graphic>
          </wp:inline>
        </w:drawing>
      </w:r>
      <w:r w:rsidR="000A03EB">
        <w:rPr>
          <w:noProof/>
          <w:lang w:eastAsia="zh-CN"/>
        </w:rPr>
        <w:drawing>
          <wp:inline distT="0" distB="0" distL="0" distR="0">
            <wp:extent cx="5943600" cy="79597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2.42.png"/>
                    <pic:cNvPicPr/>
                  </pic:nvPicPr>
                  <pic:blipFill>
                    <a:blip r:embed="rId77">
                      <a:extLst>
                        <a:ext uri="{28A0092B-C50C-407E-A947-70E740481C1C}">
                          <a14:useLocalDpi xmlns:a14="http://schemas.microsoft.com/office/drawing/2010/main" val="0"/>
                        </a:ext>
                      </a:extLst>
                    </a:blip>
                    <a:stretch>
                      <a:fillRect/>
                    </a:stretch>
                  </pic:blipFill>
                  <pic:spPr>
                    <a:xfrm>
                      <a:off x="0" y="0"/>
                      <a:ext cx="5943600" cy="7959725"/>
                    </a:xfrm>
                    <a:prstGeom prst="rect">
                      <a:avLst/>
                    </a:prstGeom>
                  </pic:spPr>
                </pic:pic>
              </a:graphicData>
            </a:graphic>
          </wp:inline>
        </w:drawing>
      </w:r>
      <w:r w:rsidR="00907CD2">
        <w:rPr>
          <w:noProof/>
          <w:lang w:eastAsia="zh-CN"/>
        </w:rPr>
        <w:drawing>
          <wp:inline distT="0" distB="0" distL="0" distR="0">
            <wp:extent cx="63500" cy="381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2.54.png"/>
                    <pic:cNvPicPr/>
                  </pic:nvPicPr>
                  <pic:blipFill>
                    <a:blip r:embed="rId78">
                      <a:extLst>
                        <a:ext uri="{28A0092B-C50C-407E-A947-70E740481C1C}">
                          <a14:useLocalDpi xmlns:a14="http://schemas.microsoft.com/office/drawing/2010/main" val="0"/>
                        </a:ext>
                      </a:extLst>
                    </a:blip>
                    <a:stretch>
                      <a:fillRect/>
                    </a:stretch>
                  </pic:blipFill>
                  <pic:spPr>
                    <a:xfrm>
                      <a:off x="0" y="0"/>
                      <a:ext cx="63500" cy="38100"/>
                    </a:xfrm>
                    <a:prstGeom prst="rect">
                      <a:avLst/>
                    </a:prstGeom>
                  </pic:spPr>
                </pic:pic>
              </a:graphicData>
            </a:graphic>
          </wp:inline>
        </w:drawing>
      </w:r>
      <w:r w:rsidR="00907CD2">
        <w:rPr>
          <w:noProof/>
          <w:lang w:eastAsia="zh-CN"/>
        </w:rPr>
        <w:drawing>
          <wp:inline distT="0" distB="0" distL="0" distR="0">
            <wp:extent cx="63500" cy="381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2.54.png"/>
                    <pic:cNvPicPr/>
                  </pic:nvPicPr>
                  <pic:blipFill>
                    <a:blip r:embed="rId78">
                      <a:extLst>
                        <a:ext uri="{28A0092B-C50C-407E-A947-70E740481C1C}">
                          <a14:useLocalDpi xmlns:a14="http://schemas.microsoft.com/office/drawing/2010/main" val="0"/>
                        </a:ext>
                      </a:extLst>
                    </a:blip>
                    <a:stretch>
                      <a:fillRect/>
                    </a:stretch>
                  </pic:blipFill>
                  <pic:spPr>
                    <a:xfrm>
                      <a:off x="0" y="0"/>
                      <a:ext cx="63500" cy="38100"/>
                    </a:xfrm>
                    <a:prstGeom prst="rect">
                      <a:avLst/>
                    </a:prstGeom>
                  </pic:spPr>
                </pic:pic>
              </a:graphicData>
            </a:graphic>
          </wp:inline>
        </w:drawing>
      </w:r>
      <w:bookmarkEnd w:id="219"/>
    </w:p>
    <w:p w:rsidR="00CE0474" w:rsidRDefault="00CE0474" w:rsidP="005C41B7">
      <w:pPr>
        <w:pStyle w:val="APAPar"/>
      </w:pPr>
      <w:bookmarkStart w:id="220" w:name="_Toc501378776"/>
      <w:r>
        <w:rPr>
          <w:noProof/>
          <w:lang w:eastAsia="zh-CN"/>
        </w:rPr>
        <w:drawing>
          <wp:inline distT="0" distB="0" distL="0" distR="0">
            <wp:extent cx="5943600" cy="75095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3.12.png"/>
                    <pic:cNvPicPr/>
                  </pic:nvPicPr>
                  <pic:blipFill>
                    <a:blip r:embed="rId79">
                      <a:extLst>
                        <a:ext uri="{28A0092B-C50C-407E-A947-70E740481C1C}">
                          <a14:useLocalDpi xmlns:a14="http://schemas.microsoft.com/office/drawing/2010/main" val="0"/>
                        </a:ext>
                      </a:extLst>
                    </a:blip>
                    <a:stretch>
                      <a:fillRect/>
                    </a:stretch>
                  </pic:blipFill>
                  <pic:spPr>
                    <a:xfrm>
                      <a:off x="0" y="0"/>
                      <a:ext cx="5943600" cy="7509510"/>
                    </a:xfrm>
                    <a:prstGeom prst="rect">
                      <a:avLst/>
                    </a:prstGeom>
                  </pic:spPr>
                </pic:pic>
              </a:graphicData>
            </a:graphic>
          </wp:inline>
        </w:drawing>
      </w:r>
      <w:bookmarkEnd w:id="220"/>
    </w:p>
    <w:p w:rsidR="00CE0474" w:rsidRDefault="00CE0474" w:rsidP="005C41B7">
      <w:pPr>
        <w:pStyle w:val="APAPar"/>
      </w:pPr>
      <w:r>
        <w:rPr>
          <w:noProof/>
          <w:lang w:eastAsia="zh-CN"/>
        </w:rPr>
        <w:drawing>
          <wp:inline distT="0" distB="0" distL="0" distR="0">
            <wp:extent cx="5943600" cy="8026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3.23.png"/>
                    <pic:cNvPicPr/>
                  </pic:nvPicPr>
                  <pic:blipFill>
                    <a:blip r:embed="rId80">
                      <a:extLst>
                        <a:ext uri="{28A0092B-C50C-407E-A947-70E740481C1C}">
                          <a14:useLocalDpi xmlns:a14="http://schemas.microsoft.com/office/drawing/2010/main" val="0"/>
                        </a:ext>
                      </a:extLst>
                    </a:blip>
                    <a:stretch>
                      <a:fillRect/>
                    </a:stretch>
                  </pic:blipFill>
                  <pic:spPr>
                    <a:xfrm>
                      <a:off x="0" y="0"/>
                      <a:ext cx="5943600" cy="8026400"/>
                    </a:xfrm>
                    <a:prstGeom prst="rect">
                      <a:avLst/>
                    </a:prstGeom>
                  </pic:spPr>
                </pic:pic>
              </a:graphicData>
            </a:graphic>
          </wp:inline>
        </w:drawing>
      </w:r>
    </w:p>
    <w:p w:rsidR="001B5FCC" w:rsidRDefault="001B5FCC" w:rsidP="005C41B7">
      <w:pPr>
        <w:pStyle w:val="APAPar"/>
      </w:pPr>
      <w:r>
        <w:rPr>
          <w:noProof/>
          <w:lang w:eastAsia="zh-CN"/>
        </w:rPr>
        <w:drawing>
          <wp:inline distT="0" distB="0" distL="0" distR="0">
            <wp:extent cx="5943600" cy="785749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3.37.png"/>
                    <pic:cNvPicPr/>
                  </pic:nvPicPr>
                  <pic:blipFill>
                    <a:blip r:embed="rId81">
                      <a:extLst>
                        <a:ext uri="{28A0092B-C50C-407E-A947-70E740481C1C}">
                          <a14:useLocalDpi xmlns:a14="http://schemas.microsoft.com/office/drawing/2010/main" val="0"/>
                        </a:ext>
                      </a:extLst>
                    </a:blip>
                    <a:stretch>
                      <a:fillRect/>
                    </a:stretch>
                  </pic:blipFill>
                  <pic:spPr>
                    <a:xfrm>
                      <a:off x="0" y="0"/>
                      <a:ext cx="5943600" cy="7857490"/>
                    </a:xfrm>
                    <a:prstGeom prst="rect">
                      <a:avLst/>
                    </a:prstGeom>
                  </pic:spPr>
                </pic:pic>
              </a:graphicData>
            </a:graphic>
          </wp:inline>
        </w:drawing>
      </w:r>
    </w:p>
    <w:p w:rsidR="001B5FCC" w:rsidRDefault="001B5FCC" w:rsidP="005C41B7">
      <w:pPr>
        <w:pStyle w:val="APAPar"/>
      </w:pPr>
      <w:r>
        <w:rPr>
          <w:noProof/>
          <w:lang w:eastAsia="zh-CN"/>
        </w:rPr>
        <w:drawing>
          <wp:inline distT="0" distB="0" distL="0" distR="0">
            <wp:extent cx="5943600" cy="77222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3.48.png"/>
                    <pic:cNvPicPr/>
                  </pic:nvPicPr>
                  <pic:blipFill>
                    <a:blip r:embed="rId82">
                      <a:extLst>
                        <a:ext uri="{28A0092B-C50C-407E-A947-70E740481C1C}">
                          <a14:useLocalDpi xmlns:a14="http://schemas.microsoft.com/office/drawing/2010/main" val="0"/>
                        </a:ext>
                      </a:extLst>
                    </a:blip>
                    <a:stretch>
                      <a:fillRect/>
                    </a:stretch>
                  </pic:blipFill>
                  <pic:spPr>
                    <a:xfrm>
                      <a:off x="0" y="0"/>
                      <a:ext cx="5943600" cy="7722235"/>
                    </a:xfrm>
                    <a:prstGeom prst="rect">
                      <a:avLst/>
                    </a:prstGeom>
                  </pic:spPr>
                </pic:pic>
              </a:graphicData>
            </a:graphic>
          </wp:inline>
        </w:drawing>
      </w:r>
    </w:p>
    <w:p w:rsidR="001B5FCC" w:rsidRDefault="001B5FCC" w:rsidP="00FE028D">
      <w:pPr>
        <w:pStyle w:val="Heading2"/>
      </w:pPr>
    </w:p>
    <w:p w:rsidR="007A4DC7" w:rsidRDefault="007A4DC7" w:rsidP="005C41B7">
      <w:pPr>
        <w:pStyle w:val="APAPar"/>
      </w:pPr>
      <w:r>
        <w:rPr>
          <w:noProof/>
          <w:lang w:eastAsia="zh-CN"/>
        </w:rPr>
        <w:drawing>
          <wp:inline distT="0" distB="0" distL="0" distR="0">
            <wp:extent cx="5943600" cy="759904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3.58.png"/>
                    <pic:cNvPicPr/>
                  </pic:nvPicPr>
                  <pic:blipFill>
                    <a:blip r:embed="rId83">
                      <a:extLst>
                        <a:ext uri="{28A0092B-C50C-407E-A947-70E740481C1C}">
                          <a14:useLocalDpi xmlns:a14="http://schemas.microsoft.com/office/drawing/2010/main" val="0"/>
                        </a:ext>
                      </a:extLst>
                    </a:blip>
                    <a:stretch>
                      <a:fillRect/>
                    </a:stretch>
                  </pic:blipFill>
                  <pic:spPr>
                    <a:xfrm>
                      <a:off x="0" y="0"/>
                      <a:ext cx="5943600" cy="7599045"/>
                    </a:xfrm>
                    <a:prstGeom prst="rect">
                      <a:avLst/>
                    </a:prstGeom>
                  </pic:spPr>
                </pic:pic>
              </a:graphicData>
            </a:graphic>
          </wp:inline>
        </w:drawing>
      </w:r>
    </w:p>
    <w:p w:rsidR="0044534A" w:rsidRDefault="007A4DC7" w:rsidP="005C41B7">
      <w:pPr>
        <w:pStyle w:val="APAPar"/>
        <w:rPr>
          <w:rStyle w:val="Heading3Char"/>
          <w:b w:val="0"/>
        </w:rPr>
      </w:pPr>
      <w:r>
        <w:rPr>
          <w:noProof/>
          <w:lang w:eastAsia="zh-CN"/>
        </w:rPr>
        <w:drawing>
          <wp:inline distT="0" distB="0" distL="0" distR="0">
            <wp:extent cx="5521712" cy="75463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2.34.08.png"/>
                    <pic:cNvPicPr/>
                  </pic:nvPicPr>
                  <pic:blipFill>
                    <a:blip r:embed="rId84">
                      <a:extLst>
                        <a:ext uri="{28A0092B-C50C-407E-A947-70E740481C1C}">
                          <a14:useLocalDpi xmlns:a14="http://schemas.microsoft.com/office/drawing/2010/main" val="0"/>
                        </a:ext>
                      </a:extLst>
                    </a:blip>
                    <a:stretch>
                      <a:fillRect/>
                    </a:stretch>
                  </pic:blipFill>
                  <pic:spPr>
                    <a:xfrm>
                      <a:off x="0" y="0"/>
                      <a:ext cx="5526420" cy="7552775"/>
                    </a:xfrm>
                    <a:prstGeom prst="rect">
                      <a:avLst/>
                    </a:prstGeom>
                  </pic:spPr>
                </pic:pic>
              </a:graphicData>
            </a:graphic>
          </wp:inline>
        </w:drawing>
      </w:r>
    </w:p>
    <w:p w:rsidR="00A77EAA" w:rsidRDefault="0044534A" w:rsidP="0044534A">
      <w:pPr>
        <w:rPr>
          <w:rStyle w:val="Heading3Char"/>
          <w:b w:val="0"/>
        </w:rPr>
      </w:pPr>
      <w:r>
        <w:rPr>
          <w:rStyle w:val="Heading3Char"/>
          <w:b w:val="0"/>
        </w:rPr>
        <w:br w:type="page"/>
      </w:r>
    </w:p>
    <w:p w:rsidR="0044534A" w:rsidRDefault="0044534A" w:rsidP="00546D49">
      <w:pPr>
        <w:pStyle w:val="Heading3"/>
        <w:ind w:left="2094"/>
      </w:pPr>
      <w:bookmarkStart w:id="221" w:name="_Toc521184281"/>
      <w:r>
        <w:t>Material for Medication Use Assessment</w:t>
      </w:r>
      <w:bookmarkEnd w:id="221"/>
    </w:p>
    <w:p w:rsidR="0044534A" w:rsidRDefault="0044534A" w:rsidP="0044534A">
      <w:pPr>
        <w:rPr>
          <w:rStyle w:val="Heading3Char"/>
          <w:b w:val="0"/>
        </w:rPr>
      </w:pPr>
    </w:p>
    <w:p w:rsidR="00D52236" w:rsidRPr="00D52236" w:rsidRDefault="004E00B5" w:rsidP="005D6C71">
      <w:pPr>
        <w:pStyle w:val="APAPar"/>
        <w:ind w:firstLine="0"/>
      </w:pPr>
      <w:r>
        <w:rPr>
          <w:noProof/>
          <w:lang w:eastAsia="zh-CN"/>
        </w:rPr>
        <w:drawing>
          <wp:inline distT="0" distB="0" distL="0" distR="0">
            <wp:extent cx="5867400" cy="60198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13.00.27.png"/>
                    <pic:cNvPicPr/>
                  </pic:nvPicPr>
                  <pic:blipFill>
                    <a:blip r:embed="rId85">
                      <a:extLst>
                        <a:ext uri="{28A0092B-C50C-407E-A947-70E740481C1C}">
                          <a14:useLocalDpi xmlns:a14="http://schemas.microsoft.com/office/drawing/2010/main" val="0"/>
                        </a:ext>
                      </a:extLst>
                    </a:blip>
                    <a:stretch>
                      <a:fillRect/>
                    </a:stretch>
                  </pic:blipFill>
                  <pic:spPr>
                    <a:xfrm>
                      <a:off x="0" y="0"/>
                      <a:ext cx="5867400" cy="6019800"/>
                    </a:xfrm>
                    <a:prstGeom prst="rect">
                      <a:avLst/>
                    </a:prstGeom>
                  </pic:spPr>
                </pic:pic>
              </a:graphicData>
            </a:graphic>
          </wp:inline>
        </w:drawing>
      </w:r>
    </w:p>
    <w:p w:rsidR="00A77EAA" w:rsidRDefault="00D52236" w:rsidP="005D6C71">
      <w:pPr>
        <w:pStyle w:val="APAPar"/>
        <w:ind w:firstLine="0"/>
      </w:pPr>
      <w:r>
        <w:rPr>
          <w:noProof/>
          <w:lang w:eastAsia="zh-CN"/>
        </w:rPr>
        <w:drawing>
          <wp:inline distT="0" distB="0" distL="0" distR="0">
            <wp:extent cx="5939790" cy="7680960"/>
            <wp:effectExtent l="0" t="0" r="0" b="0"/>
            <wp:docPr id="55" name="Picture 55" descr="Macintosh HD:Users:georgepavlidis:Google Drive:Documents:Projects:The SoFa CoDe:Tools used and developed:Everyday functionality tests:OTDL-R:OTDL-R EN Test Material:otdlmed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orgepavlidis:Google Drive:Documents:Projects:The SoFa CoDe:Tools used and developed:Everyday functionality tests:OTDL-R:OTDL-R EN Test Material:otdlmed1.pd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7680960"/>
                    </a:xfrm>
                    <a:prstGeom prst="rect">
                      <a:avLst/>
                    </a:prstGeom>
                    <a:noFill/>
                    <a:ln>
                      <a:noFill/>
                    </a:ln>
                  </pic:spPr>
                </pic:pic>
              </a:graphicData>
            </a:graphic>
          </wp:inline>
        </w:drawing>
      </w:r>
    </w:p>
    <w:p w:rsidR="004E00B5" w:rsidRDefault="004E00B5" w:rsidP="00FE028D">
      <w:pPr>
        <w:pStyle w:val="Heading2"/>
      </w:pPr>
    </w:p>
    <w:p w:rsidR="00C87F65" w:rsidRPr="00C87F65" w:rsidRDefault="00C87F65" w:rsidP="00C87F65">
      <w:pPr>
        <w:rPr>
          <w:lang w:val="en-US"/>
        </w:rPr>
      </w:pPr>
    </w:p>
    <w:p w:rsidR="00B940BC" w:rsidRDefault="00B940BC">
      <w:pPr>
        <w:tabs>
          <w:tab w:val="left" w:pos="-720"/>
        </w:tabs>
        <w:suppressAutoHyphens/>
        <w:rPr>
          <w:rFonts w:ascii="Times" w:hAnsi="Times"/>
        </w:rPr>
      </w:pP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sz w:val="28"/>
        </w:rPr>
      </w:pPr>
      <w:r>
        <w:rPr>
          <w:rFonts w:ascii="Times" w:hAnsi="Times"/>
          <w:b/>
          <w:sz w:val="28"/>
        </w:rPr>
        <w:tab/>
        <w:t>Maximum Aspirin</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rPr>
      </w:pPr>
      <w:r>
        <w:rPr>
          <w:rFonts w:ascii="Times" w:hAnsi="Times"/>
        </w:rPr>
        <w:tab/>
        <w:t>For relief of painful discomforts in the following conditions:</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rPr>
      </w:pPr>
      <w:r>
        <w:rPr>
          <w:rFonts w:ascii="Times" w:hAnsi="Times"/>
        </w:rPr>
        <w:tab/>
      </w:r>
      <w:r>
        <w:rPr>
          <w:rFonts w:ascii="Symbol" w:hAnsi="Symbol"/>
          <w:sz w:val="32"/>
        </w:rPr>
        <w:t></w:t>
      </w:r>
      <w:r>
        <w:rPr>
          <w:rFonts w:ascii="Symbol" w:hAnsi="Symbol"/>
        </w:rPr>
        <w:t></w:t>
      </w:r>
      <w:r>
        <w:rPr>
          <w:rFonts w:ascii="Times" w:hAnsi="Times"/>
          <w:b/>
        </w:rPr>
        <w:t xml:space="preserve">Headaches </w:t>
      </w:r>
      <w:r>
        <w:rPr>
          <w:rFonts w:ascii="Symbol" w:hAnsi="Symbol"/>
          <w:sz w:val="32"/>
        </w:rPr>
        <w:t></w:t>
      </w:r>
      <w:r>
        <w:rPr>
          <w:rFonts w:ascii="Symbol" w:hAnsi="Symbol"/>
          <w:sz w:val="32"/>
        </w:rPr>
        <w:t></w:t>
      </w:r>
      <w:r>
        <w:rPr>
          <w:rFonts w:ascii="Times" w:hAnsi="Times"/>
          <w:b/>
        </w:rPr>
        <w:t xml:space="preserve">Colds and Flu </w:t>
      </w:r>
      <w:r>
        <w:rPr>
          <w:rFonts w:ascii="Symbol" w:hAnsi="Symbol"/>
          <w:sz w:val="32"/>
        </w:rPr>
        <w:t></w:t>
      </w:r>
      <w:r>
        <w:rPr>
          <w:rFonts w:ascii="Symbol" w:hAnsi="Symbol"/>
          <w:sz w:val="32"/>
        </w:rPr>
        <w:t></w:t>
      </w:r>
      <w:r>
        <w:rPr>
          <w:rFonts w:ascii="Times" w:hAnsi="Times"/>
          <w:b/>
        </w:rPr>
        <w:t xml:space="preserve">Toothaches and Extractions </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b/>
        </w:rPr>
      </w:pPr>
      <w:r>
        <w:rPr>
          <w:rFonts w:ascii="Times" w:hAnsi="Times"/>
          <w:b/>
        </w:rPr>
        <w:tab/>
      </w:r>
      <w:r>
        <w:rPr>
          <w:rFonts w:ascii="Symbol" w:hAnsi="Symbol"/>
          <w:sz w:val="32"/>
        </w:rPr>
        <w:t></w:t>
      </w:r>
      <w:r>
        <w:rPr>
          <w:rFonts w:ascii="Symbol" w:hAnsi="Symbol"/>
          <w:sz w:val="32"/>
        </w:rPr>
        <w:t></w:t>
      </w:r>
      <w:r>
        <w:rPr>
          <w:rFonts w:ascii="Times" w:hAnsi="Times"/>
          <w:b/>
        </w:rPr>
        <w:t xml:space="preserve">Muscular Aches and Pains </w:t>
      </w:r>
      <w:r>
        <w:rPr>
          <w:rFonts w:ascii="Symbol" w:hAnsi="Symbol"/>
          <w:sz w:val="32"/>
        </w:rPr>
        <w:t></w:t>
      </w:r>
      <w:r>
        <w:rPr>
          <w:rFonts w:ascii="Symbol" w:hAnsi="Symbol"/>
          <w:sz w:val="32"/>
        </w:rPr>
        <w:t></w:t>
      </w:r>
      <w:r>
        <w:rPr>
          <w:rFonts w:ascii="Times" w:hAnsi="Times"/>
          <w:b/>
        </w:rPr>
        <w:t xml:space="preserve">Arthritis and Rheumatism </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b/>
        </w:rPr>
      </w:pPr>
      <w:r>
        <w:rPr>
          <w:rFonts w:ascii="Times" w:hAnsi="Times"/>
          <w:b/>
        </w:rPr>
        <w:tab/>
      </w:r>
      <w:r>
        <w:rPr>
          <w:rFonts w:ascii="Symbol" w:hAnsi="Symbol"/>
          <w:sz w:val="32"/>
        </w:rPr>
        <w:t></w:t>
      </w:r>
      <w:r>
        <w:rPr>
          <w:rFonts w:ascii="Symbol" w:hAnsi="Symbol"/>
          <w:sz w:val="32"/>
        </w:rPr>
        <w:t></w:t>
      </w:r>
      <w:r>
        <w:rPr>
          <w:rFonts w:ascii="Times" w:hAnsi="Times"/>
          <w:b/>
        </w:rPr>
        <w:t xml:space="preserve">Bursitis, Lumbago, and Sciatica </w:t>
      </w:r>
      <w:r>
        <w:rPr>
          <w:rFonts w:ascii="Symbol" w:hAnsi="Symbol"/>
          <w:sz w:val="32"/>
        </w:rPr>
        <w:t></w:t>
      </w:r>
      <w:r>
        <w:rPr>
          <w:rFonts w:ascii="Symbol" w:hAnsi="Symbol"/>
          <w:sz w:val="32"/>
        </w:rPr>
        <w:t></w:t>
      </w:r>
      <w:r>
        <w:rPr>
          <w:rFonts w:ascii="Times" w:hAnsi="Times"/>
          <w:b/>
        </w:rPr>
        <w:t>Sore Throat and Minor Throat Irritations</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b/>
        </w:rPr>
      </w:pPr>
      <w:r>
        <w:rPr>
          <w:rFonts w:ascii="Times" w:hAnsi="Times"/>
          <w:b/>
        </w:rPr>
        <w:tab/>
      </w:r>
      <w:r>
        <w:rPr>
          <w:rFonts w:ascii="Symbol" w:hAnsi="Symbol"/>
          <w:sz w:val="32"/>
        </w:rPr>
        <w:t></w:t>
      </w:r>
      <w:r>
        <w:rPr>
          <w:rFonts w:ascii="Symbol" w:hAnsi="Symbol"/>
          <w:sz w:val="32"/>
        </w:rPr>
        <w:t></w:t>
      </w:r>
      <w:r>
        <w:rPr>
          <w:rFonts w:ascii="Times" w:hAnsi="Times"/>
          <w:b/>
        </w:rPr>
        <w:t xml:space="preserve">Menstrual Pain </w:t>
      </w:r>
      <w:r>
        <w:rPr>
          <w:rFonts w:ascii="Symbol" w:hAnsi="Symbol"/>
          <w:sz w:val="32"/>
        </w:rPr>
        <w:t></w:t>
      </w:r>
      <w:r>
        <w:rPr>
          <w:rFonts w:ascii="Symbol" w:hAnsi="Symbol"/>
          <w:sz w:val="32"/>
        </w:rPr>
        <w:t></w:t>
      </w:r>
      <w:r>
        <w:rPr>
          <w:rFonts w:ascii="Times" w:hAnsi="Times"/>
          <w:b/>
        </w:rPr>
        <w:t>Neuralgia—Neuritic (Nerve) Pain</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b/>
        </w:rPr>
      </w:pPr>
      <w:r>
        <w:rPr>
          <w:rFonts w:ascii="Times" w:hAnsi="Times"/>
          <w:b/>
        </w:rPr>
        <w:tab/>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rPr>
      </w:pPr>
      <w:r>
        <w:rPr>
          <w:rFonts w:ascii="Times" w:hAnsi="Times"/>
          <w:b/>
        </w:rPr>
        <w:tab/>
        <w:t>Directions for Use</w:t>
      </w:r>
      <w:r>
        <w:rPr>
          <w:rFonts w:ascii="Times" w:hAnsi="Times"/>
        </w:rPr>
        <w:t xml:space="preserve"> (500 mg tablet)</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b/>
        </w:rPr>
        <w:tab/>
      </w:r>
      <w:r>
        <w:rPr>
          <w:rFonts w:ascii="Times" w:hAnsi="Times"/>
          <w:b/>
        </w:rPr>
        <w:tab/>
        <w:t>Adults:</w:t>
      </w:r>
      <w:r>
        <w:rPr>
          <w:rFonts w:ascii="Times" w:hAnsi="Times"/>
        </w:rPr>
        <w:t xml:space="preserve"> Take 1 or 2 tablets with a glass of water (or fruit juice).  Repeat</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rPr>
        <w:tab/>
      </w:r>
      <w:r>
        <w:rPr>
          <w:rFonts w:ascii="Times" w:hAnsi="Times"/>
        </w:rPr>
        <w:tab/>
        <w:t>after 4 hours, if necessary.  Do not exceed 8 tablets in a 24-hour period.</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b/>
        </w:rPr>
        <w:tab/>
      </w:r>
      <w:r>
        <w:rPr>
          <w:rFonts w:ascii="Times" w:hAnsi="Times"/>
          <w:b/>
        </w:rPr>
        <w:tab/>
        <w:t xml:space="preserve">Caution: </w:t>
      </w:r>
      <w:r>
        <w:rPr>
          <w:rFonts w:ascii="Times" w:hAnsi="Times"/>
        </w:rPr>
        <w:t>If pain persists for more than 10 days or redness is present, or</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rPr>
        <w:tab/>
      </w:r>
      <w:r>
        <w:rPr>
          <w:rFonts w:ascii="Times" w:hAnsi="Times"/>
        </w:rPr>
        <w:tab/>
        <w:t>in conditions affecting children under 12 years of age, consult a physician</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rPr>
        <w:tab/>
      </w:r>
      <w:r>
        <w:rPr>
          <w:rFonts w:ascii="Times" w:hAnsi="Times"/>
        </w:rPr>
        <w:tab/>
        <w:t>immediately.</w:t>
      </w:r>
    </w:p>
    <w:p w:rsidR="00B940BC" w:rsidRDefault="00B940BC">
      <w:pPr>
        <w:tabs>
          <w:tab w:val="left" w:pos="-720"/>
        </w:tabs>
        <w:suppressAutoHyphens/>
        <w:rPr>
          <w:rFonts w:ascii="Times" w:hAnsi="Times"/>
        </w:rPr>
      </w:pPr>
    </w:p>
    <w:p w:rsidR="00B940BC" w:rsidRDefault="00B940BC">
      <w:pPr>
        <w:tabs>
          <w:tab w:val="left" w:pos="-720"/>
        </w:tabs>
        <w:suppressAutoHyphens/>
        <w:rPr>
          <w:rFonts w:ascii="Times" w:hAnsi="Times"/>
        </w:rPr>
      </w:pP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sz w:val="28"/>
        </w:rPr>
      </w:pPr>
      <w:r>
        <w:rPr>
          <w:rFonts w:ascii="Times" w:hAnsi="Times"/>
          <w:b/>
          <w:sz w:val="28"/>
        </w:rPr>
        <w:tab/>
        <w:t>Maximum Aspirin</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rPr>
      </w:pPr>
      <w:r>
        <w:rPr>
          <w:rFonts w:ascii="Times" w:hAnsi="Times"/>
        </w:rPr>
        <w:tab/>
        <w:t>For relief of painful discomforts in the following conditions:</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rPr>
      </w:pPr>
      <w:r>
        <w:rPr>
          <w:rFonts w:ascii="Times" w:hAnsi="Times"/>
        </w:rPr>
        <w:tab/>
      </w:r>
      <w:r>
        <w:rPr>
          <w:rFonts w:ascii="Symbol" w:hAnsi="Symbol"/>
          <w:sz w:val="32"/>
        </w:rPr>
        <w:t></w:t>
      </w:r>
      <w:r>
        <w:rPr>
          <w:rFonts w:ascii="Symbol" w:hAnsi="Symbol"/>
        </w:rPr>
        <w:t></w:t>
      </w:r>
      <w:r>
        <w:rPr>
          <w:rFonts w:ascii="Times" w:hAnsi="Times"/>
          <w:b/>
        </w:rPr>
        <w:t xml:space="preserve">Headaches </w:t>
      </w:r>
      <w:r>
        <w:rPr>
          <w:rFonts w:ascii="Symbol" w:hAnsi="Symbol"/>
          <w:sz w:val="32"/>
        </w:rPr>
        <w:t></w:t>
      </w:r>
      <w:r>
        <w:rPr>
          <w:rFonts w:ascii="Symbol" w:hAnsi="Symbol"/>
          <w:sz w:val="32"/>
        </w:rPr>
        <w:t></w:t>
      </w:r>
      <w:r>
        <w:rPr>
          <w:rFonts w:ascii="Times" w:hAnsi="Times"/>
          <w:b/>
        </w:rPr>
        <w:t xml:space="preserve">Colds and Flu </w:t>
      </w:r>
      <w:r>
        <w:rPr>
          <w:rFonts w:ascii="Symbol" w:hAnsi="Symbol"/>
          <w:sz w:val="32"/>
        </w:rPr>
        <w:t></w:t>
      </w:r>
      <w:r>
        <w:rPr>
          <w:rFonts w:ascii="Symbol" w:hAnsi="Symbol"/>
          <w:sz w:val="32"/>
        </w:rPr>
        <w:t></w:t>
      </w:r>
      <w:r>
        <w:rPr>
          <w:rFonts w:ascii="Times" w:hAnsi="Times"/>
          <w:b/>
        </w:rPr>
        <w:t xml:space="preserve">Toothaches and Extractions </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b/>
        </w:rPr>
      </w:pPr>
      <w:r>
        <w:rPr>
          <w:rFonts w:ascii="Times" w:hAnsi="Times"/>
          <w:b/>
        </w:rPr>
        <w:tab/>
      </w:r>
      <w:r>
        <w:rPr>
          <w:rFonts w:ascii="Symbol" w:hAnsi="Symbol"/>
          <w:sz w:val="32"/>
        </w:rPr>
        <w:t></w:t>
      </w:r>
      <w:r>
        <w:rPr>
          <w:rFonts w:ascii="Symbol" w:hAnsi="Symbol"/>
          <w:sz w:val="32"/>
        </w:rPr>
        <w:t></w:t>
      </w:r>
      <w:r>
        <w:rPr>
          <w:rFonts w:ascii="Times" w:hAnsi="Times"/>
          <w:b/>
        </w:rPr>
        <w:t xml:space="preserve">Muscular Aches and Pains </w:t>
      </w:r>
      <w:r>
        <w:rPr>
          <w:rFonts w:ascii="Symbol" w:hAnsi="Symbol"/>
          <w:sz w:val="32"/>
        </w:rPr>
        <w:t></w:t>
      </w:r>
      <w:r>
        <w:rPr>
          <w:rFonts w:ascii="Symbol" w:hAnsi="Symbol"/>
          <w:sz w:val="32"/>
        </w:rPr>
        <w:t></w:t>
      </w:r>
      <w:r>
        <w:rPr>
          <w:rFonts w:ascii="Times" w:hAnsi="Times"/>
          <w:b/>
        </w:rPr>
        <w:t xml:space="preserve">Arthritis and Rheumatism </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b/>
        </w:rPr>
      </w:pPr>
      <w:r>
        <w:rPr>
          <w:rFonts w:ascii="Times" w:hAnsi="Times"/>
          <w:b/>
        </w:rPr>
        <w:tab/>
      </w:r>
      <w:r>
        <w:rPr>
          <w:rFonts w:ascii="Symbol" w:hAnsi="Symbol"/>
          <w:sz w:val="32"/>
        </w:rPr>
        <w:t></w:t>
      </w:r>
      <w:r>
        <w:rPr>
          <w:rFonts w:ascii="Symbol" w:hAnsi="Symbol"/>
          <w:sz w:val="32"/>
        </w:rPr>
        <w:t></w:t>
      </w:r>
      <w:r>
        <w:rPr>
          <w:rFonts w:ascii="Times" w:hAnsi="Times"/>
          <w:b/>
        </w:rPr>
        <w:t xml:space="preserve">Bursitis, Lumbago, and Sciatica </w:t>
      </w:r>
      <w:r>
        <w:rPr>
          <w:rFonts w:ascii="Symbol" w:hAnsi="Symbol"/>
          <w:sz w:val="32"/>
        </w:rPr>
        <w:t></w:t>
      </w:r>
      <w:r>
        <w:rPr>
          <w:rFonts w:ascii="Symbol" w:hAnsi="Symbol"/>
          <w:sz w:val="32"/>
        </w:rPr>
        <w:t></w:t>
      </w:r>
      <w:r>
        <w:rPr>
          <w:rFonts w:ascii="Times" w:hAnsi="Times"/>
          <w:b/>
        </w:rPr>
        <w:t>Sore Throat and Minor Throat Irritations</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b/>
        </w:rPr>
      </w:pPr>
      <w:r>
        <w:rPr>
          <w:rFonts w:ascii="Times" w:hAnsi="Times"/>
          <w:b/>
        </w:rPr>
        <w:tab/>
      </w:r>
      <w:r>
        <w:rPr>
          <w:rFonts w:ascii="Symbol" w:hAnsi="Symbol"/>
          <w:sz w:val="32"/>
        </w:rPr>
        <w:t></w:t>
      </w:r>
      <w:r>
        <w:rPr>
          <w:rFonts w:ascii="Symbol" w:hAnsi="Symbol"/>
          <w:sz w:val="32"/>
        </w:rPr>
        <w:t></w:t>
      </w:r>
      <w:r>
        <w:rPr>
          <w:rFonts w:ascii="Times" w:hAnsi="Times"/>
          <w:b/>
        </w:rPr>
        <w:t xml:space="preserve">Menstrual Pain </w:t>
      </w:r>
      <w:r>
        <w:rPr>
          <w:rFonts w:ascii="Symbol" w:hAnsi="Symbol"/>
          <w:sz w:val="32"/>
        </w:rPr>
        <w:t></w:t>
      </w:r>
      <w:r>
        <w:rPr>
          <w:rFonts w:ascii="Symbol" w:hAnsi="Symbol"/>
          <w:sz w:val="32"/>
        </w:rPr>
        <w:t></w:t>
      </w:r>
      <w:r>
        <w:rPr>
          <w:rFonts w:ascii="Times" w:hAnsi="Times"/>
          <w:b/>
        </w:rPr>
        <w:t>Neuralgia—Neuritic (Nerve) Pain</w:t>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b/>
        </w:rPr>
      </w:pPr>
      <w:r>
        <w:rPr>
          <w:rFonts w:ascii="Times" w:hAnsi="Times"/>
          <w:b/>
        </w:rPr>
        <w:tab/>
      </w:r>
    </w:p>
    <w:p w:rsidR="00B940BC" w:rsidRDefault="00B940BC">
      <w:pPr>
        <w:pBdr>
          <w:top w:val="single" w:sz="6" w:space="1" w:color="auto"/>
          <w:left w:val="single" w:sz="6" w:space="1" w:color="auto"/>
          <w:bottom w:val="single" w:sz="6" w:space="1" w:color="auto"/>
          <w:right w:val="single" w:sz="6" w:space="1" w:color="auto"/>
        </w:pBdr>
        <w:tabs>
          <w:tab w:val="center" w:pos="4680"/>
        </w:tabs>
        <w:suppressAutoHyphens/>
        <w:ind w:left="540"/>
        <w:rPr>
          <w:rFonts w:ascii="Times" w:hAnsi="Times"/>
        </w:rPr>
      </w:pPr>
      <w:r>
        <w:rPr>
          <w:rFonts w:ascii="Times" w:hAnsi="Times"/>
          <w:b/>
        </w:rPr>
        <w:tab/>
        <w:t>Directions for Use</w:t>
      </w:r>
      <w:r>
        <w:rPr>
          <w:rFonts w:ascii="Times" w:hAnsi="Times"/>
        </w:rPr>
        <w:t xml:space="preserve"> (500 mg tablet)</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b/>
        </w:rPr>
        <w:tab/>
      </w:r>
      <w:r>
        <w:rPr>
          <w:rFonts w:ascii="Times" w:hAnsi="Times"/>
          <w:b/>
        </w:rPr>
        <w:tab/>
        <w:t>Adults:</w:t>
      </w:r>
      <w:r>
        <w:rPr>
          <w:rFonts w:ascii="Times" w:hAnsi="Times"/>
        </w:rPr>
        <w:t xml:space="preserve"> Take 1 or 2 tablets with a glass of water (or fruit juice).  Repeat</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rPr>
        <w:tab/>
      </w:r>
      <w:r>
        <w:rPr>
          <w:rFonts w:ascii="Times" w:hAnsi="Times"/>
        </w:rPr>
        <w:tab/>
        <w:t>after 4 hours, if necessary.  Do not exceed 8 tablets in a 24-hour period.</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b/>
        </w:rPr>
        <w:tab/>
      </w:r>
      <w:r>
        <w:rPr>
          <w:rFonts w:ascii="Times" w:hAnsi="Times"/>
          <w:b/>
        </w:rPr>
        <w:tab/>
        <w:t xml:space="preserve">Caution: </w:t>
      </w:r>
      <w:r>
        <w:rPr>
          <w:rFonts w:ascii="Times" w:hAnsi="Times"/>
        </w:rPr>
        <w:t>If pain persists for more than 10 days or redness is present, or</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rPr>
        <w:tab/>
      </w:r>
      <w:r>
        <w:rPr>
          <w:rFonts w:ascii="Times" w:hAnsi="Times"/>
        </w:rPr>
        <w:tab/>
        <w:t>in conditions affecting children under 12 years of age, consult a physician</w:t>
      </w:r>
    </w:p>
    <w:p w:rsidR="00B940BC" w:rsidRDefault="00B940BC">
      <w:pPr>
        <w:pBdr>
          <w:top w:val="single" w:sz="6" w:space="1" w:color="auto"/>
          <w:left w:val="single" w:sz="6" w:space="1" w:color="auto"/>
          <w:bottom w:val="single" w:sz="6" w:space="1" w:color="auto"/>
          <w:right w:val="single" w:sz="6" w:space="1" w:color="auto"/>
        </w:pBdr>
        <w:tabs>
          <w:tab w:val="left" w:pos="-720"/>
        </w:tabs>
        <w:suppressAutoHyphens/>
        <w:ind w:left="540"/>
        <w:rPr>
          <w:rFonts w:ascii="Times" w:hAnsi="Times"/>
        </w:rPr>
      </w:pPr>
      <w:r>
        <w:rPr>
          <w:rFonts w:ascii="Times" w:hAnsi="Times"/>
        </w:rPr>
        <w:tab/>
      </w:r>
      <w:r>
        <w:rPr>
          <w:rFonts w:ascii="Times" w:hAnsi="Times"/>
        </w:rPr>
        <w:tab/>
        <w:t>immediately.</w:t>
      </w:r>
    </w:p>
    <w:p w:rsidR="00B940BC" w:rsidRDefault="00B940BC">
      <w:pPr>
        <w:tabs>
          <w:tab w:val="left" w:pos="-720"/>
        </w:tabs>
        <w:suppressAutoHyphens/>
        <w:rPr>
          <w:rFonts w:ascii="Times" w:hAnsi="Times"/>
        </w:rPr>
      </w:pPr>
    </w:p>
    <w:p w:rsidR="00B940BC" w:rsidRDefault="00B940BC">
      <w:pPr>
        <w:tabs>
          <w:tab w:val="left" w:pos="-720"/>
        </w:tabs>
        <w:suppressAutoHyphens/>
        <w:ind w:right="241"/>
      </w:pPr>
      <w:r>
        <w:rPr>
          <w:rFonts w:ascii="Times" w:hAnsi="Times"/>
        </w:rPr>
        <w:t xml:space="preserve"> </w:t>
      </w:r>
    </w:p>
    <w:p w:rsidR="00B940BC" w:rsidRDefault="00B940BC" w:rsidP="005D6C71">
      <w:pPr>
        <w:pStyle w:val="APAPar"/>
        <w:ind w:firstLine="0"/>
      </w:pPr>
      <w:r>
        <w:rPr>
          <w:noProof/>
          <w:lang w:eastAsia="zh-CN"/>
        </w:rPr>
        <w:drawing>
          <wp:inline distT="0" distB="0" distL="0" distR="0">
            <wp:extent cx="5939790" cy="7680960"/>
            <wp:effectExtent l="0" t="0" r="0" b="0"/>
            <wp:docPr id="58" name="Picture 58" descr="Macintosh HD:Users:georgepavlidis:Google Drive:Documents:Projects:The SoFa CoDe:Tools used and developed:Everyday functionality tests:OTDL-R:OTDL-R EN Test Material:otdlmed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eorgepavlidis:Google Drive:Documents:Projects:The SoFa CoDe:Tools used and developed:Everyday functionality tests:OTDL-R:OTDL-R EN Test Material:otdlmed3.pd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7680960"/>
                    </a:xfrm>
                    <a:prstGeom prst="rect">
                      <a:avLst/>
                    </a:prstGeom>
                    <a:noFill/>
                    <a:ln>
                      <a:noFill/>
                    </a:ln>
                  </pic:spPr>
                </pic:pic>
              </a:graphicData>
            </a:graphic>
          </wp:inline>
        </w:drawing>
      </w:r>
    </w:p>
    <w:p w:rsidR="00B940BC" w:rsidRDefault="00B940BC" w:rsidP="00FE028D">
      <w:pPr>
        <w:pStyle w:val="Heading2"/>
      </w:pPr>
    </w:p>
    <w:p w:rsidR="00C87F65" w:rsidRPr="00C87F65" w:rsidRDefault="00C87F65" w:rsidP="00C87F65">
      <w:pPr>
        <w:rPr>
          <w:lang w:val="en-US"/>
        </w:rPr>
      </w:pPr>
    </w:p>
    <w:p w:rsidR="007B05A5" w:rsidRDefault="007B05A5" w:rsidP="00546D49">
      <w:pPr>
        <w:pStyle w:val="Heading3"/>
        <w:ind w:left="2094"/>
      </w:pPr>
      <w:bookmarkStart w:id="222" w:name="_Toc521184282"/>
      <w:r>
        <w:t>Material for Telephone Use Assessment</w:t>
      </w:r>
      <w:bookmarkEnd w:id="222"/>
    </w:p>
    <w:p w:rsidR="007B05A5" w:rsidRDefault="007B05A5" w:rsidP="005D6C71">
      <w:pPr>
        <w:pStyle w:val="APAPar"/>
        <w:ind w:firstLine="0"/>
      </w:pPr>
      <w:r>
        <w:rPr>
          <w:noProof/>
          <w:lang w:eastAsia="zh-CN"/>
        </w:rPr>
        <w:drawing>
          <wp:inline distT="0" distB="0" distL="0" distR="0">
            <wp:extent cx="5577664" cy="7203440"/>
            <wp:effectExtent l="0" t="0" r="0" b="0"/>
            <wp:docPr id="59" name="Picture 59" descr="Macintosh HD:Users:georgepavlidis:Google Drive:Documents:Projects:The SoFa CoDe:Tools used and developed:Everyday functionality tests:OTDL-R:OTDL-R EN Test Material:otdlpho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eorgepavlidis:Google Drive:Documents:Projects:The SoFa CoDe:Tools used and developed:Everyday functionality tests:OTDL-R:OTDL-R EN Test Material:otdlpho1.pd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81361" cy="7208215"/>
                    </a:xfrm>
                    <a:prstGeom prst="rect">
                      <a:avLst/>
                    </a:prstGeom>
                    <a:noFill/>
                    <a:ln>
                      <a:noFill/>
                    </a:ln>
                  </pic:spPr>
                </pic:pic>
              </a:graphicData>
            </a:graphic>
          </wp:inline>
        </w:drawing>
      </w:r>
    </w:p>
    <w:p w:rsidR="00E049E7" w:rsidRDefault="007B05A5" w:rsidP="005D6C71">
      <w:pPr>
        <w:pStyle w:val="APAPar"/>
        <w:ind w:firstLine="0"/>
      </w:pPr>
      <w:r>
        <w:rPr>
          <w:noProof/>
          <w:lang w:eastAsia="zh-CN"/>
        </w:rPr>
        <w:drawing>
          <wp:inline distT="0" distB="0" distL="0" distR="0">
            <wp:extent cx="5939790" cy="7680960"/>
            <wp:effectExtent l="0" t="0" r="0" b="0"/>
            <wp:docPr id="60" name="Picture 60" descr="Macintosh HD:Users:georgepavlidis:Google Drive:Documents:Projects:The SoFa CoDe:Tools used and developed:Everyday functionality tests:OTDL-R:OTDL-R EN Test Material:otdlpho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georgepavlidis:Google Drive:Documents:Projects:The SoFa CoDe:Tools used and developed:Everyday functionality tests:OTDL-R:OTDL-R EN Test Material:otdlpho2.pd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7680960"/>
                    </a:xfrm>
                    <a:prstGeom prst="rect">
                      <a:avLst/>
                    </a:prstGeom>
                    <a:noFill/>
                    <a:ln>
                      <a:noFill/>
                    </a:ln>
                  </pic:spPr>
                </pic:pic>
              </a:graphicData>
            </a:graphic>
          </wp:inline>
        </w:drawing>
      </w:r>
      <w:r w:rsidR="00E049E7">
        <w:rPr>
          <w:noProof/>
          <w:lang w:eastAsia="zh-CN"/>
        </w:rPr>
        <w:drawing>
          <wp:inline distT="0" distB="0" distL="0" distR="0">
            <wp:extent cx="5939790" cy="7680960"/>
            <wp:effectExtent l="0" t="0" r="0" b="0"/>
            <wp:docPr id="61" name="Picture 61" descr="Macintosh HD:Users:georgepavlidis:Google Drive:Documents:Projects:The SoFa CoDe:Tools used and developed:Everyday functionality tests:OTDL-R:OTDL-R EN Test Material:otdlpho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georgepavlidis:Google Drive:Documents:Projects:The SoFa CoDe:Tools used and developed:Everyday functionality tests:OTDL-R:OTDL-R EN Test Material:otdlpho3.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7680960"/>
                    </a:xfrm>
                    <a:prstGeom prst="rect">
                      <a:avLst/>
                    </a:prstGeom>
                    <a:noFill/>
                    <a:ln>
                      <a:noFill/>
                    </a:ln>
                  </pic:spPr>
                </pic:pic>
              </a:graphicData>
            </a:graphic>
          </wp:inline>
        </w:drawing>
      </w:r>
    </w:p>
    <w:p w:rsidR="00E049E7" w:rsidRDefault="00E049E7" w:rsidP="00FE028D">
      <w:pPr>
        <w:pStyle w:val="Heading2"/>
      </w:pPr>
    </w:p>
    <w:p w:rsidR="00C87F65" w:rsidRPr="00C87F65" w:rsidRDefault="00C87F65" w:rsidP="00C87F65">
      <w:pPr>
        <w:rPr>
          <w:lang w:val="en-US"/>
        </w:rPr>
      </w:pPr>
    </w:p>
    <w:p w:rsidR="00E049E7" w:rsidRDefault="00E049E7" w:rsidP="00546D49">
      <w:pPr>
        <w:pStyle w:val="Heading3"/>
        <w:ind w:left="2094"/>
      </w:pPr>
      <w:bookmarkStart w:id="223" w:name="_Toc521184283"/>
      <w:r>
        <w:t xml:space="preserve">Material for Financial Handling </w:t>
      </w:r>
      <w:r w:rsidR="00700083">
        <w:t>Assessment</w:t>
      </w:r>
      <w:bookmarkEnd w:id="223"/>
    </w:p>
    <w:p w:rsidR="001C5F03" w:rsidRDefault="001C5F03" w:rsidP="005C41B7">
      <w:pPr>
        <w:pStyle w:val="APAPar"/>
      </w:pPr>
      <w:r>
        <w:rPr>
          <w:noProof/>
          <w:lang w:eastAsia="zh-CN"/>
        </w:rPr>
        <w:drawing>
          <wp:inline distT="0" distB="0" distL="0" distR="0">
            <wp:extent cx="5393738" cy="6974840"/>
            <wp:effectExtent l="0" t="0" r="0" b="0"/>
            <wp:docPr id="62" name="Picture 62" descr="Macintosh HD:Users:georgepavlidis:Google Drive:Documents:Projects:The SoFa CoDe:Tools used and developed:Everyday functionality tests:OTDL-R:OTDL-R EN Test Material:otdlfin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georgepavlidis:Google Drive:Documents:Projects:The SoFa CoDe:Tools used and developed:Everyday functionality tests:OTDL-R:OTDL-R EN Test Material:otdlfin1.pd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5311" cy="6976874"/>
                    </a:xfrm>
                    <a:prstGeom prst="rect">
                      <a:avLst/>
                    </a:prstGeom>
                    <a:noFill/>
                    <a:ln>
                      <a:noFill/>
                    </a:ln>
                  </pic:spPr>
                </pic:pic>
              </a:graphicData>
            </a:graphic>
          </wp:inline>
        </w:drawing>
      </w:r>
    </w:p>
    <w:p w:rsidR="001C5F03" w:rsidRPr="00CF7468" w:rsidRDefault="00106580" w:rsidP="00DA7E68">
      <w:pPr>
        <w:pStyle w:val="Heading1"/>
      </w:pPr>
      <w:bookmarkStart w:id="224" w:name="_Toc521184284"/>
      <w:r>
        <w:t>A</w:t>
      </w:r>
      <w:r w:rsidRPr="00CF7468">
        <w:t>ppendix</w:t>
      </w:r>
      <w:r w:rsidR="003817FA" w:rsidRPr="00CF7468">
        <w:t xml:space="preserve"> III</w:t>
      </w:r>
      <w:bookmarkEnd w:id="224"/>
    </w:p>
    <w:p w:rsidR="003D4AE6" w:rsidRDefault="00964128" w:rsidP="00FE028D">
      <w:pPr>
        <w:pStyle w:val="Heading2"/>
      </w:pPr>
      <w:bookmarkStart w:id="225" w:name="_Toc521184285"/>
      <w:bookmarkEnd w:id="218"/>
      <w:r>
        <w:t>The Everyday Problem Test 28-item version</w:t>
      </w:r>
      <w:bookmarkEnd w:id="225"/>
    </w:p>
    <w:p w:rsidR="00964128" w:rsidRDefault="007519B0" w:rsidP="005C41B7">
      <w:pPr>
        <w:pStyle w:val="APAPar"/>
      </w:pPr>
      <w:r>
        <w:rPr>
          <w:noProof/>
          <w:lang w:eastAsia="zh-CN"/>
        </w:rPr>
        <w:drawing>
          <wp:inline distT="0" distB="0" distL="0" distR="0">
            <wp:extent cx="5271238" cy="70891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0.19.png"/>
                    <pic:cNvPicPr/>
                  </pic:nvPicPr>
                  <pic:blipFill>
                    <a:blip r:embed="rId92">
                      <a:extLst>
                        <a:ext uri="{28A0092B-C50C-407E-A947-70E740481C1C}">
                          <a14:useLocalDpi xmlns:a14="http://schemas.microsoft.com/office/drawing/2010/main" val="0"/>
                        </a:ext>
                      </a:extLst>
                    </a:blip>
                    <a:stretch>
                      <a:fillRect/>
                    </a:stretch>
                  </pic:blipFill>
                  <pic:spPr>
                    <a:xfrm>
                      <a:off x="0" y="0"/>
                      <a:ext cx="5277119" cy="7097049"/>
                    </a:xfrm>
                    <a:prstGeom prst="rect">
                      <a:avLst/>
                    </a:prstGeom>
                  </pic:spPr>
                </pic:pic>
              </a:graphicData>
            </a:graphic>
          </wp:inline>
        </w:drawing>
      </w:r>
    </w:p>
    <w:p w:rsidR="00964128" w:rsidRDefault="00964128" w:rsidP="00964128"/>
    <w:p w:rsidR="007519B0" w:rsidRPr="005D6C71" w:rsidRDefault="007519B0" w:rsidP="003D4AE6">
      <w:pPr>
        <w:rPr>
          <w:u w:val="single"/>
          <w:lang w:val="en-US"/>
        </w:rPr>
      </w:pPr>
    </w:p>
    <w:p w:rsidR="007519B0" w:rsidRDefault="007519B0" w:rsidP="005C41B7">
      <w:pPr>
        <w:pStyle w:val="APAPar"/>
        <w:rPr>
          <w:lang w:val="el-GR"/>
        </w:rPr>
      </w:pPr>
      <w:r>
        <w:rPr>
          <w:noProof/>
          <w:lang w:eastAsia="zh-CN"/>
        </w:rPr>
        <w:drawing>
          <wp:inline distT="0" distB="0" distL="0" distR="0">
            <wp:extent cx="5943600" cy="706056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0.33.png"/>
                    <pic:cNvPicPr/>
                  </pic:nvPicPr>
                  <pic:blipFill>
                    <a:blip r:embed="rId93">
                      <a:extLst>
                        <a:ext uri="{28A0092B-C50C-407E-A947-70E740481C1C}">
                          <a14:useLocalDpi xmlns:a14="http://schemas.microsoft.com/office/drawing/2010/main" val="0"/>
                        </a:ext>
                      </a:extLst>
                    </a:blip>
                    <a:stretch>
                      <a:fillRect/>
                    </a:stretch>
                  </pic:blipFill>
                  <pic:spPr>
                    <a:xfrm>
                      <a:off x="0" y="0"/>
                      <a:ext cx="5943600" cy="7060565"/>
                    </a:xfrm>
                    <a:prstGeom prst="rect">
                      <a:avLst/>
                    </a:prstGeom>
                  </pic:spPr>
                </pic:pic>
              </a:graphicData>
            </a:graphic>
          </wp:inline>
        </w:drawing>
      </w:r>
    </w:p>
    <w:p w:rsidR="007519B0" w:rsidRDefault="007519B0" w:rsidP="003D4AE6">
      <w:pPr>
        <w:rPr>
          <w:u w:val="single"/>
          <w:lang w:val="el-GR"/>
        </w:rPr>
      </w:pPr>
    </w:p>
    <w:p w:rsidR="007519B0" w:rsidRDefault="007519B0" w:rsidP="003D4AE6">
      <w:pPr>
        <w:rPr>
          <w:u w:val="single"/>
          <w:lang w:val="el-GR"/>
        </w:rPr>
      </w:pPr>
    </w:p>
    <w:p w:rsidR="007519B0" w:rsidRDefault="007519B0" w:rsidP="005C41B7">
      <w:pPr>
        <w:pStyle w:val="APAPar"/>
        <w:rPr>
          <w:lang w:val="el-GR"/>
        </w:rPr>
      </w:pPr>
      <w:r>
        <w:rPr>
          <w:noProof/>
          <w:lang w:eastAsia="zh-CN"/>
        </w:rPr>
        <w:drawing>
          <wp:inline distT="0" distB="0" distL="0" distR="0">
            <wp:extent cx="5943600" cy="785368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0.47.png"/>
                    <pic:cNvPicPr/>
                  </pic:nvPicPr>
                  <pic:blipFill>
                    <a:blip r:embed="rId94">
                      <a:extLst>
                        <a:ext uri="{28A0092B-C50C-407E-A947-70E740481C1C}">
                          <a14:useLocalDpi xmlns:a14="http://schemas.microsoft.com/office/drawing/2010/main" val="0"/>
                        </a:ext>
                      </a:extLst>
                    </a:blip>
                    <a:stretch>
                      <a:fillRect/>
                    </a:stretch>
                  </pic:blipFill>
                  <pic:spPr>
                    <a:xfrm>
                      <a:off x="0" y="0"/>
                      <a:ext cx="5943600" cy="7853680"/>
                    </a:xfrm>
                    <a:prstGeom prst="rect">
                      <a:avLst/>
                    </a:prstGeom>
                  </pic:spPr>
                </pic:pic>
              </a:graphicData>
            </a:graphic>
          </wp:inline>
        </w:drawing>
      </w:r>
    </w:p>
    <w:p w:rsidR="007519B0" w:rsidRDefault="007519B0" w:rsidP="003D4AE6">
      <w:pPr>
        <w:rPr>
          <w:u w:val="single"/>
          <w:lang w:val="el-GR"/>
        </w:rPr>
      </w:pPr>
    </w:p>
    <w:p w:rsidR="007519B0" w:rsidRDefault="007519B0" w:rsidP="005C41B7">
      <w:pPr>
        <w:pStyle w:val="APAPar"/>
        <w:rPr>
          <w:lang w:val="el-GR"/>
        </w:rPr>
      </w:pPr>
      <w:r>
        <w:rPr>
          <w:noProof/>
          <w:lang w:eastAsia="zh-CN"/>
        </w:rPr>
        <w:drawing>
          <wp:inline distT="0" distB="0" distL="0" distR="0">
            <wp:extent cx="5943600" cy="76104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0.57.png"/>
                    <pic:cNvPicPr/>
                  </pic:nvPicPr>
                  <pic:blipFill>
                    <a:blip r:embed="rId95">
                      <a:extLst>
                        <a:ext uri="{28A0092B-C50C-407E-A947-70E740481C1C}">
                          <a14:useLocalDpi xmlns:a14="http://schemas.microsoft.com/office/drawing/2010/main" val="0"/>
                        </a:ext>
                      </a:extLst>
                    </a:blip>
                    <a:stretch>
                      <a:fillRect/>
                    </a:stretch>
                  </pic:blipFill>
                  <pic:spPr>
                    <a:xfrm>
                      <a:off x="0" y="0"/>
                      <a:ext cx="5943600" cy="7610475"/>
                    </a:xfrm>
                    <a:prstGeom prst="rect">
                      <a:avLst/>
                    </a:prstGeom>
                  </pic:spPr>
                </pic:pic>
              </a:graphicData>
            </a:graphic>
          </wp:inline>
        </w:drawing>
      </w:r>
    </w:p>
    <w:p w:rsidR="007519B0" w:rsidRDefault="007519B0" w:rsidP="003D4AE6">
      <w:pPr>
        <w:rPr>
          <w:u w:val="single"/>
          <w:lang w:val="el-GR"/>
        </w:rPr>
      </w:pPr>
    </w:p>
    <w:p w:rsidR="007519B0" w:rsidRDefault="007519B0" w:rsidP="005C41B7">
      <w:pPr>
        <w:pStyle w:val="APAPar"/>
        <w:rPr>
          <w:lang w:val="el-GR"/>
        </w:rPr>
      </w:pPr>
      <w:r>
        <w:rPr>
          <w:noProof/>
          <w:lang w:eastAsia="zh-CN"/>
        </w:rPr>
        <w:drawing>
          <wp:inline distT="0" distB="0" distL="0" distR="0">
            <wp:extent cx="5943600" cy="76727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1.07.png"/>
                    <pic:cNvPicPr/>
                  </pic:nvPicPr>
                  <pic:blipFill>
                    <a:blip r:embed="rId96">
                      <a:extLst>
                        <a:ext uri="{28A0092B-C50C-407E-A947-70E740481C1C}">
                          <a14:useLocalDpi xmlns:a14="http://schemas.microsoft.com/office/drawing/2010/main" val="0"/>
                        </a:ext>
                      </a:extLst>
                    </a:blip>
                    <a:stretch>
                      <a:fillRect/>
                    </a:stretch>
                  </pic:blipFill>
                  <pic:spPr>
                    <a:xfrm>
                      <a:off x="0" y="0"/>
                      <a:ext cx="5943600" cy="7672705"/>
                    </a:xfrm>
                    <a:prstGeom prst="rect">
                      <a:avLst/>
                    </a:prstGeom>
                  </pic:spPr>
                </pic:pic>
              </a:graphicData>
            </a:graphic>
          </wp:inline>
        </w:drawing>
      </w:r>
    </w:p>
    <w:p w:rsidR="007519B0" w:rsidRDefault="007519B0" w:rsidP="003D4AE6">
      <w:pPr>
        <w:rPr>
          <w:u w:val="single"/>
          <w:lang w:val="el-GR"/>
        </w:rPr>
      </w:pPr>
    </w:p>
    <w:p w:rsidR="007519B0" w:rsidRDefault="007519B0" w:rsidP="005C41B7">
      <w:pPr>
        <w:pStyle w:val="APAPar"/>
        <w:rPr>
          <w:lang w:val="el-GR"/>
        </w:rPr>
      </w:pPr>
      <w:r>
        <w:rPr>
          <w:noProof/>
          <w:lang w:eastAsia="zh-CN"/>
        </w:rPr>
        <w:drawing>
          <wp:inline distT="0" distB="0" distL="0" distR="0">
            <wp:extent cx="5943600" cy="784479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1.19.png"/>
                    <pic:cNvPicPr/>
                  </pic:nvPicPr>
                  <pic:blipFill>
                    <a:blip r:embed="rId97">
                      <a:extLst>
                        <a:ext uri="{28A0092B-C50C-407E-A947-70E740481C1C}">
                          <a14:useLocalDpi xmlns:a14="http://schemas.microsoft.com/office/drawing/2010/main" val="0"/>
                        </a:ext>
                      </a:extLst>
                    </a:blip>
                    <a:stretch>
                      <a:fillRect/>
                    </a:stretch>
                  </pic:blipFill>
                  <pic:spPr>
                    <a:xfrm>
                      <a:off x="0" y="0"/>
                      <a:ext cx="5943600" cy="7844790"/>
                    </a:xfrm>
                    <a:prstGeom prst="rect">
                      <a:avLst/>
                    </a:prstGeom>
                  </pic:spPr>
                </pic:pic>
              </a:graphicData>
            </a:graphic>
          </wp:inline>
        </w:drawing>
      </w:r>
    </w:p>
    <w:p w:rsidR="007519B0" w:rsidRDefault="007519B0" w:rsidP="003D4AE6">
      <w:pPr>
        <w:rPr>
          <w:u w:val="single"/>
          <w:lang w:val="el-GR"/>
        </w:rPr>
      </w:pPr>
    </w:p>
    <w:p w:rsidR="007519B0" w:rsidRPr="001D2785" w:rsidRDefault="007519B0" w:rsidP="005C41B7">
      <w:pPr>
        <w:pStyle w:val="APAPar"/>
        <w:rPr>
          <w:lang w:val="el-GR"/>
        </w:rPr>
      </w:pPr>
      <w:r>
        <w:rPr>
          <w:noProof/>
          <w:lang w:eastAsia="zh-CN"/>
        </w:rPr>
        <w:drawing>
          <wp:inline distT="0" distB="0" distL="0" distR="0">
            <wp:extent cx="5943600" cy="762698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1.30.png"/>
                    <pic:cNvPicPr/>
                  </pic:nvPicPr>
                  <pic:blipFill>
                    <a:blip r:embed="rId98">
                      <a:extLst>
                        <a:ext uri="{28A0092B-C50C-407E-A947-70E740481C1C}">
                          <a14:useLocalDpi xmlns:a14="http://schemas.microsoft.com/office/drawing/2010/main" val="0"/>
                        </a:ext>
                      </a:extLst>
                    </a:blip>
                    <a:stretch>
                      <a:fillRect/>
                    </a:stretch>
                  </pic:blipFill>
                  <pic:spPr>
                    <a:xfrm>
                      <a:off x="0" y="0"/>
                      <a:ext cx="5943600" cy="7626985"/>
                    </a:xfrm>
                    <a:prstGeom prst="rect">
                      <a:avLst/>
                    </a:prstGeom>
                  </pic:spPr>
                </pic:pic>
              </a:graphicData>
            </a:graphic>
          </wp:inline>
        </w:drawing>
      </w:r>
    </w:p>
    <w:p w:rsidR="007519B0" w:rsidRDefault="007519B0" w:rsidP="005C41B7">
      <w:pPr>
        <w:pStyle w:val="APAPar"/>
        <w:rPr>
          <w:lang w:val="el-GR"/>
        </w:rPr>
      </w:pPr>
      <w:r>
        <w:rPr>
          <w:noProof/>
          <w:lang w:eastAsia="zh-CN"/>
        </w:rPr>
        <w:drawing>
          <wp:inline distT="0" distB="0" distL="0" distR="0">
            <wp:extent cx="5943600" cy="80924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1.40.png"/>
                    <pic:cNvPicPr/>
                  </pic:nvPicPr>
                  <pic:blipFill>
                    <a:blip r:embed="rId99">
                      <a:extLst>
                        <a:ext uri="{28A0092B-C50C-407E-A947-70E740481C1C}">
                          <a14:useLocalDpi xmlns:a14="http://schemas.microsoft.com/office/drawing/2010/main" val="0"/>
                        </a:ext>
                      </a:extLst>
                    </a:blip>
                    <a:stretch>
                      <a:fillRect/>
                    </a:stretch>
                  </pic:blipFill>
                  <pic:spPr>
                    <a:xfrm>
                      <a:off x="0" y="0"/>
                      <a:ext cx="5943600" cy="8092440"/>
                    </a:xfrm>
                    <a:prstGeom prst="rect">
                      <a:avLst/>
                    </a:prstGeom>
                  </pic:spPr>
                </pic:pic>
              </a:graphicData>
            </a:graphic>
          </wp:inline>
        </w:drawing>
      </w:r>
      <w:r>
        <w:rPr>
          <w:noProof/>
          <w:lang w:eastAsia="zh-CN"/>
        </w:rPr>
        <w:drawing>
          <wp:inline distT="0" distB="0" distL="0" distR="0">
            <wp:extent cx="5943600" cy="785304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1.51.png"/>
                    <pic:cNvPicPr/>
                  </pic:nvPicPr>
                  <pic:blipFill>
                    <a:blip r:embed="rId100">
                      <a:extLst>
                        <a:ext uri="{28A0092B-C50C-407E-A947-70E740481C1C}">
                          <a14:useLocalDpi xmlns:a14="http://schemas.microsoft.com/office/drawing/2010/main" val="0"/>
                        </a:ext>
                      </a:extLst>
                    </a:blip>
                    <a:stretch>
                      <a:fillRect/>
                    </a:stretch>
                  </pic:blipFill>
                  <pic:spPr>
                    <a:xfrm>
                      <a:off x="0" y="0"/>
                      <a:ext cx="5943600" cy="7853045"/>
                    </a:xfrm>
                    <a:prstGeom prst="rect">
                      <a:avLst/>
                    </a:prstGeom>
                  </pic:spPr>
                </pic:pic>
              </a:graphicData>
            </a:graphic>
          </wp:inline>
        </w:drawing>
      </w:r>
    </w:p>
    <w:p w:rsidR="007519B0" w:rsidRDefault="007519B0" w:rsidP="003D4AE6">
      <w:pPr>
        <w:rPr>
          <w:u w:val="single"/>
          <w:lang w:val="el-GR"/>
        </w:rPr>
      </w:pPr>
    </w:p>
    <w:p w:rsidR="007519B0" w:rsidRDefault="007519B0" w:rsidP="005C41B7">
      <w:pPr>
        <w:pStyle w:val="APAPar"/>
        <w:rPr>
          <w:lang w:val="el-GR"/>
        </w:rPr>
      </w:pPr>
      <w:r>
        <w:rPr>
          <w:noProof/>
          <w:lang w:eastAsia="zh-CN"/>
        </w:rPr>
        <w:drawing>
          <wp:inline distT="0" distB="0" distL="0" distR="0">
            <wp:extent cx="5943600" cy="722376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2.02.png"/>
                    <pic:cNvPicPr/>
                  </pic:nvPicPr>
                  <pic:blipFill>
                    <a:blip r:embed="rId101">
                      <a:extLst>
                        <a:ext uri="{28A0092B-C50C-407E-A947-70E740481C1C}">
                          <a14:useLocalDpi xmlns:a14="http://schemas.microsoft.com/office/drawing/2010/main" val="0"/>
                        </a:ext>
                      </a:extLst>
                    </a:blip>
                    <a:stretch>
                      <a:fillRect/>
                    </a:stretch>
                  </pic:blipFill>
                  <pic:spPr>
                    <a:xfrm>
                      <a:off x="0" y="0"/>
                      <a:ext cx="5943600" cy="7223760"/>
                    </a:xfrm>
                    <a:prstGeom prst="rect">
                      <a:avLst/>
                    </a:prstGeom>
                  </pic:spPr>
                </pic:pic>
              </a:graphicData>
            </a:graphic>
          </wp:inline>
        </w:drawing>
      </w:r>
    </w:p>
    <w:p w:rsidR="007519B0" w:rsidRDefault="007519B0" w:rsidP="003D4AE6">
      <w:pPr>
        <w:rPr>
          <w:u w:val="single"/>
          <w:lang w:val="el-GR"/>
        </w:rPr>
      </w:pPr>
    </w:p>
    <w:p w:rsidR="007519B0" w:rsidRDefault="007519B0" w:rsidP="005C41B7">
      <w:pPr>
        <w:pStyle w:val="APAPar"/>
        <w:rPr>
          <w:lang w:val="el-GR"/>
        </w:rPr>
      </w:pPr>
      <w:r>
        <w:rPr>
          <w:noProof/>
          <w:lang w:eastAsia="zh-CN"/>
        </w:rPr>
        <w:drawing>
          <wp:inline distT="0" distB="0" distL="0" distR="0">
            <wp:extent cx="5943600" cy="78327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2.11.png"/>
                    <pic:cNvPicPr/>
                  </pic:nvPicPr>
                  <pic:blipFill>
                    <a:blip r:embed="rId102">
                      <a:extLst>
                        <a:ext uri="{28A0092B-C50C-407E-A947-70E740481C1C}">
                          <a14:useLocalDpi xmlns:a14="http://schemas.microsoft.com/office/drawing/2010/main" val="0"/>
                        </a:ext>
                      </a:extLst>
                    </a:blip>
                    <a:stretch>
                      <a:fillRect/>
                    </a:stretch>
                  </pic:blipFill>
                  <pic:spPr>
                    <a:xfrm>
                      <a:off x="0" y="0"/>
                      <a:ext cx="5943600" cy="7832725"/>
                    </a:xfrm>
                    <a:prstGeom prst="rect">
                      <a:avLst/>
                    </a:prstGeom>
                  </pic:spPr>
                </pic:pic>
              </a:graphicData>
            </a:graphic>
          </wp:inline>
        </w:drawing>
      </w:r>
    </w:p>
    <w:p w:rsidR="007519B0" w:rsidRDefault="007519B0" w:rsidP="003D4AE6">
      <w:pPr>
        <w:rPr>
          <w:u w:val="single"/>
          <w:lang w:val="el-GR"/>
        </w:rPr>
      </w:pPr>
    </w:p>
    <w:p w:rsidR="007519B0" w:rsidRDefault="007519B0" w:rsidP="005C41B7">
      <w:pPr>
        <w:pStyle w:val="APAPar"/>
        <w:rPr>
          <w:lang w:val="el-GR"/>
        </w:rPr>
      </w:pPr>
      <w:r>
        <w:rPr>
          <w:noProof/>
          <w:lang w:eastAsia="zh-CN"/>
        </w:rPr>
        <w:drawing>
          <wp:inline distT="0" distB="0" distL="0" distR="0">
            <wp:extent cx="5943600" cy="756031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2.20.png"/>
                    <pic:cNvPicPr/>
                  </pic:nvPicPr>
                  <pic:blipFill>
                    <a:blip r:embed="rId103">
                      <a:extLst>
                        <a:ext uri="{28A0092B-C50C-407E-A947-70E740481C1C}">
                          <a14:useLocalDpi xmlns:a14="http://schemas.microsoft.com/office/drawing/2010/main" val="0"/>
                        </a:ext>
                      </a:extLst>
                    </a:blip>
                    <a:stretch>
                      <a:fillRect/>
                    </a:stretch>
                  </pic:blipFill>
                  <pic:spPr>
                    <a:xfrm>
                      <a:off x="0" y="0"/>
                      <a:ext cx="5943600" cy="7560310"/>
                    </a:xfrm>
                    <a:prstGeom prst="rect">
                      <a:avLst/>
                    </a:prstGeom>
                  </pic:spPr>
                </pic:pic>
              </a:graphicData>
            </a:graphic>
          </wp:inline>
        </w:drawing>
      </w:r>
    </w:p>
    <w:p w:rsidR="007519B0" w:rsidRDefault="007519B0" w:rsidP="003D4AE6">
      <w:pPr>
        <w:rPr>
          <w:u w:val="single"/>
          <w:lang w:val="el-GR"/>
        </w:rPr>
      </w:pPr>
    </w:p>
    <w:p w:rsidR="007519B0" w:rsidRDefault="007519B0" w:rsidP="005C41B7">
      <w:pPr>
        <w:pStyle w:val="APAPar"/>
        <w:rPr>
          <w:lang w:val="el-GR"/>
        </w:rPr>
      </w:pPr>
      <w:r>
        <w:rPr>
          <w:noProof/>
          <w:lang w:eastAsia="zh-CN"/>
        </w:rPr>
        <w:drawing>
          <wp:inline distT="0" distB="0" distL="0" distR="0">
            <wp:extent cx="5943600" cy="77628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2.40.png"/>
                    <pic:cNvPicPr/>
                  </pic:nvPicPr>
                  <pic:blipFill>
                    <a:blip r:embed="rId104">
                      <a:extLst>
                        <a:ext uri="{28A0092B-C50C-407E-A947-70E740481C1C}">
                          <a14:useLocalDpi xmlns:a14="http://schemas.microsoft.com/office/drawing/2010/main" val="0"/>
                        </a:ext>
                      </a:extLst>
                    </a:blip>
                    <a:stretch>
                      <a:fillRect/>
                    </a:stretch>
                  </pic:blipFill>
                  <pic:spPr>
                    <a:xfrm>
                      <a:off x="0" y="0"/>
                      <a:ext cx="5943600" cy="7762875"/>
                    </a:xfrm>
                    <a:prstGeom prst="rect">
                      <a:avLst/>
                    </a:prstGeom>
                  </pic:spPr>
                </pic:pic>
              </a:graphicData>
            </a:graphic>
          </wp:inline>
        </w:drawing>
      </w:r>
    </w:p>
    <w:p w:rsidR="007519B0" w:rsidRDefault="007519B0" w:rsidP="003D4AE6">
      <w:pPr>
        <w:rPr>
          <w:u w:val="single"/>
          <w:lang w:val="el-GR"/>
        </w:rPr>
      </w:pPr>
    </w:p>
    <w:p w:rsidR="007519B0" w:rsidRDefault="007519B0" w:rsidP="003D4AE6">
      <w:pPr>
        <w:rPr>
          <w:u w:val="single"/>
          <w:lang w:val="el-GR"/>
        </w:rPr>
      </w:pPr>
      <w:r>
        <w:rPr>
          <w:noProof/>
          <w:u w:val="single"/>
          <w:lang w:eastAsia="zh-CN"/>
        </w:rPr>
        <w:drawing>
          <wp:inline distT="0" distB="0" distL="0" distR="0">
            <wp:extent cx="5943600" cy="756666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4 at 19.02.52.png"/>
                    <pic:cNvPicPr/>
                  </pic:nvPicPr>
                  <pic:blipFill>
                    <a:blip r:embed="rId105">
                      <a:extLst>
                        <a:ext uri="{28A0092B-C50C-407E-A947-70E740481C1C}">
                          <a14:useLocalDpi xmlns:a14="http://schemas.microsoft.com/office/drawing/2010/main" val="0"/>
                        </a:ext>
                      </a:extLst>
                    </a:blip>
                    <a:stretch>
                      <a:fillRect/>
                    </a:stretch>
                  </pic:blipFill>
                  <pic:spPr>
                    <a:xfrm>
                      <a:off x="0" y="0"/>
                      <a:ext cx="5943600" cy="7566660"/>
                    </a:xfrm>
                    <a:prstGeom prst="rect">
                      <a:avLst/>
                    </a:prstGeom>
                  </pic:spPr>
                </pic:pic>
              </a:graphicData>
            </a:graphic>
          </wp:inline>
        </w:drawing>
      </w:r>
    </w:p>
    <w:p w:rsidR="007519B0" w:rsidRDefault="007519B0" w:rsidP="003D4AE6">
      <w:pPr>
        <w:rPr>
          <w:u w:val="single"/>
          <w:lang w:val="el-GR"/>
        </w:rPr>
      </w:pPr>
    </w:p>
    <w:p w:rsidR="007519B0" w:rsidRDefault="007519B0">
      <w:pPr>
        <w:rPr>
          <w:u w:val="single"/>
          <w:lang w:val="el-GR"/>
        </w:rPr>
      </w:pPr>
      <w:r>
        <w:rPr>
          <w:u w:val="single"/>
          <w:lang w:val="el-GR"/>
        </w:rPr>
        <w:br w:type="page"/>
      </w:r>
    </w:p>
    <w:p w:rsidR="00020E1F" w:rsidRPr="00CF7468" w:rsidRDefault="00020E1F" w:rsidP="00DA7E68">
      <w:pPr>
        <w:pStyle w:val="Heading1"/>
      </w:pPr>
      <w:bookmarkStart w:id="226" w:name="_Toc521184286"/>
      <w:r w:rsidRPr="00CF7468">
        <w:t>Appendix IV</w:t>
      </w:r>
      <w:bookmarkEnd w:id="226"/>
    </w:p>
    <w:p w:rsidR="00463489" w:rsidRPr="00463489" w:rsidRDefault="00463489" w:rsidP="00FE028D">
      <w:pPr>
        <w:pStyle w:val="Heading2"/>
      </w:pPr>
      <w:bookmarkStart w:id="227" w:name="_Toc521184287"/>
      <w:r>
        <w:t>The OTDL-G</w:t>
      </w:r>
      <w:bookmarkEnd w:id="227"/>
    </w:p>
    <w:p w:rsidR="00020E1F" w:rsidRPr="001327B6" w:rsidRDefault="00020E1F" w:rsidP="003D4AE6">
      <w:pPr>
        <w:rPr>
          <w:u w:val="single"/>
        </w:rPr>
      </w:pPr>
    </w:p>
    <w:p w:rsidR="00463489" w:rsidRPr="00F80CF1" w:rsidRDefault="00463489" w:rsidP="00463489">
      <w:pPr>
        <w:spacing w:line="276" w:lineRule="auto"/>
        <w:jc w:val="center"/>
        <w:rPr>
          <w:sz w:val="96"/>
          <w:szCs w:val="96"/>
        </w:rPr>
      </w:pPr>
    </w:p>
    <w:p w:rsidR="00463489" w:rsidRPr="00F80CF1" w:rsidRDefault="00463489" w:rsidP="00463489">
      <w:pPr>
        <w:spacing w:line="276" w:lineRule="auto"/>
        <w:jc w:val="center"/>
        <w:rPr>
          <w:sz w:val="96"/>
          <w:szCs w:val="96"/>
        </w:rPr>
      </w:pPr>
    </w:p>
    <w:p w:rsidR="00463489" w:rsidRPr="00F80CF1" w:rsidRDefault="00463489" w:rsidP="00463489">
      <w:pPr>
        <w:spacing w:line="276" w:lineRule="auto"/>
        <w:jc w:val="center"/>
        <w:rPr>
          <w:sz w:val="96"/>
          <w:szCs w:val="96"/>
        </w:rPr>
      </w:pPr>
    </w:p>
    <w:p w:rsidR="00463489" w:rsidRPr="001327B6" w:rsidRDefault="00463489" w:rsidP="00463489">
      <w:pPr>
        <w:spacing w:line="276" w:lineRule="auto"/>
        <w:jc w:val="center"/>
        <w:rPr>
          <w:sz w:val="96"/>
          <w:szCs w:val="96"/>
        </w:rPr>
      </w:pPr>
      <w:r>
        <w:rPr>
          <w:sz w:val="96"/>
          <w:szCs w:val="96"/>
          <w:lang w:val="en-US"/>
        </w:rPr>
        <w:t>OTDL</w:t>
      </w:r>
      <w:r w:rsidRPr="001327B6">
        <w:rPr>
          <w:sz w:val="96"/>
          <w:szCs w:val="96"/>
        </w:rPr>
        <w:t xml:space="preserve"> - </w:t>
      </w:r>
      <w:r>
        <w:rPr>
          <w:sz w:val="96"/>
          <w:szCs w:val="96"/>
          <w:lang w:val="en-US"/>
        </w:rPr>
        <w:t>G</w:t>
      </w:r>
      <w:r w:rsidRPr="001327B6">
        <w:rPr>
          <w:sz w:val="96"/>
          <w:szCs w:val="96"/>
        </w:rPr>
        <w:t xml:space="preserve"> </w:t>
      </w:r>
    </w:p>
    <w:p w:rsidR="00463489" w:rsidRPr="001327B6" w:rsidRDefault="00463489" w:rsidP="00463489">
      <w:pPr>
        <w:spacing w:line="276" w:lineRule="auto"/>
        <w:jc w:val="center"/>
        <w:rPr>
          <w:sz w:val="52"/>
          <w:szCs w:val="52"/>
        </w:rPr>
      </w:pPr>
    </w:p>
    <w:p w:rsidR="00463489" w:rsidRPr="00463489" w:rsidRDefault="00463489" w:rsidP="00463489">
      <w:pPr>
        <w:spacing w:line="276" w:lineRule="auto"/>
        <w:jc w:val="center"/>
        <w:rPr>
          <w:sz w:val="36"/>
          <w:szCs w:val="36"/>
          <w:lang w:val="el-GR"/>
        </w:rPr>
      </w:pPr>
      <w:r w:rsidRPr="00FC1A48">
        <w:rPr>
          <w:sz w:val="36"/>
          <w:szCs w:val="36"/>
          <w:lang w:val="en-US"/>
        </w:rPr>
        <w:t>ID</w:t>
      </w:r>
      <w:r w:rsidRPr="00463489">
        <w:rPr>
          <w:sz w:val="36"/>
          <w:szCs w:val="36"/>
          <w:lang w:val="el-GR"/>
        </w:rPr>
        <w:t xml:space="preserve"> Νο ____ </w:t>
      </w:r>
    </w:p>
    <w:p w:rsidR="00463489" w:rsidRPr="00463489" w:rsidRDefault="00463489" w:rsidP="00463489">
      <w:pPr>
        <w:spacing w:line="276" w:lineRule="auto"/>
        <w:jc w:val="center"/>
        <w:rPr>
          <w:sz w:val="36"/>
          <w:szCs w:val="36"/>
          <w:lang w:val="el-GR"/>
        </w:rPr>
      </w:pPr>
    </w:p>
    <w:p w:rsidR="00463489" w:rsidRPr="00463489" w:rsidRDefault="00463489" w:rsidP="00463489">
      <w:pPr>
        <w:spacing w:line="276" w:lineRule="auto"/>
        <w:jc w:val="center"/>
        <w:rPr>
          <w:sz w:val="36"/>
          <w:szCs w:val="36"/>
          <w:lang w:val="el-GR"/>
        </w:rPr>
      </w:pPr>
      <w:r w:rsidRPr="00463489">
        <w:rPr>
          <w:sz w:val="36"/>
          <w:szCs w:val="36"/>
          <w:lang w:val="el-GR"/>
        </w:rPr>
        <w:t xml:space="preserve">Ημερομηνία__/__/____ </w:t>
      </w:r>
    </w:p>
    <w:p w:rsidR="00463489" w:rsidRPr="00463489" w:rsidRDefault="00463489" w:rsidP="00463489">
      <w:pPr>
        <w:spacing w:line="276" w:lineRule="auto"/>
        <w:jc w:val="center"/>
        <w:rPr>
          <w:sz w:val="36"/>
          <w:szCs w:val="36"/>
          <w:lang w:val="el-GR"/>
        </w:rPr>
      </w:pPr>
    </w:p>
    <w:p w:rsidR="00463489" w:rsidRPr="00463489" w:rsidRDefault="00463489" w:rsidP="005C41B7">
      <w:pPr>
        <w:pStyle w:val="APAPar"/>
        <w:rPr>
          <w:u w:val="single"/>
          <w:lang w:val="el-GR"/>
        </w:rPr>
      </w:pPr>
      <w:r w:rsidRPr="00463489">
        <w:rPr>
          <w:sz w:val="36"/>
          <w:szCs w:val="36"/>
          <w:lang w:val="el-GR"/>
        </w:rPr>
        <w:br w:type="page"/>
      </w:r>
      <w:r w:rsidRPr="00463489">
        <w:rPr>
          <w:lang w:val="el-GR"/>
        </w:rPr>
        <w:t>Εισαγωγικό κείμενο: Διαβάστε το κείμενο από το εσωτερικό εξώφυλλο.</w:t>
      </w:r>
      <w:r w:rsidRPr="00463489">
        <w:rPr>
          <w:u w:val="single"/>
          <w:lang w:val="el-GR"/>
        </w:rPr>
        <w:t xml:space="preserve"> </w:t>
      </w:r>
    </w:p>
    <w:p w:rsidR="00463489" w:rsidRPr="00463489" w:rsidRDefault="00463489" w:rsidP="00463489">
      <w:pPr>
        <w:autoSpaceDE w:val="0"/>
        <w:autoSpaceDN w:val="0"/>
        <w:adjustRightInd w:val="0"/>
        <w:spacing w:line="360" w:lineRule="auto"/>
        <w:outlineLvl w:val="0"/>
        <w:rPr>
          <w:rFonts w:cs="Calibri"/>
          <w:b/>
          <w:bCs/>
          <w:u w:val="single"/>
          <w:lang w:val="el-GR"/>
        </w:rPr>
      </w:pPr>
    </w:p>
    <w:p w:rsidR="00463489" w:rsidRPr="00463489" w:rsidRDefault="00463489" w:rsidP="00463489">
      <w:pPr>
        <w:autoSpaceDE w:val="0"/>
        <w:autoSpaceDN w:val="0"/>
        <w:adjustRightInd w:val="0"/>
        <w:spacing w:line="360" w:lineRule="auto"/>
        <w:rPr>
          <w:rFonts w:cs="Calibri"/>
          <w:u w:val="single"/>
          <w:lang w:val="el-GR"/>
        </w:rPr>
      </w:pPr>
      <w:r w:rsidRPr="00463489">
        <w:rPr>
          <w:rFonts w:cs="Calibri"/>
          <w:lang w:val="el-GR"/>
        </w:rPr>
        <w:t>Τώρα θα σας δείξω κάποιες ενέργειες τις οποίες τα περισσότερα άτομα μεγαλύτερης ηλικίας πρέπει να κάνουν στην καθημερινότητά τους. Αυτές οι ενέργειες έχουν να κάνουν με τη λήψη της φαρμακευτική τους αγωγή, τη  χρήση του τηλεφώνου και τη χρήση χρημάτων για να πληρώσουν διάφορα πράγματα. Για κάθε μια από αυτές τις ενέργειες θα σας δείξω συγκεκριμένα αντικείμενα- για παράδειγμα, κάποια φάρμακα ή έναν λογαριασμό κοινής ωφελείας- και θα σας ζητήσω να κοιτάξετε αυτό το υλικό για λίγο έτσι ώστε να καταλάβετε περί τίνος πρόκειται.  Έπειτα θα σας κάνω μια ερώτηση και θέλω να μου δώσετε τη σωστή απάντηση. Υπάρχει πάντα μια σωστή απάντηση και θα ήθελα να  μου απαντήσετε στις ερωτήσεις όσο καλύτερα μπορείτε. Είστε έτοιμος/η να ξεκινήσουμε;</w:t>
      </w:r>
    </w:p>
    <w:p w:rsidR="00463489" w:rsidRPr="00463489" w:rsidRDefault="00463489" w:rsidP="00463489">
      <w:pPr>
        <w:spacing w:line="276" w:lineRule="auto"/>
        <w:rPr>
          <w:sz w:val="36"/>
          <w:szCs w:val="36"/>
          <w:lang w:val="el-GR"/>
        </w:rPr>
      </w:pPr>
    </w:p>
    <w:p w:rsidR="00463489" w:rsidRPr="00463489" w:rsidRDefault="00463489" w:rsidP="00463489">
      <w:pPr>
        <w:spacing w:line="276" w:lineRule="auto"/>
        <w:rPr>
          <w:sz w:val="36"/>
          <w:szCs w:val="36"/>
          <w:lang w:val="el-GR"/>
        </w:rPr>
      </w:pPr>
    </w:p>
    <w:p w:rsidR="00463489" w:rsidRPr="00463489" w:rsidRDefault="00463489" w:rsidP="00463489">
      <w:pPr>
        <w:spacing w:line="276" w:lineRule="auto"/>
        <w:jc w:val="center"/>
        <w:rPr>
          <w:sz w:val="36"/>
          <w:szCs w:val="36"/>
          <w:lang w:val="el-GR"/>
        </w:rPr>
      </w:pPr>
      <w:r w:rsidRPr="00463489">
        <w:rPr>
          <w:sz w:val="36"/>
          <w:szCs w:val="36"/>
          <w:lang w:val="el-GR"/>
        </w:rPr>
        <w:t>Ώρα εκκίνησης __:__</w:t>
      </w:r>
    </w:p>
    <w:p w:rsidR="00463489" w:rsidRPr="00463489" w:rsidRDefault="00463489" w:rsidP="00463489">
      <w:pPr>
        <w:jc w:val="center"/>
        <w:rPr>
          <w:sz w:val="36"/>
          <w:szCs w:val="36"/>
          <w:lang w:val="el-GR"/>
        </w:rPr>
      </w:pPr>
      <w:r w:rsidRPr="00463489">
        <w:rPr>
          <w:sz w:val="36"/>
          <w:szCs w:val="36"/>
          <w:lang w:val="el-GR"/>
        </w:rPr>
        <w:br w:type="page"/>
      </w:r>
      <w:r w:rsidRPr="00463489">
        <w:rPr>
          <w:b/>
          <w:lang w:val="el-GR"/>
        </w:rPr>
        <w:t>ΛΗΨΗ ΦΑΡΜΑΚΩΝ</w:t>
      </w:r>
    </w:p>
    <w:p w:rsidR="00463489" w:rsidRPr="00463489" w:rsidRDefault="00463489" w:rsidP="00463489">
      <w:pPr>
        <w:spacing w:line="276" w:lineRule="auto"/>
        <w:rPr>
          <w:lang w:val="el-GR"/>
        </w:rPr>
      </w:pPr>
      <w:r w:rsidRPr="00463489">
        <w:rPr>
          <w:b/>
          <w:lang w:val="el-GR"/>
        </w:rPr>
        <w:t>ΔΟΚΙΜΑΣΙΑ 1</w:t>
      </w:r>
      <w:r>
        <w:rPr>
          <w:lang w:val="el-GR"/>
        </w:rPr>
        <w:t>:</w:t>
      </w:r>
      <w:r w:rsidRPr="00463489">
        <w:rPr>
          <w:lang w:val="el-GR"/>
        </w:rPr>
        <w:t>ΠΑΡΟΥΣΙΑΣΕ ΤΑ 3 ΚΟΥΤΙΑ ΦΑΡΜΑΚΩΝ ΣΤΟΝ ΣΥΜΜΕΤΕΧΩΝΤΑ ΚΑΙ ΠΕΣ:</w:t>
      </w:r>
    </w:p>
    <w:p w:rsidR="00463489" w:rsidRPr="00463489" w:rsidRDefault="00463489" w:rsidP="00463489">
      <w:pPr>
        <w:spacing w:line="276" w:lineRule="auto"/>
        <w:ind w:left="1440" w:hanging="1440"/>
        <w:rPr>
          <w:lang w:val="el-GR"/>
        </w:rPr>
      </w:pPr>
    </w:p>
    <w:p w:rsidR="00463489" w:rsidRPr="00463489" w:rsidRDefault="00463489" w:rsidP="00463489">
      <w:pPr>
        <w:autoSpaceDE w:val="0"/>
        <w:autoSpaceDN w:val="0"/>
        <w:adjustRightInd w:val="0"/>
        <w:rPr>
          <w:rFonts w:cs="Calibri"/>
          <w:b/>
          <w:lang w:val="el-GR"/>
        </w:rPr>
      </w:pPr>
      <w:r w:rsidRPr="00463489">
        <w:rPr>
          <w:lang w:val="el-GR"/>
        </w:rPr>
        <w:tab/>
      </w:r>
      <w:r w:rsidRPr="00463489">
        <w:rPr>
          <w:rFonts w:cs="Calibri"/>
          <w:b/>
          <w:lang w:val="el-GR"/>
        </w:rPr>
        <w:t>Εδώ παρουσιάζονται τρία φάρμακα σε έναν ηλικιωμένο άντρα. Ονομάζεται κ. Παπαδόπουλος.  Παρακαλώ κοιτάξτε τα κουτιά των φαρμάκων για λίγο και μετά απαντήστε στην ερώτηση της κάρτας.</w:t>
      </w:r>
    </w:p>
    <w:p w:rsidR="00463489" w:rsidRPr="00463489" w:rsidRDefault="00463489" w:rsidP="00463489">
      <w:pPr>
        <w:spacing w:line="276" w:lineRule="auto"/>
        <w:ind w:left="1440" w:hanging="1440"/>
        <w:rPr>
          <w:u w:val="single"/>
          <w:lang w:val="el-GR"/>
        </w:rPr>
      </w:pPr>
    </w:p>
    <w:p w:rsidR="00463489" w:rsidRPr="00463489" w:rsidRDefault="00463489" w:rsidP="00463489">
      <w:pPr>
        <w:spacing w:line="276" w:lineRule="auto"/>
        <w:ind w:left="1440" w:hanging="1440"/>
        <w:rPr>
          <w:lang w:val="el-GR"/>
        </w:rPr>
      </w:pPr>
      <w:r w:rsidRPr="00463489">
        <w:rPr>
          <w:lang w:val="el-GR"/>
        </w:rPr>
        <w:t>ΔΩΣΕ ΤΗΝ ΚΑΡΤΑ ΜΕ ΤΗΝ ΕΡΩΤΗΣΗ ΣΤΟΝ ΣΥΜΜΕΤΕΧΟΝΤΑ</w:t>
      </w:r>
    </w:p>
    <w:p w:rsidR="00463489" w:rsidRPr="00463489" w:rsidRDefault="00463489" w:rsidP="00463489">
      <w:pPr>
        <w:spacing w:line="276" w:lineRule="auto"/>
        <w:ind w:left="1440" w:hanging="1440"/>
        <w:rPr>
          <w:lang w:val="el-GR"/>
        </w:rPr>
      </w:pPr>
    </w:p>
    <w:p w:rsidR="00463489" w:rsidRPr="004B003E" w:rsidRDefault="00463489" w:rsidP="00463489">
      <w:pPr>
        <w:spacing w:line="276" w:lineRule="auto"/>
        <w:ind w:left="1440" w:hanging="1440"/>
        <w:rPr>
          <w:bCs/>
        </w:rPr>
      </w:pPr>
      <w:r w:rsidRPr="00463489">
        <w:rPr>
          <w:lang w:val="el-GR"/>
        </w:rPr>
        <w:t xml:space="preserve">Β1. </w:t>
      </w:r>
      <w:r w:rsidRPr="00463489">
        <w:rPr>
          <w:bCs/>
          <w:lang w:val="el-GR"/>
        </w:rPr>
        <w:t xml:space="preserve">Πόσες μέρες θα διαρκέσει ένα κουτί </w:t>
      </w:r>
      <w:r w:rsidRPr="004B003E">
        <w:rPr>
          <w:bCs/>
          <w:lang w:val="en-US"/>
        </w:rPr>
        <w:t>MAALOX</w:t>
      </w:r>
      <w:r w:rsidRPr="00463489">
        <w:rPr>
          <w:bCs/>
          <w:lang w:val="el-GR"/>
        </w:rPr>
        <w:t xml:space="preserve"> για τον κ. Παπαδόπουλο; </w:t>
      </w:r>
      <w:r w:rsidRPr="004B003E">
        <w:t>(Κάρτα 1)</w:t>
      </w:r>
    </w:p>
    <w:p w:rsidR="00463489" w:rsidRPr="00F80CF1" w:rsidRDefault="00463489" w:rsidP="00463489">
      <w:pPr>
        <w:spacing w:line="276" w:lineRule="auto"/>
        <w:ind w:left="1440" w:hanging="1440"/>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28"/>
        <w:gridCol w:w="2343"/>
        <w:gridCol w:w="1676"/>
      </w:tblGrid>
      <w:tr w:rsidR="00463489" w:rsidRPr="00866FFB" w:rsidTr="00463489">
        <w:tc>
          <w:tcPr>
            <w:tcW w:w="3828"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4019"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828" w:type="dxa"/>
            <w:vMerge w:val="restart"/>
          </w:tcPr>
          <w:p w:rsidR="00463489" w:rsidRPr="00463489" w:rsidRDefault="00463489" w:rsidP="00463489">
            <w:pPr>
              <w:spacing w:line="276" w:lineRule="auto"/>
              <w:rPr>
                <w:sz w:val="20"/>
                <w:szCs w:val="20"/>
                <w:lang w:val="el-GR"/>
              </w:rPr>
            </w:pPr>
          </w:p>
          <w:p w:rsidR="00463489" w:rsidRPr="00463489" w:rsidRDefault="00C4694A" w:rsidP="00463489">
            <w:pPr>
              <w:spacing w:line="276" w:lineRule="auto"/>
              <w:rPr>
                <w:sz w:val="20"/>
                <w:szCs w:val="20"/>
                <w:lang w:val="el-GR"/>
              </w:rPr>
            </w:pPr>
            <w:r>
              <w:rPr>
                <w:noProof/>
                <w:sz w:val="22"/>
                <w:szCs w:val="22"/>
                <w:lang w:eastAsia="en-GB"/>
              </w:rPr>
              <w:pict>
                <v:rect id="Rectangle 50" o:spid="_x0000_s1084" alt="" style="position:absolute;margin-left:-40.25pt;margin-top:11.55pt;width:24.5pt;height:37pt;z-index:251697152;visibility:visible;mso-wrap-edited:f">
                  <v:path arrowok="t"/>
                </v:rect>
              </w:pict>
            </w:r>
            <w:r w:rsidR="00463489" w:rsidRPr="00463489">
              <w:rPr>
                <w:sz w:val="20"/>
                <w:szCs w:val="20"/>
                <w:lang w:val="el-GR"/>
              </w:rPr>
              <w:t xml:space="preserve">Ο ΣΥΜΜΕΤΕΧΟΝΤΑΣ ΒΡΙΣΚΕΙ/ΔΕΙΧΝΕΙ/ΕΞΕΤΑΖΕΙ ΤΟ ΚΟΥΤΙ </w:t>
            </w:r>
            <w:r w:rsidR="00463489" w:rsidRPr="00866FFB">
              <w:rPr>
                <w:sz w:val="20"/>
                <w:szCs w:val="20"/>
              </w:rPr>
              <w:t>MAALOX</w:t>
            </w:r>
            <w:r w:rsidR="00463489" w:rsidRPr="00463489">
              <w:rPr>
                <w:sz w:val="20"/>
                <w:szCs w:val="20"/>
                <w:lang w:val="el-GR"/>
              </w:rPr>
              <w:t>.</w:t>
            </w:r>
          </w:p>
        </w:tc>
        <w:tc>
          <w:tcPr>
            <w:tcW w:w="2343"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676"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r w:rsidR="00463489" w:rsidRPr="00857E34" w:rsidTr="00463489">
        <w:trPr>
          <w:trHeight w:val="1095"/>
        </w:trPr>
        <w:tc>
          <w:tcPr>
            <w:tcW w:w="3828" w:type="dxa"/>
            <w:vMerge/>
          </w:tcPr>
          <w:p w:rsidR="00463489" w:rsidRPr="00866FFB" w:rsidRDefault="00463489" w:rsidP="00463489">
            <w:pPr>
              <w:spacing w:line="276" w:lineRule="auto"/>
              <w:rPr>
                <w:sz w:val="20"/>
                <w:szCs w:val="20"/>
              </w:rPr>
            </w:pPr>
          </w:p>
        </w:tc>
        <w:tc>
          <w:tcPr>
            <w:tcW w:w="4019" w:type="dxa"/>
            <w:gridSpan w:val="2"/>
            <w:tcBorders>
              <w:top w:val="nil"/>
            </w:tcBorders>
          </w:tcPr>
          <w:p w:rsidR="00463489" w:rsidRPr="00E041BC" w:rsidRDefault="00463489" w:rsidP="00463489">
            <w:pPr>
              <w:spacing w:line="276" w:lineRule="auto"/>
              <w:rPr>
                <w:sz w:val="18"/>
                <w:szCs w:val="18"/>
              </w:rPr>
            </w:pPr>
            <w:r w:rsidRPr="00463489">
              <w:rPr>
                <w:sz w:val="18"/>
                <w:szCs w:val="18"/>
                <w:lang w:val="el-GR"/>
              </w:rPr>
              <w:t>ΑΝ</w:t>
            </w:r>
            <w:r w:rsidRPr="00E041BC">
              <w:rPr>
                <w:sz w:val="18"/>
                <w:szCs w:val="18"/>
              </w:rPr>
              <w:t xml:space="preserve"> </w:t>
            </w:r>
            <w:r w:rsidRPr="00463489">
              <w:rPr>
                <w:sz w:val="18"/>
                <w:szCs w:val="18"/>
                <w:lang w:val="el-GR"/>
              </w:rPr>
              <w:t>ΟΧΙ</w:t>
            </w:r>
            <w:r w:rsidRPr="00E041BC">
              <w:rPr>
                <w:sz w:val="18"/>
                <w:szCs w:val="18"/>
              </w:rPr>
              <w:t xml:space="preserve">, </w:t>
            </w:r>
            <w:r w:rsidRPr="00463489">
              <w:rPr>
                <w:sz w:val="18"/>
                <w:szCs w:val="18"/>
                <w:lang w:val="el-GR"/>
              </w:rPr>
              <w:t>ΕΞΗΓΗΣΤΕ</w:t>
            </w:r>
            <w:r w:rsidRPr="00E041BC">
              <w:rPr>
                <w:sz w:val="18"/>
                <w:szCs w:val="18"/>
              </w:rPr>
              <w:t xml:space="preserve"> (</w:t>
            </w:r>
            <w:r w:rsidRPr="00463489">
              <w:rPr>
                <w:sz w:val="18"/>
                <w:szCs w:val="18"/>
                <w:lang w:val="el-GR"/>
              </w:rPr>
              <w:t>Π</w:t>
            </w:r>
            <w:r w:rsidRPr="00E041BC">
              <w:rPr>
                <w:sz w:val="18"/>
                <w:szCs w:val="18"/>
              </w:rPr>
              <w:t>.</w:t>
            </w:r>
            <w:r w:rsidRPr="00463489">
              <w:rPr>
                <w:sz w:val="18"/>
                <w:szCs w:val="18"/>
                <w:lang w:val="el-GR"/>
              </w:rPr>
              <w:t>Χ</w:t>
            </w:r>
            <w:r w:rsidRPr="00E041BC">
              <w:rPr>
                <w:sz w:val="18"/>
                <w:szCs w:val="18"/>
              </w:rPr>
              <w:t xml:space="preserve">., </w:t>
            </w:r>
            <w:r w:rsidRPr="00463489">
              <w:rPr>
                <w:sz w:val="18"/>
                <w:szCs w:val="18"/>
                <w:lang w:val="el-GR"/>
              </w:rPr>
              <w:t>ΕΔΕΙΞΕ</w:t>
            </w:r>
            <w:r w:rsidRPr="00E041BC">
              <w:rPr>
                <w:sz w:val="18"/>
                <w:szCs w:val="18"/>
              </w:rPr>
              <w:t xml:space="preserve"> </w:t>
            </w:r>
            <w:r w:rsidRPr="00463489">
              <w:rPr>
                <w:sz w:val="18"/>
                <w:szCs w:val="18"/>
                <w:lang w:val="el-GR"/>
              </w:rPr>
              <w:t>ΑΛΛΟ</w:t>
            </w:r>
            <w:r w:rsidRPr="00E041BC">
              <w:rPr>
                <w:sz w:val="18"/>
                <w:szCs w:val="18"/>
              </w:rPr>
              <w:t xml:space="preserve"> </w:t>
            </w:r>
            <w:r w:rsidRPr="00866FFB">
              <w:rPr>
                <w:sz w:val="18"/>
                <w:szCs w:val="18"/>
              </w:rPr>
              <w:t>KOYTI</w:t>
            </w:r>
            <w:r w:rsidRPr="00E041BC">
              <w:rPr>
                <w:sz w:val="18"/>
                <w:szCs w:val="18"/>
              </w:rPr>
              <w:t>)</w:t>
            </w:r>
          </w:p>
        </w:tc>
      </w:tr>
    </w:tbl>
    <w:p w:rsidR="00463489" w:rsidRPr="00E041BC" w:rsidRDefault="00463489" w:rsidP="00463489">
      <w:pPr>
        <w:spacing w:line="276" w:lineRule="auto"/>
        <w:ind w:left="1440" w:hanging="1440"/>
        <w:rPr>
          <w:sz w:val="20"/>
          <w:szCs w:val="20"/>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9"/>
        <w:gridCol w:w="1939"/>
        <w:gridCol w:w="1939"/>
      </w:tblGrid>
      <w:tr w:rsidR="00463489" w:rsidRPr="00E041BC" w:rsidTr="00463489">
        <w:tc>
          <w:tcPr>
            <w:tcW w:w="7847"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51" o:spid="_x0000_s1083" alt="" style="position:absolute;margin-left:-40.25pt;margin-top:22.3pt;width:24.5pt;height:37pt;z-index:251698176;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iCs/>
                <w:lang w:val="el-GR"/>
              </w:rPr>
              <w:t xml:space="preserve">Παρακαλώ κοιτάξτε αυτά τα φάρμακα. Ποιο από αυτά είναι το </w:t>
            </w:r>
            <w:r w:rsidRPr="00866FFB">
              <w:rPr>
                <w:rFonts w:cs="Calibri"/>
                <w:i/>
                <w:iCs/>
              </w:rPr>
              <w:t>Maalox</w:t>
            </w:r>
            <w:r w:rsidRPr="00463489">
              <w:rPr>
                <w:rFonts w:cs="Calibri"/>
                <w:i/>
                <w:iCs/>
                <w:lang w:val="el-GR"/>
              </w:rPr>
              <w:t>;</w:t>
            </w:r>
          </w:p>
        </w:tc>
      </w:tr>
      <w:tr w:rsidR="00463489" w:rsidRPr="00866FFB" w:rsidTr="00463489">
        <w:trPr>
          <w:trHeight w:val="632"/>
        </w:trPr>
        <w:tc>
          <w:tcPr>
            <w:tcW w:w="3969" w:type="dxa"/>
            <w:tcBorders>
              <w:right w:val="nil"/>
            </w:tcBorders>
            <w:vAlign w:val="center"/>
          </w:tcPr>
          <w:p w:rsidR="00463489" w:rsidRPr="00866FFB" w:rsidRDefault="00463489" w:rsidP="00463489">
            <w:pPr>
              <w:spacing w:line="276" w:lineRule="auto"/>
              <w:rPr>
                <w:sz w:val="20"/>
                <w:szCs w:val="20"/>
              </w:rPr>
            </w:pPr>
            <w:r w:rsidRPr="00866FFB">
              <w:rPr>
                <w:sz w:val="20"/>
                <w:szCs w:val="20"/>
              </w:rPr>
              <w:t>Β1α.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39"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F80CF1" w:rsidRDefault="00463489" w:rsidP="00463489">
      <w:pPr>
        <w:spacing w:line="276" w:lineRule="auto"/>
        <w:ind w:left="1440" w:hanging="1440"/>
      </w:pPr>
    </w:p>
    <w:p w:rsidR="00463489" w:rsidRPr="00F80CF1" w:rsidRDefault="00463489" w:rsidP="00463489">
      <w:pPr>
        <w:spacing w:line="276" w:lineRule="auto"/>
        <w:ind w:left="1440" w:hanging="1440"/>
      </w:pPr>
      <w:r w:rsidRPr="00F80CF1">
        <w:t xml:space="preserve">Β2.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9"/>
        <w:gridCol w:w="2202"/>
        <w:gridCol w:w="1676"/>
      </w:tblGrid>
      <w:tr w:rsidR="00463489" w:rsidRPr="00866FFB" w:rsidTr="00463489">
        <w:tc>
          <w:tcPr>
            <w:tcW w:w="3969"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878"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969" w:type="dxa"/>
            <w:vMerge w:val="restart"/>
          </w:tcPr>
          <w:p w:rsidR="00463489" w:rsidRPr="00866FFB" w:rsidRDefault="00463489" w:rsidP="00463489">
            <w:pPr>
              <w:spacing w:line="276" w:lineRule="auto"/>
              <w:rPr>
                <w:sz w:val="20"/>
                <w:szCs w:val="20"/>
              </w:rPr>
            </w:pPr>
          </w:p>
          <w:p w:rsidR="00463489" w:rsidRPr="00866FFB" w:rsidRDefault="00C4694A" w:rsidP="00463489">
            <w:pPr>
              <w:spacing w:line="276" w:lineRule="auto"/>
              <w:rPr>
                <w:sz w:val="20"/>
                <w:szCs w:val="20"/>
              </w:rPr>
            </w:pPr>
            <w:r>
              <w:rPr>
                <w:noProof/>
                <w:sz w:val="22"/>
                <w:szCs w:val="22"/>
                <w:lang w:eastAsia="en-GB"/>
              </w:rPr>
              <w:pict>
                <v:rect id="Rectangle 52" o:spid="_x0000_s1082" alt="" style="position:absolute;margin-left:-40.25pt;margin-top:11.55pt;width:24.5pt;height:37pt;z-index:251699200;visibility:visible;mso-wrap-edited:f">
                  <v:path arrowok="t"/>
                </v:rect>
              </w:pict>
            </w:r>
            <w:r w:rsidR="00463489" w:rsidRPr="00866FFB">
              <w:rPr>
                <w:sz w:val="20"/>
                <w:szCs w:val="20"/>
              </w:rPr>
              <w:t>Ο ΣΥΜΜΕΤΕΧΟΝΤΑΣ ΛΕΕΙ «25 ΜΕΡΕΣ»</w:t>
            </w:r>
          </w:p>
        </w:tc>
        <w:tc>
          <w:tcPr>
            <w:tcW w:w="2202"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676"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r w:rsidR="00463489" w:rsidRPr="00857E34" w:rsidTr="00463489">
        <w:trPr>
          <w:trHeight w:val="1095"/>
        </w:trPr>
        <w:tc>
          <w:tcPr>
            <w:tcW w:w="3969" w:type="dxa"/>
            <w:vMerge/>
          </w:tcPr>
          <w:p w:rsidR="00463489" w:rsidRPr="00866FFB" w:rsidRDefault="00463489" w:rsidP="00463489">
            <w:pPr>
              <w:spacing w:line="276" w:lineRule="auto"/>
              <w:rPr>
                <w:sz w:val="20"/>
                <w:szCs w:val="20"/>
              </w:rPr>
            </w:pPr>
          </w:p>
        </w:tc>
        <w:tc>
          <w:tcPr>
            <w:tcW w:w="3878" w:type="dxa"/>
            <w:gridSpan w:val="2"/>
            <w:tcBorders>
              <w:top w:val="nil"/>
            </w:tcBorders>
          </w:tcPr>
          <w:p w:rsidR="00463489" w:rsidRPr="00E041BC" w:rsidRDefault="00463489" w:rsidP="00463489">
            <w:pPr>
              <w:spacing w:line="276" w:lineRule="auto"/>
              <w:rPr>
                <w:sz w:val="18"/>
                <w:szCs w:val="18"/>
              </w:rPr>
            </w:pPr>
            <w:r w:rsidRPr="00463489">
              <w:rPr>
                <w:sz w:val="18"/>
                <w:szCs w:val="18"/>
                <w:lang w:val="el-GR"/>
              </w:rPr>
              <w:t>ΑΝ</w:t>
            </w:r>
            <w:r w:rsidRPr="00E041BC">
              <w:rPr>
                <w:sz w:val="18"/>
                <w:szCs w:val="18"/>
              </w:rPr>
              <w:t xml:space="preserve"> </w:t>
            </w:r>
            <w:r w:rsidRPr="00463489">
              <w:rPr>
                <w:sz w:val="18"/>
                <w:szCs w:val="18"/>
                <w:lang w:val="el-GR"/>
              </w:rPr>
              <w:t>ΟΧΙ</w:t>
            </w:r>
            <w:r w:rsidRPr="00E041BC">
              <w:rPr>
                <w:sz w:val="18"/>
                <w:szCs w:val="18"/>
              </w:rPr>
              <w:t xml:space="preserve">, </w:t>
            </w:r>
            <w:r w:rsidRPr="00463489">
              <w:rPr>
                <w:sz w:val="18"/>
                <w:szCs w:val="18"/>
                <w:lang w:val="el-GR"/>
              </w:rPr>
              <w:t>ΕΞΗΓΗΣΤΕ</w:t>
            </w:r>
            <w:r w:rsidRPr="00E041BC">
              <w:rPr>
                <w:sz w:val="18"/>
                <w:szCs w:val="18"/>
              </w:rPr>
              <w:t xml:space="preserve"> (</w:t>
            </w:r>
            <w:r w:rsidRPr="00463489">
              <w:rPr>
                <w:sz w:val="18"/>
                <w:szCs w:val="18"/>
                <w:lang w:val="el-GR"/>
              </w:rPr>
              <w:t>Π</w:t>
            </w:r>
            <w:r w:rsidRPr="00E041BC">
              <w:rPr>
                <w:sz w:val="18"/>
                <w:szCs w:val="18"/>
              </w:rPr>
              <w:t>.</w:t>
            </w:r>
            <w:r w:rsidRPr="00463489">
              <w:rPr>
                <w:sz w:val="18"/>
                <w:szCs w:val="18"/>
                <w:lang w:val="el-GR"/>
              </w:rPr>
              <w:t>Χ</w:t>
            </w:r>
            <w:r w:rsidRPr="00E041BC">
              <w:rPr>
                <w:sz w:val="18"/>
                <w:szCs w:val="18"/>
              </w:rPr>
              <w:t xml:space="preserve">., </w:t>
            </w:r>
            <w:r w:rsidRPr="00463489">
              <w:rPr>
                <w:sz w:val="18"/>
                <w:szCs w:val="18"/>
                <w:lang w:val="el-GR"/>
              </w:rPr>
              <w:t>ΕΙΠΕ</w:t>
            </w:r>
            <w:r w:rsidRPr="00E041BC">
              <w:rPr>
                <w:sz w:val="18"/>
                <w:szCs w:val="18"/>
              </w:rPr>
              <w:t xml:space="preserve"> 30 </w:t>
            </w:r>
            <w:r w:rsidRPr="00463489">
              <w:rPr>
                <w:sz w:val="18"/>
                <w:szCs w:val="18"/>
                <w:lang w:val="el-GR"/>
              </w:rPr>
              <w:t>ΜΕΡΕΣ</w:t>
            </w:r>
            <w:r w:rsidRPr="00E041BC">
              <w:rPr>
                <w:sz w:val="18"/>
                <w:szCs w:val="18"/>
              </w:rPr>
              <w:t>)</w:t>
            </w:r>
          </w:p>
        </w:tc>
      </w:tr>
    </w:tbl>
    <w:p w:rsidR="00463489" w:rsidRPr="00E041BC" w:rsidRDefault="00463489" w:rsidP="00463489">
      <w:pPr>
        <w:spacing w:line="276" w:lineRule="auto"/>
        <w:ind w:left="1440" w:hanging="1440"/>
        <w:rPr>
          <w:sz w:val="20"/>
          <w:szCs w:val="20"/>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9"/>
        <w:gridCol w:w="1939"/>
        <w:gridCol w:w="1939"/>
      </w:tblGrid>
      <w:tr w:rsidR="00463489" w:rsidRPr="00E041BC" w:rsidTr="00463489">
        <w:tc>
          <w:tcPr>
            <w:tcW w:w="7847"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53" o:spid="_x0000_s1081" alt="" style="position:absolute;margin-left:-40.25pt;margin-top:22.3pt;width:24.5pt;height:37pt;z-index:251700224;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iCs/>
                <w:lang w:val="el-GR"/>
              </w:rPr>
              <w:t xml:space="preserve">Παρακαλώ διαβάστε την κάρτα και απαντήστε στην ερώτηση: Πόσες μέρες  θα διαρκέσει ένα κουτί </w:t>
            </w:r>
            <w:r w:rsidRPr="00866FFB">
              <w:rPr>
                <w:rFonts w:cs="Calibri"/>
                <w:i/>
                <w:iCs/>
                <w:lang w:val="en-US"/>
              </w:rPr>
              <w:t>MAALOX</w:t>
            </w:r>
            <w:r w:rsidRPr="00463489">
              <w:rPr>
                <w:rFonts w:cs="Calibri"/>
                <w:i/>
                <w:iCs/>
                <w:lang w:val="el-GR"/>
              </w:rPr>
              <w:t xml:space="preserve"> για τον κ. Παπαδόπουλό;</w:t>
            </w:r>
          </w:p>
        </w:tc>
      </w:tr>
      <w:tr w:rsidR="00463489" w:rsidRPr="00866FFB" w:rsidTr="00463489">
        <w:trPr>
          <w:trHeight w:val="632"/>
        </w:trPr>
        <w:tc>
          <w:tcPr>
            <w:tcW w:w="3969" w:type="dxa"/>
            <w:tcBorders>
              <w:right w:val="nil"/>
            </w:tcBorders>
            <w:vAlign w:val="center"/>
          </w:tcPr>
          <w:p w:rsidR="00463489" w:rsidRPr="00866FFB" w:rsidRDefault="00463489" w:rsidP="00463489">
            <w:pPr>
              <w:spacing w:line="276" w:lineRule="auto"/>
              <w:rPr>
                <w:sz w:val="20"/>
                <w:szCs w:val="20"/>
              </w:rPr>
            </w:pPr>
            <w:r w:rsidRPr="00866FFB">
              <w:rPr>
                <w:sz w:val="20"/>
                <w:szCs w:val="20"/>
              </w:rPr>
              <w:t>Β2α.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39"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Pr>
        <w:spacing w:line="276" w:lineRule="auto"/>
        <w:ind w:left="1440" w:hanging="1440"/>
      </w:pPr>
    </w:p>
    <w:p w:rsidR="00463489" w:rsidRPr="00463489" w:rsidRDefault="00463489" w:rsidP="00463489">
      <w:pPr>
        <w:spacing w:line="276" w:lineRule="auto"/>
        <w:ind w:left="1440" w:hanging="1440"/>
        <w:rPr>
          <w:lang w:val="el-GR"/>
        </w:rPr>
      </w:pPr>
      <w:r w:rsidRPr="00463489">
        <w:rPr>
          <w:lang w:val="el-GR"/>
        </w:rPr>
        <w:t xml:space="preserve">Ο ΕΞΕΤΑΣΤΗΣ ΛΕΕΙ: </w:t>
      </w:r>
      <w:r w:rsidRPr="00463489">
        <w:rPr>
          <w:b/>
          <w:lang w:val="el-GR"/>
        </w:rPr>
        <w:t>Παρακαλώ τώρα, απαντήστε στην εξής ερώτηση</w:t>
      </w:r>
    </w:p>
    <w:p w:rsidR="00463489" w:rsidRPr="00463489" w:rsidRDefault="00463489" w:rsidP="00463489">
      <w:pPr>
        <w:spacing w:line="276" w:lineRule="auto"/>
        <w:ind w:left="1440" w:hanging="1440"/>
        <w:rPr>
          <w:lang w:val="el-GR"/>
        </w:rPr>
      </w:pPr>
    </w:p>
    <w:p w:rsidR="00463489" w:rsidRPr="003307A0" w:rsidRDefault="00463489" w:rsidP="00463489">
      <w:pPr>
        <w:autoSpaceDE w:val="0"/>
        <w:autoSpaceDN w:val="0"/>
        <w:adjustRightInd w:val="0"/>
        <w:spacing w:line="360" w:lineRule="auto"/>
        <w:ind w:left="426" w:hanging="284"/>
        <w:rPr>
          <w:rFonts w:cs="Calibri"/>
          <w:bCs/>
        </w:rPr>
      </w:pPr>
      <w:r w:rsidRPr="00463489">
        <w:rPr>
          <w:lang w:val="el-GR"/>
        </w:rPr>
        <w:t xml:space="preserve">Β3. </w:t>
      </w:r>
      <w:r w:rsidRPr="003307A0">
        <w:rPr>
          <w:rFonts w:cs="Calibri"/>
          <w:bCs/>
        </w:rPr>
        <w:t>O</w:t>
      </w:r>
      <w:r w:rsidRPr="00463489">
        <w:rPr>
          <w:rFonts w:cs="Calibri"/>
          <w:bCs/>
          <w:lang w:val="el-GR"/>
        </w:rPr>
        <w:t xml:space="preserve"> κ. Παπαδόπουλος νιώθει νυσταγμένος μόλις λαμβάνει τη φαρμακευτική του αγωγή, που περιλαμβάνει και τα τρία σκευάσματα που έχετε μπροστά σας . Μπορείτε να μου πείτε τι μπορεί να προκαλεί την υπνηλία του; </w:t>
      </w:r>
      <w:r w:rsidRPr="003307A0">
        <w:t>(Κάρτα 2)</w:t>
      </w:r>
    </w:p>
    <w:p w:rsidR="00463489" w:rsidRPr="00F80CF1" w:rsidRDefault="00463489" w:rsidP="00463489">
      <w:pPr>
        <w:spacing w:line="276" w:lineRule="auto"/>
      </w:pP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 xml:space="preserve">Ο ΣΥΜΜΕΤΕΧΟΝΤΑΣ ΒΡΙΣΚΕΙ/ΔΕΙΧΝΕΙ/ΕΞΕΤΑΖΕΙ ΤΟ ΚΟΥΤΙ </w:t>
            </w:r>
            <w:r w:rsidRPr="00866FFB">
              <w:rPr>
                <w:sz w:val="20"/>
                <w:szCs w:val="20"/>
              </w:rPr>
              <w:t>DEPON</w:t>
            </w:r>
            <w:r w:rsidRPr="00463489">
              <w:rPr>
                <w:sz w:val="20"/>
                <w:szCs w:val="20"/>
                <w:lang w:val="el-GR"/>
              </w:rPr>
              <w:t xml:space="preserve"> </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54" o:spid="_x0000_s1080" alt="" style="position:absolute;margin-left:71pt;margin-top:9.45pt;width:24.5pt;height:38.3pt;z-index:251701248;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 ΔΕΝ ΕΙΔΕ ΤΟ ΚΟΥΤΙ)</w:t>
            </w:r>
          </w:p>
        </w:tc>
      </w:tr>
    </w:tbl>
    <w:p w:rsidR="00463489" w:rsidRPr="00463489" w:rsidRDefault="00463489" w:rsidP="00463489">
      <w:pPr>
        <w:spacing w:line="276" w:lineRule="auto"/>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55" o:spid="_x0000_s1079" alt="" style="position:absolute;margin-left:380.85pt;margin-top:22.55pt;width:24.5pt;height:37pt;z-index:251702272;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iCs/>
                <w:lang w:val="el-GR"/>
              </w:rPr>
              <w:t xml:space="preserve">Παρακαλώ κοιτάξτε πάνω σε όλα τα κουτιά των φαρμάκων. </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Β3α.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F80CF1" w:rsidRDefault="00463489" w:rsidP="00463489">
      <w:pPr>
        <w:spacing w:line="276" w:lineRule="auto"/>
        <w:ind w:left="1440" w:hanging="1440"/>
      </w:pPr>
    </w:p>
    <w:p w:rsidR="00463489" w:rsidRPr="00F80CF1" w:rsidRDefault="00463489" w:rsidP="00463489">
      <w:pPr>
        <w:spacing w:line="276" w:lineRule="auto"/>
        <w:ind w:left="1440" w:hanging="1440"/>
      </w:pPr>
      <w:r w:rsidRPr="00F80CF1">
        <w:t xml:space="preserve">Β4. </w:t>
      </w: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 xml:space="preserve">Ο ΣΥΜΜΕΤΕΧΟΝΤΑΣ ΒΡΙΣΚΕΙ/ΔΕΙΧΝΕΙ/ΕΞΕΤΑΖΕΙ ΤΟ ΚΟΥΤΙ ΤΟ ΚΟΥΤΙ </w:t>
            </w:r>
            <w:r w:rsidRPr="00866FFB">
              <w:rPr>
                <w:sz w:val="20"/>
                <w:szCs w:val="20"/>
              </w:rPr>
              <w:t>BRUFEN</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56" o:spid="_x0000_s1078" alt="" style="position:absolute;margin-left:71pt;margin-top:9.45pt;width:24.5pt;height:38.3pt;z-index:251703296;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 ΔΕΝ ΕΙΔΕ ΤΟ ΚΟΥΤΙ)</w:t>
            </w:r>
          </w:p>
        </w:tc>
      </w:tr>
    </w:tbl>
    <w:p w:rsidR="00463489" w:rsidRPr="00463489" w:rsidRDefault="00463489" w:rsidP="00463489">
      <w:pPr>
        <w:spacing w:line="276" w:lineRule="auto"/>
        <w:ind w:left="1440" w:hanging="1440"/>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57" o:spid="_x0000_s1077" alt="" style="position:absolute;margin-left:380.85pt;margin-top:22.55pt;width:24.5pt;height:37pt;z-index:251704320;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iCs/>
                <w:lang w:val="el-GR"/>
              </w:rPr>
              <w:t xml:space="preserve">Παρακαλώ κοιτάξτε πάνω σε όλα κουτιά των φαρμάκων. </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Β4</w:t>
            </w:r>
            <w:r w:rsidRPr="00866FFB">
              <w:rPr>
                <w:sz w:val="16"/>
                <w:szCs w:val="16"/>
              </w:rPr>
              <w:t>β</w:t>
            </w:r>
            <w:r w:rsidRPr="00866FFB">
              <w:rPr>
                <w:sz w:val="20"/>
                <w:szCs w:val="20"/>
              </w:rPr>
              <w:t>.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F80CF1" w:rsidRDefault="00463489" w:rsidP="00463489">
      <w:pPr>
        <w:spacing w:line="276" w:lineRule="auto"/>
        <w:ind w:left="1440" w:hanging="1440"/>
      </w:pPr>
    </w:p>
    <w:p w:rsidR="00463489" w:rsidRPr="00F80CF1" w:rsidRDefault="00463489" w:rsidP="00463489">
      <w:r w:rsidRPr="00F80CF1">
        <w:br w:type="page"/>
      </w:r>
    </w:p>
    <w:p w:rsidR="00463489" w:rsidRPr="00F80CF1" w:rsidRDefault="00463489" w:rsidP="00463489">
      <w:pPr>
        <w:spacing w:line="276" w:lineRule="auto"/>
        <w:ind w:left="1440" w:hanging="1440"/>
      </w:pPr>
      <w:r w:rsidRPr="00F80CF1">
        <w:t xml:space="preserve">Β5.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28"/>
        <w:gridCol w:w="2343"/>
        <w:gridCol w:w="1676"/>
      </w:tblGrid>
      <w:tr w:rsidR="00463489" w:rsidRPr="00866FFB" w:rsidTr="00463489">
        <w:tc>
          <w:tcPr>
            <w:tcW w:w="3828"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4019"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828" w:type="dxa"/>
            <w:vMerge w:val="restart"/>
          </w:tcPr>
          <w:p w:rsidR="00463489" w:rsidRPr="00463489" w:rsidRDefault="00463489" w:rsidP="00463489">
            <w:pPr>
              <w:spacing w:line="276" w:lineRule="auto"/>
              <w:rPr>
                <w:sz w:val="20"/>
                <w:szCs w:val="20"/>
                <w:lang w:val="el-GR"/>
              </w:rPr>
            </w:pPr>
          </w:p>
          <w:p w:rsidR="00463489" w:rsidRPr="00463489" w:rsidRDefault="00C4694A" w:rsidP="00463489">
            <w:pPr>
              <w:spacing w:line="276" w:lineRule="auto"/>
              <w:rPr>
                <w:sz w:val="20"/>
                <w:szCs w:val="20"/>
                <w:lang w:val="el-GR"/>
              </w:rPr>
            </w:pPr>
            <w:r>
              <w:rPr>
                <w:noProof/>
                <w:sz w:val="22"/>
                <w:szCs w:val="22"/>
                <w:lang w:eastAsia="en-GB"/>
              </w:rPr>
              <w:pict>
                <v:rect id="Rectangle 58" o:spid="_x0000_s1076" alt="" style="position:absolute;margin-left:-40.25pt;margin-top:11.55pt;width:24.5pt;height:37pt;z-index:251705344;visibility:visible;mso-wrap-edited:f">
                  <v:path arrowok="t"/>
                </v:rect>
              </w:pict>
            </w:r>
            <w:r w:rsidR="00463489" w:rsidRPr="00463489">
              <w:rPr>
                <w:sz w:val="20"/>
                <w:szCs w:val="20"/>
                <w:lang w:val="el-GR"/>
              </w:rPr>
              <w:t xml:space="preserve">Ο ΣΥΜΜΕΤΕΧΟΝΤΑΣ ΛΕΕΙ « Το </w:t>
            </w:r>
            <w:r w:rsidR="00463489" w:rsidRPr="00866FFB">
              <w:rPr>
                <w:sz w:val="20"/>
                <w:szCs w:val="20"/>
              </w:rPr>
              <w:t>Depon</w:t>
            </w:r>
            <w:r w:rsidR="00463489" w:rsidRPr="00463489">
              <w:rPr>
                <w:sz w:val="20"/>
                <w:szCs w:val="20"/>
                <w:lang w:val="el-GR"/>
              </w:rPr>
              <w:t xml:space="preserve"> και το </w:t>
            </w:r>
            <w:r w:rsidR="00463489" w:rsidRPr="00866FFB">
              <w:rPr>
                <w:sz w:val="20"/>
                <w:szCs w:val="20"/>
              </w:rPr>
              <w:t>Brufen</w:t>
            </w:r>
            <w:r w:rsidR="00463489" w:rsidRPr="00463489">
              <w:rPr>
                <w:sz w:val="20"/>
                <w:szCs w:val="20"/>
                <w:lang w:val="el-GR"/>
              </w:rPr>
              <w:t xml:space="preserve"> μπορούν να προκαλέσουν υπνηλία»</w:t>
            </w:r>
          </w:p>
        </w:tc>
        <w:tc>
          <w:tcPr>
            <w:tcW w:w="2343"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676"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r w:rsidR="00463489" w:rsidRPr="00857E34" w:rsidTr="00463489">
        <w:trPr>
          <w:trHeight w:val="1095"/>
        </w:trPr>
        <w:tc>
          <w:tcPr>
            <w:tcW w:w="3828" w:type="dxa"/>
            <w:vMerge/>
          </w:tcPr>
          <w:p w:rsidR="00463489" w:rsidRPr="00866FFB" w:rsidRDefault="00463489" w:rsidP="00463489">
            <w:pPr>
              <w:spacing w:line="276" w:lineRule="auto"/>
              <w:rPr>
                <w:sz w:val="20"/>
                <w:szCs w:val="20"/>
              </w:rPr>
            </w:pPr>
          </w:p>
        </w:tc>
        <w:tc>
          <w:tcPr>
            <w:tcW w:w="4019" w:type="dxa"/>
            <w:gridSpan w:val="2"/>
            <w:tcBorders>
              <w:top w:val="nil"/>
            </w:tcBorders>
          </w:tcPr>
          <w:p w:rsidR="00463489" w:rsidRPr="00E041BC" w:rsidRDefault="00463489" w:rsidP="00463489">
            <w:pPr>
              <w:spacing w:line="276" w:lineRule="auto"/>
              <w:rPr>
                <w:sz w:val="18"/>
                <w:szCs w:val="18"/>
              </w:rPr>
            </w:pPr>
            <w:r w:rsidRPr="00463489">
              <w:rPr>
                <w:sz w:val="18"/>
                <w:szCs w:val="18"/>
                <w:lang w:val="el-GR"/>
              </w:rPr>
              <w:t>ΑΝ</w:t>
            </w:r>
            <w:r w:rsidRPr="00E041BC">
              <w:rPr>
                <w:sz w:val="18"/>
                <w:szCs w:val="18"/>
              </w:rPr>
              <w:t xml:space="preserve"> </w:t>
            </w:r>
            <w:r w:rsidRPr="00463489">
              <w:rPr>
                <w:sz w:val="18"/>
                <w:szCs w:val="18"/>
                <w:lang w:val="el-GR"/>
              </w:rPr>
              <w:t>ΟΧΙ</w:t>
            </w:r>
            <w:r w:rsidRPr="00E041BC">
              <w:rPr>
                <w:sz w:val="18"/>
                <w:szCs w:val="18"/>
              </w:rPr>
              <w:t xml:space="preserve">, </w:t>
            </w:r>
            <w:r w:rsidRPr="00463489">
              <w:rPr>
                <w:sz w:val="18"/>
                <w:szCs w:val="18"/>
                <w:lang w:val="el-GR"/>
              </w:rPr>
              <w:t>ΕΞΗΓΗΣΤΕ</w:t>
            </w:r>
            <w:r w:rsidRPr="00E041BC">
              <w:rPr>
                <w:sz w:val="18"/>
                <w:szCs w:val="18"/>
              </w:rPr>
              <w:t xml:space="preserve"> (</w:t>
            </w:r>
            <w:r w:rsidRPr="00463489">
              <w:rPr>
                <w:sz w:val="18"/>
                <w:szCs w:val="18"/>
                <w:lang w:val="el-GR"/>
              </w:rPr>
              <w:t>Π</w:t>
            </w:r>
            <w:r w:rsidRPr="00E041BC">
              <w:rPr>
                <w:sz w:val="18"/>
                <w:szCs w:val="18"/>
              </w:rPr>
              <w:t>.</w:t>
            </w:r>
            <w:r w:rsidRPr="00463489">
              <w:rPr>
                <w:sz w:val="18"/>
                <w:szCs w:val="18"/>
                <w:lang w:val="el-GR"/>
              </w:rPr>
              <w:t>Χ</w:t>
            </w:r>
            <w:r w:rsidRPr="00E041BC">
              <w:rPr>
                <w:sz w:val="18"/>
                <w:szCs w:val="18"/>
              </w:rPr>
              <w:t xml:space="preserve">., </w:t>
            </w:r>
            <w:r w:rsidRPr="00463489">
              <w:rPr>
                <w:sz w:val="18"/>
                <w:szCs w:val="18"/>
                <w:lang w:val="el-GR"/>
              </w:rPr>
              <w:t>ΕΙΠΕ</w:t>
            </w:r>
            <w:r w:rsidRPr="00E041BC">
              <w:rPr>
                <w:sz w:val="18"/>
                <w:szCs w:val="18"/>
              </w:rPr>
              <w:t xml:space="preserve"> </w:t>
            </w:r>
            <w:r w:rsidRPr="00463489">
              <w:rPr>
                <w:sz w:val="18"/>
                <w:szCs w:val="18"/>
                <w:lang w:val="el-GR"/>
              </w:rPr>
              <w:t>ΜΟΝΟ</w:t>
            </w:r>
            <w:r w:rsidRPr="00E041BC">
              <w:rPr>
                <w:sz w:val="18"/>
                <w:szCs w:val="18"/>
              </w:rPr>
              <w:t xml:space="preserve"> «</w:t>
            </w:r>
            <w:r w:rsidRPr="00866FFB">
              <w:rPr>
                <w:sz w:val="18"/>
                <w:szCs w:val="18"/>
              </w:rPr>
              <w:t>DEPON</w:t>
            </w:r>
            <w:r w:rsidRPr="00E041BC">
              <w:rPr>
                <w:sz w:val="18"/>
                <w:szCs w:val="18"/>
              </w:rPr>
              <w:t>»)</w:t>
            </w:r>
          </w:p>
        </w:tc>
      </w:tr>
    </w:tbl>
    <w:p w:rsidR="00463489" w:rsidRPr="00E041BC" w:rsidRDefault="00463489" w:rsidP="00463489">
      <w:pPr>
        <w:spacing w:line="276" w:lineRule="auto"/>
        <w:ind w:left="1440" w:hanging="1440"/>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969"/>
        <w:gridCol w:w="1939"/>
        <w:gridCol w:w="1939"/>
      </w:tblGrid>
      <w:tr w:rsidR="00463489" w:rsidRPr="00E041BC" w:rsidTr="00463489">
        <w:tc>
          <w:tcPr>
            <w:tcW w:w="7847"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59" o:spid="_x0000_s1075" alt="" style="position:absolute;margin-left:-40.25pt;margin-top:22.3pt;width:24.5pt;height:37pt;z-index:251706368;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b/>
                <w:bCs/>
                <w:i/>
                <w:iCs/>
                <w:lang w:val="el-GR"/>
              </w:rPr>
            </w:pPr>
            <w:r w:rsidRPr="00463489">
              <w:rPr>
                <w:rFonts w:cs="Calibri"/>
                <w:i/>
                <w:iCs/>
                <w:lang w:val="el-GR"/>
              </w:rPr>
              <w:t>Ποια σκευάσματα προκαλούν υπνηλία στον κο Παπαδόπουλο</w:t>
            </w:r>
            <w:r w:rsidRPr="00463489">
              <w:rPr>
                <w:rFonts w:cs="Calibri"/>
                <w:b/>
                <w:bCs/>
                <w:i/>
                <w:iCs/>
                <w:lang w:val="el-GR"/>
              </w:rPr>
              <w:t>;</w:t>
            </w:r>
          </w:p>
        </w:tc>
      </w:tr>
      <w:tr w:rsidR="00463489" w:rsidRPr="00866FFB" w:rsidTr="00463489">
        <w:trPr>
          <w:trHeight w:val="632"/>
        </w:trPr>
        <w:tc>
          <w:tcPr>
            <w:tcW w:w="3969" w:type="dxa"/>
            <w:vAlign w:val="center"/>
          </w:tcPr>
          <w:p w:rsidR="00463489" w:rsidRPr="00866FFB" w:rsidRDefault="00463489" w:rsidP="00463489">
            <w:pPr>
              <w:spacing w:line="276" w:lineRule="auto"/>
              <w:rPr>
                <w:sz w:val="20"/>
                <w:szCs w:val="20"/>
              </w:rPr>
            </w:pPr>
            <w:r w:rsidRPr="00866FFB">
              <w:rPr>
                <w:sz w:val="20"/>
                <w:szCs w:val="20"/>
              </w:rPr>
              <w:t>Β5α. ΔΩΘΗΚΕ ΠΡΟΤΡΟΠΗ;</w:t>
            </w:r>
          </w:p>
        </w:tc>
        <w:tc>
          <w:tcPr>
            <w:tcW w:w="1939" w:type="dxa"/>
            <w:tcBorders>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39"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F80CF1" w:rsidRDefault="00463489" w:rsidP="00463489">
      <w:pPr>
        <w:spacing w:line="276" w:lineRule="auto"/>
        <w:ind w:left="1440" w:hanging="1440"/>
      </w:pPr>
    </w:p>
    <w:p w:rsidR="00463489" w:rsidRPr="00F80CF1" w:rsidRDefault="00463489" w:rsidP="00463489">
      <w:r w:rsidRPr="00F80CF1">
        <w:br w:type="page"/>
      </w:r>
    </w:p>
    <w:p w:rsidR="00463489" w:rsidRPr="00463489" w:rsidRDefault="00463489" w:rsidP="00463489">
      <w:pPr>
        <w:spacing w:line="276" w:lineRule="auto"/>
        <w:ind w:left="1440" w:hanging="1440"/>
        <w:rPr>
          <w:lang w:val="el-GR"/>
        </w:rPr>
      </w:pPr>
      <w:r w:rsidRPr="00463489">
        <w:rPr>
          <w:b/>
          <w:lang w:val="el-GR"/>
        </w:rPr>
        <w:t>ΔΟΚΙΜΑΣΙΑ 2</w:t>
      </w:r>
      <w:r>
        <w:rPr>
          <w:lang w:val="el-GR"/>
        </w:rPr>
        <w:t>:</w:t>
      </w:r>
      <w:r w:rsidRPr="00463489">
        <w:rPr>
          <w:lang w:val="el-GR"/>
        </w:rPr>
        <w:t xml:space="preserve">ΠΑΡΟΥΣΙΑΣΕ </w:t>
      </w:r>
      <w:r w:rsidRPr="00F80CF1">
        <w:t>T</w:t>
      </w:r>
      <w:r w:rsidRPr="00463489">
        <w:rPr>
          <w:lang w:val="el-GR"/>
        </w:rPr>
        <w:t xml:space="preserve">ΙΣ ΟΔΗΓΙΕΣ ΑΠΟ ΕΝΑ ΜΗ ΣΥΝΤΑΓΟΓΡΑΦΟΥΜΕΝΟ ΠΡΟΙΟΝ ΑΣΠΙΡΙΝΗΣ ΚΑΙ ΠΕΣ:  </w:t>
      </w:r>
      <w:r w:rsidRPr="00463489">
        <w:rPr>
          <w:b/>
          <w:bCs/>
          <w:lang w:val="el-GR"/>
        </w:rPr>
        <w:t xml:space="preserve">Αυτό είναι το </w:t>
      </w:r>
      <w:r w:rsidRPr="00463489">
        <w:rPr>
          <w:rFonts w:cs="Calibri"/>
          <w:b/>
          <w:bCs/>
          <w:lang w:val="el-GR"/>
        </w:rPr>
        <w:t>εσώκλειστο φυλλάδιο οδηγιών</w:t>
      </w:r>
      <w:r w:rsidRPr="00463489">
        <w:rPr>
          <w:b/>
          <w:bCs/>
          <w:lang w:val="el-GR"/>
        </w:rPr>
        <w:t xml:space="preserve"> από ένα κουτί Ασπιρίνης το οποίο μπορεί κανείς να αγοράσει για να αντιμετωπίσει κάποιον ελαφρύ πόνο. Παρακαλώ κοιτάξτε αυτό το φυλλάδιο για λίγα λεπτά και έπειτα διαβάστε την ακόλουθη ερώτηση. </w:t>
      </w:r>
    </w:p>
    <w:p w:rsidR="00463489" w:rsidRPr="00463489" w:rsidRDefault="00463489" w:rsidP="00463489">
      <w:pPr>
        <w:autoSpaceDE w:val="0"/>
        <w:autoSpaceDN w:val="0"/>
        <w:adjustRightInd w:val="0"/>
        <w:spacing w:line="360" w:lineRule="auto"/>
        <w:rPr>
          <w:lang w:val="el-GR"/>
        </w:rPr>
      </w:pPr>
    </w:p>
    <w:p w:rsidR="00463489" w:rsidRPr="00463489" w:rsidRDefault="00463489" w:rsidP="00463489">
      <w:pPr>
        <w:spacing w:line="276" w:lineRule="auto"/>
        <w:ind w:left="1440" w:hanging="1440"/>
        <w:rPr>
          <w:lang w:val="el-GR"/>
        </w:rPr>
      </w:pPr>
      <w:r w:rsidRPr="00463489">
        <w:rPr>
          <w:lang w:val="el-GR"/>
        </w:rPr>
        <w:t>ΔΩΣΕ ΤΗΝ ΚΑΡΤΑ ΕΡΩΤΗΣΗΣ ΣΤΟΝ ΣΥΜΜΕΤΕΧΟΝΤΑ</w:t>
      </w:r>
    </w:p>
    <w:p w:rsidR="00463489" w:rsidRPr="00463489" w:rsidRDefault="00463489" w:rsidP="00463489">
      <w:pPr>
        <w:spacing w:line="276" w:lineRule="auto"/>
        <w:ind w:left="1440" w:hanging="1440"/>
        <w:rPr>
          <w:u w:val="single"/>
          <w:lang w:val="el-GR"/>
        </w:rPr>
      </w:pPr>
    </w:p>
    <w:p w:rsidR="00463489" w:rsidRPr="00E21583" w:rsidRDefault="00463489" w:rsidP="00463489">
      <w:pPr>
        <w:autoSpaceDE w:val="0"/>
        <w:autoSpaceDN w:val="0"/>
        <w:adjustRightInd w:val="0"/>
        <w:spacing w:line="360" w:lineRule="auto"/>
        <w:ind w:left="426" w:hanging="284"/>
        <w:rPr>
          <w:rFonts w:cs="Calibri"/>
          <w:b/>
          <w:bCs/>
        </w:rPr>
      </w:pPr>
      <w:r w:rsidRPr="00463489">
        <w:rPr>
          <w:lang w:val="el-GR"/>
        </w:rPr>
        <w:t xml:space="preserve">Β6. </w:t>
      </w:r>
      <w:r w:rsidRPr="00463489">
        <w:rPr>
          <w:rFonts w:cs="Calibri"/>
          <w:bCs/>
          <w:lang w:val="el-GR"/>
        </w:rPr>
        <w:t xml:space="preserve">Σύμφωνα με αυτό το εσώκλειστο φυλλάδιο οδηγιών, μέχρι πόσα χάπια ασπιρίνης μπορεί κάποιος να πάρει μέσα σε 24 ώρες; </w:t>
      </w:r>
      <w:r w:rsidRPr="003307A0">
        <w:t>(Κάρτα 3)</w:t>
      </w:r>
    </w:p>
    <w:p w:rsidR="00463489" w:rsidRPr="00F80CF1" w:rsidRDefault="00463489" w:rsidP="00463489">
      <w:pPr>
        <w:spacing w:line="276" w:lineRule="auto"/>
      </w:pP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Ο ΣΥΜΜΕΤΕΧΟΝΤΑΣ ΛΕΕΙ «Ως 8 χάπια»</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60" o:spid="_x0000_s1074" alt="" style="position:absolute;margin-left:71pt;margin-top:9.45pt;width:24.5pt;height:38.3pt;z-index:251707392;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 ΕΙΠΕ «4 χάπια»)</w:t>
            </w:r>
          </w:p>
        </w:tc>
      </w:tr>
    </w:tbl>
    <w:p w:rsidR="00463489" w:rsidRPr="00463489" w:rsidRDefault="00463489" w:rsidP="00463489">
      <w:pPr>
        <w:spacing w:line="276" w:lineRule="auto"/>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61" o:spid="_x0000_s1073" alt="" style="position:absolute;margin-left:380.85pt;margin-top:22.55pt;width:24.5pt;height:37pt;z-index:251708416;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iCs/>
                <w:lang w:val="el-GR"/>
              </w:rPr>
              <w:t>Υπάρχουν καθόλου πληροφορίες σχετικά με το μέχρι πόσα χάπια  μπορεί κάποιος να πάρει μέσα σε 24 ώρες;</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Β6α.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Pr>
        <w:spacing w:line="276" w:lineRule="auto"/>
        <w:ind w:left="1440" w:hanging="1440"/>
      </w:pPr>
    </w:p>
    <w:p w:rsidR="00463489" w:rsidRPr="00F80CF1" w:rsidRDefault="00463489" w:rsidP="00463489">
      <w:r>
        <w:br w:type="page"/>
      </w:r>
    </w:p>
    <w:p w:rsidR="00463489" w:rsidRPr="003307A0" w:rsidRDefault="00463489" w:rsidP="00463489">
      <w:pPr>
        <w:spacing w:line="276" w:lineRule="auto"/>
      </w:pPr>
      <w:r w:rsidRPr="00463489">
        <w:rPr>
          <w:lang w:val="el-GR"/>
        </w:rPr>
        <w:t xml:space="preserve">Β7. (ΔΩΣΕ ΣΤΟΝ ΣΥΜΜΕΤΕΧΟΝΤΑ ΤΗΝ ΕΠΟΜΕΝΗ ΚΑΡΤΑ ΕΡΩΤΗΣΗΣ).  </w:t>
      </w:r>
      <w:r w:rsidRPr="00463489">
        <w:rPr>
          <w:rFonts w:cs="Calibri"/>
          <w:bCs/>
          <w:lang w:val="el-GR"/>
        </w:rPr>
        <w:t>Σύμφωνα με αυτό το εσώκλειστο φυλλάδιο οδηγιών</w:t>
      </w:r>
      <w:r w:rsidRPr="00463489">
        <w:rPr>
          <w:rFonts w:cs="Calibri"/>
          <w:lang w:val="el-GR"/>
        </w:rPr>
        <w:t xml:space="preserve"> , ποιο χρονικό διάστημα πρέπει να μεσολαβήσει πριν κάποιος πάρει ένα χάπι  ξανά</w:t>
      </w:r>
      <w:r w:rsidRPr="00463489">
        <w:rPr>
          <w:rFonts w:cs="Calibri"/>
          <w:i/>
          <w:lang w:val="el-GR"/>
        </w:rPr>
        <w:t>;</w:t>
      </w:r>
      <w:r w:rsidRPr="00463489">
        <w:rPr>
          <w:rFonts w:cs="Calibri"/>
          <w:i/>
          <w:iCs/>
          <w:lang w:val="el-GR"/>
        </w:rPr>
        <w:t xml:space="preserve"> </w:t>
      </w:r>
      <w:r w:rsidRPr="003307A0">
        <w:t>(Κάρτα 4)</w:t>
      </w:r>
    </w:p>
    <w:p w:rsidR="00463489" w:rsidRPr="00F80CF1" w:rsidRDefault="00463489" w:rsidP="00463489">
      <w:pPr>
        <w:spacing w:line="276" w:lineRule="auto"/>
        <w:ind w:left="1440" w:hanging="1440"/>
      </w:pP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 xml:space="preserve">Ο ΣΥΜΜΕΤΕΧΟΝΤΑΣ ΛΕΕΙ «Σε διαστήματα 4 ωρών» Η «Κάθε 4 ώρες» </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62" o:spid="_x0000_s1072" alt="" style="position:absolute;margin-left:71pt;margin-top:9.45pt;width:24.5pt;height:38.3pt;z-index:251709440;visibility:visible;mso-wrap-edited:f;mso-position-horizontal-relative:text;mso-position-vertical-relative:text">
                  <v:path arrowok="t"/>
                </v:rect>
              </w:pict>
            </w:r>
            <w:r w:rsidR="00463489" w:rsidRPr="00866FFB">
              <w:rPr>
                <w:sz w:val="20"/>
                <w:szCs w:val="20"/>
              </w:rPr>
              <w:t>ΟΧΙ…2</w:t>
            </w:r>
          </w:p>
        </w:tc>
      </w:tr>
      <w:tr w:rsidR="00463489" w:rsidRPr="00857E34" w:rsidTr="00463489">
        <w:trPr>
          <w:trHeight w:val="688"/>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E041BC" w:rsidRDefault="00463489" w:rsidP="00463489">
            <w:pPr>
              <w:spacing w:line="276" w:lineRule="auto"/>
              <w:rPr>
                <w:sz w:val="18"/>
                <w:szCs w:val="18"/>
              </w:rPr>
            </w:pPr>
            <w:r w:rsidRPr="00463489">
              <w:rPr>
                <w:sz w:val="18"/>
                <w:szCs w:val="18"/>
                <w:lang w:val="el-GR"/>
              </w:rPr>
              <w:t>ΑΝ</w:t>
            </w:r>
            <w:r w:rsidRPr="00E041BC">
              <w:rPr>
                <w:sz w:val="18"/>
                <w:szCs w:val="18"/>
              </w:rPr>
              <w:t xml:space="preserve"> </w:t>
            </w:r>
            <w:r w:rsidRPr="00463489">
              <w:rPr>
                <w:sz w:val="18"/>
                <w:szCs w:val="18"/>
                <w:lang w:val="el-GR"/>
              </w:rPr>
              <w:t>ΟΧΙ</w:t>
            </w:r>
            <w:r w:rsidRPr="00E041BC">
              <w:rPr>
                <w:sz w:val="18"/>
                <w:szCs w:val="18"/>
              </w:rPr>
              <w:t xml:space="preserve">, </w:t>
            </w:r>
            <w:r w:rsidRPr="00463489">
              <w:rPr>
                <w:sz w:val="18"/>
                <w:szCs w:val="18"/>
                <w:lang w:val="el-GR"/>
              </w:rPr>
              <w:t>ΕΞΗΓΗΣΤΕ</w:t>
            </w:r>
            <w:r w:rsidRPr="00E041BC">
              <w:rPr>
                <w:sz w:val="18"/>
                <w:szCs w:val="18"/>
              </w:rPr>
              <w:t xml:space="preserve"> (</w:t>
            </w:r>
            <w:r w:rsidRPr="00463489">
              <w:rPr>
                <w:sz w:val="18"/>
                <w:szCs w:val="18"/>
                <w:lang w:val="el-GR"/>
              </w:rPr>
              <w:t>Π</w:t>
            </w:r>
            <w:r w:rsidRPr="00E041BC">
              <w:rPr>
                <w:sz w:val="18"/>
                <w:szCs w:val="18"/>
              </w:rPr>
              <w:t>.</w:t>
            </w:r>
            <w:r w:rsidRPr="00463489">
              <w:rPr>
                <w:sz w:val="18"/>
                <w:szCs w:val="18"/>
                <w:lang w:val="el-GR"/>
              </w:rPr>
              <w:t>Χ</w:t>
            </w:r>
            <w:r w:rsidRPr="00E041BC">
              <w:rPr>
                <w:sz w:val="18"/>
                <w:szCs w:val="18"/>
              </w:rPr>
              <w:t xml:space="preserve">., </w:t>
            </w:r>
            <w:r w:rsidRPr="00463489">
              <w:rPr>
                <w:sz w:val="18"/>
                <w:szCs w:val="18"/>
                <w:lang w:val="el-GR"/>
              </w:rPr>
              <w:t>ΕΙΠΕ</w:t>
            </w:r>
            <w:r w:rsidRPr="00E041BC">
              <w:rPr>
                <w:sz w:val="18"/>
                <w:szCs w:val="18"/>
              </w:rPr>
              <w:t xml:space="preserve"> «</w:t>
            </w:r>
            <w:r w:rsidRPr="00463489">
              <w:rPr>
                <w:sz w:val="18"/>
                <w:szCs w:val="18"/>
                <w:lang w:val="el-GR"/>
              </w:rPr>
              <w:t>ΚΑΘΕ</w:t>
            </w:r>
            <w:r w:rsidRPr="00E041BC">
              <w:rPr>
                <w:sz w:val="18"/>
                <w:szCs w:val="18"/>
              </w:rPr>
              <w:t xml:space="preserve"> 8 </w:t>
            </w:r>
            <w:r w:rsidRPr="00463489">
              <w:rPr>
                <w:sz w:val="18"/>
                <w:szCs w:val="18"/>
                <w:lang w:val="el-GR"/>
              </w:rPr>
              <w:t>ΩΡΕΣ</w:t>
            </w:r>
            <w:r w:rsidRPr="00E041BC">
              <w:rPr>
                <w:sz w:val="18"/>
                <w:szCs w:val="18"/>
              </w:rPr>
              <w:t>)</w:t>
            </w:r>
          </w:p>
        </w:tc>
      </w:tr>
    </w:tbl>
    <w:p w:rsidR="00463489" w:rsidRPr="00E041BC" w:rsidRDefault="00463489" w:rsidP="00463489">
      <w:pPr>
        <w:spacing w:line="276" w:lineRule="auto"/>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63" o:spid="_x0000_s1071" alt="" style="position:absolute;margin-left:380.85pt;margin-top:22.55pt;width:24.5pt;height:37pt;z-index:251710464;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lang w:val="el-GR"/>
              </w:rPr>
              <w:t>Αναφέρουν οι οδηγίες κάτι σχετικά με το χρονικό διάστημα που πρέπει να μεσολαβήσει πριν κάποιος πάρει τα χάπια ξανά;</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Β7α.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F80CF1" w:rsidRDefault="00463489" w:rsidP="00463489">
      <w:pPr>
        <w:spacing w:line="276" w:lineRule="auto"/>
        <w:ind w:left="1440" w:hanging="1440"/>
      </w:pPr>
    </w:p>
    <w:p w:rsidR="00463489" w:rsidRPr="00463489" w:rsidRDefault="00463489" w:rsidP="00463489">
      <w:pPr>
        <w:rPr>
          <w:lang w:val="el-GR"/>
        </w:rPr>
      </w:pPr>
      <w:r w:rsidRPr="00463489">
        <w:rPr>
          <w:lang w:val="el-GR"/>
        </w:rPr>
        <w:t xml:space="preserve">Ο ΕΞΕΤΑΣΤΗΣ ΛΕΕΙ: </w:t>
      </w:r>
      <w:r w:rsidRPr="00463489">
        <w:rPr>
          <w:b/>
          <w:lang w:val="el-GR"/>
        </w:rPr>
        <w:t>Τώρα παρακαλώ, απαντήστε στην εξής ερώτηση</w:t>
      </w:r>
    </w:p>
    <w:p w:rsidR="00463489" w:rsidRPr="00463489" w:rsidRDefault="00463489" w:rsidP="00463489">
      <w:pPr>
        <w:spacing w:line="276" w:lineRule="auto"/>
        <w:ind w:left="1440" w:hanging="1440"/>
        <w:rPr>
          <w:lang w:val="el-GR"/>
        </w:rPr>
      </w:pPr>
      <w:r w:rsidRPr="00463489">
        <w:rPr>
          <w:lang w:val="el-GR"/>
        </w:rPr>
        <w:t>ΔΩΣΕ ΤΗΝ ΚΑΡΤΑ ΕΡΩΤΗΣΗΣ ΣΤΟΝ ΣΥΜΜΕΤΕΧΟΝΤΑ</w:t>
      </w:r>
    </w:p>
    <w:p w:rsidR="00463489" w:rsidRPr="00463489" w:rsidRDefault="00463489" w:rsidP="00463489">
      <w:pPr>
        <w:spacing w:line="276" w:lineRule="auto"/>
        <w:ind w:left="1440" w:hanging="1440"/>
        <w:rPr>
          <w:lang w:val="el-GR"/>
        </w:rPr>
      </w:pPr>
    </w:p>
    <w:p w:rsidR="00463489" w:rsidRPr="003307A0" w:rsidRDefault="00463489" w:rsidP="00463489">
      <w:pPr>
        <w:autoSpaceDE w:val="0"/>
        <w:autoSpaceDN w:val="0"/>
        <w:adjustRightInd w:val="0"/>
        <w:spacing w:line="360" w:lineRule="auto"/>
        <w:ind w:left="426" w:hanging="284"/>
        <w:rPr>
          <w:rFonts w:cs="Calibri"/>
          <w:bCs/>
        </w:rPr>
      </w:pPr>
      <w:r w:rsidRPr="003307A0">
        <w:t>B</w:t>
      </w:r>
      <w:r w:rsidRPr="00463489">
        <w:rPr>
          <w:lang w:val="el-GR"/>
        </w:rPr>
        <w:t>.8 Μια</w:t>
      </w:r>
      <w:r w:rsidRPr="00463489">
        <w:rPr>
          <w:rFonts w:cs="Calibri"/>
          <w:bCs/>
          <w:lang w:val="el-GR"/>
        </w:rPr>
        <w:t xml:space="preserve"> ηλικιωμένη γυναίκα έπεσε περίπου δύο εβδομάδες πριν και παίρνει αυτά τα χάπια Ασπιρίνης διότι πονάει η μέση της από τότε. </w:t>
      </w:r>
      <w:r w:rsidRPr="003307A0">
        <w:rPr>
          <w:rFonts w:cs="Calibri"/>
          <w:bCs/>
        </w:rPr>
        <w:t xml:space="preserve">Σύμφωνα με το φυλλάδιο, τι πρέπει να κάνει; </w:t>
      </w:r>
      <w:r w:rsidRPr="003307A0">
        <w:t>(Κάρτα 5)</w:t>
      </w:r>
    </w:p>
    <w:p w:rsidR="00463489" w:rsidRPr="00F80CF1" w:rsidRDefault="00463489" w:rsidP="00463489">
      <w:pPr>
        <w:spacing w:line="276" w:lineRule="auto"/>
      </w:pP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0"/>
        <w:gridCol w:w="2474"/>
        <w:gridCol w:w="1302"/>
      </w:tblGrid>
      <w:tr w:rsidR="00463489" w:rsidRPr="00866FFB" w:rsidTr="00463489">
        <w:trPr>
          <w:trHeight w:val="235"/>
        </w:trPr>
        <w:tc>
          <w:tcPr>
            <w:tcW w:w="3670"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76"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567"/>
        </w:trPr>
        <w:tc>
          <w:tcPr>
            <w:tcW w:w="3670"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Ο ΣΥΜΜΕΤΕΧΟΝΤΑΣ ΛΕΕΙ: «Πρέπει να επικοινωνήσει με τον γιατρό της άμεσα»</w:t>
            </w:r>
          </w:p>
        </w:tc>
        <w:tc>
          <w:tcPr>
            <w:tcW w:w="2474"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2"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64" o:spid="_x0000_s1070" alt="" style="position:absolute;margin-left:71pt;margin-top:9.45pt;width:24.5pt;height:38.3pt;z-index:251711488;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934"/>
        </w:trPr>
        <w:tc>
          <w:tcPr>
            <w:tcW w:w="3670" w:type="dxa"/>
            <w:vMerge/>
          </w:tcPr>
          <w:p w:rsidR="00463489" w:rsidRPr="00866FFB" w:rsidRDefault="00463489" w:rsidP="00463489">
            <w:pPr>
              <w:spacing w:line="276" w:lineRule="auto"/>
              <w:rPr>
                <w:sz w:val="20"/>
                <w:szCs w:val="20"/>
              </w:rPr>
            </w:pPr>
          </w:p>
        </w:tc>
        <w:tc>
          <w:tcPr>
            <w:tcW w:w="3776"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(Π.Χ.,ΕΙΠΕ «ΤΙΠΟΤΑ»)</w:t>
            </w:r>
          </w:p>
        </w:tc>
      </w:tr>
    </w:tbl>
    <w:p w:rsidR="00463489" w:rsidRPr="00463489" w:rsidRDefault="00463489" w:rsidP="00463489">
      <w:pPr>
        <w:spacing w:line="276" w:lineRule="auto"/>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65" o:spid="_x0000_s1069" alt="" style="position:absolute;margin-left:380.85pt;margin-top:22.55pt;width:24.5pt;height:37pt;z-index:251712512;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lang w:val="el-GR"/>
              </w:rPr>
              <w:t>Αναφέρουν οι οδηγίες κάτι σχετικά με το τι πρέπει να κάνει κάποιος εάν ο πόνος διαρκεί για μεγαλύτερο χρονικό διάστημα;</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Β8α.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463489" w:rsidRDefault="00463489" w:rsidP="00463489">
      <w:pPr>
        <w:rPr>
          <w:lang w:val="el-GR"/>
        </w:rPr>
      </w:pPr>
      <w:r w:rsidRPr="00463489">
        <w:rPr>
          <w:b/>
          <w:lang w:val="el-GR"/>
        </w:rPr>
        <w:t>ΔΟΚΙΜΑΣΙΑ 2</w:t>
      </w:r>
      <w:r w:rsidR="00FA5BF6">
        <w:rPr>
          <w:lang w:val="el-GR"/>
        </w:rPr>
        <w:t>:</w:t>
      </w:r>
      <w:r w:rsidRPr="00463489">
        <w:rPr>
          <w:lang w:val="el-GR"/>
        </w:rPr>
        <w:t>ΠΑΡΟΥΣΙΑΣΕ ΤΟ ΙΑΤΡΙΚΟ ΙΣΤΟΡΙΚΟ ΣΤΟΝ ΣΥΜΜΕΤΕΧΟΝΤΑ ΚΑΙ ΠΕΣ:</w:t>
      </w:r>
    </w:p>
    <w:p w:rsidR="00463489" w:rsidRPr="00463489" w:rsidRDefault="00463489" w:rsidP="00463489">
      <w:pPr>
        <w:spacing w:line="276" w:lineRule="auto"/>
        <w:ind w:left="1440" w:hanging="1440"/>
        <w:rPr>
          <w:b/>
          <w:u w:val="single"/>
          <w:lang w:val="el-GR"/>
        </w:rPr>
      </w:pPr>
      <w:r w:rsidRPr="00463489">
        <w:rPr>
          <w:lang w:val="el-GR"/>
        </w:rPr>
        <w:tab/>
      </w:r>
      <w:r w:rsidRPr="00463489">
        <w:rPr>
          <w:rFonts w:cs="Calibri"/>
          <w:b/>
          <w:lang w:val="el-GR"/>
        </w:rPr>
        <w:t>Ένας άντρας ο οποίος ονομάζεται κ. Παπαδόπουλος πηγαίνει σε έναν καινούργιο γιατρό. Αυτό είναι ένα έντυπο, το οποίο οι ασθενείς πρέπει να συμπληρώσουν όταν βλέπουν έναν καινούργιο γιατρό. Παρακαλώ, κοιτάξτε αυτό το ιστορικό ασθενούς και έπειτα συμπληρώστε την ακόλουθη δραστηριότητα.</w:t>
      </w:r>
    </w:p>
    <w:p w:rsidR="00463489" w:rsidRPr="00463489" w:rsidRDefault="00463489" w:rsidP="00463489">
      <w:pPr>
        <w:spacing w:line="276" w:lineRule="auto"/>
        <w:ind w:left="1440" w:hanging="1440"/>
        <w:rPr>
          <w:u w:val="single"/>
          <w:lang w:val="el-GR"/>
        </w:rPr>
      </w:pPr>
    </w:p>
    <w:p w:rsidR="00463489" w:rsidRPr="00463489" w:rsidRDefault="00463489" w:rsidP="00463489">
      <w:pPr>
        <w:spacing w:line="276" w:lineRule="auto"/>
        <w:ind w:left="1440" w:hanging="1440"/>
        <w:rPr>
          <w:lang w:val="el-GR"/>
        </w:rPr>
      </w:pPr>
      <w:r w:rsidRPr="00463489">
        <w:rPr>
          <w:lang w:val="el-GR"/>
        </w:rPr>
        <w:t>ΔΩΣΕ ΤΗΝ ΚΑΡΤΑ ΕΡΩΤΗΣΗΣ ΣΤΟΝ ΣΥΜΜΕΤΕΧΟΝΤΑ</w:t>
      </w:r>
    </w:p>
    <w:p w:rsidR="00463489" w:rsidRPr="00F80CF1" w:rsidRDefault="00463489" w:rsidP="00463489">
      <w:pPr>
        <w:spacing w:line="276" w:lineRule="auto"/>
        <w:ind w:left="426" w:hanging="426"/>
      </w:pPr>
      <w:r w:rsidRPr="00463489">
        <w:rPr>
          <w:lang w:val="el-GR"/>
        </w:rPr>
        <w:t xml:space="preserve">Β9. </w:t>
      </w:r>
      <w:r w:rsidRPr="00463489">
        <w:rPr>
          <w:rFonts w:cs="Calibri"/>
          <w:bCs/>
          <w:lang w:val="el-GR"/>
        </w:rPr>
        <w:t xml:space="preserve">Σε ποιο σημείο αυτού του εντύπου θα γράψει ο κ. Παπαδόπουλος ότι καλύπτεται από την ασφάλεια του ΕΟΠΥΥ; </w:t>
      </w:r>
      <w:r w:rsidRPr="003307A0">
        <w:rPr>
          <w:rFonts w:cs="Calibri"/>
          <w:bCs/>
        </w:rPr>
        <w:t>Γράψτε το τώρα</w:t>
      </w:r>
      <w:r>
        <w:rPr>
          <w:rFonts w:cs="Calibri"/>
          <w:bCs/>
        </w:rPr>
        <w:t xml:space="preserve"> στο έντυπο</w:t>
      </w:r>
      <w:r w:rsidRPr="003307A0">
        <w:rPr>
          <w:rFonts w:cs="Calibri"/>
          <w:bCs/>
        </w:rPr>
        <w:t>.</w:t>
      </w:r>
      <w:r>
        <w:rPr>
          <w:rFonts w:cs="Calibri"/>
          <w:b/>
          <w:bCs/>
        </w:rPr>
        <w:t xml:space="preserve"> </w:t>
      </w:r>
      <w:r w:rsidRPr="00F80CF1">
        <w:t>(Κάρτα 6)</w:t>
      </w:r>
    </w:p>
    <w:p w:rsidR="00463489" w:rsidRPr="00F80CF1" w:rsidRDefault="00463489" w:rsidP="00463489">
      <w:pPr>
        <w:spacing w:line="276" w:lineRule="auto"/>
        <w:ind w:left="1440" w:hanging="1440"/>
      </w:pPr>
    </w:p>
    <w:tbl>
      <w:tblPr>
        <w:tblW w:w="0" w:type="auto"/>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C4694A" w:rsidP="00463489">
            <w:pPr>
              <w:spacing w:line="276" w:lineRule="auto"/>
              <w:rPr>
                <w:sz w:val="20"/>
                <w:szCs w:val="20"/>
                <w:lang w:val="el-GR"/>
              </w:rPr>
            </w:pPr>
            <w:r>
              <w:rPr>
                <w:noProof/>
                <w:sz w:val="22"/>
                <w:szCs w:val="22"/>
                <w:lang w:eastAsia="en-GB"/>
              </w:rPr>
              <w:pict>
                <v:rect id="Rectangle 66" o:spid="_x0000_s1068" alt="" style="position:absolute;margin-left:-46.25pt;margin-top:4.5pt;width:24.5pt;height:38.3pt;z-index:251713536;visibility:visible;mso-wrap-edited:f">
                  <v:path arrowok="t"/>
                </v:rect>
              </w:pict>
            </w:r>
            <w:r w:rsidR="00463489" w:rsidRPr="00463489">
              <w:rPr>
                <w:sz w:val="20"/>
                <w:szCs w:val="20"/>
                <w:lang w:val="el-GR"/>
              </w:rPr>
              <w:t>Ο ΣΥΜΜΕΤΕΧΟΝΤΑΣ ΓΡΑΦΕΙ: «ΕΟΠΥΥ» ΣΤΟ ΠΛΑΙΣΙΟ «ΑΣΦΑΛΕΙΑ» ΤΗΣ ΦΟΡΜΑΣ</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(Π.Χ.,ΔΕΝ ΕΓΡΑΨΕ ΚΑΤΙ)</w:t>
            </w:r>
          </w:p>
        </w:tc>
      </w:tr>
    </w:tbl>
    <w:p w:rsidR="00463489" w:rsidRPr="00463489" w:rsidRDefault="00463489" w:rsidP="00463489">
      <w:pPr>
        <w:spacing w:line="276" w:lineRule="auto"/>
        <w:rPr>
          <w:lang w:val="el-GR"/>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8"/>
        <w:gridCol w:w="1939"/>
        <w:gridCol w:w="2416"/>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67" o:spid="_x0000_s1067" alt="" style="position:absolute;margin-left:-45.35pt;margin-top:17.55pt;width:24.5pt;height:37pt;z-index:251714560;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iCs/>
                <w:lang w:val="el-GR"/>
              </w:rPr>
              <w:t>Βλέπετε κάποιο χώρο για πληροφορίες σχετικά με την ασφάλεια;</w:t>
            </w:r>
            <w:r w:rsidRPr="00463489">
              <w:rPr>
                <w:rFonts w:cs="Calibri"/>
                <w:b/>
                <w:bCs/>
                <w:lang w:val="el-GR"/>
              </w:rPr>
              <w:t xml:space="preserve">  </w:t>
            </w:r>
          </w:p>
        </w:tc>
      </w:tr>
      <w:tr w:rsidR="00463489" w:rsidRPr="00866FFB" w:rsidTr="00463489">
        <w:trPr>
          <w:trHeight w:val="632"/>
        </w:trPr>
        <w:tc>
          <w:tcPr>
            <w:tcW w:w="3158" w:type="dxa"/>
            <w:tcBorders>
              <w:right w:val="nil"/>
            </w:tcBorders>
            <w:vAlign w:val="center"/>
          </w:tcPr>
          <w:p w:rsidR="00463489" w:rsidRPr="00866FFB" w:rsidRDefault="00463489" w:rsidP="00463489">
            <w:pPr>
              <w:spacing w:line="276" w:lineRule="auto"/>
              <w:rPr>
                <w:sz w:val="20"/>
                <w:szCs w:val="20"/>
              </w:rPr>
            </w:pPr>
            <w:r w:rsidRPr="00866FFB">
              <w:rPr>
                <w:sz w:val="20"/>
                <w:szCs w:val="20"/>
              </w:rPr>
              <w:t>Β9α.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2416"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F80CF1" w:rsidRDefault="00463489" w:rsidP="00463489">
      <w:pPr>
        <w:spacing w:line="276" w:lineRule="auto"/>
        <w:ind w:left="1440" w:hanging="1440"/>
      </w:pPr>
    </w:p>
    <w:p w:rsidR="00463489" w:rsidRPr="00463489" w:rsidRDefault="00463489" w:rsidP="00463489">
      <w:pPr>
        <w:spacing w:line="276" w:lineRule="auto"/>
        <w:ind w:left="1440" w:hanging="1440"/>
        <w:rPr>
          <w:b/>
          <w:u w:val="single"/>
          <w:lang w:val="el-GR"/>
        </w:rPr>
      </w:pPr>
      <w:r w:rsidRPr="00463489">
        <w:rPr>
          <w:lang w:val="el-GR"/>
        </w:rPr>
        <w:br w:type="page"/>
        <w:t xml:space="preserve">Ο ΕΞΕΤΑΣΤΗΣ ΛΕΕΙ: </w:t>
      </w:r>
      <w:r w:rsidRPr="00463489">
        <w:rPr>
          <w:b/>
          <w:lang w:val="el-GR"/>
        </w:rPr>
        <w:t xml:space="preserve">Τώρα παρακαλώ, </w:t>
      </w:r>
      <w:r w:rsidRPr="00463489">
        <w:rPr>
          <w:rFonts w:cs="Calibri"/>
          <w:b/>
          <w:lang w:val="el-GR"/>
        </w:rPr>
        <w:t>συμπληρώστε αυτή τη δραστηριότητα.</w:t>
      </w:r>
    </w:p>
    <w:p w:rsidR="00463489" w:rsidRPr="00463489" w:rsidRDefault="00463489" w:rsidP="00463489">
      <w:pPr>
        <w:rPr>
          <w:lang w:val="el-GR"/>
        </w:rPr>
      </w:pPr>
    </w:p>
    <w:p w:rsidR="00463489" w:rsidRDefault="00463489" w:rsidP="00463489">
      <w:pPr>
        <w:spacing w:line="276" w:lineRule="auto"/>
        <w:ind w:left="567" w:hanging="567"/>
      </w:pPr>
      <w:r w:rsidRPr="00463489">
        <w:rPr>
          <w:lang w:val="el-GR"/>
        </w:rPr>
        <w:t xml:space="preserve">Β10. </w:t>
      </w:r>
      <w:r w:rsidRPr="003307A0">
        <w:rPr>
          <w:rFonts w:cs="Calibri"/>
          <w:bCs/>
        </w:rPr>
        <w:t>O</w:t>
      </w:r>
      <w:r w:rsidRPr="00463489">
        <w:rPr>
          <w:rFonts w:cs="Calibri"/>
          <w:bCs/>
          <w:lang w:val="el-GR"/>
        </w:rPr>
        <w:t xml:space="preserve"> κ. Παπαδόπουλος είχε ασταθή πίεση αίματος την τελευταία φορά που υπεβλήθη σε αναισθησία. Σε ποιο σημείο αυτού του εντύπου θα κάνει σημείωση αυτής της κατάστασης; </w:t>
      </w:r>
      <w:r w:rsidRPr="003307A0">
        <w:rPr>
          <w:rFonts w:cs="Calibri"/>
          <w:bCs/>
        </w:rPr>
        <w:t>Γράψτε το τώρα</w:t>
      </w:r>
      <w:r>
        <w:rPr>
          <w:rFonts w:cs="Calibri"/>
          <w:bCs/>
        </w:rPr>
        <w:t xml:space="preserve"> στο έντυπο</w:t>
      </w:r>
      <w:r w:rsidRPr="003307A0">
        <w:rPr>
          <w:rFonts w:cs="Calibri"/>
          <w:bCs/>
        </w:rPr>
        <w:t>.</w:t>
      </w:r>
      <w:r w:rsidRPr="003307A0">
        <w:t xml:space="preserve"> </w:t>
      </w:r>
      <w:r w:rsidRPr="00F80CF1">
        <w:t>(Κάρτα 7)</w:t>
      </w:r>
    </w:p>
    <w:p w:rsidR="00463489" w:rsidRPr="00F80CF1" w:rsidRDefault="00463489" w:rsidP="00463489">
      <w:pPr>
        <w:spacing w:line="276" w:lineRule="auto"/>
        <w:ind w:left="567" w:hanging="567"/>
      </w:pP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Β10</w:t>
            </w:r>
            <w:r w:rsidRPr="00463489">
              <w:rPr>
                <w:sz w:val="16"/>
                <w:szCs w:val="16"/>
                <w:lang w:val="el-GR"/>
              </w:rPr>
              <w:t>α</w:t>
            </w:r>
            <w:r w:rsidRPr="00463489">
              <w:rPr>
                <w:sz w:val="20"/>
                <w:szCs w:val="20"/>
                <w:lang w:val="el-GR"/>
              </w:rPr>
              <w:t>. Ο ΣΥΜΜΕΤΕΧΟΝΤΑΣ ΜΑΡΚΑΡΕΙ/ΤΣΕΚΑΡΕΙ  «Ναι» ΔΙΠΛΑ ΣΤΗΝ ΕΡΩΤΗΣΗ «ΕΙΧΑΤΕ ΠΟΤΕ ΕΠΙΠΛΟΚΕΣ ΑΝΑΙΣΘΗΣΙΑΣ»</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68" o:spid="_x0000_s1066" alt="" style="position:absolute;margin-left:71pt;margin-top:9.45pt;width:24.5pt;height:38.3pt;z-index:251715584;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(Π.Χ.,ΤΣΕΚΑΡΕ ΑΛΛΗ ΠΕΡΙΟΧΗ)</w:t>
            </w:r>
          </w:p>
        </w:tc>
      </w:tr>
    </w:tbl>
    <w:p w:rsidR="00463489" w:rsidRPr="00463489" w:rsidRDefault="00463489" w:rsidP="00463489">
      <w:pPr>
        <w:spacing w:line="276" w:lineRule="auto"/>
        <w:rPr>
          <w:lang w:val="el-GR"/>
        </w:rPr>
      </w:pP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Β10</w:t>
            </w:r>
            <w:r w:rsidRPr="00463489">
              <w:rPr>
                <w:sz w:val="16"/>
                <w:szCs w:val="16"/>
                <w:lang w:val="el-GR"/>
              </w:rPr>
              <w:t>β</w:t>
            </w:r>
            <w:r w:rsidRPr="00463489">
              <w:rPr>
                <w:sz w:val="20"/>
                <w:szCs w:val="20"/>
                <w:lang w:val="el-GR"/>
              </w:rPr>
              <w:t>. Ο ΣΥΜΜΕΤΕΧΟΝΤΑΣ ΓΡΑΦΕΙ «Ασταθής αρτηριακή πίεση» ΣΤΟ ΠΛΑΙΣΙΟ «ΠΑΡΑΚΑΛΩ ΠΕΡΙΓΡΑΨΤΕ»</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69" o:spid="_x0000_s1065" alt="" style="position:absolute;margin-left:71pt;margin-top:9.45pt;width:24.5pt;height:38.3pt;z-index:251716608;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1012"/>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(Π.Χ.,ΔΕΝ ΕΓΡΑΨΕ ΚΑΤΙ)</w:t>
            </w:r>
          </w:p>
        </w:tc>
      </w:tr>
    </w:tbl>
    <w:p w:rsidR="00463489" w:rsidRPr="00463489" w:rsidRDefault="00463489" w:rsidP="00463489">
      <w:pPr>
        <w:spacing w:line="276" w:lineRule="auto"/>
        <w:ind w:left="1440" w:hanging="1440"/>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70" o:spid="_x0000_s1064" alt="" style="position:absolute;margin-left:380.85pt;margin-top:22.55pt;width:24.5pt;height:37pt;z-index:251717632;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lang w:val="el-GR"/>
              </w:rPr>
            </w:pPr>
            <w:r w:rsidRPr="00463489">
              <w:rPr>
                <w:rFonts w:cs="Calibri"/>
                <w:i/>
                <w:lang w:val="el-GR"/>
              </w:rPr>
              <w:t>Σε ποιο σημείο αυτού του εντύπου έχει ερώτηση σχετικά με την αναισθησία;</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Β10</w:t>
            </w:r>
            <w:r w:rsidRPr="00866FFB">
              <w:rPr>
                <w:sz w:val="16"/>
                <w:szCs w:val="16"/>
              </w:rPr>
              <w:t>γ</w:t>
            </w:r>
            <w:r w:rsidRPr="00866FFB">
              <w:rPr>
                <w:sz w:val="20"/>
                <w:szCs w:val="20"/>
              </w:rPr>
              <w:t>.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F80CF1" w:rsidRDefault="00463489" w:rsidP="00463489">
      <w:pPr>
        <w:spacing w:line="276" w:lineRule="auto"/>
        <w:ind w:left="1440" w:hanging="1440"/>
      </w:pPr>
    </w:p>
    <w:p w:rsidR="00463489" w:rsidRPr="00F80CF1" w:rsidRDefault="00463489" w:rsidP="00463489"/>
    <w:p w:rsidR="00463489" w:rsidRPr="00F80CF1" w:rsidRDefault="00463489" w:rsidP="00463489">
      <w:pPr>
        <w:spacing w:line="276" w:lineRule="auto"/>
        <w:jc w:val="center"/>
        <w:rPr>
          <w:b/>
        </w:rPr>
      </w:pPr>
      <w:r>
        <w:rPr>
          <w:b/>
        </w:rPr>
        <w:br w:type="page"/>
      </w:r>
      <w:r w:rsidRPr="00F80CF1">
        <w:rPr>
          <w:b/>
        </w:rPr>
        <w:t>ΧΡΗΣΗ ΤΗΛΕΦΩΝΟΥ</w:t>
      </w:r>
    </w:p>
    <w:p w:rsidR="00463489" w:rsidRPr="00F80CF1" w:rsidRDefault="00463489" w:rsidP="00463489">
      <w:pPr>
        <w:spacing w:line="276" w:lineRule="auto"/>
        <w:jc w:val="center"/>
        <w:rPr>
          <w:b/>
        </w:rPr>
      </w:pPr>
    </w:p>
    <w:p w:rsidR="00463489" w:rsidRPr="00463489" w:rsidRDefault="00463489" w:rsidP="00463489">
      <w:pPr>
        <w:spacing w:line="276" w:lineRule="auto"/>
        <w:ind w:left="1440" w:hanging="1440"/>
        <w:rPr>
          <w:lang w:val="el-GR"/>
        </w:rPr>
      </w:pPr>
      <w:r w:rsidRPr="00463489">
        <w:rPr>
          <w:b/>
          <w:lang w:val="el-GR"/>
        </w:rPr>
        <w:t>ΔΟΚΙΜΑΣΙΑ 1</w:t>
      </w:r>
      <w:r w:rsidR="00FA5BF6">
        <w:rPr>
          <w:lang w:val="el-GR"/>
        </w:rPr>
        <w:t>:</w:t>
      </w:r>
      <w:r w:rsidRPr="00463489">
        <w:rPr>
          <w:lang w:val="el-GR"/>
        </w:rPr>
        <w:t>ΠΑΡΟΥΣΙΑΣΕ ΤΟ ΤΗΛΕΦΩΝΟ ΚΑΙ ΤΟΝ ΚΑΤΑΛΟΓΟ ΠΛΗΡΟΦΩΡΙΩΝ ΓΙΑ ΗΛΙΚΙΩΜΕΝΟΥΣ ΣΤΟΝ ΣΥΜΜΕΤΕΧΩΝΤΑ ΚΑΙ ΠΕΣ:</w:t>
      </w:r>
    </w:p>
    <w:p w:rsidR="00463489" w:rsidRPr="00463489" w:rsidRDefault="00463489" w:rsidP="00463489">
      <w:pPr>
        <w:spacing w:line="276" w:lineRule="auto"/>
        <w:rPr>
          <w:lang w:val="el-GR"/>
        </w:rPr>
      </w:pPr>
    </w:p>
    <w:p w:rsidR="00463489" w:rsidRPr="00463489" w:rsidRDefault="00463489" w:rsidP="00463489">
      <w:pPr>
        <w:autoSpaceDE w:val="0"/>
        <w:autoSpaceDN w:val="0"/>
        <w:adjustRightInd w:val="0"/>
        <w:spacing w:line="360" w:lineRule="auto"/>
        <w:rPr>
          <w:rFonts w:cs="Calibri"/>
          <w:b/>
          <w:lang w:val="el-GR"/>
        </w:rPr>
      </w:pPr>
      <w:r w:rsidRPr="00463489">
        <w:rPr>
          <w:rFonts w:cs="Calibri"/>
          <w:b/>
          <w:lang w:val="el-GR"/>
        </w:rPr>
        <w:t>Εδώ υπάρχει ένα τηλέφωνο με κουμπιά  και μια σελίδα από έναν τηλεφωνικό κατάλογο, ο οποίος έχει καταχωρημένες διάφορες υπηρεσίες για πολίτες μεγαλύτερης ηλικίας. Παρακαλώ κοιτάξτε αυτή τη σελίδα για λίγα λεπτά και μετά συμπληρώστε την δραστηριότητα που παρουσιάζεται εδώ.</w:t>
      </w:r>
    </w:p>
    <w:p w:rsidR="00463489" w:rsidRPr="00463489" w:rsidRDefault="00463489" w:rsidP="00463489">
      <w:pPr>
        <w:spacing w:line="276" w:lineRule="auto"/>
        <w:ind w:left="1440" w:hanging="1440"/>
        <w:rPr>
          <w:u w:val="single"/>
          <w:lang w:val="el-GR"/>
        </w:rPr>
      </w:pPr>
    </w:p>
    <w:p w:rsidR="00463489" w:rsidRPr="00463489" w:rsidRDefault="00463489" w:rsidP="00463489">
      <w:pPr>
        <w:autoSpaceDE w:val="0"/>
        <w:autoSpaceDN w:val="0"/>
        <w:adjustRightInd w:val="0"/>
        <w:spacing w:line="360" w:lineRule="auto"/>
        <w:ind w:left="426" w:hanging="426"/>
        <w:rPr>
          <w:rFonts w:cs="Calibri"/>
          <w:b/>
          <w:bCs/>
          <w:lang w:val="el-GR"/>
        </w:rPr>
      </w:pPr>
      <w:r w:rsidRPr="00463489">
        <w:rPr>
          <w:lang w:val="el-GR"/>
        </w:rPr>
        <w:t xml:space="preserve">Γ.1 </w:t>
      </w:r>
      <w:r w:rsidRPr="00463489">
        <w:rPr>
          <w:rFonts w:cs="Calibri"/>
          <w:bCs/>
          <w:lang w:val="el-GR"/>
        </w:rPr>
        <w:t>Ποιο τηλέφωνο θα καλούσατε εάν θα θέλατε να μάθετε για επιδοτούμενη διαμονή σε κατοικίες  για ηλικιωμένους ή οίκους ευγηρίας; Μπορείτε να χρησιμοποιήσετε ένα στυλό για να βρείτε το νούμερο σε αυτή τη σελίδα. Παρακαλώ, δείξτε το νούμερο, διαβάστε το δυνατά και  καλέστε. (Κάρτα 8)</w:t>
      </w:r>
    </w:p>
    <w:p w:rsidR="00463489" w:rsidRPr="00463489" w:rsidRDefault="00463489" w:rsidP="00463489">
      <w:pPr>
        <w:spacing w:line="276" w:lineRule="auto"/>
        <w:ind w:left="426" w:hanging="426"/>
        <w:rPr>
          <w:u w:val="single"/>
          <w:lang w:val="el-GR"/>
        </w:rPr>
      </w:pPr>
      <w:r w:rsidRPr="00463489">
        <w:rPr>
          <w:u w:val="single"/>
          <w:lang w:val="el-GR"/>
        </w:rPr>
        <w:t xml:space="preserve"> </w:t>
      </w: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Ο ΣΥΜΜΕΤΕΧΟΝΤΑΣ ΒΡΙΣΚΕΙ/ΔΕΙΧΝΕΙ/ΕΞΕΤΑΖΕΙ ΤΗΝ ΣΤΗΛΗ «ΚΑΤΟΙΚΙΕΣ»</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71" o:spid="_x0000_s1063" alt="" style="position:absolute;margin-left:71pt;margin-top:9.45pt;width:24.5pt;height:38.3pt;z-index:251718656;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638"/>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(Π.Χ.,ΔΕΙΧΝΕΙ ΑΛΛΗ ΣΤΗΛΗ)</w:t>
            </w:r>
          </w:p>
        </w:tc>
      </w:tr>
    </w:tbl>
    <w:p w:rsidR="00463489" w:rsidRPr="00463489" w:rsidRDefault="00463489" w:rsidP="00463489">
      <w:pPr>
        <w:spacing w:line="276" w:lineRule="auto"/>
        <w:ind w:left="1440" w:hanging="1440"/>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72" o:spid="_x0000_s1062" alt="" style="position:absolute;margin-left:380.85pt;margin-top:22.55pt;width:24.5pt;height:37pt;z-index:251719680;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rPr>
                <w:rFonts w:cs="Calibri"/>
                <w:i/>
                <w:lang w:val="el-GR"/>
              </w:rPr>
            </w:pPr>
            <w:r w:rsidRPr="00463489">
              <w:rPr>
                <w:rFonts w:cs="Calibri"/>
                <w:i/>
                <w:lang w:val="el-GR"/>
              </w:rPr>
              <w:t>Μπορείτε να δείτε κάποιες πληροφορίες σε αυτή τη σελίδα οι οποίες αναφέρονται σε κατοικίες;</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Γ1</w:t>
            </w:r>
            <w:r w:rsidRPr="00866FFB">
              <w:rPr>
                <w:sz w:val="16"/>
                <w:szCs w:val="16"/>
              </w:rPr>
              <w:t>α</w:t>
            </w:r>
            <w:r w:rsidRPr="00866FFB">
              <w:rPr>
                <w:sz w:val="20"/>
                <w:szCs w:val="20"/>
              </w:rPr>
              <w:t>.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F80CF1" w:rsidRDefault="00463489" w:rsidP="00FA5BF6">
      <w:pPr>
        <w:spacing w:line="276" w:lineRule="auto"/>
      </w:pPr>
    </w:p>
    <w:p w:rsidR="00463489" w:rsidRPr="00F80CF1" w:rsidRDefault="00463489" w:rsidP="00463489">
      <w:pPr>
        <w:spacing w:line="276" w:lineRule="auto"/>
        <w:ind w:left="1440" w:hanging="1440"/>
      </w:pPr>
      <w:r w:rsidRPr="00F80CF1">
        <w:t xml:space="preserve">Γ.2 </w:t>
      </w: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18"/>
        <w:gridCol w:w="2653"/>
        <w:gridCol w:w="1316"/>
      </w:tblGrid>
      <w:tr w:rsidR="00463489" w:rsidRPr="00866FFB" w:rsidTr="00463489">
        <w:tc>
          <w:tcPr>
            <w:tcW w:w="3518"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969"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518" w:type="dxa"/>
            <w:vMerge w:val="restart"/>
          </w:tcPr>
          <w:p w:rsidR="00463489" w:rsidRPr="00866FFB" w:rsidRDefault="00463489" w:rsidP="00463489">
            <w:pPr>
              <w:spacing w:line="276" w:lineRule="auto"/>
              <w:rPr>
                <w:sz w:val="20"/>
                <w:szCs w:val="20"/>
              </w:rPr>
            </w:pPr>
          </w:p>
          <w:p w:rsidR="00463489" w:rsidRPr="00866FFB" w:rsidRDefault="00463489" w:rsidP="00463489">
            <w:pPr>
              <w:spacing w:line="276" w:lineRule="auto"/>
              <w:rPr>
                <w:sz w:val="20"/>
                <w:szCs w:val="20"/>
              </w:rPr>
            </w:pPr>
            <w:r w:rsidRPr="00866FFB">
              <w:rPr>
                <w:sz w:val="20"/>
                <w:szCs w:val="20"/>
              </w:rPr>
              <w:t>Ο ΣΥΜΜΕΤΕΧΟΝΤΑΣ  ΚΑΛΕΙ ΤΟ</w:t>
            </w:r>
          </w:p>
          <w:p w:rsidR="00463489" w:rsidRPr="00866FFB" w:rsidRDefault="00463489" w:rsidP="00463489">
            <w:pPr>
              <w:spacing w:line="276" w:lineRule="auto"/>
              <w:rPr>
                <w:sz w:val="20"/>
                <w:szCs w:val="20"/>
              </w:rPr>
            </w:pPr>
            <w:r w:rsidRPr="00866FFB">
              <w:rPr>
                <w:sz w:val="20"/>
                <w:szCs w:val="20"/>
              </w:rPr>
              <w:t xml:space="preserve"> «2310-285692»</w:t>
            </w:r>
          </w:p>
        </w:tc>
        <w:tc>
          <w:tcPr>
            <w:tcW w:w="2653"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16"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73" o:spid="_x0000_s1061" alt="" style="position:absolute;margin-left:71pt;margin-top:9.45pt;width:24.5pt;height:38.3pt;z-index:251720704;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395"/>
        </w:trPr>
        <w:tc>
          <w:tcPr>
            <w:tcW w:w="3518" w:type="dxa"/>
            <w:vMerge/>
          </w:tcPr>
          <w:p w:rsidR="00463489" w:rsidRPr="00866FFB" w:rsidRDefault="00463489" w:rsidP="00463489">
            <w:pPr>
              <w:spacing w:line="276" w:lineRule="auto"/>
              <w:rPr>
                <w:sz w:val="20"/>
                <w:szCs w:val="20"/>
              </w:rPr>
            </w:pPr>
          </w:p>
        </w:tc>
        <w:tc>
          <w:tcPr>
            <w:tcW w:w="3969"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(Π.Χ.,ΚΑΛΕΣΕ ΤΟ 2310-510440)</w:t>
            </w:r>
          </w:p>
        </w:tc>
      </w:tr>
    </w:tbl>
    <w:p w:rsidR="00463489" w:rsidRPr="00463489" w:rsidRDefault="00463489" w:rsidP="00463489">
      <w:pPr>
        <w:spacing w:line="276" w:lineRule="auto"/>
        <w:ind w:left="1440" w:hanging="1440"/>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74" o:spid="_x0000_s1060" alt="" style="position:absolute;margin-left:380.85pt;margin-top:22.55pt;width:24.5pt;height:37pt;z-index:251721728;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b/>
                <w:bCs/>
                <w:i/>
                <w:lang w:val="el-GR"/>
              </w:rPr>
            </w:pPr>
            <w:r w:rsidRPr="00463489">
              <w:rPr>
                <w:rFonts w:cs="Calibri"/>
                <w:i/>
                <w:lang w:val="el-GR"/>
              </w:rPr>
              <w:t>Παρακαλώ θα ήθελα να σας δω να καλείται τον αριθμό.</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Γ2</w:t>
            </w:r>
            <w:r w:rsidRPr="00866FFB">
              <w:rPr>
                <w:sz w:val="16"/>
                <w:szCs w:val="16"/>
              </w:rPr>
              <w:t>α</w:t>
            </w:r>
            <w:r w:rsidRPr="00866FFB">
              <w:rPr>
                <w:sz w:val="20"/>
                <w:szCs w:val="20"/>
              </w:rPr>
              <w:t>.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FA5BF6" w:rsidRDefault="00FA5BF6" w:rsidP="00463489">
      <w:pPr>
        <w:rPr>
          <w:b/>
          <w:lang w:val="el-GR"/>
        </w:rPr>
      </w:pPr>
    </w:p>
    <w:p w:rsidR="00FA5BF6" w:rsidRPr="005D6C71" w:rsidRDefault="00FA5BF6">
      <w:pPr>
        <w:rPr>
          <w:b/>
          <w:lang w:val="en-US"/>
        </w:rPr>
      </w:pPr>
    </w:p>
    <w:p w:rsidR="00463489" w:rsidRDefault="00463489" w:rsidP="00463489">
      <w:pPr>
        <w:rPr>
          <w:lang w:val="el-GR"/>
        </w:rPr>
      </w:pPr>
      <w:r w:rsidRPr="00463489">
        <w:rPr>
          <w:b/>
          <w:lang w:val="el-GR"/>
        </w:rPr>
        <w:t>ΔΟΚΙΜΑΣΙΑ 2</w:t>
      </w:r>
      <w:r w:rsidR="00FA5BF6">
        <w:rPr>
          <w:lang w:val="el-GR"/>
        </w:rPr>
        <w:t>:</w:t>
      </w:r>
      <w:r w:rsidRPr="00463489">
        <w:rPr>
          <w:lang w:val="el-GR"/>
        </w:rPr>
        <w:t xml:space="preserve">ΠΑΡΟΥΣΙΑΣΕ ΤΗΝ ΣΕΛΙΔΑ ΑΠΟ ΤΟΝ </w:t>
      </w:r>
      <w:r w:rsidRPr="00463489">
        <w:rPr>
          <w:i/>
          <w:lang w:val="el-GR"/>
        </w:rPr>
        <w:t>ΧΡΥΣΟ ΟΔΗΓΟ</w:t>
      </w:r>
      <w:r w:rsidRPr="00463489">
        <w:rPr>
          <w:lang w:val="el-GR"/>
        </w:rPr>
        <w:t xml:space="preserve"> ΚΑΙ ΠΕΣ:</w:t>
      </w:r>
    </w:p>
    <w:p w:rsidR="00FA5BF6" w:rsidRPr="00463489" w:rsidRDefault="00FA5BF6" w:rsidP="00463489">
      <w:pPr>
        <w:rPr>
          <w:b/>
          <w:lang w:val="el-GR"/>
        </w:rPr>
      </w:pPr>
    </w:p>
    <w:p w:rsidR="00463489" w:rsidRDefault="00463489" w:rsidP="00463489">
      <w:pPr>
        <w:autoSpaceDE w:val="0"/>
        <w:autoSpaceDN w:val="0"/>
        <w:adjustRightInd w:val="0"/>
        <w:ind w:left="720"/>
        <w:rPr>
          <w:rFonts w:cs="Calibri"/>
          <w:b/>
          <w:bCs/>
          <w:lang w:val="el-GR"/>
        </w:rPr>
      </w:pPr>
      <w:r w:rsidRPr="00463489">
        <w:rPr>
          <w:rFonts w:cs="Calibri"/>
          <w:b/>
          <w:lang w:val="el-GR"/>
        </w:rPr>
        <w:t xml:space="preserve">Αυτή είναι μια σελίδα από τον </w:t>
      </w:r>
      <w:r w:rsidRPr="00463489">
        <w:rPr>
          <w:rFonts w:cs="Calibri"/>
          <w:b/>
          <w:bCs/>
          <w:lang w:val="el-GR"/>
        </w:rPr>
        <w:t xml:space="preserve">Χρυσό Οδηγό. </w:t>
      </w:r>
      <w:r w:rsidRPr="00463489">
        <w:rPr>
          <w:rFonts w:cs="Calibri"/>
          <w:b/>
          <w:lang w:val="el-GR"/>
        </w:rPr>
        <w:t xml:space="preserve"> Παρακαλώ κοιτάξτε τη σελίδα για λίγα λεπτά και μετά συμπληρώστε την δραστηριότητα που </w:t>
      </w:r>
      <w:r w:rsidRPr="00463489">
        <w:rPr>
          <w:rFonts w:cs="Calibri"/>
          <w:b/>
          <w:bCs/>
          <w:lang w:val="el-GR"/>
        </w:rPr>
        <w:t>βρίσκεται σε αυτή τη κάρτα.</w:t>
      </w:r>
    </w:p>
    <w:p w:rsidR="00FA5BF6" w:rsidRPr="00463489" w:rsidRDefault="00FA5BF6" w:rsidP="00463489">
      <w:pPr>
        <w:autoSpaceDE w:val="0"/>
        <w:autoSpaceDN w:val="0"/>
        <w:adjustRightInd w:val="0"/>
        <w:ind w:left="720"/>
        <w:rPr>
          <w:rFonts w:cs="Calibri"/>
          <w:b/>
          <w:bCs/>
          <w:lang w:val="el-GR"/>
        </w:rPr>
      </w:pPr>
    </w:p>
    <w:p w:rsidR="00463489" w:rsidRPr="00463489" w:rsidRDefault="00463489" w:rsidP="00463489">
      <w:pPr>
        <w:spacing w:line="276" w:lineRule="auto"/>
        <w:ind w:left="1440" w:hanging="1440"/>
        <w:rPr>
          <w:u w:val="single"/>
          <w:lang w:val="el-GR"/>
        </w:rPr>
      </w:pPr>
      <w:r w:rsidRPr="00463489">
        <w:rPr>
          <w:lang w:val="el-GR"/>
        </w:rPr>
        <w:t>ΔΩΣΕ ΤΗΝ ΚΑΡΤΑ ΕΡΩΤΗΣΗΣ ΣΤΟΝ ΣΥΜΜΕΤΕΧΟΝΤΑ</w:t>
      </w:r>
    </w:p>
    <w:p w:rsidR="00463489" w:rsidRPr="00463489" w:rsidRDefault="00463489" w:rsidP="00463489">
      <w:pPr>
        <w:spacing w:line="276" w:lineRule="auto"/>
        <w:ind w:left="1440" w:hanging="1440"/>
        <w:rPr>
          <w:u w:val="single"/>
          <w:lang w:val="el-GR"/>
        </w:rPr>
      </w:pPr>
    </w:p>
    <w:p w:rsidR="00463489" w:rsidRPr="00463489" w:rsidRDefault="00463489" w:rsidP="00463489">
      <w:pPr>
        <w:autoSpaceDE w:val="0"/>
        <w:autoSpaceDN w:val="0"/>
        <w:adjustRightInd w:val="0"/>
        <w:spacing w:line="360" w:lineRule="auto"/>
        <w:ind w:left="284" w:hanging="284"/>
        <w:rPr>
          <w:rFonts w:cs="Calibri"/>
          <w:bCs/>
          <w:lang w:val="el-GR"/>
        </w:rPr>
      </w:pPr>
      <w:r w:rsidRPr="00463489">
        <w:rPr>
          <w:lang w:val="el-GR"/>
        </w:rPr>
        <w:t xml:space="preserve">Γ.3 </w:t>
      </w:r>
      <w:r w:rsidRPr="00463489">
        <w:rPr>
          <w:rFonts w:cs="Calibri"/>
          <w:bCs/>
          <w:lang w:val="el-GR"/>
        </w:rPr>
        <w:t>Ποιο νούμερο θα καλούσατε εάν ψάχνατε ένα σκεύασμα από φαρμακείο; Μπορείτε να χρησιμοποιήσετε ένα στυλό και για να βρείτε το νούμερο σε αυτή τη σελίδα.  Παρακαλώ δείξτε το νούμερο, διαβάστε το δυνατά και  καλέστε. (Κάρτα 9)</w:t>
      </w:r>
    </w:p>
    <w:p w:rsidR="00463489" w:rsidRPr="00463489" w:rsidRDefault="00463489" w:rsidP="00463489">
      <w:pPr>
        <w:spacing w:line="276" w:lineRule="auto"/>
        <w:ind w:left="1440" w:hanging="1440"/>
        <w:rPr>
          <w:lang w:val="el-GR"/>
        </w:rPr>
      </w:pPr>
    </w:p>
    <w:tbl>
      <w:tblPr>
        <w:tblW w:w="0" w:type="auto"/>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C4694A" w:rsidP="00463489">
            <w:pPr>
              <w:spacing w:line="276" w:lineRule="auto"/>
              <w:rPr>
                <w:sz w:val="20"/>
                <w:szCs w:val="20"/>
                <w:lang w:val="el-GR"/>
              </w:rPr>
            </w:pPr>
            <w:r>
              <w:rPr>
                <w:noProof/>
                <w:sz w:val="22"/>
                <w:szCs w:val="22"/>
                <w:lang w:eastAsia="en-GB"/>
              </w:rPr>
              <w:pict>
                <v:rect id="Rectangle 75" o:spid="_x0000_s1059" alt="" style="position:absolute;margin-left:-46.25pt;margin-top:4.5pt;width:24.5pt;height:38.3pt;z-index:251722752;visibility:visible;mso-wrap-edited:f">
                  <v:path arrowok="t"/>
                </v:rect>
              </w:pict>
            </w:r>
            <w:r w:rsidR="00463489" w:rsidRPr="00463489">
              <w:rPr>
                <w:sz w:val="20"/>
                <w:szCs w:val="20"/>
                <w:lang w:val="el-GR"/>
              </w:rPr>
              <w:t>Ο ΣΥΜΜΕΤΕΧΟΝΤΑΣ ΒΡΙΣΚΕΙ/ΔΕΙΧΝΕΙ/ΕΞΕΤΑΖΕΙ ΤΗΝ ΔΙΑΦΗΜΙΣΗ ΤΟΥ ΦΑΡΜΑΚΕΙΟΥ</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(Π.Χ.,ΕΔΕΙΞΕ ΑΛΛΟ)</w:t>
            </w:r>
          </w:p>
        </w:tc>
      </w:tr>
    </w:tbl>
    <w:p w:rsidR="00463489" w:rsidRPr="00463489" w:rsidRDefault="00463489" w:rsidP="00463489">
      <w:pPr>
        <w:spacing w:line="276" w:lineRule="auto"/>
        <w:ind w:left="1440" w:hanging="1440"/>
        <w:rPr>
          <w:lang w:val="el-GR"/>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8"/>
        <w:gridCol w:w="1939"/>
        <w:gridCol w:w="2416"/>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76" o:spid="_x0000_s1058" alt="" style="position:absolute;margin-left:-45.35pt;margin-top:17.55pt;width:24.5pt;height:37pt;z-index:251723776;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iCs/>
                <w:lang w:val="el-GR"/>
              </w:rPr>
            </w:pPr>
            <w:r w:rsidRPr="00463489">
              <w:rPr>
                <w:rFonts w:cs="Calibri"/>
                <w:i/>
                <w:iCs/>
                <w:lang w:val="el-GR"/>
              </w:rPr>
              <w:t>Μπορείτε να μου δείξετε τα διαφημιζόμενα φαρμακεία;</w:t>
            </w:r>
          </w:p>
        </w:tc>
      </w:tr>
      <w:tr w:rsidR="00463489" w:rsidRPr="00866FFB" w:rsidTr="00463489">
        <w:trPr>
          <w:trHeight w:val="632"/>
        </w:trPr>
        <w:tc>
          <w:tcPr>
            <w:tcW w:w="3158" w:type="dxa"/>
            <w:tcBorders>
              <w:right w:val="nil"/>
            </w:tcBorders>
            <w:vAlign w:val="center"/>
          </w:tcPr>
          <w:p w:rsidR="00463489" w:rsidRPr="00866FFB" w:rsidRDefault="00463489" w:rsidP="00463489">
            <w:pPr>
              <w:spacing w:line="276" w:lineRule="auto"/>
              <w:rPr>
                <w:sz w:val="20"/>
                <w:szCs w:val="20"/>
              </w:rPr>
            </w:pPr>
            <w:r w:rsidRPr="00866FFB">
              <w:rPr>
                <w:sz w:val="20"/>
                <w:szCs w:val="20"/>
              </w:rPr>
              <w:t>Γ3α.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2416"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Pr>
        <w:spacing w:line="276" w:lineRule="auto"/>
        <w:ind w:left="1440" w:hanging="1440"/>
      </w:pPr>
      <w:r>
        <w:t>Γ.4</w:t>
      </w:r>
    </w:p>
    <w:tbl>
      <w:tblPr>
        <w:tblW w:w="0" w:type="auto"/>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C4694A" w:rsidP="00463489">
            <w:pPr>
              <w:spacing w:line="276" w:lineRule="auto"/>
              <w:rPr>
                <w:sz w:val="20"/>
                <w:szCs w:val="20"/>
                <w:lang w:val="el-GR"/>
              </w:rPr>
            </w:pPr>
            <w:r>
              <w:rPr>
                <w:noProof/>
                <w:sz w:val="22"/>
                <w:szCs w:val="22"/>
                <w:lang w:eastAsia="en-GB"/>
              </w:rPr>
              <w:pict>
                <v:rect id="Rectangle 77" o:spid="_x0000_s1057" alt="" style="position:absolute;margin-left:-46.25pt;margin-top:4.5pt;width:24.5pt;height:38.3pt;z-index:251724800;visibility:visible;mso-wrap-edited:f">
                  <v:path arrowok="t"/>
                </v:rect>
              </w:pict>
            </w:r>
            <w:r w:rsidR="00463489" w:rsidRPr="00463489">
              <w:rPr>
                <w:sz w:val="20"/>
                <w:szCs w:val="20"/>
                <w:lang w:val="el-GR"/>
              </w:rPr>
              <w:t>Ο ΣΥΜΜΕΤΕΧΟΝΤΑΣ ΚΑΛΕΙ ΚΑΙ ΛΕΕΙ ΦΩΝΑΧΤΑ «2310-513541»</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(Π.Χ.,ΠΗΡΕ 2310-208484)</w:t>
            </w:r>
          </w:p>
        </w:tc>
      </w:tr>
    </w:tbl>
    <w:p w:rsidR="00463489" w:rsidRPr="00463489" w:rsidRDefault="00463489" w:rsidP="00463489">
      <w:pPr>
        <w:spacing w:line="276" w:lineRule="auto"/>
        <w:ind w:left="1440" w:hanging="1440"/>
        <w:rPr>
          <w:lang w:val="el-GR"/>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8"/>
        <w:gridCol w:w="1939"/>
        <w:gridCol w:w="2416"/>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78" o:spid="_x0000_s1056" alt="" style="position:absolute;margin-left:-45.35pt;margin-top:17.55pt;width:24.5pt;height:37pt;z-index:251725824;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b/>
                <w:bCs/>
                <w:i/>
                <w:iCs/>
                <w:lang w:val="el-GR"/>
              </w:rPr>
            </w:pPr>
            <w:r w:rsidRPr="00463489">
              <w:rPr>
                <w:rFonts w:cs="Calibri"/>
                <w:i/>
                <w:iCs/>
                <w:lang w:val="el-GR"/>
              </w:rPr>
              <w:t>Παρακαλώ θα ήθελα να σας δω να καλείται τον αριθμό.</w:t>
            </w:r>
          </w:p>
        </w:tc>
      </w:tr>
      <w:tr w:rsidR="00463489" w:rsidRPr="00866FFB" w:rsidTr="00463489">
        <w:trPr>
          <w:trHeight w:val="632"/>
        </w:trPr>
        <w:tc>
          <w:tcPr>
            <w:tcW w:w="3158" w:type="dxa"/>
            <w:tcBorders>
              <w:right w:val="nil"/>
            </w:tcBorders>
            <w:vAlign w:val="center"/>
          </w:tcPr>
          <w:p w:rsidR="00463489" w:rsidRPr="00866FFB" w:rsidRDefault="00463489" w:rsidP="00463489">
            <w:pPr>
              <w:spacing w:line="276" w:lineRule="auto"/>
              <w:rPr>
                <w:sz w:val="20"/>
                <w:szCs w:val="20"/>
              </w:rPr>
            </w:pPr>
            <w:r w:rsidRPr="00866FFB">
              <w:rPr>
                <w:sz w:val="20"/>
                <w:szCs w:val="20"/>
              </w:rPr>
              <w:t>Γ4α.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2416"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 w:rsidR="00FA5BF6" w:rsidRDefault="00463489" w:rsidP="00463489">
      <w:pPr>
        <w:spacing w:line="276" w:lineRule="auto"/>
        <w:ind w:left="1440" w:hanging="1440"/>
        <w:rPr>
          <w:lang w:val="el-GR"/>
        </w:rPr>
      </w:pPr>
      <w:r w:rsidRPr="00463489">
        <w:rPr>
          <w:b/>
          <w:lang w:val="el-GR"/>
        </w:rPr>
        <w:t>ΔΟΚΙΜΑΣΙΑ 3</w:t>
      </w:r>
      <w:r w:rsidR="00FA5BF6">
        <w:rPr>
          <w:lang w:val="el-GR"/>
        </w:rPr>
        <w:t>:</w:t>
      </w:r>
      <w:r w:rsidRPr="00463489">
        <w:rPr>
          <w:lang w:val="el-GR"/>
        </w:rPr>
        <w:t xml:space="preserve">ΠΑΡΟΥΣΙΑΣΕ ΤΟΝ ΠΙΝΑΚΑ ΧΡΕΩΣΕΩΝ ΓΙΑ ΥΠΕΡΑΣΤΙΚΑ ΤΗΛΕΦΩΝΑ ΚΑΙ ΠΕΣ: </w:t>
      </w:r>
    </w:p>
    <w:p w:rsidR="00FA5BF6" w:rsidRDefault="00FA5BF6" w:rsidP="00463489">
      <w:pPr>
        <w:spacing w:line="276" w:lineRule="auto"/>
        <w:ind w:left="1440" w:hanging="1440"/>
        <w:rPr>
          <w:rFonts w:cs="Calibri"/>
          <w:b/>
          <w:lang w:val="el-GR"/>
        </w:rPr>
      </w:pPr>
    </w:p>
    <w:p w:rsidR="00463489" w:rsidRPr="00463489" w:rsidRDefault="00463489" w:rsidP="00FA5BF6">
      <w:pPr>
        <w:spacing w:line="276" w:lineRule="auto"/>
        <w:ind w:left="851" w:right="851"/>
        <w:rPr>
          <w:lang w:val="el-GR"/>
        </w:rPr>
      </w:pPr>
      <w:r w:rsidRPr="00463489">
        <w:rPr>
          <w:rFonts w:cs="Calibri"/>
          <w:b/>
          <w:lang w:val="el-GR"/>
        </w:rPr>
        <w:t xml:space="preserve">Αυτός είναι ένας </w:t>
      </w:r>
      <w:r w:rsidRPr="00463489">
        <w:rPr>
          <w:rFonts w:cs="Calibri"/>
          <w:b/>
          <w:bCs/>
          <w:lang w:val="el-GR"/>
        </w:rPr>
        <w:t xml:space="preserve"> πίνακας χρεώσεων </w:t>
      </w:r>
      <w:r w:rsidRPr="00463489">
        <w:rPr>
          <w:rFonts w:cs="Calibri"/>
          <w:b/>
          <w:lang w:val="el-GR"/>
        </w:rPr>
        <w:t>από ένα</w:t>
      </w:r>
      <w:r w:rsidR="00FA5BF6">
        <w:rPr>
          <w:rFonts w:cs="Calibri"/>
          <w:b/>
          <w:lang w:val="el-GR"/>
        </w:rPr>
        <w:t xml:space="preserve">ν τηλεφωνικό κατάλογο. Παρακαλώ </w:t>
      </w:r>
      <w:r w:rsidRPr="00463489">
        <w:rPr>
          <w:rFonts w:cs="Calibri"/>
          <w:b/>
          <w:lang w:val="el-GR"/>
        </w:rPr>
        <w:t>κοιτάξτε τις χρεώσεις για λίγα λεπτά και μετά συμπληρώστε την δραστηριότητα αυτής της κάρτα</w:t>
      </w:r>
      <w:r w:rsidRPr="00463489">
        <w:rPr>
          <w:rFonts w:cs="Calibri"/>
          <w:b/>
          <w:bCs/>
          <w:lang w:val="el-GR"/>
        </w:rPr>
        <w:t>.</w:t>
      </w:r>
    </w:p>
    <w:p w:rsidR="00463489" w:rsidRPr="00463489" w:rsidRDefault="00463489" w:rsidP="00463489">
      <w:pPr>
        <w:spacing w:line="276" w:lineRule="auto"/>
        <w:ind w:left="1440" w:hanging="1440"/>
        <w:rPr>
          <w:lang w:val="el-GR"/>
        </w:rPr>
      </w:pPr>
    </w:p>
    <w:p w:rsidR="00463489" w:rsidRPr="00463489" w:rsidRDefault="00463489" w:rsidP="00463489">
      <w:pPr>
        <w:spacing w:line="276" w:lineRule="auto"/>
        <w:ind w:left="1440" w:hanging="1440"/>
        <w:rPr>
          <w:u w:val="single"/>
          <w:lang w:val="el-GR"/>
        </w:rPr>
      </w:pPr>
      <w:r w:rsidRPr="00463489">
        <w:rPr>
          <w:lang w:val="el-GR"/>
        </w:rPr>
        <w:t>ΔΩΣΕ ΤΗΝ ΚΑΡΤΑ ΕΡΩΤΗΣΗΣ ΣΤΟΝ ΣΥΜΜΕΤΕΧΟΝΤΑ</w:t>
      </w:r>
    </w:p>
    <w:p w:rsidR="00463489" w:rsidRPr="00463489" w:rsidRDefault="00463489" w:rsidP="00463489">
      <w:pPr>
        <w:spacing w:line="276" w:lineRule="auto"/>
        <w:ind w:left="1440" w:hanging="1440"/>
        <w:rPr>
          <w:u w:val="single"/>
          <w:lang w:val="el-GR"/>
        </w:rPr>
      </w:pPr>
    </w:p>
    <w:p w:rsidR="00463489" w:rsidRPr="00892E1B" w:rsidRDefault="00463489" w:rsidP="00463489">
      <w:pPr>
        <w:autoSpaceDE w:val="0"/>
        <w:autoSpaceDN w:val="0"/>
        <w:adjustRightInd w:val="0"/>
        <w:spacing w:line="360" w:lineRule="auto"/>
        <w:ind w:left="284" w:hanging="284"/>
        <w:rPr>
          <w:rFonts w:cs="Calibri"/>
          <w:bCs/>
        </w:rPr>
      </w:pPr>
      <w:r w:rsidRPr="00463489">
        <w:rPr>
          <w:lang w:val="el-GR"/>
        </w:rPr>
        <w:t>Γ.5</w:t>
      </w:r>
      <w:r w:rsidRPr="00463489">
        <w:rPr>
          <w:rFonts w:cs="Calibri"/>
          <w:b/>
          <w:bCs/>
          <w:lang w:val="el-GR"/>
        </w:rPr>
        <w:t xml:space="preserve"> </w:t>
      </w:r>
      <w:r w:rsidRPr="00463489">
        <w:rPr>
          <w:rFonts w:cs="Calibri"/>
          <w:bCs/>
          <w:lang w:val="el-GR"/>
        </w:rPr>
        <w:t xml:space="preserve">Εάν πραγματοποιήσεις μια υπεραστική κλήση  την Κυριακή το βράδυ από τις 10:30 μμ μέχρι τις 11:00 μμ, ποιες χρεώσεις ισχύουν για υπεραστικές κλήσεις; Πρώτα βρείτε την περιοχή σε αυτή την σελίδα. Μπορείτε να χρησιμοποιήσετε ένα στυλό για να βρείτε την τοποθεσία σε αυτή τη σελίδα. </w:t>
      </w:r>
      <w:r w:rsidRPr="00892E1B">
        <w:rPr>
          <w:rFonts w:cs="Calibri"/>
          <w:bCs/>
        </w:rPr>
        <w:t>Παρακαλώ πείτε μου ποιες χρεώσεις πιστεύετε ότι ισχύουν. (Κ</w:t>
      </w:r>
      <w:r>
        <w:rPr>
          <w:rFonts w:cs="Calibri"/>
          <w:bCs/>
        </w:rPr>
        <w:t>άρτα</w:t>
      </w:r>
      <w:r w:rsidRPr="00892E1B">
        <w:rPr>
          <w:rFonts w:cs="Calibri"/>
          <w:bCs/>
        </w:rPr>
        <w:t xml:space="preserve"> 10)</w:t>
      </w:r>
    </w:p>
    <w:p w:rsidR="00463489" w:rsidRDefault="00463489" w:rsidP="00463489">
      <w:pPr>
        <w:spacing w:line="276" w:lineRule="auto"/>
        <w:ind w:left="1440" w:hanging="1440"/>
      </w:pP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 xml:space="preserve">Ο ΣΥΜΜΕΤΕΧΟΝΤΑΣ ΒΡΙΣΚΕΙ/ΔΕΙΧΝΕΙ/ΕΞΕΤΑΖΕΙ </w:t>
            </w:r>
            <w:r w:rsidRPr="00866FFB">
              <w:rPr>
                <w:sz w:val="20"/>
                <w:szCs w:val="20"/>
                <w:lang w:val="en-US"/>
              </w:rPr>
              <w:t>THN</w:t>
            </w:r>
            <w:r w:rsidRPr="00463489">
              <w:rPr>
                <w:sz w:val="20"/>
                <w:szCs w:val="20"/>
                <w:lang w:val="el-GR"/>
              </w:rPr>
              <w:t xml:space="preserve"> ΣΩΣΤ</w:t>
            </w:r>
            <w:r w:rsidRPr="00866FFB">
              <w:rPr>
                <w:sz w:val="20"/>
                <w:szCs w:val="20"/>
                <w:lang w:val="en-US"/>
              </w:rPr>
              <w:t>H</w:t>
            </w:r>
            <w:r w:rsidRPr="00463489">
              <w:rPr>
                <w:sz w:val="20"/>
                <w:szCs w:val="20"/>
                <w:lang w:val="el-GR"/>
              </w:rPr>
              <w:t xml:space="preserve"> (Περίοδος ‘Εκπτωσης) ΣΤΗΛΗ ΧΡΕΩΣΗΣ ΣΤΟΝ ΠΙΝΑΚΑ</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79" o:spid="_x0000_s1055" alt="" style="position:absolute;margin-left:71pt;margin-top:9.45pt;width:24.5pt;height:38.3pt;z-index:251726848;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(Π.Χ.,ΔΕΙΧΝΕΙ ΑΛΛΗ ΣΤΗΛΗ)</w:t>
            </w:r>
          </w:p>
        </w:tc>
      </w:tr>
    </w:tbl>
    <w:p w:rsidR="00463489" w:rsidRPr="00463489" w:rsidRDefault="00463489" w:rsidP="00463489">
      <w:pPr>
        <w:spacing w:line="276" w:lineRule="auto"/>
        <w:ind w:left="1440" w:hanging="1440"/>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80" o:spid="_x0000_s1054" alt="" style="position:absolute;margin-left:380.85pt;margin-top:22.55pt;width:24.5pt;height:37pt;z-index:251727872;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i/>
                <w:lang w:val="el-GR"/>
              </w:rPr>
            </w:pPr>
            <w:r w:rsidRPr="00463489">
              <w:rPr>
                <w:rFonts w:cs="Calibri"/>
                <w:i/>
                <w:lang w:val="el-GR"/>
              </w:rPr>
              <w:t>Σε ποιο σημείο αυτού του πίνακα βλέπετε τις ημέρες της εβδομάδας και την ώρα της ημέρας;</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Γ5</w:t>
            </w:r>
            <w:r w:rsidRPr="00866FFB">
              <w:rPr>
                <w:sz w:val="16"/>
                <w:szCs w:val="16"/>
              </w:rPr>
              <w:t>α</w:t>
            </w:r>
            <w:r w:rsidRPr="00866FFB">
              <w:rPr>
                <w:sz w:val="20"/>
                <w:szCs w:val="20"/>
              </w:rPr>
              <w:t>.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Pr>
        <w:spacing w:line="276" w:lineRule="auto"/>
        <w:ind w:left="1440" w:hanging="1440"/>
      </w:pPr>
      <w:r>
        <w:t>Γ.6</w:t>
      </w: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Ο ΣΥΜΜΕΤΕΧΟΝΤΑΣ ΛΕΕΙ «Η Περίοδος ‘Εκπτωσης »</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81" o:spid="_x0000_s1053" alt="" style="position:absolute;margin-left:71pt;margin-top:9.45pt;width:24.5pt;height:38.3pt;z-index:251728896;visibility:visible;mso-wrap-edited:f;mso-position-horizontal-relative:text;mso-position-vertical-relative:text">
                  <v:path arrowok="t"/>
                </v:rect>
              </w:pict>
            </w:r>
            <w:r w:rsidR="00463489" w:rsidRPr="00866FFB">
              <w:rPr>
                <w:sz w:val="20"/>
                <w:szCs w:val="20"/>
              </w:rPr>
              <w:t>ΟΧΙ…2</w:t>
            </w:r>
          </w:p>
        </w:tc>
      </w:tr>
      <w:tr w:rsidR="00463489" w:rsidRPr="00E041BC" w:rsidTr="00463489">
        <w:trPr>
          <w:trHeight w:val="1095"/>
        </w:trPr>
        <w:tc>
          <w:tcPr>
            <w:tcW w:w="3686" w:type="dxa"/>
            <w:vMerge/>
          </w:tcPr>
          <w:p w:rsidR="00463489" w:rsidRPr="00866FFB" w:rsidRDefault="00463489" w:rsidP="00463489">
            <w:pPr>
              <w:spacing w:line="276" w:lineRule="auto"/>
              <w:rPr>
                <w:sz w:val="20"/>
                <w:szCs w:val="20"/>
              </w:rPr>
            </w:pPr>
          </w:p>
        </w:tc>
        <w:tc>
          <w:tcPr>
            <w:tcW w:w="3793" w:type="dxa"/>
            <w:gridSpan w:val="2"/>
            <w:tcBorders>
              <w:top w:val="nil"/>
            </w:tcBorders>
          </w:tcPr>
          <w:p w:rsidR="00463489" w:rsidRPr="00463489" w:rsidRDefault="00463489" w:rsidP="00463489">
            <w:pPr>
              <w:spacing w:line="276" w:lineRule="auto"/>
              <w:rPr>
                <w:sz w:val="18"/>
                <w:szCs w:val="18"/>
                <w:lang w:val="el-GR"/>
              </w:rPr>
            </w:pPr>
            <w:r w:rsidRPr="00463489">
              <w:rPr>
                <w:sz w:val="18"/>
                <w:szCs w:val="18"/>
                <w:lang w:val="el-GR"/>
              </w:rPr>
              <w:t>ΑΝ ΟΧΙ, ΕΞΗΓΗΣΤΕ (Π.Χ.,ΕΙΠΕ «ΤΗΝ ΜΕΓΑΛΥΤΕΡΗ ΧΡΕΩΣΗ»)</w:t>
            </w:r>
          </w:p>
        </w:tc>
      </w:tr>
    </w:tbl>
    <w:p w:rsidR="00463489" w:rsidRPr="00463489" w:rsidRDefault="00463489" w:rsidP="00463489">
      <w:pPr>
        <w:spacing w:line="276" w:lineRule="auto"/>
        <w:ind w:left="1440" w:hanging="1440"/>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82" o:spid="_x0000_s1052" alt="" style="position:absolute;margin-left:380.85pt;margin-top:22.55pt;width:24.5pt;height:37pt;z-index:251729920;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spacing w:line="276" w:lineRule="auto"/>
              <w:ind w:left="1440" w:hanging="1440"/>
              <w:rPr>
                <w:u w:val="single"/>
                <w:lang w:val="el-GR"/>
              </w:rPr>
            </w:pPr>
            <w:r w:rsidRPr="00463489">
              <w:rPr>
                <w:rFonts w:cs="Calibri"/>
                <w:i/>
                <w:lang w:val="el-GR"/>
              </w:rPr>
              <w:t>Παρακαλώ δείξτε μου τις ισχύουσες χρεώσεις.</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Γ6</w:t>
            </w:r>
            <w:r w:rsidRPr="00866FFB">
              <w:rPr>
                <w:sz w:val="16"/>
                <w:szCs w:val="16"/>
              </w:rPr>
              <w:t>α</w:t>
            </w:r>
            <w:r w:rsidRPr="00866FFB">
              <w:rPr>
                <w:sz w:val="20"/>
                <w:szCs w:val="20"/>
              </w:rPr>
              <w:t>.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 w:rsidR="00FA5BF6" w:rsidRDefault="00FA5BF6" w:rsidP="00463489">
      <w:pPr>
        <w:spacing w:line="276" w:lineRule="auto"/>
        <w:jc w:val="center"/>
        <w:rPr>
          <w:b/>
        </w:rPr>
      </w:pPr>
    </w:p>
    <w:p w:rsidR="00463489" w:rsidRPr="00FA5BF6" w:rsidRDefault="00463489" w:rsidP="00463489">
      <w:pPr>
        <w:spacing w:line="276" w:lineRule="auto"/>
        <w:jc w:val="center"/>
        <w:rPr>
          <w:b/>
          <w:lang w:val="el-GR"/>
        </w:rPr>
      </w:pPr>
      <w:r w:rsidRPr="00FA5BF6">
        <w:rPr>
          <w:b/>
          <w:lang w:val="el-GR"/>
        </w:rPr>
        <w:t>ΔΙΑΧΕΙΡΙΣΗ ΟΙΚΟΝΟΜΙΚΩΝ</w:t>
      </w:r>
    </w:p>
    <w:p w:rsidR="00463489" w:rsidRPr="00FA5BF6" w:rsidRDefault="00463489" w:rsidP="00463489">
      <w:pPr>
        <w:spacing w:line="276" w:lineRule="auto"/>
        <w:jc w:val="center"/>
        <w:rPr>
          <w:b/>
          <w:lang w:val="el-GR"/>
        </w:rPr>
      </w:pPr>
    </w:p>
    <w:p w:rsidR="00FA5BF6" w:rsidRDefault="00463489" w:rsidP="00463489">
      <w:pPr>
        <w:spacing w:line="276" w:lineRule="auto"/>
        <w:ind w:left="1440" w:hanging="1440"/>
        <w:rPr>
          <w:lang w:val="el-GR"/>
        </w:rPr>
      </w:pPr>
      <w:r w:rsidRPr="00463489">
        <w:rPr>
          <w:b/>
          <w:lang w:val="el-GR"/>
        </w:rPr>
        <w:t>ΔΟΚΙΜΑΣΙΑ 1</w:t>
      </w:r>
      <w:r w:rsidR="00FA5BF6">
        <w:rPr>
          <w:lang w:val="el-GR"/>
        </w:rPr>
        <w:t>:</w:t>
      </w:r>
      <w:r w:rsidRPr="00463489">
        <w:rPr>
          <w:lang w:val="el-GR"/>
        </w:rPr>
        <w:t xml:space="preserve">Ο ΕΞΕΤΑΣΤΗΣ ΔΕΙΧΝΕΙ ΣΤΟΝ ΣΥΜΜΕΤΕΧΟΝΤΑ ΤΟΝ ΛΟΓΑΡΙΑΣΜΟ ΕΝΟΣ ΓΡΗΓΟΡΟΥ ΓΕΥΜΑΤΟΣ ΑΠΟ ΤΟ «ΠΑΡΑΔΟΣΙΑΚΟ ΜΙΚΡΟΓΕΥΜΑΤΑ» ΚΑΙ ΠΑΡΟΥΣΙΑΖΕΙ ΤΟ ΣΥΝΟΛΟ ΤΩΝ 12.70€ ΣΕ 1 ΧΑΡΤΟΝΟΜΙΣΜΑ ΤΩΝ 5€, 2 ΚΕΡΜΑΤΑ ΤΩΝ 2€, 2 ΚΕΡΜΑΤΑ ΤΟΥ 1ος €, 6 ΚΕΡΜΑΤΑ ΤΩΝ 20 ΣΕΝΤ, 3 ΚΕΡΜΑΤΑ ΤΩΝ 10 ΣΕΝΤ, ΚΑΙ 4 ΚΕΡΜΑΤΑ ΤΩΝ 5 ΣΕΝΤ. Ο ΕΞΕΤΑΣΤΗΣ ΛΕΕΙ:  </w:t>
      </w:r>
    </w:p>
    <w:p w:rsidR="00FA5BF6" w:rsidRDefault="00FA5BF6" w:rsidP="00FA5BF6">
      <w:pPr>
        <w:spacing w:line="276" w:lineRule="auto"/>
        <w:rPr>
          <w:b/>
          <w:lang w:val="el-GR"/>
        </w:rPr>
      </w:pPr>
    </w:p>
    <w:p w:rsidR="00463489" w:rsidRPr="00463489" w:rsidRDefault="00463489" w:rsidP="00FA5BF6">
      <w:pPr>
        <w:spacing w:line="276" w:lineRule="auto"/>
        <w:rPr>
          <w:rFonts w:cs="Calibri"/>
          <w:b/>
          <w:lang w:val="el-GR"/>
        </w:rPr>
      </w:pPr>
      <w:r w:rsidRPr="00463489">
        <w:rPr>
          <w:rFonts w:cs="Calibri"/>
          <w:b/>
          <w:lang w:val="el-GR"/>
        </w:rPr>
        <w:t xml:space="preserve">Αυτός είναι ο λογαριασμός ενός γεύματος τον οποίο ένα άτομο πρέπει να πληρώσει. Εδώ επίσης υπάρχουν και κάποια </w:t>
      </w:r>
      <w:r w:rsidRPr="00463489">
        <w:rPr>
          <w:rFonts w:cs="Calibri"/>
          <w:b/>
          <w:bCs/>
          <w:lang w:val="el-GR"/>
        </w:rPr>
        <w:t xml:space="preserve">ψιλά. </w:t>
      </w:r>
      <w:r w:rsidRPr="00463489">
        <w:rPr>
          <w:rFonts w:cs="Calibri"/>
          <w:b/>
          <w:lang w:val="el-GR"/>
        </w:rPr>
        <w:t>Παρακαλώ κοιτάξτε αυτόν τον λογαριασμό και μετά συμπληρώστε την ακόλουθη δραστηριότητα αυτής της κάρτα.</w:t>
      </w:r>
    </w:p>
    <w:p w:rsidR="00463489" w:rsidRPr="00463489" w:rsidRDefault="00463489" w:rsidP="00463489">
      <w:pPr>
        <w:spacing w:line="276" w:lineRule="auto"/>
        <w:ind w:left="1440" w:hanging="1440"/>
        <w:rPr>
          <w:lang w:val="el-GR"/>
        </w:rPr>
      </w:pPr>
    </w:p>
    <w:p w:rsidR="00463489" w:rsidRPr="00463489" w:rsidRDefault="00463489" w:rsidP="00463489">
      <w:pPr>
        <w:spacing w:line="276" w:lineRule="auto"/>
        <w:ind w:left="1440" w:hanging="1440"/>
        <w:rPr>
          <w:u w:val="single"/>
          <w:lang w:val="el-GR"/>
        </w:rPr>
      </w:pPr>
      <w:r w:rsidRPr="00463489">
        <w:rPr>
          <w:lang w:val="el-GR"/>
        </w:rPr>
        <w:t xml:space="preserve"> (ΔΩΣΕ ΤΗΝ ΚΑΡΤΑ ΕΡΩΤΗΣΗΣ ΣΤΟΝ ΣΥΜΜΕΤΕΧΟΝΤΑ)</w:t>
      </w:r>
    </w:p>
    <w:p w:rsidR="00463489" w:rsidRPr="00463489" w:rsidRDefault="00463489" w:rsidP="00463489">
      <w:pPr>
        <w:spacing w:line="276" w:lineRule="auto"/>
        <w:ind w:left="1440" w:hanging="1440"/>
        <w:rPr>
          <w:lang w:val="el-GR"/>
        </w:rPr>
      </w:pPr>
    </w:p>
    <w:p w:rsidR="00463489" w:rsidRPr="00892E1B" w:rsidRDefault="00463489" w:rsidP="00463489">
      <w:pPr>
        <w:autoSpaceDE w:val="0"/>
        <w:autoSpaceDN w:val="0"/>
        <w:adjustRightInd w:val="0"/>
        <w:spacing w:line="360" w:lineRule="auto"/>
        <w:ind w:left="426" w:hanging="426"/>
        <w:rPr>
          <w:rFonts w:cs="Calibri"/>
          <w:i/>
          <w:iCs/>
        </w:rPr>
      </w:pPr>
      <w:r w:rsidRPr="00463489">
        <w:rPr>
          <w:lang w:val="el-GR"/>
        </w:rPr>
        <w:t>Δ1.</w:t>
      </w:r>
      <w:r w:rsidRPr="00463489">
        <w:rPr>
          <w:rFonts w:cs="Calibri"/>
          <w:b/>
          <w:bCs/>
          <w:lang w:val="el-GR"/>
        </w:rPr>
        <w:t xml:space="preserve"> </w:t>
      </w:r>
      <w:r w:rsidRPr="00463489">
        <w:rPr>
          <w:rFonts w:cs="Calibri"/>
          <w:bCs/>
          <w:lang w:val="el-GR"/>
        </w:rPr>
        <w:t>Παρακαλώ υπολογίστε τα ρέστα που θα πάρει ο πελάτης εάν πλήρωνε με ένα χαρτονόμισμα των  €10.00.</w:t>
      </w:r>
      <w:r w:rsidRPr="00463489">
        <w:rPr>
          <w:rFonts w:cs="Calibri"/>
          <w:b/>
          <w:bCs/>
          <w:lang w:val="el-GR"/>
        </w:rPr>
        <w:t xml:space="preserve"> </w:t>
      </w:r>
      <w:r w:rsidRPr="00463489">
        <w:rPr>
          <w:rFonts w:cs="Calibri"/>
          <w:i/>
          <w:iCs/>
          <w:lang w:val="el-GR"/>
        </w:rPr>
        <w:t xml:space="preserve"> </w:t>
      </w:r>
      <w:r>
        <w:t>(Κάρτα 11)</w:t>
      </w:r>
    </w:p>
    <w:tbl>
      <w:tblPr>
        <w:tblW w:w="0" w:type="auto"/>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18"/>
        <w:gridCol w:w="2961"/>
      </w:tblGrid>
      <w:tr w:rsidR="00463489" w:rsidRPr="00866FFB" w:rsidTr="00463489">
        <w:tc>
          <w:tcPr>
            <w:tcW w:w="4518"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2961" w:type="dxa"/>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4518" w:type="dxa"/>
          </w:tcPr>
          <w:p w:rsidR="00463489" w:rsidRPr="00463489" w:rsidRDefault="00C4694A" w:rsidP="00463489">
            <w:pPr>
              <w:rPr>
                <w:sz w:val="20"/>
                <w:szCs w:val="20"/>
                <w:lang w:val="el-GR"/>
              </w:rPr>
            </w:pPr>
            <w:r>
              <w:rPr>
                <w:noProof/>
                <w:sz w:val="22"/>
                <w:szCs w:val="22"/>
                <w:lang w:eastAsia="en-GB"/>
              </w:rPr>
              <w:pict>
                <v:rect id="Rectangle 83" o:spid="_x0000_s1051" alt="" style="position:absolute;margin-left:-40.75pt;margin-top:5pt;width:24.5pt;height:28.95pt;z-index:251730944;visibility:visible;mso-wrap-edited:f;mso-position-horizontal-relative:text;mso-position-vertical-relative:text">
                  <v:path arrowok="t"/>
                </v:rect>
              </w:pict>
            </w:r>
          </w:p>
          <w:p w:rsidR="00463489" w:rsidRPr="00463489" w:rsidRDefault="00463489" w:rsidP="00463489">
            <w:pPr>
              <w:rPr>
                <w:sz w:val="20"/>
                <w:szCs w:val="20"/>
                <w:lang w:val="el-GR"/>
              </w:rPr>
            </w:pPr>
            <w:r w:rsidRPr="00463489">
              <w:rPr>
                <w:sz w:val="20"/>
                <w:szCs w:val="20"/>
                <w:lang w:val="el-GR"/>
              </w:rPr>
              <w:t>Δ1</w:t>
            </w:r>
            <w:r w:rsidRPr="00463489">
              <w:rPr>
                <w:sz w:val="20"/>
                <w:szCs w:val="20"/>
                <w:vertAlign w:val="subscript"/>
                <w:lang w:val="el-GR"/>
              </w:rPr>
              <w:t>α</w:t>
            </w:r>
            <w:r w:rsidRPr="00463489">
              <w:rPr>
                <w:sz w:val="20"/>
                <w:szCs w:val="20"/>
                <w:lang w:val="el-GR"/>
              </w:rPr>
              <w:t xml:space="preserve">. </w:t>
            </w:r>
            <w:r w:rsidRPr="00463489">
              <w:rPr>
                <w:sz w:val="20"/>
                <w:szCs w:val="20"/>
                <w:u w:val="single"/>
                <w:lang w:val="el-GR"/>
              </w:rPr>
              <w:t xml:space="preserve">3.15€ </w:t>
            </w:r>
            <w:r w:rsidRPr="00463489">
              <w:rPr>
                <w:b/>
                <w:sz w:val="20"/>
                <w:szCs w:val="20"/>
                <w:u w:val="single"/>
                <w:lang w:val="el-GR"/>
              </w:rPr>
              <w:t>ΜΕΤΡΗΜΕΝΑ</w:t>
            </w:r>
            <w:r w:rsidRPr="00463489">
              <w:rPr>
                <w:sz w:val="20"/>
                <w:szCs w:val="20"/>
                <w:u w:val="single"/>
                <w:lang w:val="el-GR"/>
              </w:rPr>
              <w:t xml:space="preserve"> ΩΣ:</w:t>
            </w:r>
          </w:p>
          <w:p w:rsidR="00463489" w:rsidRPr="00463489" w:rsidRDefault="00463489" w:rsidP="00463489">
            <w:pPr>
              <w:jc w:val="center"/>
              <w:rPr>
                <w:sz w:val="20"/>
                <w:szCs w:val="20"/>
                <w:lang w:val="el-GR"/>
              </w:rPr>
            </w:pPr>
            <w:r w:rsidRPr="00463489">
              <w:rPr>
                <w:sz w:val="20"/>
                <w:szCs w:val="20"/>
                <w:lang w:val="el-GR"/>
              </w:rPr>
              <w:t>1</w:t>
            </w:r>
            <w:r w:rsidRPr="00866FFB">
              <w:rPr>
                <w:sz w:val="20"/>
                <w:szCs w:val="20"/>
                <w:lang w:val="en-US"/>
              </w:rPr>
              <w:t>x</w:t>
            </w:r>
            <w:r w:rsidRPr="00463489">
              <w:rPr>
                <w:sz w:val="20"/>
                <w:szCs w:val="20"/>
                <w:lang w:val="el-GR"/>
              </w:rPr>
              <w:t>2€ ΚΕΡΜΑ+1€ ΚΕΡΜΑ+10 ΣΕΝΤΣ+5 ΣΕΝΤΣ</w:t>
            </w:r>
          </w:p>
        </w:tc>
        <w:tc>
          <w:tcPr>
            <w:tcW w:w="2961" w:type="dxa"/>
            <w:vAlign w:val="center"/>
          </w:tcPr>
          <w:p w:rsidR="00463489" w:rsidRPr="00866FFB" w:rsidRDefault="00463489" w:rsidP="00463489">
            <w:pPr>
              <w:spacing w:line="276" w:lineRule="auto"/>
              <w:rPr>
                <w:sz w:val="20"/>
                <w:szCs w:val="20"/>
              </w:rPr>
            </w:pPr>
            <w:r w:rsidRPr="00463489">
              <w:rPr>
                <w:sz w:val="20"/>
                <w:szCs w:val="20"/>
                <w:lang w:val="el-GR"/>
              </w:rPr>
              <w:t xml:space="preserve">   </w:t>
            </w:r>
            <w:r w:rsidRPr="00866FFB">
              <w:rPr>
                <w:sz w:val="20"/>
                <w:szCs w:val="20"/>
              </w:rPr>
              <w:t>ΝΑΙ…1                             ΟΧΙ…2</w:t>
            </w:r>
          </w:p>
        </w:tc>
      </w:tr>
      <w:tr w:rsidR="00463489" w:rsidRPr="00866FFB" w:rsidTr="00463489">
        <w:trPr>
          <w:trHeight w:val="665"/>
        </w:trPr>
        <w:tc>
          <w:tcPr>
            <w:tcW w:w="4518" w:type="dxa"/>
          </w:tcPr>
          <w:p w:rsidR="00463489" w:rsidRPr="00E041BC" w:rsidRDefault="00C4694A" w:rsidP="00463489">
            <w:pPr>
              <w:rPr>
                <w:sz w:val="20"/>
                <w:szCs w:val="20"/>
              </w:rPr>
            </w:pPr>
            <w:r>
              <w:rPr>
                <w:noProof/>
                <w:sz w:val="22"/>
                <w:szCs w:val="22"/>
                <w:lang w:eastAsia="en-GB"/>
              </w:rPr>
              <w:pict>
                <v:rect id="Rectangle 84" o:spid="_x0000_s1050" alt="" style="position:absolute;margin-left:-40.75pt;margin-top:4.85pt;width:24.5pt;height:28.95pt;z-index:251731968;visibility:visible;mso-wrap-edited:f;mso-position-horizontal-relative:text;mso-position-vertical-relative:text">
                  <v:path arrowok="t"/>
                </v:rect>
              </w:pict>
            </w:r>
          </w:p>
          <w:p w:rsidR="00463489" w:rsidRPr="00E041BC" w:rsidRDefault="00463489" w:rsidP="00463489">
            <w:pPr>
              <w:rPr>
                <w:sz w:val="20"/>
                <w:szCs w:val="20"/>
              </w:rPr>
            </w:pPr>
            <w:r w:rsidRPr="00463489">
              <w:rPr>
                <w:sz w:val="20"/>
                <w:szCs w:val="20"/>
                <w:lang w:val="el-GR"/>
              </w:rPr>
              <w:t>Δ</w:t>
            </w:r>
            <w:r w:rsidRPr="00E041BC">
              <w:rPr>
                <w:sz w:val="20"/>
                <w:szCs w:val="20"/>
              </w:rPr>
              <w:t>1</w:t>
            </w:r>
            <w:r w:rsidRPr="00463489">
              <w:rPr>
                <w:sz w:val="20"/>
                <w:szCs w:val="20"/>
                <w:vertAlign w:val="subscript"/>
                <w:lang w:val="el-GR"/>
              </w:rPr>
              <w:t>β</w:t>
            </w:r>
            <w:r w:rsidRPr="00E041BC">
              <w:rPr>
                <w:sz w:val="20"/>
                <w:szCs w:val="20"/>
                <w:vertAlign w:val="subscript"/>
              </w:rPr>
              <w:t xml:space="preserve">. </w:t>
            </w:r>
            <w:r w:rsidRPr="00E041BC">
              <w:rPr>
                <w:sz w:val="20"/>
                <w:szCs w:val="20"/>
                <w:u w:val="single"/>
              </w:rPr>
              <w:t xml:space="preserve">3.15€ </w:t>
            </w:r>
            <w:r w:rsidRPr="00463489">
              <w:rPr>
                <w:b/>
                <w:sz w:val="20"/>
                <w:szCs w:val="20"/>
                <w:u w:val="single"/>
                <w:lang w:val="el-GR"/>
              </w:rPr>
              <w:t>ΜΕΤΡΗΜΕΝΑ</w:t>
            </w:r>
            <w:r w:rsidRPr="00E041BC">
              <w:rPr>
                <w:sz w:val="20"/>
                <w:szCs w:val="20"/>
                <w:u w:val="single"/>
              </w:rPr>
              <w:t xml:space="preserve"> </w:t>
            </w:r>
            <w:r w:rsidRPr="00463489">
              <w:rPr>
                <w:sz w:val="20"/>
                <w:szCs w:val="20"/>
                <w:u w:val="single"/>
                <w:lang w:val="el-GR"/>
              </w:rPr>
              <w:t>ΩΣ</w:t>
            </w:r>
            <w:r w:rsidRPr="00E041BC">
              <w:rPr>
                <w:sz w:val="20"/>
                <w:szCs w:val="20"/>
                <w:u w:val="single"/>
              </w:rPr>
              <w:t>:</w:t>
            </w:r>
          </w:p>
          <w:p w:rsidR="00463489" w:rsidRPr="00E041BC" w:rsidRDefault="00463489" w:rsidP="00463489">
            <w:pPr>
              <w:jc w:val="center"/>
              <w:rPr>
                <w:noProof/>
                <w:sz w:val="20"/>
                <w:szCs w:val="20"/>
                <w:lang w:eastAsia="el-GR"/>
              </w:rPr>
            </w:pPr>
            <w:r w:rsidRPr="00E041BC">
              <w:rPr>
                <w:sz w:val="20"/>
                <w:szCs w:val="20"/>
              </w:rPr>
              <w:t>1</w:t>
            </w:r>
            <w:r w:rsidRPr="00866FFB">
              <w:rPr>
                <w:sz w:val="20"/>
                <w:szCs w:val="20"/>
                <w:lang w:val="en-US"/>
              </w:rPr>
              <w:t>x</w:t>
            </w:r>
            <w:r w:rsidRPr="00E041BC">
              <w:rPr>
                <w:sz w:val="20"/>
                <w:szCs w:val="20"/>
              </w:rPr>
              <w:t xml:space="preserve">2€ </w:t>
            </w:r>
            <w:r w:rsidRPr="00463489">
              <w:rPr>
                <w:sz w:val="20"/>
                <w:szCs w:val="20"/>
                <w:lang w:val="el-GR"/>
              </w:rPr>
              <w:t>ΚΕΡΜΑ</w:t>
            </w:r>
            <w:r w:rsidRPr="00E041BC">
              <w:rPr>
                <w:sz w:val="20"/>
                <w:szCs w:val="20"/>
              </w:rPr>
              <w:t xml:space="preserve">+1€ </w:t>
            </w:r>
            <w:r w:rsidRPr="00463489">
              <w:rPr>
                <w:sz w:val="20"/>
                <w:szCs w:val="20"/>
                <w:lang w:val="el-GR"/>
              </w:rPr>
              <w:t>ΚΕΡΜΑ</w:t>
            </w:r>
            <w:r w:rsidRPr="00E041BC">
              <w:rPr>
                <w:sz w:val="20"/>
                <w:szCs w:val="20"/>
              </w:rPr>
              <w:t>+3</w:t>
            </w:r>
            <w:r w:rsidRPr="00866FFB">
              <w:rPr>
                <w:sz w:val="20"/>
                <w:szCs w:val="20"/>
                <w:lang w:val="en-US"/>
              </w:rPr>
              <w:t>x</w:t>
            </w:r>
            <w:r w:rsidRPr="00E041BC">
              <w:rPr>
                <w:sz w:val="20"/>
                <w:szCs w:val="20"/>
              </w:rPr>
              <w:t xml:space="preserve">5 </w:t>
            </w:r>
            <w:r w:rsidRPr="00463489">
              <w:rPr>
                <w:sz w:val="20"/>
                <w:szCs w:val="20"/>
                <w:lang w:val="el-GR"/>
              </w:rPr>
              <w:t>ΣΕΝΤΣ</w:t>
            </w:r>
          </w:p>
        </w:tc>
        <w:tc>
          <w:tcPr>
            <w:tcW w:w="2961" w:type="dxa"/>
            <w:vAlign w:val="center"/>
          </w:tcPr>
          <w:p w:rsidR="00463489" w:rsidRPr="00866FFB" w:rsidRDefault="00463489" w:rsidP="00463489">
            <w:pPr>
              <w:spacing w:line="276" w:lineRule="auto"/>
              <w:rPr>
                <w:sz w:val="20"/>
                <w:szCs w:val="20"/>
              </w:rPr>
            </w:pPr>
            <w:r w:rsidRPr="00E041BC">
              <w:rPr>
                <w:sz w:val="20"/>
                <w:szCs w:val="20"/>
              </w:rPr>
              <w:t xml:space="preserve">    </w:t>
            </w:r>
            <w:r w:rsidRPr="00866FFB">
              <w:rPr>
                <w:sz w:val="20"/>
                <w:szCs w:val="20"/>
              </w:rPr>
              <w:t>ΝΑΙ…1                             ΟΧΙ…2</w:t>
            </w:r>
          </w:p>
        </w:tc>
      </w:tr>
      <w:tr w:rsidR="00463489" w:rsidRPr="00866FFB" w:rsidTr="00463489">
        <w:trPr>
          <w:trHeight w:val="665"/>
        </w:trPr>
        <w:tc>
          <w:tcPr>
            <w:tcW w:w="4518" w:type="dxa"/>
          </w:tcPr>
          <w:p w:rsidR="00463489" w:rsidRPr="00463489" w:rsidRDefault="00C4694A" w:rsidP="00463489">
            <w:pPr>
              <w:rPr>
                <w:sz w:val="20"/>
                <w:szCs w:val="20"/>
                <w:lang w:val="el-GR"/>
              </w:rPr>
            </w:pPr>
            <w:r>
              <w:rPr>
                <w:noProof/>
                <w:sz w:val="22"/>
                <w:szCs w:val="22"/>
                <w:lang w:eastAsia="en-GB"/>
              </w:rPr>
              <w:pict>
                <v:rect id="Rectangle 85" o:spid="_x0000_s1049" alt="" style="position:absolute;margin-left:-40.75pt;margin-top:4.9pt;width:24.5pt;height:28.95pt;z-index:251732992;visibility:visible;mso-wrap-edited:f;mso-position-horizontal-relative:text;mso-position-vertical-relative:text">
                  <v:path arrowok="t"/>
                </v:rect>
              </w:pict>
            </w:r>
          </w:p>
          <w:p w:rsidR="00463489" w:rsidRPr="00463489" w:rsidRDefault="00463489" w:rsidP="00463489">
            <w:pPr>
              <w:rPr>
                <w:sz w:val="20"/>
                <w:szCs w:val="20"/>
                <w:lang w:val="el-GR"/>
              </w:rPr>
            </w:pPr>
            <w:r w:rsidRPr="00463489">
              <w:rPr>
                <w:sz w:val="20"/>
                <w:szCs w:val="20"/>
                <w:lang w:val="el-GR"/>
              </w:rPr>
              <w:t>Δ1</w:t>
            </w:r>
            <w:r w:rsidRPr="00463489">
              <w:rPr>
                <w:sz w:val="20"/>
                <w:szCs w:val="20"/>
                <w:vertAlign w:val="subscript"/>
                <w:lang w:val="el-GR"/>
              </w:rPr>
              <w:t xml:space="preserve">γ. </w:t>
            </w:r>
            <w:r w:rsidRPr="00463489">
              <w:rPr>
                <w:sz w:val="20"/>
                <w:szCs w:val="20"/>
                <w:u w:val="single"/>
                <w:lang w:val="el-GR"/>
              </w:rPr>
              <w:t xml:space="preserve">3.15€ </w:t>
            </w:r>
            <w:r w:rsidRPr="00463489">
              <w:rPr>
                <w:b/>
                <w:sz w:val="20"/>
                <w:szCs w:val="20"/>
                <w:u w:val="single"/>
                <w:lang w:val="el-GR"/>
              </w:rPr>
              <w:t>ΜΕΤΡΗΜΕΝΑ</w:t>
            </w:r>
            <w:r w:rsidRPr="00463489">
              <w:rPr>
                <w:sz w:val="20"/>
                <w:szCs w:val="20"/>
                <w:u w:val="single"/>
                <w:lang w:val="el-GR"/>
              </w:rPr>
              <w:t xml:space="preserve"> ΩΣ:</w:t>
            </w:r>
          </w:p>
          <w:p w:rsidR="00463489" w:rsidRPr="00463489" w:rsidRDefault="00463489" w:rsidP="00463489">
            <w:pPr>
              <w:jc w:val="center"/>
              <w:rPr>
                <w:sz w:val="20"/>
                <w:szCs w:val="20"/>
                <w:lang w:val="el-GR"/>
              </w:rPr>
            </w:pPr>
            <w:r w:rsidRPr="00463489">
              <w:rPr>
                <w:sz w:val="20"/>
                <w:szCs w:val="20"/>
                <w:lang w:val="el-GR"/>
              </w:rPr>
              <w:t>1</w:t>
            </w:r>
            <w:r w:rsidRPr="00866FFB">
              <w:rPr>
                <w:sz w:val="20"/>
                <w:szCs w:val="20"/>
                <w:lang w:val="en-US"/>
              </w:rPr>
              <w:t>x</w:t>
            </w:r>
            <w:r w:rsidRPr="00463489">
              <w:rPr>
                <w:sz w:val="20"/>
                <w:szCs w:val="20"/>
                <w:lang w:val="el-GR"/>
              </w:rPr>
              <w:t>2€ ΚΕΡΜΑ +5</w:t>
            </w:r>
            <w:r w:rsidRPr="00866FFB">
              <w:rPr>
                <w:sz w:val="20"/>
                <w:szCs w:val="20"/>
                <w:lang w:val="en-US"/>
              </w:rPr>
              <w:t>x</w:t>
            </w:r>
            <w:r w:rsidRPr="00463489">
              <w:rPr>
                <w:sz w:val="20"/>
                <w:szCs w:val="20"/>
                <w:lang w:val="el-GR"/>
              </w:rPr>
              <w:t>20 ΣΕΝΤΣ+10 ΣΕΝΤΣ+5 ΣΕΝΤΣ</w:t>
            </w:r>
          </w:p>
        </w:tc>
        <w:tc>
          <w:tcPr>
            <w:tcW w:w="2961" w:type="dxa"/>
            <w:vAlign w:val="center"/>
          </w:tcPr>
          <w:p w:rsidR="00463489" w:rsidRPr="00866FFB" w:rsidRDefault="00463489" w:rsidP="00463489">
            <w:pPr>
              <w:spacing w:line="276" w:lineRule="auto"/>
              <w:rPr>
                <w:sz w:val="20"/>
                <w:szCs w:val="20"/>
              </w:rPr>
            </w:pPr>
            <w:r w:rsidRPr="00463489">
              <w:rPr>
                <w:sz w:val="20"/>
                <w:szCs w:val="20"/>
                <w:lang w:val="el-GR"/>
              </w:rPr>
              <w:t xml:space="preserve">    </w:t>
            </w:r>
            <w:r w:rsidRPr="00866FFB">
              <w:rPr>
                <w:sz w:val="20"/>
                <w:szCs w:val="20"/>
              </w:rPr>
              <w:t>ΝΑΙ…1                             ΟΧΙ…2</w:t>
            </w:r>
          </w:p>
        </w:tc>
      </w:tr>
      <w:tr w:rsidR="00463489" w:rsidRPr="00866FFB" w:rsidTr="00463489">
        <w:trPr>
          <w:trHeight w:val="665"/>
        </w:trPr>
        <w:tc>
          <w:tcPr>
            <w:tcW w:w="4518" w:type="dxa"/>
          </w:tcPr>
          <w:p w:rsidR="00463489" w:rsidRPr="00463489" w:rsidRDefault="00C4694A" w:rsidP="00463489">
            <w:pPr>
              <w:rPr>
                <w:sz w:val="20"/>
                <w:szCs w:val="20"/>
                <w:lang w:val="el-GR"/>
              </w:rPr>
            </w:pPr>
            <w:r>
              <w:rPr>
                <w:noProof/>
                <w:sz w:val="22"/>
                <w:szCs w:val="22"/>
                <w:lang w:eastAsia="en-GB"/>
              </w:rPr>
              <w:pict>
                <v:rect id="Rectangle 86" o:spid="_x0000_s1048" alt="" style="position:absolute;margin-left:-40.75pt;margin-top:4.25pt;width:24.5pt;height:28.95pt;z-index:251734016;visibility:visible;mso-wrap-edited:f;mso-position-horizontal-relative:text;mso-position-vertical-relative:text">
                  <v:path arrowok="t"/>
                </v:rect>
              </w:pict>
            </w:r>
          </w:p>
          <w:p w:rsidR="00463489" w:rsidRPr="00463489" w:rsidRDefault="00463489" w:rsidP="00463489">
            <w:pPr>
              <w:rPr>
                <w:sz w:val="20"/>
                <w:szCs w:val="20"/>
                <w:lang w:val="el-GR"/>
              </w:rPr>
            </w:pPr>
            <w:r w:rsidRPr="00463489">
              <w:rPr>
                <w:sz w:val="20"/>
                <w:szCs w:val="20"/>
                <w:lang w:val="el-GR"/>
              </w:rPr>
              <w:t>Δ1</w:t>
            </w:r>
            <w:r w:rsidRPr="00463489">
              <w:rPr>
                <w:sz w:val="20"/>
                <w:szCs w:val="20"/>
                <w:vertAlign w:val="subscript"/>
                <w:lang w:val="el-GR"/>
              </w:rPr>
              <w:t xml:space="preserve">δ. </w:t>
            </w:r>
            <w:r w:rsidRPr="00463489">
              <w:rPr>
                <w:sz w:val="20"/>
                <w:szCs w:val="20"/>
                <w:u w:val="single"/>
                <w:lang w:val="el-GR"/>
              </w:rPr>
              <w:t xml:space="preserve">3.15€ </w:t>
            </w:r>
            <w:r w:rsidRPr="00463489">
              <w:rPr>
                <w:b/>
                <w:sz w:val="20"/>
                <w:szCs w:val="20"/>
                <w:u w:val="single"/>
                <w:lang w:val="el-GR"/>
              </w:rPr>
              <w:t>ΜΕΤΡΗΜΕΝΑ</w:t>
            </w:r>
            <w:r w:rsidRPr="00463489">
              <w:rPr>
                <w:sz w:val="20"/>
                <w:szCs w:val="20"/>
                <w:u w:val="single"/>
                <w:lang w:val="el-GR"/>
              </w:rPr>
              <w:t xml:space="preserve"> ΩΣ:</w:t>
            </w:r>
          </w:p>
          <w:p w:rsidR="00463489" w:rsidRPr="00463489" w:rsidRDefault="00463489" w:rsidP="00463489">
            <w:pPr>
              <w:rPr>
                <w:noProof/>
                <w:sz w:val="20"/>
                <w:szCs w:val="20"/>
                <w:lang w:val="el-GR" w:eastAsia="el-GR"/>
              </w:rPr>
            </w:pPr>
            <w:r w:rsidRPr="00463489">
              <w:rPr>
                <w:sz w:val="20"/>
                <w:szCs w:val="20"/>
                <w:lang w:val="el-GR"/>
              </w:rPr>
              <w:t>1</w:t>
            </w:r>
            <w:r w:rsidRPr="00866FFB">
              <w:rPr>
                <w:sz w:val="20"/>
                <w:szCs w:val="20"/>
                <w:lang w:val="en-US"/>
              </w:rPr>
              <w:t>x</w:t>
            </w:r>
            <w:r w:rsidRPr="00463489">
              <w:rPr>
                <w:sz w:val="20"/>
                <w:szCs w:val="20"/>
                <w:lang w:val="el-GR"/>
              </w:rPr>
              <w:t>2€ ΚΕΡΜΑ +5</w:t>
            </w:r>
            <w:r w:rsidRPr="00866FFB">
              <w:rPr>
                <w:sz w:val="20"/>
                <w:szCs w:val="20"/>
                <w:lang w:val="en-US"/>
              </w:rPr>
              <w:t>x</w:t>
            </w:r>
            <w:r w:rsidRPr="00463489">
              <w:rPr>
                <w:sz w:val="20"/>
                <w:szCs w:val="20"/>
                <w:lang w:val="el-GR"/>
              </w:rPr>
              <w:t>20 ΣΕΝΤΣ+3</w:t>
            </w:r>
            <w:r w:rsidRPr="00866FFB">
              <w:rPr>
                <w:sz w:val="20"/>
                <w:szCs w:val="20"/>
                <w:lang w:val="en-US"/>
              </w:rPr>
              <w:t>x</w:t>
            </w:r>
            <w:r w:rsidRPr="00463489">
              <w:rPr>
                <w:sz w:val="20"/>
                <w:szCs w:val="20"/>
                <w:lang w:val="el-GR"/>
              </w:rPr>
              <w:t>5 ΣΕΝΤΣ</w:t>
            </w:r>
          </w:p>
        </w:tc>
        <w:tc>
          <w:tcPr>
            <w:tcW w:w="2961" w:type="dxa"/>
            <w:vAlign w:val="center"/>
          </w:tcPr>
          <w:p w:rsidR="00463489" w:rsidRPr="00866FFB" w:rsidRDefault="00463489" w:rsidP="00463489">
            <w:pPr>
              <w:spacing w:line="276" w:lineRule="auto"/>
              <w:rPr>
                <w:sz w:val="20"/>
                <w:szCs w:val="20"/>
              </w:rPr>
            </w:pPr>
            <w:r w:rsidRPr="00463489">
              <w:rPr>
                <w:sz w:val="20"/>
                <w:szCs w:val="20"/>
                <w:lang w:val="el-GR"/>
              </w:rPr>
              <w:t xml:space="preserve">    </w:t>
            </w:r>
            <w:r w:rsidRPr="00866FFB">
              <w:rPr>
                <w:sz w:val="20"/>
                <w:szCs w:val="20"/>
              </w:rPr>
              <w:t>ΝΑΙ…1                             ΟΧΙ…2</w:t>
            </w:r>
          </w:p>
        </w:tc>
      </w:tr>
      <w:tr w:rsidR="00463489" w:rsidRPr="00866FFB" w:rsidTr="00463489">
        <w:trPr>
          <w:trHeight w:val="698"/>
        </w:trPr>
        <w:tc>
          <w:tcPr>
            <w:tcW w:w="4518" w:type="dxa"/>
          </w:tcPr>
          <w:p w:rsidR="00463489" w:rsidRPr="00866FFB" w:rsidRDefault="00C4694A" w:rsidP="00463489">
            <w:pPr>
              <w:rPr>
                <w:sz w:val="20"/>
                <w:szCs w:val="20"/>
              </w:rPr>
            </w:pPr>
            <w:r>
              <w:rPr>
                <w:noProof/>
                <w:sz w:val="22"/>
                <w:szCs w:val="22"/>
                <w:lang w:eastAsia="en-GB"/>
              </w:rPr>
              <w:pict>
                <v:rect id="Rectangle 87" o:spid="_x0000_s1047" alt="" style="position:absolute;margin-left:-40.75pt;margin-top:5.6pt;width:24.5pt;height:28.95pt;z-index:251735040;visibility:visible;mso-wrap-edited:f;mso-position-horizontal-relative:text;mso-position-vertical-relative:text">
                  <v:path arrowok="t"/>
                </v:rect>
              </w:pict>
            </w:r>
            <w:r w:rsidR="00463489" w:rsidRPr="00866FFB">
              <w:rPr>
                <w:sz w:val="20"/>
                <w:szCs w:val="20"/>
              </w:rPr>
              <w:t>Δ1</w:t>
            </w:r>
            <w:r w:rsidR="00463489" w:rsidRPr="00866FFB">
              <w:rPr>
                <w:sz w:val="20"/>
                <w:szCs w:val="20"/>
                <w:vertAlign w:val="subscript"/>
              </w:rPr>
              <w:t>ε</w:t>
            </w:r>
            <w:r w:rsidR="00463489" w:rsidRPr="00866FFB">
              <w:rPr>
                <w:b/>
                <w:sz w:val="20"/>
                <w:szCs w:val="20"/>
                <w:vertAlign w:val="subscript"/>
              </w:rPr>
              <w:t xml:space="preserve">. </w:t>
            </w:r>
            <w:r w:rsidR="00463489" w:rsidRPr="00866FFB">
              <w:rPr>
                <w:b/>
                <w:sz w:val="20"/>
                <w:szCs w:val="20"/>
                <w:u w:val="single"/>
              </w:rPr>
              <w:t>ΑΛΛΟ</w:t>
            </w:r>
            <w:r w:rsidR="00463489" w:rsidRPr="00866FFB">
              <w:rPr>
                <w:sz w:val="20"/>
                <w:szCs w:val="20"/>
                <w:u w:val="single"/>
              </w:rPr>
              <w:t xml:space="preserve"> </w:t>
            </w:r>
            <w:r w:rsidR="00463489" w:rsidRPr="00866FFB">
              <w:rPr>
                <w:sz w:val="20"/>
                <w:szCs w:val="20"/>
              </w:rPr>
              <w:t>(ΔΙΕΥΚΡΙΝΗΣΕ)</w:t>
            </w:r>
          </w:p>
        </w:tc>
        <w:tc>
          <w:tcPr>
            <w:tcW w:w="2961" w:type="dxa"/>
            <w:vAlign w:val="center"/>
          </w:tcPr>
          <w:p w:rsidR="00463489" w:rsidRPr="00866FFB" w:rsidRDefault="00463489" w:rsidP="00463489">
            <w:pPr>
              <w:spacing w:line="276" w:lineRule="auto"/>
              <w:rPr>
                <w:sz w:val="20"/>
                <w:szCs w:val="20"/>
              </w:rPr>
            </w:pPr>
            <w:r w:rsidRPr="00866FFB">
              <w:rPr>
                <w:sz w:val="20"/>
                <w:szCs w:val="20"/>
                <w:lang w:val="en-US"/>
              </w:rPr>
              <w:t xml:space="preserve">    </w:t>
            </w:r>
            <w:r w:rsidRPr="00866FFB">
              <w:rPr>
                <w:sz w:val="20"/>
                <w:szCs w:val="20"/>
              </w:rPr>
              <w:t>ΝΑΙ…1                             ΟΧΙ…2</w:t>
            </w:r>
          </w:p>
        </w:tc>
      </w:tr>
    </w:tbl>
    <w:p w:rsidR="00463489" w:rsidRDefault="00C4694A" w:rsidP="00463489">
      <w:pPr>
        <w:spacing w:line="276" w:lineRule="auto"/>
      </w:pPr>
      <w:r>
        <w:rPr>
          <w:noProof/>
          <w:sz w:val="22"/>
          <w:szCs w:val="22"/>
          <w:lang w:eastAsia="en-GB"/>
        </w:rPr>
        <w:pict>
          <v:rect id="Rectangle 88" o:spid="_x0000_s1046" alt="" style="position:absolute;margin-left:-33.2pt;margin-top:80.75pt;width:24.5pt;height:37pt;z-index:251736064;visibility:visible;mso-wrap-edited:f;mso-position-horizontal-relative:text;mso-position-vertical-relative:text">
            <v:path arrowok="t"/>
            <v:textbox style="mso-next-textbox:#Rectangle 88">
              <w:txbxContent>
                <w:p w:rsidR="00E87F3A" w:rsidRDefault="00E87F3A" w:rsidP="00463489"/>
              </w:txbxContent>
            </v:textbox>
          </v:rect>
        </w:pict>
      </w:r>
      <w:r>
        <w:rPr>
          <w:noProof/>
          <w:sz w:val="22"/>
          <w:szCs w:val="22"/>
          <w:lang w:eastAsia="en-GB"/>
        </w:rPr>
        <w:pict>
          <v:rect id="Rectangle 98" o:spid="_x0000_s1045" alt="" style="position:absolute;margin-left:0;margin-top:14.05pt;width:24.5pt;height:28.95pt;z-index:251746304;visibility:visible;mso-wrap-edited:f;mso-position-horizontal-relative:text;mso-position-vertical-relative:text" wrapcoords="-655 -554 -655 21046 22255 21046 22255 -554 -655 -554">
            <v:path arrowok="t"/>
            <w10:wrap type="through"/>
          </v:rect>
        </w:pic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31"/>
        <w:gridCol w:w="1840"/>
        <w:gridCol w:w="2042"/>
      </w:tblGrid>
      <w:tr w:rsidR="00463489" w:rsidRPr="00E041BC" w:rsidTr="00463489">
        <w:tc>
          <w:tcPr>
            <w:tcW w:w="7513" w:type="dxa"/>
            <w:gridSpan w:val="3"/>
          </w:tcPr>
          <w:p w:rsidR="00463489" w:rsidRPr="00463489" w:rsidRDefault="00463489" w:rsidP="00463489">
            <w:pPr>
              <w:spacing w:line="276" w:lineRule="auto"/>
              <w:rPr>
                <w:sz w:val="20"/>
                <w:szCs w:val="20"/>
                <w:lang w:val="el-GR"/>
              </w:rPr>
            </w:pPr>
            <w:r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276" w:lineRule="auto"/>
              <w:rPr>
                <w:rFonts w:cs="Calibri"/>
                <w:i/>
                <w:iCs/>
                <w:lang w:val="el-GR"/>
              </w:rPr>
            </w:pPr>
            <w:r w:rsidRPr="00463489">
              <w:rPr>
                <w:rFonts w:cs="Calibri"/>
                <w:i/>
                <w:iCs/>
                <w:lang w:val="el-GR"/>
              </w:rPr>
              <w:t>Ποιος είναι ο ακριβής λογαριασμός τον οποίο αυτό το άτομο πλήρωσε για να γευματίσει;</w:t>
            </w:r>
          </w:p>
        </w:tc>
      </w:tr>
      <w:tr w:rsidR="00463489" w:rsidRPr="00866FFB" w:rsidTr="00463489">
        <w:trPr>
          <w:trHeight w:val="632"/>
        </w:trPr>
        <w:tc>
          <w:tcPr>
            <w:tcW w:w="3631" w:type="dxa"/>
            <w:tcBorders>
              <w:right w:val="nil"/>
            </w:tcBorders>
            <w:vAlign w:val="center"/>
          </w:tcPr>
          <w:p w:rsidR="00463489" w:rsidRPr="00866FFB" w:rsidRDefault="00463489" w:rsidP="00463489">
            <w:pPr>
              <w:spacing w:line="276" w:lineRule="auto"/>
              <w:rPr>
                <w:sz w:val="20"/>
                <w:szCs w:val="20"/>
              </w:rPr>
            </w:pPr>
            <w:r w:rsidRPr="00866FFB">
              <w:rPr>
                <w:sz w:val="20"/>
                <w:szCs w:val="20"/>
              </w:rPr>
              <w:t>Δ1</w:t>
            </w:r>
            <w:r w:rsidRPr="00866FFB">
              <w:rPr>
                <w:sz w:val="20"/>
                <w:szCs w:val="20"/>
                <w:vertAlign w:val="subscript"/>
              </w:rPr>
              <w:t>ζ</w:t>
            </w:r>
            <w:r w:rsidRPr="00866FFB">
              <w:rPr>
                <w:sz w:val="20"/>
                <w:szCs w:val="20"/>
              </w:rPr>
              <w:t>. ΔΩΘΗΚΕ ΠΡΟΤΡΟΠΗ;</w:t>
            </w:r>
          </w:p>
        </w:tc>
        <w:tc>
          <w:tcPr>
            <w:tcW w:w="1840"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2042"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Pr>
        <w:spacing w:line="276" w:lineRule="auto"/>
        <w:ind w:left="1440" w:hanging="1440"/>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8"/>
        <w:gridCol w:w="1939"/>
        <w:gridCol w:w="2416"/>
      </w:tblGrid>
      <w:tr w:rsidR="00463489" w:rsidRPr="00866FFB" w:rsidTr="00463489">
        <w:trPr>
          <w:trHeight w:val="632"/>
        </w:trPr>
        <w:tc>
          <w:tcPr>
            <w:tcW w:w="3158" w:type="dxa"/>
            <w:tcBorders>
              <w:right w:val="nil"/>
            </w:tcBorders>
            <w:vAlign w:val="center"/>
          </w:tcPr>
          <w:p w:rsidR="00463489" w:rsidRPr="00463489" w:rsidRDefault="00463489" w:rsidP="00463489">
            <w:pPr>
              <w:spacing w:line="276" w:lineRule="auto"/>
              <w:rPr>
                <w:sz w:val="20"/>
                <w:szCs w:val="20"/>
                <w:lang w:val="el-GR"/>
              </w:rPr>
            </w:pPr>
            <w:r w:rsidRPr="00463489">
              <w:rPr>
                <w:sz w:val="20"/>
                <w:szCs w:val="20"/>
                <w:lang w:val="el-GR"/>
              </w:rPr>
              <w:t>Δ1</w:t>
            </w:r>
            <w:r w:rsidRPr="00463489">
              <w:rPr>
                <w:sz w:val="20"/>
                <w:szCs w:val="20"/>
                <w:vertAlign w:val="subscript"/>
                <w:lang w:val="el-GR"/>
              </w:rPr>
              <w:t>η</w:t>
            </w:r>
            <w:r w:rsidRPr="00463489">
              <w:rPr>
                <w:sz w:val="20"/>
                <w:szCs w:val="20"/>
                <w:lang w:val="el-GR"/>
              </w:rPr>
              <w:t>. ΧΡΗΣΗΠΟΠΟΙΗΣΕ Ο ΣΥΜΜΕΤΕΧΟΝΤΑΣ ΠΡΟΧΕΙΡΟ</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2416"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Pr="00E8774D" w:rsidRDefault="00463489" w:rsidP="00463489">
      <w:pPr>
        <w:spacing w:line="276" w:lineRule="auto"/>
        <w:rPr>
          <w:b/>
          <w:lang w:val="en-US"/>
        </w:rPr>
      </w:pPr>
    </w:p>
    <w:p w:rsidR="00FA5BF6" w:rsidRDefault="00FA5BF6" w:rsidP="00463489">
      <w:pPr>
        <w:spacing w:line="276" w:lineRule="auto"/>
        <w:ind w:left="1440" w:hanging="1440"/>
        <w:rPr>
          <w:rFonts w:cs="Calibri"/>
          <w:b/>
          <w:lang w:val="el-GR"/>
        </w:rPr>
      </w:pPr>
    </w:p>
    <w:p w:rsidR="00463489" w:rsidRPr="00463489" w:rsidRDefault="00463489" w:rsidP="00FA5BF6">
      <w:pPr>
        <w:spacing w:line="276" w:lineRule="auto"/>
        <w:rPr>
          <w:rFonts w:cs="Calibri"/>
          <w:b/>
          <w:lang w:val="el-GR"/>
        </w:rPr>
      </w:pPr>
      <w:r w:rsidRPr="00463489">
        <w:rPr>
          <w:rFonts w:cs="Calibri"/>
          <w:b/>
          <w:lang w:val="el-GR"/>
        </w:rPr>
        <w:t>Αυτό είναι το ενημερωτικό υπόλοιπο λογαριασμού  από το βιβλιάριο καταθέσεων ενός ανθρώπου μεγαλύτερης ηλικίας. Παρακαλώ υπολογίστε το υπόλοιπο του λογαριασμού χρησιμοποιώντας τις πληροφορίες από αυτή τη κάρτα, και ενημερώστε το βιβλιάριο όπως θα έκανε η τράπεζα.</w:t>
      </w:r>
    </w:p>
    <w:p w:rsidR="00463489" w:rsidRPr="00463489" w:rsidRDefault="00463489" w:rsidP="00463489">
      <w:pPr>
        <w:spacing w:line="276" w:lineRule="auto"/>
        <w:ind w:left="1440" w:hanging="1440"/>
        <w:rPr>
          <w:lang w:val="el-GR"/>
        </w:rPr>
      </w:pPr>
      <w:r w:rsidRPr="00463489">
        <w:rPr>
          <w:rFonts w:cs="Calibri"/>
          <w:b/>
          <w:lang w:val="el-GR"/>
        </w:rPr>
        <w:t xml:space="preserve">  </w:t>
      </w:r>
    </w:p>
    <w:p w:rsidR="00463489" w:rsidRPr="00463489" w:rsidRDefault="00463489" w:rsidP="00463489">
      <w:pPr>
        <w:spacing w:line="276" w:lineRule="auto"/>
        <w:ind w:left="1440" w:hanging="1440"/>
        <w:rPr>
          <w:u w:val="single"/>
          <w:lang w:val="el-GR"/>
        </w:rPr>
      </w:pPr>
      <w:r w:rsidRPr="00463489">
        <w:rPr>
          <w:lang w:val="el-GR"/>
        </w:rPr>
        <w:t xml:space="preserve"> (ΔΩΣΕ ΤΗΝ ΚΑΡΤΑ ΕΡΩΤΗΣΗΣ ΣΤΟΝ ΣΥΜΜΕΤΕΧΟΝΤΑ)</w:t>
      </w:r>
    </w:p>
    <w:p w:rsidR="00463489" w:rsidRPr="00463489" w:rsidRDefault="00463489" w:rsidP="00463489">
      <w:pPr>
        <w:spacing w:line="276" w:lineRule="auto"/>
        <w:ind w:left="1440" w:hanging="1440"/>
        <w:rPr>
          <w:lang w:val="el-GR"/>
        </w:rPr>
      </w:pPr>
    </w:p>
    <w:p w:rsidR="00463489" w:rsidRPr="00F7220D" w:rsidRDefault="00463489" w:rsidP="00463489">
      <w:pPr>
        <w:autoSpaceDE w:val="0"/>
        <w:autoSpaceDN w:val="0"/>
        <w:adjustRightInd w:val="0"/>
        <w:spacing w:line="360" w:lineRule="auto"/>
        <w:ind w:left="426" w:hanging="426"/>
        <w:rPr>
          <w:rFonts w:cs="Calibri"/>
          <w:bCs/>
        </w:rPr>
      </w:pPr>
      <w:r w:rsidRPr="00463489">
        <w:rPr>
          <w:lang w:val="el-GR"/>
        </w:rPr>
        <w:t xml:space="preserve">Δ2. </w:t>
      </w:r>
      <w:r w:rsidRPr="00463489">
        <w:rPr>
          <w:rFonts w:cs="Calibri"/>
          <w:bCs/>
          <w:lang w:val="el-GR"/>
        </w:rPr>
        <w:t xml:space="preserve">Ένα άτομο που καταγράφει  την κίνηση του τραπεζικού λογαριασμού του, περιμένει να πιστωθεί σε αυτόν μια επιταγή των  €50.00 και επίσης να πληρωθεί από αυτόν ένας λογαριασμό ΔΕΗ του ποσού των €29.21. </w:t>
      </w:r>
      <w:r w:rsidRPr="00F7220D">
        <w:rPr>
          <w:rFonts w:cs="Calibri"/>
          <w:bCs/>
        </w:rPr>
        <w:t xml:space="preserve">Παρακαλώ υπολογίστε το υπόλοιπο λογαριασμού </w:t>
      </w:r>
      <w:r>
        <w:rPr>
          <w:rFonts w:cs="Calibri"/>
          <w:bCs/>
        </w:rPr>
        <w:t>που θα έχει</w:t>
      </w:r>
      <w:r w:rsidRPr="00F7220D">
        <w:rPr>
          <w:rFonts w:cs="Calibri"/>
          <w:bCs/>
        </w:rPr>
        <w:t>.</w:t>
      </w:r>
      <w:r>
        <w:rPr>
          <w:rFonts w:cs="Calibri"/>
          <w:bCs/>
        </w:rPr>
        <w:t xml:space="preserve"> </w:t>
      </w:r>
      <w:r w:rsidRPr="00F7220D">
        <w:t>(Κάρτα 12)</w:t>
      </w:r>
    </w:p>
    <w:p w:rsidR="00463489" w:rsidRDefault="00463489" w:rsidP="00463489">
      <w:pPr>
        <w:spacing w:line="276" w:lineRule="auto"/>
        <w:ind w:left="1440" w:hanging="1440"/>
      </w:pPr>
    </w:p>
    <w:tbl>
      <w:tblPr>
        <w:tblW w:w="0" w:type="auto"/>
        <w:tblInd w:w="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r w:rsidRPr="00463489">
              <w:rPr>
                <w:sz w:val="20"/>
                <w:szCs w:val="20"/>
                <w:lang w:val="el-GR"/>
              </w:rPr>
              <w:t>Δ2α.</w:t>
            </w:r>
          </w:p>
          <w:p w:rsidR="00463489" w:rsidRPr="00463489" w:rsidRDefault="00463489" w:rsidP="00463489">
            <w:pPr>
              <w:spacing w:line="276" w:lineRule="auto"/>
              <w:rPr>
                <w:sz w:val="20"/>
                <w:szCs w:val="20"/>
                <w:lang w:val="el-GR"/>
              </w:rPr>
            </w:pPr>
          </w:p>
          <w:p w:rsidR="00463489" w:rsidRPr="00463489" w:rsidRDefault="00463489" w:rsidP="00463489">
            <w:pPr>
              <w:spacing w:line="276" w:lineRule="auto"/>
              <w:ind w:left="720"/>
              <w:rPr>
                <w:sz w:val="20"/>
                <w:szCs w:val="20"/>
                <w:lang w:val="el-GR"/>
              </w:rPr>
            </w:pPr>
            <w:r w:rsidRPr="00463489">
              <w:rPr>
                <w:sz w:val="20"/>
                <w:szCs w:val="20"/>
                <w:lang w:val="el-GR"/>
              </w:rPr>
              <w:t xml:space="preserve">Δ2α. Ο ΣΥΜΜΕΤΕΧΟΝΤΑΣ ΓΡΑΦΕΙ 50 ΣΤΗΝ ΣΤΗΛΗ  ΚΑΤΑΘΕΣΕΙΣ /ΠΙΣΤΩΣΕΙΣ </w:t>
            </w:r>
            <w:r w:rsidRPr="00463489">
              <w:rPr>
                <w:sz w:val="20"/>
                <w:szCs w:val="20"/>
                <w:u w:val="single"/>
                <w:lang w:val="el-GR"/>
              </w:rPr>
              <w:t>ΚΑΙ</w:t>
            </w:r>
            <w:r w:rsidRPr="00463489">
              <w:rPr>
                <w:sz w:val="20"/>
                <w:szCs w:val="20"/>
                <w:lang w:val="el-GR"/>
              </w:rPr>
              <w:t xml:space="preserve"> ΥΠΟΛΟΓΙΖΕΙ ΤΟ ΠΡΩΤΟ ΥΠΟΛΟΙΠΟ 781.50€*</w:t>
            </w:r>
          </w:p>
          <w:p w:rsidR="00463489" w:rsidRPr="00463489" w:rsidRDefault="00463489" w:rsidP="00463489">
            <w:pPr>
              <w:spacing w:line="276" w:lineRule="auto"/>
              <w:ind w:left="720"/>
              <w:rPr>
                <w:sz w:val="20"/>
                <w:szCs w:val="20"/>
                <w:u w:val="single"/>
                <w:lang w:val="el-GR"/>
              </w:rPr>
            </w:pPr>
            <w:r w:rsidRPr="00463489">
              <w:rPr>
                <w:sz w:val="20"/>
                <w:szCs w:val="20"/>
                <w:u w:val="single"/>
                <w:lang w:val="el-GR"/>
              </w:rPr>
              <w:t>Ή</w:t>
            </w:r>
          </w:p>
          <w:p w:rsidR="00463489" w:rsidRPr="00463489" w:rsidRDefault="00463489" w:rsidP="00463489">
            <w:pPr>
              <w:spacing w:line="276" w:lineRule="auto"/>
              <w:rPr>
                <w:sz w:val="20"/>
                <w:szCs w:val="20"/>
                <w:lang w:val="el-GR"/>
              </w:rPr>
            </w:pPr>
            <w:r w:rsidRPr="00463489">
              <w:rPr>
                <w:sz w:val="20"/>
                <w:szCs w:val="20"/>
                <w:lang w:val="el-GR"/>
              </w:rPr>
              <w:t>Δ2β.</w:t>
            </w:r>
          </w:p>
          <w:p w:rsidR="00463489" w:rsidRPr="00463489" w:rsidRDefault="00463489" w:rsidP="00463489">
            <w:pPr>
              <w:spacing w:line="276" w:lineRule="auto"/>
              <w:ind w:left="720"/>
              <w:rPr>
                <w:sz w:val="20"/>
                <w:szCs w:val="20"/>
                <w:lang w:val="el-GR"/>
              </w:rPr>
            </w:pPr>
            <w:r w:rsidRPr="00463489">
              <w:rPr>
                <w:sz w:val="20"/>
                <w:szCs w:val="20"/>
                <w:lang w:val="el-GR"/>
              </w:rPr>
              <w:t xml:space="preserve">Ο ΣΥΜΜΕΤΕΧΟΝΤΑΣ ΓΡΑΦΕΙ 29.21€ ΣΤΗΝ ΣΤΗΛΗ ΑΝΑΛΗΨΕΙΣ /ΠΙΣΤΩΣΕΙΣ </w:t>
            </w:r>
            <w:r w:rsidRPr="00463489">
              <w:rPr>
                <w:sz w:val="20"/>
                <w:szCs w:val="20"/>
                <w:u w:val="single"/>
                <w:lang w:val="el-GR"/>
              </w:rPr>
              <w:t>ΚΑΙ</w:t>
            </w:r>
            <w:r w:rsidRPr="00463489">
              <w:rPr>
                <w:sz w:val="20"/>
                <w:szCs w:val="20"/>
                <w:lang w:val="el-GR"/>
              </w:rPr>
              <w:t xml:space="preserve"> ΥΠΟΛΟΓΙΖΕΙ ΤΟ ΠΡΩΤΟ ΥΠΟΛΟΙΠΟ 702.29€</w:t>
            </w:r>
          </w:p>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 xml:space="preserve">*ΣΗΜΕΙΩΣΗ: ΑΝ Ο ΣΥΜΜΕΤΕΧΟΝΤΑΣ ΜΕ ΤΗΝ ΑΝΑΛΗΨΗ ΠΡΩΤΑ, ΠΡΟΣΠΕΡΑΣΤΕ ΑΥΤΟ ΤΟ ΜΕΡΟΣ ΚΑΙ </w:t>
            </w:r>
            <w:r w:rsidRPr="00463489">
              <w:rPr>
                <w:b/>
                <w:sz w:val="20"/>
                <w:szCs w:val="20"/>
                <w:u w:val="single"/>
                <w:lang w:val="el-GR"/>
              </w:rPr>
              <w:t>ΠΗΓΑΙΝΕΤΕ ΣΤΟ Δ2Β</w:t>
            </w: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100" o:spid="_x0000_s1044" alt="" style="position:absolute;margin-left:71pt;margin-top:9.45pt;width:24.5pt;height:38.3pt;z-index:251748352;visibility:visible;mso-wrap-edited:f;mso-position-horizontal-relative:text;mso-position-vertical-relative:text">
                  <v:path arrowok="t"/>
                </v:rect>
              </w:pict>
            </w:r>
            <w:r w:rsidR="00463489" w:rsidRPr="00866FFB">
              <w:rPr>
                <w:sz w:val="20"/>
                <w:szCs w:val="20"/>
              </w:rPr>
              <w:t>ΟΧΙ…2</w:t>
            </w:r>
          </w:p>
        </w:tc>
      </w:tr>
      <w:tr w:rsidR="00463489" w:rsidRPr="002D7931" w:rsidTr="00463489">
        <w:trPr>
          <w:trHeight w:val="1463"/>
        </w:trPr>
        <w:tc>
          <w:tcPr>
            <w:tcW w:w="3686" w:type="dxa"/>
            <w:vMerge/>
          </w:tcPr>
          <w:p w:rsidR="00463489" w:rsidRPr="00866FFB" w:rsidRDefault="00463489" w:rsidP="00463489">
            <w:pPr>
              <w:spacing w:line="276" w:lineRule="auto"/>
              <w:rPr>
                <w:sz w:val="20"/>
                <w:szCs w:val="20"/>
              </w:rPr>
            </w:pPr>
          </w:p>
        </w:tc>
        <w:tc>
          <w:tcPr>
            <w:tcW w:w="3793" w:type="dxa"/>
            <w:gridSpan w:val="2"/>
            <w:tcBorders>
              <w:top w:val="nil"/>
              <w:bottom w:val="nil"/>
            </w:tcBorders>
          </w:tcPr>
          <w:p w:rsidR="00463489" w:rsidRPr="00E041BC" w:rsidRDefault="00463489" w:rsidP="00463489">
            <w:pPr>
              <w:spacing w:line="276" w:lineRule="auto"/>
              <w:rPr>
                <w:sz w:val="18"/>
                <w:szCs w:val="18"/>
              </w:rPr>
            </w:pPr>
            <w:r w:rsidRPr="00463489">
              <w:rPr>
                <w:sz w:val="18"/>
                <w:szCs w:val="18"/>
                <w:lang w:val="el-GR"/>
              </w:rPr>
              <w:t>ΑΝ</w:t>
            </w:r>
            <w:r w:rsidRPr="00E041BC">
              <w:rPr>
                <w:sz w:val="18"/>
                <w:szCs w:val="18"/>
              </w:rPr>
              <w:t xml:space="preserve"> </w:t>
            </w:r>
            <w:r w:rsidRPr="00463489">
              <w:rPr>
                <w:sz w:val="18"/>
                <w:szCs w:val="18"/>
                <w:lang w:val="el-GR"/>
              </w:rPr>
              <w:t>ΟΧΙ</w:t>
            </w:r>
            <w:r w:rsidRPr="00E041BC">
              <w:rPr>
                <w:sz w:val="18"/>
                <w:szCs w:val="18"/>
              </w:rPr>
              <w:t xml:space="preserve">, </w:t>
            </w:r>
            <w:r w:rsidRPr="00463489">
              <w:rPr>
                <w:sz w:val="18"/>
                <w:szCs w:val="18"/>
                <w:lang w:val="el-GR"/>
              </w:rPr>
              <w:t>ΕΞΗΓΗΣΤΕ</w:t>
            </w:r>
            <w:r w:rsidRPr="00E041BC">
              <w:rPr>
                <w:sz w:val="18"/>
                <w:szCs w:val="18"/>
              </w:rPr>
              <w:t xml:space="preserve"> (</w:t>
            </w:r>
            <w:r w:rsidRPr="00463489">
              <w:rPr>
                <w:sz w:val="18"/>
                <w:szCs w:val="18"/>
                <w:lang w:val="el-GR"/>
              </w:rPr>
              <w:t>Π</w:t>
            </w:r>
            <w:r w:rsidRPr="00E041BC">
              <w:rPr>
                <w:sz w:val="18"/>
                <w:szCs w:val="18"/>
              </w:rPr>
              <w:t>.</w:t>
            </w:r>
            <w:r w:rsidRPr="00463489">
              <w:rPr>
                <w:sz w:val="18"/>
                <w:szCs w:val="18"/>
                <w:lang w:val="el-GR"/>
              </w:rPr>
              <w:t>Χ</w:t>
            </w:r>
            <w:r w:rsidRPr="00E041BC">
              <w:rPr>
                <w:sz w:val="18"/>
                <w:szCs w:val="18"/>
              </w:rPr>
              <w:t>.,</w:t>
            </w:r>
            <w:r w:rsidRPr="00463489">
              <w:rPr>
                <w:sz w:val="18"/>
                <w:szCs w:val="18"/>
                <w:lang w:val="el-GR"/>
              </w:rPr>
              <w:t>ΕΓΡΑΨΕ</w:t>
            </w:r>
            <w:r w:rsidRPr="00E041BC">
              <w:rPr>
                <w:sz w:val="18"/>
                <w:szCs w:val="18"/>
              </w:rPr>
              <w:t xml:space="preserve"> </w:t>
            </w:r>
            <w:r w:rsidRPr="00463489">
              <w:rPr>
                <w:sz w:val="18"/>
                <w:szCs w:val="18"/>
                <w:lang w:val="el-GR"/>
              </w:rPr>
              <w:t>ΣΩΣΤΑ</w:t>
            </w:r>
            <w:r w:rsidRPr="00E041BC">
              <w:rPr>
                <w:sz w:val="18"/>
                <w:szCs w:val="18"/>
              </w:rPr>
              <w:t xml:space="preserve"> €50 </w:t>
            </w:r>
            <w:r w:rsidRPr="00463489">
              <w:rPr>
                <w:sz w:val="18"/>
                <w:szCs w:val="18"/>
                <w:lang w:val="el-GR"/>
              </w:rPr>
              <w:t>ΑΛΛΑ</w:t>
            </w:r>
            <w:r w:rsidRPr="00E041BC">
              <w:rPr>
                <w:sz w:val="18"/>
                <w:szCs w:val="18"/>
              </w:rPr>
              <w:t xml:space="preserve"> </w:t>
            </w:r>
            <w:r w:rsidRPr="00463489">
              <w:rPr>
                <w:sz w:val="18"/>
                <w:szCs w:val="18"/>
                <w:lang w:val="el-GR"/>
              </w:rPr>
              <w:t>ΑΡΙΘΜΗΤΙΚΑ</w:t>
            </w:r>
            <w:r w:rsidRPr="00E041BC">
              <w:rPr>
                <w:sz w:val="18"/>
                <w:szCs w:val="18"/>
              </w:rPr>
              <w:t xml:space="preserve"> </w:t>
            </w:r>
            <w:r w:rsidRPr="00463489">
              <w:rPr>
                <w:sz w:val="18"/>
                <w:szCs w:val="18"/>
                <w:lang w:val="el-GR"/>
              </w:rPr>
              <w:t>ΛΑΘΟΣ</w:t>
            </w:r>
            <w:r w:rsidRPr="00E041BC">
              <w:rPr>
                <w:sz w:val="18"/>
                <w:szCs w:val="18"/>
              </w:rPr>
              <w:t xml:space="preserve"> – </w:t>
            </w:r>
            <w:r w:rsidRPr="00463489">
              <w:rPr>
                <w:sz w:val="18"/>
                <w:szCs w:val="18"/>
                <w:lang w:val="el-GR"/>
              </w:rPr>
              <w:t>ΤΟ</w:t>
            </w:r>
            <w:r w:rsidRPr="00E041BC">
              <w:rPr>
                <w:sz w:val="18"/>
                <w:szCs w:val="18"/>
              </w:rPr>
              <w:t xml:space="preserve"> </w:t>
            </w:r>
            <w:r w:rsidRPr="00463489">
              <w:rPr>
                <w:sz w:val="18"/>
                <w:szCs w:val="18"/>
                <w:lang w:val="el-GR"/>
              </w:rPr>
              <w:t>ΥΠΟΛΟΙΠΟ</w:t>
            </w:r>
            <w:r w:rsidRPr="00E041BC">
              <w:rPr>
                <w:sz w:val="18"/>
                <w:szCs w:val="18"/>
              </w:rPr>
              <w:t xml:space="preserve"> </w:t>
            </w:r>
            <w:r w:rsidRPr="00463489">
              <w:rPr>
                <w:sz w:val="18"/>
                <w:szCs w:val="18"/>
                <w:lang w:val="el-GR"/>
              </w:rPr>
              <w:t>ΗΤΑΝ</w:t>
            </w:r>
            <w:r w:rsidRPr="00E041BC">
              <w:rPr>
                <w:sz w:val="18"/>
                <w:szCs w:val="18"/>
              </w:rPr>
              <w:t xml:space="preserve"> 701.72; </w:t>
            </w:r>
            <w:r w:rsidRPr="00463489">
              <w:rPr>
                <w:sz w:val="18"/>
                <w:szCs w:val="18"/>
                <w:lang w:val="el-GR"/>
              </w:rPr>
              <w:t>Ή</w:t>
            </w:r>
            <w:r w:rsidRPr="00E041BC">
              <w:rPr>
                <w:sz w:val="18"/>
                <w:szCs w:val="18"/>
              </w:rPr>
              <w:t xml:space="preserve"> </w:t>
            </w:r>
            <w:r w:rsidRPr="00463489">
              <w:rPr>
                <w:sz w:val="18"/>
                <w:szCs w:val="18"/>
                <w:lang w:val="el-GR"/>
              </w:rPr>
              <w:t>ΔΕΝ</w:t>
            </w:r>
            <w:r w:rsidRPr="00E041BC">
              <w:rPr>
                <w:sz w:val="18"/>
                <w:szCs w:val="18"/>
              </w:rPr>
              <w:t xml:space="preserve"> </w:t>
            </w:r>
            <w:r w:rsidRPr="00463489">
              <w:rPr>
                <w:sz w:val="18"/>
                <w:szCs w:val="18"/>
                <w:lang w:val="el-GR"/>
              </w:rPr>
              <w:t>ΕΓΡΑΨΕ</w:t>
            </w:r>
            <w:r w:rsidRPr="00E041BC">
              <w:rPr>
                <w:sz w:val="18"/>
                <w:szCs w:val="18"/>
              </w:rPr>
              <w:t xml:space="preserve"> 50€ </w:t>
            </w:r>
            <w:r w:rsidRPr="00463489">
              <w:rPr>
                <w:sz w:val="18"/>
                <w:szCs w:val="18"/>
                <w:lang w:val="el-GR"/>
              </w:rPr>
              <w:t>ΣΤΗΝ</w:t>
            </w:r>
            <w:r w:rsidRPr="00E041BC">
              <w:rPr>
                <w:sz w:val="18"/>
                <w:szCs w:val="18"/>
              </w:rPr>
              <w:t xml:space="preserve"> </w:t>
            </w:r>
            <w:r w:rsidRPr="00463489">
              <w:rPr>
                <w:sz w:val="18"/>
                <w:szCs w:val="18"/>
                <w:lang w:val="el-GR"/>
              </w:rPr>
              <w:t>ΣΩΣΤΗ</w:t>
            </w:r>
            <w:r w:rsidRPr="00E041BC">
              <w:rPr>
                <w:sz w:val="18"/>
                <w:szCs w:val="18"/>
              </w:rPr>
              <w:t xml:space="preserve"> </w:t>
            </w:r>
            <w:r w:rsidRPr="00463489">
              <w:rPr>
                <w:sz w:val="18"/>
                <w:szCs w:val="18"/>
                <w:lang w:val="el-GR"/>
              </w:rPr>
              <w:t>ΣΤΗΛΗ</w:t>
            </w:r>
            <w:r w:rsidRPr="00E041BC">
              <w:rPr>
                <w:sz w:val="18"/>
                <w:szCs w:val="18"/>
              </w:rPr>
              <w:t xml:space="preserve">, </w:t>
            </w:r>
            <w:r w:rsidRPr="00463489">
              <w:rPr>
                <w:sz w:val="18"/>
                <w:szCs w:val="18"/>
                <w:lang w:val="el-GR"/>
              </w:rPr>
              <w:t>ΑΛΛΑ</w:t>
            </w:r>
            <w:r w:rsidRPr="00E041BC">
              <w:rPr>
                <w:sz w:val="18"/>
                <w:szCs w:val="18"/>
              </w:rPr>
              <w:t xml:space="preserve"> </w:t>
            </w:r>
            <w:r w:rsidRPr="00463489">
              <w:rPr>
                <w:sz w:val="18"/>
                <w:szCs w:val="18"/>
                <w:lang w:val="el-GR"/>
              </w:rPr>
              <w:t>ΤΟ</w:t>
            </w:r>
            <w:r w:rsidRPr="00E041BC">
              <w:rPr>
                <w:sz w:val="18"/>
                <w:szCs w:val="18"/>
              </w:rPr>
              <w:t xml:space="preserve"> </w:t>
            </w:r>
            <w:r w:rsidRPr="00463489">
              <w:rPr>
                <w:sz w:val="18"/>
                <w:szCs w:val="18"/>
                <w:lang w:val="el-GR"/>
              </w:rPr>
              <w:t>ΥΠΟΛΟΙΠΟ</w:t>
            </w:r>
            <w:r w:rsidRPr="00E041BC">
              <w:rPr>
                <w:sz w:val="18"/>
                <w:szCs w:val="18"/>
              </w:rPr>
              <w:t xml:space="preserve"> </w:t>
            </w:r>
            <w:r w:rsidRPr="00463489">
              <w:rPr>
                <w:sz w:val="18"/>
                <w:szCs w:val="18"/>
                <w:lang w:val="el-GR"/>
              </w:rPr>
              <w:t>ΗΤΑΝ</w:t>
            </w:r>
            <w:r w:rsidRPr="00E041BC">
              <w:rPr>
                <w:sz w:val="18"/>
                <w:szCs w:val="18"/>
              </w:rPr>
              <w:t xml:space="preserve"> </w:t>
            </w:r>
            <w:r w:rsidRPr="00463489">
              <w:rPr>
                <w:sz w:val="18"/>
                <w:szCs w:val="18"/>
                <w:lang w:val="el-GR"/>
              </w:rPr>
              <w:t>ΣΩΣΤΟ</w:t>
            </w:r>
            <w:r w:rsidRPr="00E041BC">
              <w:rPr>
                <w:sz w:val="18"/>
                <w:szCs w:val="18"/>
              </w:rPr>
              <w:t>):</w:t>
            </w:r>
          </w:p>
          <w:p w:rsidR="00463489" w:rsidRPr="00E041BC" w:rsidRDefault="00463489" w:rsidP="00463489">
            <w:pPr>
              <w:spacing w:line="276" w:lineRule="auto"/>
              <w:rPr>
                <w:sz w:val="18"/>
                <w:szCs w:val="18"/>
              </w:rPr>
            </w:pPr>
          </w:p>
        </w:tc>
      </w:tr>
      <w:tr w:rsidR="00463489" w:rsidRPr="00E041BC" w:rsidTr="00463489">
        <w:trPr>
          <w:trHeight w:val="1463"/>
        </w:trPr>
        <w:tc>
          <w:tcPr>
            <w:tcW w:w="3686" w:type="dxa"/>
            <w:vMerge/>
          </w:tcPr>
          <w:p w:rsidR="00463489" w:rsidRPr="00E041BC" w:rsidRDefault="00463489" w:rsidP="00463489">
            <w:pPr>
              <w:spacing w:line="276" w:lineRule="auto"/>
              <w:rPr>
                <w:sz w:val="20"/>
                <w:szCs w:val="20"/>
              </w:rPr>
            </w:pPr>
          </w:p>
        </w:tc>
        <w:tc>
          <w:tcPr>
            <w:tcW w:w="3793" w:type="dxa"/>
            <w:gridSpan w:val="2"/>
            <w:tcBorders>
              <w:top w:val="nil"/>
            </w:tcBorders>
          </w:tcPr>
          <w:p w:rsidR="00463489" w:rsidRPr="00E041BC" w:rsidRDefault="00463489" w:rsidP="00463489">
            <w:pPr>
              <w:spacing w:line="276" w:lineRule="auto"/>
              <w:rPr>
                <w:sz w:val="20"/>
                <w:szCs w:val="20"/>
              </w:rPr>
            </w:pPr>
            <w:r w:rsidRPr="00463489">
              <w:rPr>
                <w:sz w:val="20"/>
                <w:szCs w:val="20"/>
                <w:lang w:val="el-GR"/>
              </w:rPr>
              <w:t>ΝΑΙ</w:t>
            </w:r>
            <w:r w:rsidRPr="00E041BC">
              <w:rPr>
                <w:sz w:val="20"/>
                <w:szCs w:val="20"/>
              </w:rPr>
              <w:t xml:space="preserve">…1                                            </w:t>
            </w:r>
            <w:r w:rsidRPr="00463489">
              <w:rPr>
                <w:sz w:val="20"/>
                <w:szCs w:val="20"/>
                <w:lang w:val="el-GR"/>
              </w:rPr>
              <w:t>ΟΧΙ</w:t>
            </w:r>
            <w:r w:rsidRPr="00E041BC">
              <w:rPr>
                <w:sz w:val="20"/>
                <w:szCs w:val="20"/>
              </w:rPr>
              <w:t>…2</w:t>
            </w:r>
          </w:p>
          <w:p w:rsidR="00463489" w:rsidRPr="00E041BC" w:rsidRDefault="00463489" w:rsidP="00463489">
            <w:pPr>
              <w:spacing w:line="276" w:lineRule="auto"/>
              <w:rPr>
                <w:sz w:val="20"/>
                <w:szCs w:val="20"/>
              </w:rPr>
            </w:pPr>
          </w:p>
          <w:p w:rsidR="00463489" w:rsidRPr="00463489" w:rsidRDefault="00463489" w:rsidP="00463489">
            <w:pPr>
              <w:spacing w:line="276" w:lineRule="auto"/>
              <w:rPr>
                <w:sz w:val="18"/>
                <w:szCs w:val="18"/>
                <w:lang w:val="el-GR"/>
              </w:rPr>
            </w:pPr>
            <w:r w:rsidRPr="00463489">
              <w:rPr>
                <w:sz w:val="18"/>
                <w:szCs w:val="18"/>
                <w:lang w:val="el-GR"/>
              </w:rPr>
              <w:t>ΑΝ</w:t>
            </w:r>
            <w:r w:rsidRPr="00E041BC">
              <w:rPr>
                <w:sz w:val="18"/>
                <w:szCs w:val="18"/>
              </w:rPr>
              <w:t xml:space="preserve"> </w:t>
            </w:r>
            <w:r w:rsidRPr="00463489">
              <w:rPr>
                <w:sz w:val="18"/>
                <w:szCs w:val="18"/>
                <w:lang w:val="el-GR"/>
              </w:rPr>
              <w:t>ΟΧΙ</w:t>
            </w:r>
            <w:r w:rsidRPr="00E041BC">
              <w:rPr>
                <w:sz w:val="18"/>
                <w:szCs w:val="18"/>
              </w:rPr>
              <w:t xml:space="preserve">, </w:t>
            </w:r>
            <w:r w:rsidRPr="00463489">
              <w:rPr>
                <w:sz w:val="18"/>
                <w:szCs w:val="18"/>
                <w:lang w:val="el-GR"/>
              </w:rPr>
              <w:t>ΕΞΗΓΗΣΤΕ</w:t>
            </w:r>
            <w:r w:rsidRPr="00E041BC">
              <w:rPr>
                <w:sz w:val="18"/>
                <w:szCs w:val="18"/>
              </w:rPr>
              <w:t xml:space="preserve"> (</w:t>
            </w:r>
            <w:r w:rsidRPr="00463489">
              <w:rPr>
                <w:sz w:val="18"/>
                <w:szCs w:val="18"/>
                <w:lang w:val="el-GR"/>
              </w:rPr>
              <w:t>Π</w:t>
            </w:r>
            <w:r w:rsidRPr="00E041BC">
              <w:rPr>
                <w:sz w:val="18"/>
                <w:szCs w:val="18"/>
              </w:rPr>
              <w:t>.</w:t>
            </w:r>
            <w:r w:rsidRPr="00463489">
              <w:rPr>
                <w:sz w:val="18"/>
                <w:szCs w:val="18"/>
                <w:lang w:val="el-GR"/>
              </w:rPr>
              <w:t>Χ</w:t>
            </w:r>
            <w:r w:rsidRPr="00E041BC">
              <w:rPr>
                <w:sz w:val="18"/>
                <w:szCs w:val="18"/>
              </w:rPr>
              <w:t>.,</w:t>
            </w:r>
            <w:r w:rsidRPr="00463489">
              <w:rPr>
                <w:sz w:val="18"/>
                <w:szCs w:val="18"/>
                <w:lang w:val="el-GR"/>
              </w:rPr>
              <w:t>ΕΓΡΑΨΕ</w:t>
            </w:r>
            <w:r w:rsidRPr="00E041BC">
              <w:rPr>
                <w:sz w:val="18"/>
                <w:szCs w:val="18"/>
              </w:rPr>
              <w:t xml:space="preserve"> </w:t>
            </w:r>
            <w:r w:rsidRPr="00463489">
              <w:rPr>
                <w:sz w:val="18"/>
                <w:szCs w:val="18"/>
                <w:lang w:val="el-GR"/>
              </w:rPr>
              <w:t>ΣΩΣΤΑ</w:t>
            </w:r>
            <w:r w:rsidRPr="00E041BC">
              <w:rPr>
                <w:sz w:val="18"/>
                <w:szCs w:val="18"/>
              </w:rPr>
              <w:t xml:space="preserve"> €29.21 </w:t>
            </w:r>
            <w:r w:rsidRPr="00463489">
              <w:rPr>
                <w:sz w:val="18"/>
                <w:szCs w:val="18"/>
                <w:lang w:val="el-GR"/>
              </w:rPr>
              <w:t>ΑΛΛΑ</w:t>
            </w:r>
            <w:r w:rsidRPr="00E041BC">
              <w:rPr>
                <w:sz w:val="18"/>
                <w:szCs w:val="18"/>
              </w:rPr>
              <w:t xml:space="preserve"> </w:t>
            </w:r>
            <w:r w:rsidRPr="00463489">
              <w:rPr>
                <w:sz w:val="18"/>
                <w:szCs w:val="18"/>
                <w:lang w:val="el-GR"/>
              </w:rPr>
              <w:t>ΑΡΙΘΜΗΤΙΚΑ</w:t>
            </w:r>
            <w:r w:rsidRPr="00E041BC">
              <w:rPr>
                <w:sz w:val="18"/>
                <w:szCs w:val="18"/>
              </w:rPr>
              <w:t xml:space="preserve"> </w:t>
            </w:r>
            <w:r w:rsidRPr="00463489">
              <w:rPr>
                <w:sz w:val="18"/>
                <w:szCs w:val="18"/>
                <w:lang w:val="el-GR"/>
              </w:rPr>
              <w:t>ΛΑΘΟΣ</w:t>
            </w:r>
            <w:r w:rsidRPr="00E041BC">
              <w:rPr>
                <w:sz w:val="18"/>
                <w:szCs w:val="18"/>
              </w:rPr>
              <w:t xml:space="preserve">; </w:t>
            </w:r>
            <w:r w:rsidRPr="00463489">
              <w:rPr>
                <w:sz w:val="18"/>
                <w:szCs w:val="18"/>
                <w:lang w:val="el-GR"/>
              </w:rPr>
              <w:t>Ή ΔΕΝ ΕΓΡΑΨΕ 29.21€ ΣΤΗΝ ΣΩΣΤΗ ΣΤΗΛΗ, ΑΛΛΑ ΤΟ ΥΠΟΛΟΙΠΟ ΗΤΑΝ ΣΩΣΤΟ):</w:t>
            </w:r>
          </w:p>
          <w:p w:rsidR="00463489" w:rsidRPr="00463489" w:rsidRDefault="00463489" w:rsidP="00463489">
            <w:pPr>
              <w:spacing w:line="276" w:lineRule="auto"/>
              <w:rPr>
                <w:sz w:val="18"/>
                <w:szCs w:val="18"/>
                <w:lang w:val="el-GR"/>
              </w:rPr>
            </w:pPr>
          </w:p>
        </w:tc>
      </w:tr>
    </w:tbl>
    <w:p w:rsidR="00463489" w:rsidRPr="00463489" w:rsidRDefault="00463489" w:rsidP="00463489">
      <w:pPr>
        <w:spacing w:line="276" w:lineRule="auto"/>
        <w:ind w:left="1440" w:hanging="1440"/>
        <w:rPr>
          <w:lang w:val="el-GR"/>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89" o:spid="_x0000_s1043" alt="" style="position:absolute;margin-left:380.85pt;margin-top:22.55pt;width:24.5pt;height:37pt;z-index:251737088;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spacing w:line="360" w:lineRule="auto"/>
              <w:rPr>
                <w:rFonts w:cs="Calibri"/>
                <w:lang w:val="el-GR"/>
              </w:rPr>
            </w:pPr>
            <w:r w:rsidRPr="00463489">
              <w:rPr>
                <w:rFonts w:cs="Calibri"/>
                <w:lang w:val="el-GR"/>
              </w:rPr>
              <w:t>Ποιο είναι το ποσό που πιστώνεται;</w:t>
            </w:r>
          </w:p>
          <w:p w:rsidR="00463489" w:rsidRPr="00463489" w:rsidRDefault="00463489" w:rsidP="00463489">
            <w:pPr>
              <w:spacing w:line="276" w:lineRule="auto"/>
              <w:ind w:left="1440" w:hanging="1440"/>
              <w:rPr>
                <w:u w:val="single"/>
                <w:lang w:val="el-GR"/>
              </w:rPr>
            </w:pP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Δ2γ.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FA5BF6" w:rsidRDefault="00FA5BF6" w:rsidP="00463489"/>
    <w:p w:rsidR="00FA5BF6" w:rsidRDefault="00FA5BF6" w:rsidP="00463489"/>
    <w:p w:rsidR="00463489" w:rsidRDefault="00463489" w:rsidP="00463489">
      <w:r>
        <w:t>Δ</w:t>
      </w:r>
      <w:r>
        <w:rPr>
          <w:lang w:val="en-US"/>
        </w:rPr>
        <w:t>2</w:t>
      </w:r>
      <w:r>
        <w:t>.</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2485"/>
        <w:gridCol w:w="1308"/>
      </w:tblGrid>
      <w:tr w:rsidR="00463489" w:rsidRPr="00866FFB" w:rsidTr="00463489">
        <w:tc>
          <w:tcPr>
            <w:tcW w:w="368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793" w:type="dxa"/>
            <w:gridSpan w:val="2"/>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866FFB" w:rsidTr="00463489">
        <w:trPr>
          <w:trHeight w:val="665"/>
        </w:trPr>
        <w:tc>
          <w:tcPr>
            <w:tcW w:w="3686" w:type="dxa"/>
            <w:vMerge w:val="restart"/>
          </w:tcPr>
          <w:p w:rsidR="00463489" w:rsidRPr="00463489" w:rsidRDefault="00463489" w:rsidP="00463489">
            <w:pPr>
              <w:spacing w:line="276" w:lineRule="auto"/>
              <w:rPr>
                <w:sz w:val="20"/>
                <w:szCs w:val="20"/>
                <w:lang w:val="el-GR"/>
              </w:rPr>
            </w:pPr>
            <w:r w:rsidRPr="00463489">
              <w:rPr>
                <w:sz w:val="20"/>
                <w:szCs w:val="20"/>
                <w:lang w:val="el-GR"/>
              </w:rPr>
              <w:t>Δ2δ.</w:t>
            </w:r>
          </w:p>
          <w:p w:rsidR="00463489" w:rsidRPr="00463489" w:rsidRDefault="00463489" w:rsidP="00463489">
            <w:pPr>
              <w:spacing w:line="276" w:lineRule="auto"/>
              <w:ind w:left="720"/>
              <w:rPr>
                <w:sz w:val="20"/>
                <w:szCs w:val="20"/>
                <w:lang w:val="el-GR"/>
              </w:rPr>
            </w:pPr>
            <w:r w:rsidRPr="00463489">
              <w:rPr>
                <w:sz w:val="20"/>
                <w:szCs w:val="20"/>
                <w:lang w:val="el-GR"/>
              </w:rPr>
              <w:t xml:space="preserve">Ο ΣΥΜΜΕΤΕΧΟΝΤΑΣ ΓΡΑΦΕΙ 29.21€ ΣΤΗΝ ΣΤΗΛΗ ΑΝΑΛΗΨΕΙΣ /ΧΡΕΩΣΕΙΣ </w:t>
            </w:r>
            <w:r w:rsidRPr="00463489">
              <w:rPr>
                <w:sz w:val="20"/>
                <w:szCs w:val="20"/>
                <w:u w:val="single"/>
                <w:lang w:val="el-GR"/>
              </w:rPr>
              <w:t>ΚΑΙ</w:t>
            </w:r>
            <w:r w:rsidRPr="00463489">
              <w:rPr>
                <w:sz w:val="20"/>
                <w:szCs w:val="20"/>
                <w:lang w:val="el-GR"/>
              </w:rPr>
              <w:t xml:space="preserve"> ΥΠΟΛΟΓΙΖΕΙ ΤΟ ΤΕΛΙΚΟ ΥΠΟΛΟΙΠΟ 752.29€*</w:t>
            </w:r>
          </w:p>
          <w:p w:rsidR="00463489" w:rsidRPr="00463489" w:rsidRDefault="00463489" w:rsidP="00463489">
            <w:pPr>
              <w:spacing w:line="276" w:lineRule="auto"/>
              <w:rPr>
                <w:sz w:val="20"/>
                <w:szCs w:val="20"/>
                <w:lang w:val="el-GR"/>
              </w:rPr>
            </w:pPr>
            <w:r w:rsidRPr="00463489">
              <w:rPr>
                <w:sz w:val="20"/>
                <w:szCs w:val="20"/>
                <w:lang w:val="el-GR"/>
              </w:rPr>
              <w:t>Δ2ε.</w:t>
            </w:r>
          </w:p>
          <w:p w:rsidR="00463489" w:rsidRPr="00463489" w:rsidRDefault="00463489" w:rsidP="00463489">
            <w:pPr>
              <w:spacing w:line="276" w:lineRule="auto"/>
              <w:ind w:left="720"/>
              <w:rPr>
                <w:sz w:val="20"/>
                <w:szCs w:val="20"/>
                <w:lang w:val="el-GR"/>
              </w:rPr>
            </w:pPr>
          </w:p>
          <w:p w:rsidR="00463489" w:rsidRPr="00463489" w:rsidRDefault="00463489" w:rsidP="00463489">
            <w:pPr>
              <w:spacing w:line="276" w:lineRule="auto"/>
              <w:ind w:left="720"/>
              <w:rPr>
                <w:sz w:val="20"/>
                <w:szCs w:val="20"/>
                <w:u w:val="single"/>
                <w:lang w:val="el-GR"/>
              </w:rPr>
            </w:pPr>
            <w:r w:rsidRPr="00463489">
              <w:rPr>
                <w:sz w:val="20"/>
                <w:szCs w:val="20"/>
                <w:u w:val="single"/>
                <w:lang w:val="el-GR"/>
              </w:rPr>
              <w:t>Ή</w:t>
            </w:r>
          </w:p>
          <w:p w:rsidR="00463489" w:rsidRPr="00463489" w:rsidRDefault="00463489" w:rsidP="00463489">
            <w:pPr>
              <w:spacing w:line="276" w:lineRule="auto"/>
              <w:ind w:left="720"/>
              <w:rPr>
                <w:sz w:val="20"/>
                <w:szCs w:val="20"/>
                <w:lang w:val="el-GR"/>
              </w:rPr>
            </w:pPr>
            <w:r w:rsidRPr="00463489">
              <w:rPr>
                <w:sz w:val="20"/>
                <w:szCs w:val="20"/>
                <w:lang w:val="el-GR"/>
              </w:rPr>
              <w:t xml:space="preserve">Ο ΣΥΜΜΕΤΕΧΟΝΤΑΣ ΓΡΑΦΕΙ 50€ ΣΤΗΝ ΣΤΗΛΗ  ΚΑΤΑΘΕΣΕΙΣ /ΠΙΣΤΩΣΕΙΣ </w:t>
            </w:r>
            <w:r w:rsidRPr="00463489">
              <w:rPr>
                <w:sz w:val="20"/>
                <w:szCs w:val="20"/>
                <w:u w:val="single"/>
                <w:lang w:val="el-GR"/>
              </w:rPr>
              <w:t>ΚΑΙ</w:t>
            </w:r>
            <w:r w:rsidRPr="00463489">
              <w:rPr>
                <w:sz w:val="20"/>
                <w:szCs w:val="20"/>
                <w:lang w:val="el-GR"/>
              </w:rPr>
              <w:t xml:space="preserve"> ΥΠΟΛΟΓΙΖΕΙ ΤΟ ΠΡΩΤΟ ΥΠΟΛΟΙΠΟ 752.29</w:t>
            </w:r>
          </w:p>
          <w:p w:rsidR="00463489" w:rsidRPr="00463489" w:rsidRDefault="00463489" w:rsidP="00463489">
            <w:pPr>
              <w:spacing w:line="276" w:lineRule="auto"/>
              <w:ind w:left="720"/>
              <w:rPr>
                <w:sz w:val="20"/>
                <w:szCs w:val="20"/>
                <w:lang w:val="el-GR"/>
              </w:rPr>
            </w:pPr>
          </w:p>
          <w:p w:rsidR="00463489" w:rsidRPr="00463489" w:rsidRDefault="00463489" w:rsidP="00463489">
            <w:pPr>
              <w:spacing w:line="276" w:lineRule="auto"/>
              <w:ind w:left="720"/>
              <w:rPr>
                <w:sz w:val="20"/>
                <w:szCs w:val="20"/>
                <w:lang w:val="el-GR"/>
              </w:rPr>
            </w:pPr>
          </w:p>
          <w:p w:rsidR="00463489" w:rsidRPr="00463489" w:rsidRDefault="00463489" w:rsidP="00463489">
            <w:pPr>
              <w:spacing w:line="276" w:lineRule="auto"/>
              <w:rPr>
                <w:sz w:val="20"/>
                <w:szCs w:val="20"/>
                <w:lang w:val="el-GR"/>
              </w:rPr>
            </w:pPr>
          </w:p>
          <w:p w:rsidR="00463489" w:rsidRDefault="00463489" w:rsidP="00463489">
            <w:pPr>
              <w:spacing w:line="276" w:lineRule="auto"/>
              <w:rPr>
                <w:b/>
                <w:sz w:val="20"/>
                <w:szCs w:val="20"/>
                <w:u w:val="single"/>
                <w:lang w:val="el-GR"/>
              </w:rPr>
            </w:pPr>
            <w:r w:rsidRPr="00463489">
              <w:rPr>
                <w:sz w:val="20"/>
                <w:szCs w:val="20"/>
                <w:lang w:val="el-GR"/>
              </w:rPr>
              <w:t xml:space="preserve">*ΣΗΜΕΙΩΣΗ: ΑΝ Ο ΣΥΜΜΕΤΕΧΟΝΤΑΣ ΜΕ ΤΗΝ ΑΝΑΛΗΨΗ ΣΤΟ Δ2, ΠΡΟΣΠΕΡΑΣΤΕ ΑΥΤΟ ΤΟ ΜΕΡΟΣ ΚΑΙ </w:t>
            </w:r>
            <w:r w:rsidRPr="00463489">
              <w:rPr>
                <w:b/>
                <w:sz w:val="20"/>
                <w:szCs w:val="20"/>
                <w:u w:val="single"/>
                <w:lang w:val="el-GR"/>
              </w:rPr>
              <w:t>ΠΗΓΑΙΝΕΤΕ ΣΤΟ Δ3Β</w:t>
            </w:r>
          </w:p>
          <w:p w:rsidR="00FA5BF6" w:rsidRPr="00463489" w:rsidRDefault="00FA5BF6" w:rsidP="00463489">
            <w:pPr>
              <w:spacing w:line="276" w:lineRule="auto"/>
              <w:rPr>
                <w:sz w:val="20"/>
                <w:szCs w:val="20"/>
                <w:lang w:val="el-GR"/>
              </w:rPr>
            </w:pPr>
          </w:p>
        </w:tc>
        <w:tc>
          <w:tcPr>
            <w:tcW w:w="2485" w:type="dxa"/>
            <w:tcBorders>
              <w:bottom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308"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99" o:spid="_x0000_s1042" alt="" style="position:absolute;margin-left:66.6pt;margin-top:19pt;width:24.5pt;height:38.3pt;z-index:251747328;visibility:visible;mso-wrap-edited:f;mso-position-horizontal-relative:text;mso-position-vertical-relative:text">
                  <v:path arrowok="t"/>
                </v:rect>
              </w:pict>
            </w:r>
            <w:r w:rsidR="00463489" w:rsidRPr="00866FFB">
              <w:rPr>
                <w:sz w:val="20"/>
                <w:szCs w:val="20"/>
              </w:rPr>
              <w:t>ΟΧΙ…2</w:t>
            </w:r>
          </w:p>
        </w:tc>
      </w:tr>
      <w:tr w:rsidR="00463489" w:rsidRPr="002D7931" w:rsidTr="00463489">
        <w:trPr>
          <w:trHeight w:val="1463"/>
        </w:trPr>
        <w:tc>
          <w:tcPr>
            <w:tcW w:w="3686" w:type="dxa"/>
            <w:vMerge/>
          </w:tcPr>
          <w:p w:rsidR="00463489" w:rsidRPr="00866FFB" w:rsidRDefault="00463489" w:rsidP="00463489">
            <w:pPr>
              <w:spacing w:line="276" w:lineRule="auto"/>
              <w:rPr>
                <w:sz w:val="20"/>
                <w:szCs w:val="20"/>
              </w:rPr>
            </w:pPr>
          </w:p>
        </w:tc>
        <w:tc>
          <w:tcPr>
            <w:tcW w:w="3793" w:type="dxa"/>
            <w:gridSpan w:val="2"/>
            <w:tcBorders>
              <w:top w:val="nil"/>
              <w:bottom w:val="nil"/>
            </w:tcBorders>
          </w:tcPr>
          <w:p w:rsidR="00463489" w:rsidRPr="00E041BC" w:rsidRDefault="00463489" w:rsidP="00463489">
            <w:pPr>
              <w:spacing w:line="276" w:lineRule="auto"/>
              <w:rPr>
                <w:sz w:val="18"/>
                <w:szCs w:val="18"/>
              </w:rPr>
            </w:pPr>
            <w:r w:rsidRPr="00463489">
              <w:rPr>
                <w:sz w:val="18"/>
                <w:szCs w:val="18"/>
                <w:lang w:val="el-GR"/>
              </w:rPr>
              <w:t>ΑΝ</w:t>
            </w:r>
            <w:r w:rsidRPr="00E041BC">
              <w:rPr>
                <w:sz w:val="18"/>
                <w:szCs w:val="18"/>
              </w:rPr>
              <w:t xml:space="preserve"> </w:t>
            </w:r>
            <w:r w:rsidRPr="00463489">
              <w:rPr>
                <w:sz w:val="18"/>
                <w:szCs w:val="18"/>
                <w:lang w:val="el-GR"/>
              </w:rPr>
              <w:t>ΟΧΙ</w:t>
            </w:r>
            <w:r w:rsidRPr="00E041BC">
              <w:rPr>
                <w:sz w:val="18"/>
                <w:szCs w:val="18"/>
              </w:rPr>
              <w:t xml:space="preserve">, </w:t>
            </w:r>
            <w:r w:rsidRPr="00463489">
              <w:rPr>
                <w:sz w:val="18"/>
                <w:szCs w:val="18"/>
                <w:lang w:val="el-GR"/>
              </w:rPr>
              <w:t>ΕΞΗΓΗΣΤΕ</w:t>
            </w:r>
            <w:r w:rsidRPr="00E041BC">
              <w:rPr>
                <w:sz w:val="18"/>
                <w:szCs w:val="18"/>
              </w:rPr>
              <w:t xml:space="preserve"> (</w:t>
            </w:r>
            <w:r w:rsidRPr="00463489">
              <w:rPr>
                <w:sz w:val="18"/>
                <w:szCs w:val="18"/>
                <w:lang w:val="el-GR"/>
              </w:rPr>
              <w:t>Π</w:t>
            </w:r>
            <w:r w:rsidRPr="00E041BC">
              <w:rPr>
                <w:sz w:val="18"/>
                <w:szCs w:val="18"/>
              </w:rPr>
              <w:t>.</w:t>
            </w:r>
            <w:r w:rsidRPr="00463489">
              <w:rPr>
                <w:sz w:val="18"/>
                <w:szCs w:val="18"/>
                <w:lang w:val="el-GR"/>
              </w:rPr>
              <w:t>Χ</w:t>
            </w:r>
            <w:r w:rsidRPr="00E041BC">
              <w:rPr>
                <w:sz w:val="18"/>
                <w:szCs w:val="18"/>
              </w:rPr>
              <w:t>.,</w:t>
            </w:r>
            <w:r w:rsidRPr="00463489">
              <w:rPr>
                <w:sz w:val="18"/>
                <w:szCs w:val="18"/>
                <w:lang w:val="el-GR"/>
              </w:rPr>
              <w:t>ΕΓΡΑΨΕ</w:t>
            </w:r>
            <w:r w:rsidRPr="00E041BC">
              <w:rPr>
                <w:sz w:val="18"/>
                <w:szCs w:val="18"/>
              </w:rPr>
              <w:t xml:space="preserve"> </w:t>
            </w:r>
            <w:r w:rsidRPr="00463489">
              <w:rPr>
                <w:sz w:val="18"/>
                <w:szCs w:val="18"/>
                <w:lang w:val="el-GR"/>
              </w:rPr>
              <w:t>ΣΩΣΤΑ</w:t>
            </w:r>
            <w:r w:rsidRPr="00E041BC">
              <w:rPr>
                <w:sz w:val="18"/>
                <w:szCs w:val="18"/>
              </w:rPr>
              <w:t xml:space="preserve"> €29.21 </w:t>
            </w:r>
            <w:r w:rsidRPr="00463489">
              <w:rPr>
                <w:sz w:val="18"/>
                <w:szCs w:val="18"/>
                <w:lang w:val="el-GR"/>
              </w:rPr>
              <w:t>ΑΛΛΑ</w:t>
            </w:r>
            <w:r w:rsidRPr="00E041BC">
              <w:rPr>
                <w:sz w:val="18"/>
                <w:szCs w:val="18"/>
              </w:rPr>
              <w:t xml:space="preserve"> </w:t>
            </w:r>
            <w:r w:rsidRPr="00463489">
              <w:rPr>
                <w:sz w:val="18"/>
                <w:szCs w:val="18"/>
                <w:lang w:val="el-GR"/>
              </w:rPr>
              <w:t>ΑΡΙΘΜΗΤΙΚΑ</w:t>
            </w:r>
            <w:r w:rsidRPr="00E041BC">
              <w:rPr>
                <w:sz w:val="18"/>
                <w:szCs w:val="18"/>
              </w:rPr>
              <w:t xml:space="preserve"> </w:t>
            </w:r>
            <w:r w:rsidRPr="00463489">
              <w:rPr>
                <w:sz w:val="18"/>
                <w:szCs w:val="18"/>
                <w:lang w:val="el-GR"/>
              </w:rPr>
              <w:t>ΛΑΘΟΣ</w:t>
            </w:r>
            <w:r w:rsidRPr="00E041BC">
              <w:rPr>
                <w:sz w:val="18"/>
                <w:szCs w:val="18"/>
              </w:rPr>
              <w:t xml:space="preserve"> – </w:t>
            </w:r>
            <w:r w:rsidRPr="00463489">
              <w:rPr>
                <w:sz w:val="18"/>
                <w:szCs w:val="18"/>
                <w:lang w:val="el-GR"/>
              </w:rPr>
              <w:t>ΤΟ</w:t>
            </w:r>
            <w:r w:rsidRPr="00E041BC">
              <w:rPr>
                <w:sz w:val="18"/>
                <w:szCs w:val="18"/>
              </w:rPr>
              <w:t xml:space="preserve"> </w:t>
            </w:r>
            <w:r w:rsidRPr="00463489">
              <w:rPr>
                <w:sz w:val="18"/>
                <w:szCs w:val="18"/>
                <w:lang w:val="el-GR"/>
              </w:rPr>
              <w:t>ΥΠΟΛΟΙΠΟ</w:t>
            </w:r>
            <w:r w:rsidRPr="00E041BC">
              <w:rPr>
                <w:sz w:val="18"/>
                <w:szCs w:val="18"/>
              </w:rPr>
              <w:t xml:space="preserve"> </w:t>
            </w:r>
            <w:r w:rsidRPr="00463489">
              <w:rPr>
                <w:sz w:val="18"/>
                <w:szCs w:val="18"/>
                <w:lang w:val="el-GR"/>
              </w:rPr>
              <w:t>ΗΤΑΝ</w:t>
            </w:r>
            <w:r w:rsidRPr="00E041BC">
              <w:rPr>
                <w:sz w:val="18"/>
                <w:szCs w:val="18"/>
              </w:rPr>
              <w:t xml:space="preserve"> 701.72; </w:t>
            </w:r>
            <w:r w:rsidRPr="00463489">
              <w:rPr>
                <w:sz w:val="18"/>
                <w:szCs w:val="18"/>
                <w:lang w:val="el-GR"/>
              </w:rPr>
              <w:t>Ή</w:t>
            </w:r>
            <w:r w:rsidRPr="00E041BC">
              <w:rPr>
                <w:sz w:val="18"/>
                <w:szCs w:val="18"/>
              </w:rPr>
              <w:t xml:space="preserve"> </w:t>
            </w:r>
            <w:r w:rsidRPr="00463489">
              <w:rPr>
                <w:sz w:val="18"/>
                <w:szCs w:val="18"/>
                <w:lang w:val="el-GR"/>
              </w:rPr>
              <w:t>ΔΕΝ</w:t>
            </w:r>
            <w:r w:rsidRPr="00E041BC">
              <w:rPr>
                <w:sz w:val="18"/>
                <w:szCs w:val="18"/>
              </w:rPr>
              <w:t xml:space="preserve"> </w:t>
            </w:r>
            <w:r w:rsidRPr="00463489">
              <w:rPr>
                <w:sz w:val="18"/>
                <w:szCs w:val="18"/>
                <w:lang w:val="el-GR"/>
              </w:rPr>
              <w:t>ΕΓΡΑΨΕ</w:t>
            </w:r>
            <w:r w:rsidRPr="00E041BC">
              <w:rPr>
                <w:sz w:val="18"/>
                <w:szCs w:val="18"/>
              </w:rPr>
              <w:t xml:space="preserve">29.21€ </w:t>
            </w:r>
            <w:r w:rsidRPr="00463489">
              <w:rPr>
                <w:sz w:val="18"/>
                <w:szCs w:val="18"/>
                <w:lang w:val="el-GR"/>
              </w:rPr>
              <w:t>ΣΤΗΝ</w:t>
            </w:r>
            <w:r w:rsidRPr="00E041BC">
              <w:rPr>
                <w:sz w:val="18"/>
                <w:szCs w:val="18"/>
              </w:rPr>
              <w:t xml:space="preserve"> </w:t>
            </w:r>
            <w:r w:rsidRPr="00463489">
              <w:rPr>
                <w:sz w:val="18"/>
                <w:szCs w:val="18"/>
                <w:lang w:val="el-GR"/>
              </w:rPr>
              <w:t>ΣΩΣΤΗ</w:t>
            </w:r>
            <w:r w:rsidRPr="00E041BC">
              <w:rPr>
                <w:sz w:val="18"/>
                <w:szCs w:val="18"/>
              </w:rPr>
              <w:t xml:space="preserve"> </w:t>
            </w:r>
            <w:r w:rsidRPr="00463489">
              <w:rPr>
                <w:sz w:val="18"/>
                <w:szCs w:val="18"/>
                <w:lang w:val="el-GR"/>
              </w:rPr>
              <w:t>ΣΤΗΛΗ</w:t>
            </w:r>
            <w:r w:rsidRPr="00E041BC">
              <w:rPr>
                <w:sz w:val="18"/>
                <w:szCs w:val="18"/>
              </w:rPr>
              <w:t xml:space="preserve">, </w:t>
            </w:r>
            <w:r w:rsidRPr="00463489">
              <w:rPr>
                <w:sz w:val="18"/>
                <w:szCs w:val="18"/>
                <w:lang w:val="el-GR"/>
              </w:rPr>
              <w:t>ΑΛΛΑ</w:t>
            </w:r>
            <w:r w:rsidRPr="00E041BC">
              <w:rPr>
                <w:sz w:val="18"/>
                <w:szCs w:val="18"/>
              </w:rPr>
              <w:t xml:space="preserve"> </w:t>
            </w:r>
            <w:r w:rsidRPr="00463489">
              <w:rPr>
                <w:sz w:val="18"/>
                <w:szCs w:val="18"/>
                <w:lang w:val="el-GR"/>
              </w:rPr>
              <w:t>ΤΟ</w:t>
            </w:r>
            <w:r w:rsidRPr="00E041BC">
              <w:rPr>
                <w:sz w:val="18"/>
                <w:szCs w:val="18"/>
              </w:rPr>
              <w:t xml:space="preserve"> </w:t>
            </w:r>
            <w:r w:rsidRPr="00463489">
              <w:rPr>
                <w:sz w:val="18"/>
                <w:szCs w:val="18"/>
                <w:lang w:val="el-GR"/>
              </w:rPr>
              <w:t>ΥΠΟΛΟΙΠΟ</w:t>
            </w:r>
            <w:r w:rsidRPr="00E041BC">
              <w:rPr>
                <w:sz w:val="18"/>
                <w:szCs w:val="18"/>
              </w:rPr>
              <w:t xml:space="preserve"> </w:t>
            </w:r>
            <w:r w:rsidRPr="00463489">
              <w:rPr>
                <w:sz w:val="18"/>
                <w:szCs w:val="18"/>
                <w:lang w:val="el-GR"/>
              </w:rPr>
              <w:t>ΗΤΑΝ</w:t>
            </w:r>
            <w:r w:rsidRPr="00E041BC">
              <w:rPr>
                <w:sz w:val="18"/>
                <w:szCs w:val="18"/>
              </w:rPr>
              <w:t xml:space="preserve"> </w:t>
            </w:r>
            <w:r w:rsidRPr="00463489">
              <w:rPr>
                <w:sz w:val="18"/>
                <w:szCs w:val="18"/>
                <w:lang w:val="el-GR"/>
              </w:rPr>
              <w:t>ΣΩΣΤΟ</w:t>
            </w:r>
            <w:r w:rsidRPr="00E041BC">
              <w:rPr>
                <w:sz w:val="18"/>
                <w:szCs w:val="18"/>
              </w:rPr>
              <w:t>):</w:t>
            </w:r>
          </w:p>
          <w:p w:rsidR="00463489" w:rsidRPr="00E041BC" w:rsidRDefault="00463489" w:rsidP="00463489">
            <w:pPr>
              <w:spacing w:line="276" w:lineRule="auto"/>
              <w:rPr>
                <w:sz w:val="18"/>
                <w:szCs w:val="18"/>
              </w:rPr>
            </w:pPr>
          </w:p>
          <w:p w:rsidR="00463489" w:rsidRPr="00E041BC" w:rsidRDefault="00463489" w:rsidP="00463489">
            <w:pPr>
              <w:spacing w:line="276" w:lineRule="auto"/>
              <w:rPr>
                <w:sz w:val="18"/>
                <w:szCs w:val="18"/>
              </w:rPr>
            </w:pPr>
          </w:p>
        </w:tc>
      </w:tr>
      <w:tr w:rsidR="00463489" w:rsidRPr="00E041BC" w:rsidTr="00463489">
        <w:trPr>
          <w:trHeight w:val="1463"/>
        </w:trPr>
        <w:tc>
          <w:tcPr>
            <w:tcW w:w="3686" w:type="dxa"/>
            <w:vMerge/>
          </w:tcPr>
          <w:p w:rsidR="00463489" w:rsidRPr="00E041BC" w:rsidRDefault="00463489" w:rsidP="00463489">
            <w:pPr>
              <w:spacing w:line="276" w:lineRule="auto"/>
              <w:rPr>
                <w:sz w:val="20"/>
                <w:szCs w:val="20"/>
              </w:rPr>
            </w:pPr>
          </w:p>
        </w:tc>
        <w:tc>
          <w:tcPr>
            <w:tcW w:w="3793" w:type="dxa"/>
            <w:gridSpan w:val="2"/>
            <w:tcBorders>
              <w:top w:val="nil"/>
            </w:tcBorders>
          </w:tcPr>
          <w:p w:rsidR="00463489" w:rsidRPr="00E041BC" w:rsidRDefault="00463489" w:rsidP="00463489">
            <w:pPr>
              <w:spacing w:line="276" w:lineRule="auto"/>
              <w:rPr>
                <w:sz w:val="20"/>
                <w:szCs w:val="20"/>
              </w:rPr>
            </w:pPr>
            <w:r w:rsidRPr="00463489">
              <w:rPr>
                <w:sz w:val="20"/>
                <w:szCs w:val="20"/>
                <w:lang w:val="el-GR"/>
              </w:rPr>
              <w:t>ΝΑΙ</w:t>
            </w:r>
            <w:r w:rsidRPr="00E041BC">
              <w:rPr>
                <w:sz w:val="20"/>
                <w:szCs w:val="20"/>
              </w:rPr>
              <w:t xml:space="preserve">…1                                            </w:t>
            </w:r>
            <w:r w:rsidRPr="00463489">
              <w:rPr>
                <w:sz w:val="20"/>
                <w:szCs w:val="20"/>
                <w:lang w:val="el-GR"/>
              </w:rPr>
              <w:t>ΟΧΙ</w:t>
            </w:r>
            <w:r w:rsidRPr="00E041BC">
              <w:rPr>
                <w:sz w:val="20"/>
                <w:szCs w:val="20"/>
              </w:rPr>
              <w:t>…2</w:t>
            </w:r>
          </w:p>
          <w:p w:rsidR="00463489" w:rsidRPr="00E041BC" w:rsidRDefault="00463489" w:rsidP="00463489">
            <w:pPr>
              <w:spacing w:line="276" w:lineRule="auto"/>
              <w:rPr>
                <w:sz w:val="20"/>
                <w:szCs w:val="20"/>
              </w:rPr>
            </w:pPr>
          </w:p>
          <w:p w:rsidR="00463489" w:rsidRPr="00463489" w:rsidRDefault="00463489" w:rsidP="00463489">
            <w:pPr>
              <w:spacing w:line="276" w:lineRule="auto"/>
              <w:rPr>
                <w:sz w:val="18"/>
                <w:szCs w:val="18"/>
                <w:lang w:val="el-GR"/>
              </w:rPr>
            </w:pPr>
            <w:r w:rsidRPr="00463489">
              <w:rPr>
                <w:sz w:val="18"/>
                <w:szCs w:val="18"/>
                <w:lang w:val="el-GR"/>
              </w:rPr>
              <w:t>ΑΝ</w:t>
            </w:r>
            <w:r w:rsidRPr="00E041BC">
              <w:rPr>
                <w:sz w:val="18"/>
                <w:szCs w:val="18"/>
              </w:rPr>
              <w:t xml:space="preserve"> </w:t>
            </w:r>
            <w:r w:rsidRPr="00463489">
              <w:rPr>
                <w:sz w:val="18"/>
                <w:szCs w:val="18"/>
                <w:lang w:val="el-GR"/>
              </w:rPr>
              <w:t>ΟΧΙ</w:t>
            </w:r>
            <w:r w:rsidRPr="00E041BC">
              <w:rPr>
                <w:sz w:val="18"/>
                <w:szCs w:val="18"/>
              </w:rPr>
              <w:t xml:space="preserve">, </w:t>
            </w:r>
            <w:r w:rsidRPr="00463489">
              <w:rPr>
                <w:sz w:val="18"/>
                <w:szCs w:val="18"/>
                <w:lang w:val="el-GR"/>
              </w:rPr>
              <w:t>ΕΞΗΓΗΣΤΕ</w:t>
            </w:r>
            <w:r w:rsidRPr="00E041BC">
              <w:rPr>
                <w:sz w:val="18"/>
                <w:szCs w:val="18"/>
              </w:rPr>
              <w:t xml:space="preserve"> (</w:t>
            </w:r>
            <w:r w:rsidRPr="00463489">
              <w:rPr>
                <w:sz w:val="18"/>
                <w:szCs w:val="18"/>
                <w:lang w:val="el-GR"/>
              </w:rPr>
              <w:t>Π</w:t>
            </w:r>
            <w:r w:rsidRPr="00E041BC">
              <w:rPr>
                <w:sz w:val="18"/>
                <w:szCs w:val="18"/>
              </w:rPr>
              <w:t>.</w:t>
            </w:r>
            <w:r w:rsidRPr="00463489">
              <w:rPr>
                <w:sz w:val="18"/>
                <w:szCs w:val="18"/>
                <w:lang w:val="el-GR"/>
              </w:rPr>
              <w:t>Χ</w:t>
            </w:r>
            <w:r w:rsidRPr="00E041BC">
              <w:rPr>
                <w:sz w:val="18"/>
                <w:szCs w:val="18"/>
              </w:rPr>
              <w:t>.,</w:t>
            </w:r>
            <w:r w:rsidRPr="00463489">
              <w:rPr>
                <w:sz w:val="18"/>
                <w:szCs w:val="18"/>
                <w:lang w:val="el-GR"/>
              </w:rPr>
              <w:t>ΕΓΡΑΨΕ</w:t>
            </w:r>
            <w:r w:rsidRPr="00E041BC">
              <w:rPr>
                <w:sz w:val="18"/>
                <w:szCs w:val="18"/>
              </w:rPr>
              <w:t xml:space="preserve"> </w:t>
            </w:r>
            <w:r w:rsidRPr="00463489">
              <w:rPr>
                <w:sz w:val="18"/>
                <w:szCs w:val="18"/>
                <w:lang w:val="el-GR"/>
              </w:rPr>
              <w:t>ΣΩΣΤΑ</w:t>
            </w:r>
            <w:r w:rsidRPr="00E041BC">
              <w:rPr>
                <w:sz w:val="18"/>
                <w:szCs w:val="18"/>
              </w:rPr>
              <w:t xml:space="preserve"> €50 </w:t>
            </w:r>
            <w:r w:rsidRPr="00463489">
              <w:rPr>
                <w:sz w:val="18"/>
                <w:szCs w:val="18"/>
                <w:lang w:val="el-GR"/>
              </w:rPr>
              <w:t>ΑΛΛΑ</w:t>
            </w:r>
            <w:r w:rsidRPr="00E041BC">
              <w:rPr>
                <w:sz w:val="18"/>
                <w:szCs w:val="18"/>
              </w:rPr>
              <w:t xml:space="preserve"> </w:t>
            </w:r>
            <w:r w:rsidRPr="00463489">
              <w:rPr>
                <w:sz w:val="18"/>
                <w:szCs w:val="18"/>
                <w:lang w:val="el-GR"/>
              </w:rPr>
              <w:t>ΑΡΙΘΜΗΤΙΚΑ</w:t>
            </w:r>
            <w:r w:rsidRPr="00E041BC">
              <w:rPr>
                <w:sz w:val="18"/>
                <w:szCs w:val="18"/>
              </w:rPr>
              <w:t xml:space="preserve"> </w:t>
            </w:r>
            <w:r w:rsidRPr="00463489">
              <w:rPr>
                <w:sz w:val="18"/>
                <w:szCs w:val="18"/>
                <w:lang w:val="el-GR"/>
              </w:rPr>
              <w:t>ΛΑΘΟΣ</w:t>
            </w:r>
            <w:r w:rsidRPr="00E041BC">
              <w:rPr>
                <w:sz w:val="18"/>
                <w:szCs w:val="18"/>
              </w:rPr>
              <w:t xml:space="preserve">; </w:t>
            </w:r>
            <w:r w:rsidRPr="00463489">
              <w:rPr>
                <w:sz w:val="18"/>
                <w:szCs w:val="18"/>
                <w:lang w:val="el-GR"/>
              </w:rPr>
              <w:t>Ή ΔΕΝ ΕΓΡΑΨΕ 50€ ΣΤΗΝ ΣΩΣΤΗ ΣΤΗΛΗ, ΑΛΛΑ ΤΟ ΥΠΟΛΟΙΠΟ ΗΤΑΝ ΣΩΣΤΟ):</w:t>
            </w:r>
          </w:p>
          <w:p w:rsidR="00463489" w:rsidRPr="00463489" w:rsidRDefault="00463489" w:rsidP="00463489">
            <w:pPr>
              <w:spacing w:line="276" w:lineRule="auto"/>
              <w:rPr>
                <w:sz w:val="18"/>
                <w:szCs w:val="18"/>
                <w:lang w:val="el-GR"/>
              </w:rPr>
            </w:pPr>
          </w:p>
        </w:tc>
      </w:tr>
    </w:tbl>
    <w:p w:rsidR="00463489" w:rsidRPr="00463489" w:rsidRDefault="00463489" w:rsidP="00463489">
      <w:pPr>
        <w:ind w:right="368"/>
        <w:rPr>
          <w:lang w:val="el-GR"/>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77"/>
        <w:gridCol w:w="1939"/>
        <w:gridCol w:w="1997"/>
      </w:tblGrid>
      <w:tr w:rsidR="00463489" w:rsidRPr="00E041BC"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90" o:spid="_x0000_s1041" alt="" style="position:absolute;margin-left:380.85pt;margin-top:22.55pt;width:24.5pt;height:37pt;z-index:251738112;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spacing w:line="276" w:lineRule="auto"/>
              <w:ind w:left="1440" w:hanging="1440"/>
              <w:rPr>
                <w:lang w:val="el-GR"/>
              </w:rPr>
            </w:pPr>
            <w:r w:rsidRPr="00463489">
              <w:rPr>
                <w:lang w:val="el-GR"/>
              </w:rPr>
              <w:t>Ποιο είναι το ποσό που χρεώνεται.</w:t>
            </w:r>
          </w:p>
        </w:tc>
      </w:tr>
      <w:tr w:rsidR="00463489" w:rsidRPr="00866FFB" w:rsidTr="00463489">
        <w:trPr>
          <w:trHeight w:val="632"/>
        </w:trPr>
        <w:tc>
          <w:tcPr>
            <w:tcW w:w="3577" w:type="dxa"/>
            <w:tcBorders>
              <w:right w:val="nil"/>
            </w:tcBorders>
            <w:vAlign w:val="center"/>
          </w:tcPr>
          <w:p w:rsidR="00463489" w:rsidRPr="00866FFB" w:rsidRDefault="00463489" w:rsidP="00463489">
            <w:pPr>
              <w:spacing w:line="276" w:lineRule="auto"/>
              <w:rPr>
                <w:sz w:val="20"/>
                <w:szCs w:val="20"/>
              </w:rPr>
            </w:pPr>
            <w:r w:rsidRPr="00866FFB">
              <w:rPr>
                <w:sz w:val="20"/>
                <w:szCs w:val="20"/>
              </w:rPr>
              <w:t>Δ2ζ.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997"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Default="00FA5BF6" w:rsidP="00463489">
      <w:pPr>
        <w:rPr>
          <w:lang w:val="en-US"/>
        </w:rPr>
      </w:pPr>
    </w:p>
    <w:p w:rsidR="00FA5BF6" w:rsidRPr="00CF3197" w:rsidRDefault="00FA5BF6" w:rsidP="00463489">
      <w:pPr>
        <w:rPr>
          <w:lang w:val="en-US"/>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4"/>
        <w:gridCol w:w="2268"/>
        <w:gridCol w:w="1701"/>
      </w:tblGrid>
      <w:tr w:rsidR="00FA5BF6" w:rsidRPr="00866FFB" w:rsidTr="00463489">
        <w:trPr>
          <w:trHeight w:val="632"/>
        </w:trPr>
        <w:tc>
          <w:tcPr>
            <w:tcW w:w="3544" w:type="dxa"/>
            <w:tcBorders>
              <w:right w:val="nil"/>
            </w:tcBorders>
            <w:vAlign w:val="center"/>
          </w:tcPr>
          <w:p w:rsidR="00463489" w:rsidRPr="00463489" w:rsidRDefault="00463489" w:rsidP="00463489">
            <w:pPr>
              <w:spacing w:line="276" w:lineRule="auto"/>
              <w:rPr>
                <w:sz w:val="20"/>
                <w:szCs w:val="20"/>
                <w:lang w:val="el-GR"/>
              </w:rPr>
            </w:pPr>
          </w:p>
          <w:p w:rsidR="00463489" w:rsidRPr="00463489" w:rsidRDefault="00463489" w:rsidP="00463489">
            <w:pPr>
              <w:spacing w:line="276" w:lineRule="auto"/>
              <w:rPr>
                <w:sz w:val="20"/>
                <w:szCs w:val="20"/>
                <w:lang w:val="el-GR"/>
              </w:rPr>
            </w:pPr>
            <w:r w:rsidRPr="00463489">
              <w:rPr>
                <w:sz w:val="20"/>
                <w:szCs w:val="20"/>
                <w:lang w:val="el-GR"/>
              </w:rPr>
              <w:t>Δ2η. ΧΡΗΣΗΠΟΠΟΙΗΣΕ Ο ΣΥΜΜΕΤΕΧΟΝΤΑΣ ΠΡΟΧΕΙΡΟ ΣΤΑ ΠΕΡΙΘΩΡΙΑ Δ4 Ή Δ5</w:t>
            </w:r>
          </w:p>
          <w:p w:rsidR="00463489" w:rsidRPr="00463489" w:rsidRDefault="00463489" w:rsidP="00463489">
            <w:pPr>
              <w:spacing w:line="276" w:lineRule="auto"/>
              <w:rPr>
                <w:sz w:val="20"/>
                <w:szCs w:val="20"/>
                <w:lang w:val="el-GR"/>
              </w:rPr>
            </w:pPr>
          </w:p>
        </w:tc>
        <w:tc>
          <w:tcPr>
            <w:tcW w:w="2268"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1701" w:type="dxa"/>
            <w:tcBorders>
              <w:left w:val="nil"/>
            </w:tcBorders>
            <w:vAlign w:val="center"/>
          </w:tcPr>
          <w:p w:rsidR="00463489" w:rsidRPr="00866FFB" w:rsidRDefault="00C4694A" w:rsidP="00463489">
            <w:pPr>
              <w:spacing w:line="276" w:lineRule="auto"/>
              <w:rPr>
                <w:sz w:val="20"/>
                <w:szCs w:val="20"/>
              </w:rPr>
            </w:pPr>
            <w:r>
              <w:rPr>
                <w:noProof/>
                <w:sz w:val="22"/>
                <w:szCs w:val="22"/>
                <w:lang w:eastAsia="en-GB"/>
              </w:rPr>
              <w:pict>
                <v:rect id="Rectangle 91" o:spid="_x0000_s1040" alt="" style="position:absolute;margin-left:90.05pt;margin-top:-8.4pt;width:24.5pt;height:37pt;z-index:251739136;visibility:visible;mso-wrap-edited:f;mso-position-horizontal-relative:text;mso-position-vertical-relative:text">
                  <v:path arrowok="t"/>
                </v:rect>
              </w:pict>
            </w:r>
            <w:r w:rsidR="00463489" w:rsidRPr="00866FFB">
              <w:rPr>
                <w:sz w:val="20"/>
                <w:szCs w:val="20"/>
              </w:rPr>
              <w:t>ΟΧΙ………..2</w:t>
            </w:r>
          </w:p>
        </w:tc>
      </w:tr>
    </w:tbl>
    <w:p w:rsidR="00463489" w:rsidRDefault="00463489" w:rsidP="00463489"/>
    <w:p w:rsidR="00463489" w:rsidRPr="00512A20" w:rsidRDefault="00463489" w:rsidP="00463489">
      <w:pPr>
        <w:rPr>
          <w:lang w:val="en-US"/>
        </w:rPr>
      </w:pPr>
    </w:p>
    <w:p w:rsidR="00463489" w:rsidRPr="007F72A9" w:rsidRDefault="00463489" w:rsidP="00463489">
      <w:pPr>
        <w:spacing w:line="276" w:lineRule="auto"/>
        <w:ind w:left="1440" w:hanging="1440"/>
        <w:rPr>
          <w:lang w:val="el-GR"/>
        </w:rPr>
      </w:pPr>
      <w:r w:rsidRPr="007F72A9">
        <w:rPr>
          <w:lang w:val="el-GR"/>
        </w:rPr>
        <w:t xml:space="preserve"> </w:t>
      </w:r>
    </w:p>
    <w:p w:rsidR="00FA5BF6" w:rsidRDefault="00463489" w:rsidP="00463489">
      <w:pPr>
        <w:spacing w:line="276" w:lineRule="auto"/>
        <w:ind w:left="1440" w:hanging="1440"/>
        <w:rPr>
          <w:lang w:val="el-GR"/>
        </w:rPr>
      </w:pPr>
      <w:r w:rsidRPr="00463489">
        <w:rPr>
          <w:lang w:val="el-GR"/>
        </w:rPr>
        <w:br w:type="page"/>
      </w:r>
      <w:r w:rsidRPr="00463489">
        <w:rPr>
          <w:b/>
          <w:lang w:val="el-GR"/>
        </w:rPr>
        <w:t>ΔΟΚΙΜΑΣΙΑ 3</w:t>
      </w:r>
      <w:r w:rsidRPr="00463489">
        <w:rPr>
          <w:lang w:val="el-GR"/>
        </w:rPr>
        <w:t xml:space="preserve">: ΠΑΡΟΥΣΙΑΣΕ ΣΤΟΝ ΣΥΜΜΕΤΕΧΟΝΤΑ ΤΟΝ ΛΟΓΑΡΙΑΣΜΟ ΤΗΣ ΔΕΗ, ΤΗΝ ΚΑΡΤΑ ΤΩΝ ΤΡΑΠΕΖΙΚΩΝ ΑΡΙΘΜΩΝ ΛΟΓΑΡΙΑΣΜΩΝ ΚΑΙ ΤΟ ΤΡΑΠΕΖΙΚΟ ΕΝΤΥΠΟ ΤΗΣ ΠΑΓΙΑΣ ΕΝΤΟΛΗΣ ΚΑΙ ΠΕΣ: </w:t>
      </w:r>
    </w:p>
    <w:p w:rsidR="00FA5BF6" w:rsidRDefault="00FA5BF6" w:rsidP="00463489">
      <w:pPr>
        <w:spacing w:line="276" w:lineRule="auto"/>
        <w:ind w:left="1440" w:hanging="1440"/>
        <w:rPr>
          <w:lang w:val="el-GR"/>
        </w:rPr>
      </w:pPr>
    </w:p>
    <w:p w:rsidR="00463489" w:rsidRPr="00463489" w:rsidRDefault="00463489" w:rsidP="00FA5BF6">
      <w:pPr>
        <w:spacing w:line="276" w:lineRule="auto"/>
        <w:rPr>
          <w:b/>
          <w:lang w:val="el-GR"/>
        </w:rPr>
      </w:pPr>
      <w:r w:rsidRPr="00463489">
        <w:rPr>
          <w:b/>
          <w:lang w:val="el-GR"/>
        </w:rPr>
        <w:t>Αυτός είναι ένας λογαριασμός της ΔΕΗ που ήρθε με το ταχυδρομείο. Επισκέπτεστε την τράπεζά σας και εκφράζετε την επιθυμία να πληρώνεται κάθε λογαριασμός της ΔΕΗ μέχρι του ποσού των 200 € απευθείας με χρέωση του τραπεζικού λογαριασμού που διατηρείται σε αυτήν. Σας δίνουν το παρόν έντυπο για να το συμπληρώσετε. Παρακαλώ συμπληρώστε όλα τα στοιχεία που είναι απαραίτητα για να ολοκληρωθεί αυτή η διαδικασία. Μπορείτε να χρησιμοποιήσετε ένα ψεύτικο όνομα και διεύθυνση, για να διατηρηθεί η ανωνυμία σας στο τεστ.</w:t>
      </w:r>
    </w:p>
    <w:p w:rsidR="00463489" w:rsidRDefault="00463489" w:rsidP="00463489">
      <w:pPr>
        <w:spacing w:line="276" w:lineRule="auto"/>
        <w:ind w:left="1440" w:hanging="1440"/>
      </w:pPr>
      <w:r>
        <w:t>Δ4. (ΚΑΡΤΑ 13)</w:t>
      </w:r>
    </w:p>
    <w:p w:rsidR="00463489" w:rsidRDefault="00463489" w:rsidP="00463489">
      <w:pPr>
        <w:spacing w:line="276" w:lineRule="auto"/>
        <w:ind w:left="1440" w:hanging="1440"/>
      </w:pPr>
    </w:p>
    <w:tbl>
      <w:tblPr>
        <w:tblW w:w="0" w:type="auto"/>
        <w:tblInd w:w="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76"/>
        <w:gridCol w:w="3103"/>
      </w:tblGrid>
      <w:tr w:rsidR="00463489" w:rsidRPr="00866FFB" w:rsidTr="00463489">
        <w:tc>
          <w:tcPr>
            <w:tcW w:w="4376" w:type="dxa"/>
          </w:tcPr>
          <w:p w:rsidR="00463489" w:rsidRPr="00866FFB" w:rsidRDefault="00463489" w:rsidP="00463489">
            <w:pPr>
              <w:spacing w:line="276" w:lineRule="auto"/>
              <w:rPr>
                <w:sz w:val="20"/>
                <w:szCs w:val="20"/>
              </w:rPr>
            </w:pPr>
            <w:r w:rsidRPr="00866FFB">
              <w:rPr>
                <w:sz w:val="20"/>
                <w:szCs w:val="20"/>
              </w:rPr>
              <w:t>ΣΥΜΠΕΡΙΦΟΡΑ ΣΥΜΜΕΤΕΧΟΝΤΑ</w:t>
            </w:r>
          </w:p>
        </w:tc>
        <w:tc>
          <w:tcPr>
            <w:tcW w:w="3103" w:type="dxa"/>
          </w:tcPr>
          <w:p w:rsidR="00463489" w:rsidRPr="00866FFB" w:rsidRDefault="00463489" w:rsidP="00463489">
            <w:pPr>
              <w:spacing w:line="276" w:lineRule="auto"/>
              <w:rPr>
                <w:sz w:val="20"/>
                <w:szCs w:val="20"/>
              </w:rPr>
            </w:pPr>
            <w:r w:rsidRPr="00866FFB">
              <w:rPr>
                <w:sz w:val="20"/>
                <w:szCs w:val="20"/>
              </w:rPr>
              <w:t>ΚΩΔΙΚΟΠΟΙΗΣΗ</w:t>
            </w:r>
          </w:p>
        </w:tc>
      </w:tr>
      <w:tr w:rsidR="00463489" w:rsidRPr="00E041BC" w:rsidTr="00463489">
        <w:trPr>
          <w:trHeight w:val="665"/>
        </w:trPr>
        <w:tc>
          <w:tcPr>
            <w:tcW w:w="4376" w:type="dxa"/>
          </w:tcPr>
          <w:p w:rsidR="00463489" w:rsidRPr="00463489" w:rsidRDefault="00C4694A" w:rsidP="00463489">
            <w:pPr>
              <w:spacing w:line="276" w:lineRule="auto"/>
              <w:rPr>
                <w:sz w:val="20"/>
                <w:szCs w:val="20"/>
                <w:lang w:val="el-GR"/>
              </w:rPr>
            </w:pPr>
            <w:r>
              <w:rPr>
                <w:noProof/>
                <w:sz w:val="22"/>
                <w:szCs w:val="22"/>
                <w:lang w:eastAsia="en-GB"/>
              </w:rPr>
              <w:pict>
                <v:rect id="Rectangle 92" o:spid="_x0000_s1039" alt="" style="position:absolute;margin-left:-40.75pt;margin-top:5pt;width:24.5pt;height:28.95pt;z-index:251740160;visibility:visible;mso-wrap-edited:f;mso-position-horizontal-relative:text;mso-position-vertical-relative:text">
                  <v:path arrowok="t"/>
                </v:rect>
              </w:pict>
            </w:r>
          </w:p>
          <w:p w:rsidR="00463489" w:rsidRPr="00463489" w:rsidRDefault="00463489" w:rsidP="00463489">
            <w:pPr>
              <w:spacing w:line="276" w:lineRule="auto"/>
              <w:rPr>
                <w:sz w:val="20"/>
                <w:szCs w:val="20"/>
                <w:lang w:val="el-GR"/>
              </w:rPr>
            </w:pPr>
            <w:r w:rsidRPr="00463489">
              <w:rPr>
                <w:sz w:val="20"/>
                <w:szCs w:val="20"/>
                <w:lang w:val="el-GR"/>
              </w:rPr>
              <w:t>Δ4</w:t>
            </w:r>
            <w:r w:rsidRPr="00463489">
              <w:rPr>
                <w:sz w:val="20"/>
                <w:szCs w:val="20"/>
                <w:vertAlign w:val="subscript"/>
                <w:lang w:val="el-GR"/>
              </w:rPr>
              <w:t>α</w:t>
            </w:r>
            <w:r w:rsidRPr="00463489">
              <w:rPr>
                <w:sz w:val="20"/>
                <w:szCs w:val="20"/>
                <w:lang w:val="el-GR"/>
              </w:rPr>
              <w:t xml:space="preserve">. Ο ΣΥΜΜΕΤΕΧΟΝΤΑΣ ΓΡΑΦΕΙ ΤΑ ΣΤΟΙΧΕΙΑ ΤΟΥ </w:t>
            </w:r>
          </w:p>
          <w:p w:rsidR="00463489" w:rsidRPr="00463489" w:rsidRDefault="00463489" w:rsidP="00463489">
            <w:pPr>
              <w:spacing w:line="276" w:lineRule="auto"/>
              <w:rPr>
                <w:sz w:val="20"/>
                <w:szCs w:val="20"/>
                <w:lang w:val="el-GR"/>
              </w:rPr>
            </w:pPr>
            <w:r w:rsidRPr="00463489">
              <w:rPr>
                <w:sz w:val="20"/>
                <w:szCs w:val="20"/>
                <w:lang w:val="el-GR"/>
              </w:rPr>
              <w:t xml:space="preserve">        ΣΤΟ ΠΡΩΤΟ ΜΕΡΟΣ ΤΗΣ ΑΙΤΗΣΗΣ</w:t>
            </w:r>
          </w:p>
        </w:tc>
        <w:tc>
          <w:tcPr>
            <w:tcW w:w="3103" w:type="dxa"/>
            <w:vAlign w:val="center"/>
          </w:tcPr>
          <w:p w:rsidR="00463489" w:rsidRPr="00463489" w:rsidRDefault="00463489" w:rsidP="00463489">
            <w:pPr>
              <w:spacing w:line="276" w:lineRule="auto"/>
              <w:rPr>
                <w:sz w:val="20"/>
                <w:szCs w:val="20"/>
                <w:lang w:val="el-GR"/>
              </w:rPr>
            </w:pPr>
            <w:r w:rsidRPr="00463489">
              <w:rPr>
                <w:sz w:val="20"/>
                <w:szCs w:val="20"/>
                <w:lang w:val="el-GR"/>
              </w:rPr>
              <w:t xml:space="preserve">   ΝΑΙ…1                             ΟΧΙ…2</w:t>
            </w:r>
          </w:p>
          <w:p w:rsidR="00463489" w:rsidRPr="00463489" w:rsidRDefault="00463489" w:rsidP="00463489">
            <w:pPr>
              <w:spacing w:line="276" w:lineRule="auto"/>
              <w:rPr>
                <w:sz w:val="20"/>
                <w:szCs w:val="20"/>
                <w:lang w:val="el-GR"/>
              </w:rPr>
            </w:pPr>
            <w:r w:rsidRPr="00463489">
              <w:rPr>
                <w:sz w:val="18"/>
                <w:szCs w:val="18"/>
                <w:lang w:val="el-GR"/>
              </w:rPr>
              <w:t>ΑΝ ΟΧΙ, ΕΞΗΓΗΣΤΕ (Π.Χ.,)</w:t>
            </w:r>
          </w:p>
        </w:tc>
      </w:tr>
      <w:tr w:rsidR="00463489" w:rsidRPr="002D7931" w:rsidTr="00463489">
        <w:trPr>
          <w:trHeight w:val="665"/>
        </w:trPr>
        <w:tc>
          <w:tcPr>
            <w:tcW w:w="4376" w:type="dxa"/>
          </w:tcPr>
          <w:p w:rsidR="00463489" w:rsidRPr="00463489" w:rsidRDefault="00C4694A" w:rsidP="00463489">
            <w:pPr>
              <w:spacing w:line="276" w:lineRule="auto"/>
              <w:rPr>
                <w:sz w:val="20"/>
                <w:szCs w:val="20"/>
                <w:lang w:val="el-GR"/>
              </w:rPr>
            </w:pPr>
            <w:r>
              <w:rPr>
                <w:noProof/>
                <w:sz w:val="22"/>
                <w:szCs w:val="22"/>
                <w:lang w:eastAsia="en-GB"/>
              </w:rPr>
              <w:pict>
                <v:rect id="Rectangle 93" o:spid="_x0000_s1038" alt="" style="position:absolute;margin-left:-40.75pt;margin-top:4.85pt;width:24.5pt;height:28.95pt;z-index:251741184;visibility:visible;mso-wrap-edited:f;mso-position-horizontal-relative:text;mso-position-vertical-relative:text">
                  <v:path arrowok="t"/>
                </v:rect>
              </w:pict>
            </w:r>
          </w:p>
          <w:p w:rsidR="00463489" w:rsidRPr="00463489" w:rsidRDefault="00463489" w:rsidP="00463489">
            <w:pPr>
              <w:spacing w:line="276" w:lineRule="auto"/>
              <w:rPr>
                <w:sz w:val="20"/>
                <w:szCs w:val="20"/>
                <w:lang w:val="el-GR"/>
              </w:rPr>
            </w:pPr>
            <w:r w:rsidRPr="00463489">
              <w:rPr>
                <w:sz w:val="20"/>
                <w:szCs w:val="20"/>
                <w:lang w:val="el-GR"/>
              </w:rPr>
              <w:t>Δ4</w:t>
            </w:r>
            <w:r w:rsidRPr="00463489">
              <w:rPr>
                <w:sz w:val="20"/>
                <w:szCs w:val="20"/>
                <w:vertAlign w:val="subscript"/>
                <w:lang w:val="el-GR"/>
              </w:rPr>
              <w:t xml:space="preserve">β. </w:t>
            </w:r>
            <w:r w:rsidRPr="00463489">
              <w:rPr>
                <w:sz w:val="20"/>
                <w:szCs w:val="20"/>
                <w:lang w:val="el-GR"/>
              </w:rPr>
              <w:t xml:space="preserve">Ο ΣΥΜΜΕΤΕΧΟΝΤΑΣ ΓΡΑΦΕΙ ΤΟΝ ΑΡΙΘΜΟ </w:t>
            </w:r>
          </w:p>
          <w:p w:rsidR="00463489" w:rsidRPr="00866FFB" w:rsidRDefault="00463489" w:rsidP="00463489">
            <w:pPr>
              <w:spacing w:line="276" w:lineRule="auto"/>
              <w:rPr>
                <w:noProof/>
                <w:sz w:val="20"/>
                <w:szCs w:val="20"/>
                <w:lang w:eastAsia="el-GR"/>
              </w:rPr>
            </w:pPr>
            <w:r w:rsidRPr="00463489">
              <w:rPr>
                <w:sz w:val="20"/>
                <w:szCs w:val="20"/>
                <w:lang w:val="el-GR"/>
              </w:rPr>
              <w:t xml:space="preserve">        </w:t>
            </w:r>
            <w:r w:rsidRPr="00866FFB">
              <w:rPr>
                <w:sz w:val="20"/>
                <w:szCs w:val="20"/>
              </w:rPr>
              <w:t>ΠΑΡΟΧΗΣ 2 20197936-04 0</w:t>
            </w:r>
          </w:p>
        </w:tc>
        <w:tc>
          <w:tcPr>
            <w:tcW w:w="3103" w:type="dxa"/>
            <w:vAlign w:val="center"/>
          </w:tcPr>
          <w:p w:rsidR="00463489" w:rsidRPr="00463489" w:rsidRDefault="00463489" w:rsidP="00463489">
            <w:pPr>
              <w:spacing w:line="276" w:lineRule="auto"/>
              <w:rPr>
                <w:sz w:val="20"/>
                <w:szCs w:val="20"/>
                <w:lang w:val="el-GR"/>
              </w:rPr>
            </w:pPr>
            <w:r w:rsidRPr="00463489">
              <w:rPr>
                <w:sz w:val="20"/>
                <w:szCs w:val="20"/>
                <w:lang w:val="el-GR"/>
              </w:rPr>
              <w:t xml:space="preserve">    ΝΑΙ…1                             ΟΧΙ…2</w:t>
            </w:r>
          </w:p>
          <w:p w:rsidR="00463489" w:rsidRPr="00463489" w:rsidRDefault="00463489" w:rsidP="00463489">
            <w:pPr>
              <w:spacing w:line="276" w:lineRule="auto"/>
              <w:rPr>
                <w:sz w:val="20"/>
                <w:szCs w:val="20"/>
                <w:lang w:val="el-GR"/>
              </w:rPr>
            </w:pPr>
            <w:r w:rsidRPr="00463489">
              <w:rPr>
                <w:sz w:val="18"/>
                <w:szCs w:val="18"/>
                <w:lang w:val="el-GR"/>
              </w:rPr>
              <w:t>ΑΝ ΟΧΙ, ΕΞΗΓΗΣΤΕ (Π.Χ.,ΕΓΡΑΨΕ ΑΛΛΟΝ ΑΡΙΘΜΟ)</w:t>
            </w:r>
          </w:p>
        </w:tc>
      </w:tr>
      <w:tr w:rsidR="00463489" w:rsidRPr="002D7931" w:rsidTr="00463489">
        <w:trPr>
          <w:trHeight w:val="665"/>
        </w:trPr>
        <w:tc>
          <w:tcPr>
            <w:tcW w:w="4376" w:type="dxa"/>
          </w:tcPr>
          <w:p w:rsidR="00463489" w:rsidRPr="00463489" w:rsidRDefault="00C4694A" w:rsidP="00463489">
            <w:pPr>
              <w:spacing w:line="276" w:lineRule="auto"/>
              <w:rPr>
                <w:sz w:val="20"/>
                <w:szCs w:val="20"/>
                <w:lang w:val="el-GR"/>
              </w:rPr>
            </w:pPr>
            <w:r>
              <w:rPr>
                <w:noProof/>
                <w:sz w:val="22"/>
                <w:szCs w:val="22"/>
                <w:lang w:eastAsia="en-GB"/>
              </w:rPr>
              <w:pict>
                <v:rect id="Rectangle 94" o:spid="_x0000_s1037" alt="" style="position:absolute;margin-left:-40.75pt;margin-top:4.9pt;width:24.5pt;height:28.95pt;z-index:251742208;visibility:visible;mso-wrap-edited:f;mso-position-horizontal-relative:text;mso-position-vertical-relative:text">
                  <v:path arrowok="t"/>
                </v:rect>
              </w:pict>
            </w:r>
          </w:p>
          <w:p w:rsidR="00463489" w:rsidRPr="00463489" w:rsidRDefault="00463489" w:rsidP="00463489">
            <w:pPr>
              <w:spacing w:line="276" w:lineRule="auto"/>
              <w:rPr>
                <w:sz w:val="20"/>
                <w:szCs w:val="20"/>
                <w:lang w:val="el-GR"/>
              </w:rPr>
            </w:pPr>
            <w:r w:rsidRPr="00463489">
              <w:rPr>
                <w:sz w:val="20"/>
                <w:szCs w:val="20"/>
                <w:lang w:val="el-GR"/>
              </w:rPr>
              <w:t>Δ4</w:t>
            </w:r>
            <w:r w:rsidRPr="00463489">
              <w:rPr>
                <w:sz w:val="20"/>
                <w:szCs w:val="20"/>
                <w:vertAlign w:val="subscript"/>
                <w:lang w:val="el-GR"/>
              </w:rPr>
              <w:t xml:space="preserve">γ. </w:t>
            </w:r>
            <w:r w:rsidRPr="00463489">
              <w:rPr>
                <w:sz w:val="20"/>
                <w:szCs w:val="20"/>
                <w:lang w:val="el-GR"/>
              </w:rPr>
              <w:t xml:space="preserve">Ο ΣΥΜΜΕΤΕΧΟΝΤΑΣ ΓΡΑΦΕΙ 200€ ΣΤΟ ΠΕΔΙΟ  </w:t>
            </w:r>
          </w:p>
          <w:p w:rsidR="00463489" w:rsidRPr="00463489" w:rsidRDefault="00463489" w:rsidP="00463489">
            <w:pPr>
              <w:spacing w:line="276" w:lineRule="auto"/>
              <w:rPr>
                <w:sz w:val="20"/>
                <w:szCs w:val="20"/>
                <w:lang w:val="el-GR"/>
              </w:rPr>
            </w:pPr>
            <w:r w:rsidRPr="00463489">
              <w:rPr>
                <w:sz w:val="20"/>
                <w:szCs w:val="20"/>
                <w:lang w:val="el-GR"/>
              </w:rPr>
              <w:t xml:space="preserve">        «Και μέχρι του ποσού των …….»</w:t>
            </w:r>
          </w:p>
        </w:tc>
        <w:tc>
          <w:tcPr>
            <w:tcW w:w="3103" w:type="dxa"/>
            <w:vAlign w:val="center"/>
          </w:tcPr>
          <w:p w:rsidR="00463489" w:rsidRPr="00463489" w:rsidRDefault="00463489" w:rsidP="00463489">
            <w:pPr>
              <w:spacing w:line="276" w:lineRule="auto"/>
              <w:rPr>
                <w:sz w:val="20"/>
                <w:szCs w:val="20"/>
                <w:lang w:val="el-GR"/>
              </w:rPr>
            </w:pPr>
            <w:r w:rsidRPr="00463489">
              <w:rPr>
                <w:sz w:val="20"/>
                <w:szCs w:val="20"/>
                <w:lang w:val="el-GR"/>
              </w:rPr>
              <w:t xml:space="preserve">    ΝΑΙ…1                             ΟΧΙ…2</w:t>
            </w:r>
          </w:p>
          <w:p w:rsidR="00463489" w:rsidRPr="00463489" w:rsidRDefault="00463489" w:rsidP="00463489">
            <w:pPr>
              <w:spacing w:line="276" w:lineRule="auto"/>
              <w:rPr>
                <w:sz w:val="20"/>
                <w:szCs w:val="20"/>
                <w:lang w:val="el-GR"/>
              </w:rPr>
            </w:pPr>
            <w:r w:rsidRPr="00463489">
              <w:rPr>
                <w:sz w:val="18"/>
                <w:szCs w:val="18"/>
                <w:lang w:val="el-GR"/>
              </w:rPr>
              <w:t>ΑΝ ΟΧΙ, ΕΞΗΓΗΣΤΕ (Π.Χ.,ΕΓΡΑΨΕ ΑΛΛΟ ΠΟΣΟ)</w:t>
            </w:r>
          </w:p>
        </w:tc>
      </w:tr>
      <w:tr w:rsidR="00463489" w:rsidRPr="002D7931" w:rsidTr="00463489">
        <w:trPr>
          <w:trHeight w:val="665"/>
        </w:trPr>
        <w:tc>
          <w:tcPr>
            <w:tcW w:w="4376" w:type="dxa"/>
          </w:tcPr>
          <w:p w:rsidR="00463489" w:rsidRPr="00463489" w:rsidRDefault="00C4694A" w:rsidP="00463489">
            <w:pPr>
              <w:spacing w:line="276" w:lineRule="auto"/>
              <w:rPr>
                <w:sz w:val="20"/>
                <w:szCs w:val="20"/>
                <w:lang w:val="el-GR"/>
              </w:rPr>
            </w:pPr>
            <w:r>
              <w:rPr>
                <w:noProof/>
                <w:sz w:val="22"/>
                <w:szCs w:val="22"/>
                <w:lang w:eastAsia="en-GB"/>
              </w:rPr>
              <w:pict>
                <v:rect id="Rectangle 95" o:spid="_x0000_s1036" alt="" style="position:absolute;margin-left:-40.75pt;margin-top:7.25pt;width:24.5pt;height:28.95pt;z-index:251743232;visibility:visible;mso-wrap-edited:f;mso-position-horizontal-relative:text;mso-position-vertical-relative:text">
                  <v:path arrowok="t"/>
                </v:rect>
              </w:pict>
            </w:r>
          </w:p>
          <w:p w:rsidR="00463489" w:rsidRPr="00463489" w:rsidRDefault="00463489" w:rsidP="00463489">
            <w:pPr>
              <w:spacing w:line="276" w:lineRule="auto"/>
              <w:rPr>
                <w:sz w:val="20"/>
                <w:szCs w:val="20"/>
                <w:lang w:val="el-GR"/>
              </w:rPr>
            </w:pPr>
            <w:r w:rsidRPr="00463489">
              <w:rPr>
                <w:sz w:val="20"/>
                <w:szCs w:val="20"/>
                <w:lang w:val="el-GR"/>
              </w:rPr>
              <w:t>Δ4</w:t>
            </w:r>
            <w:r w:rsidRPr="00463489">
              <w:rPr>
                <w:sz w:val="20"/>
                <w:szCs w:val="20"/>
                <w:vertAlign w:val="subscript"/>
                <w:lang w:val="el-GR"/>
              </w:rPr>
              <w:t xml:space="preserve">δ. </w:t>
            </w:r>
            <w:r w:rsidRPr="00463489">
              <w:rPr>
                <w:sz w:val="20"/>
                <w:szCs w:val="20"/>
                <w:lang w:val="el-GR"/>
              </w:rPr>
              <w:t xml:space="preserve">Ο ΣΥΜΜΕΤΕΧΟΝΤΑΣ ΓΡΑΦΕΙ ΤΟΝ ΑΡΙΘΜΟ   </w:t>
            </w:r>
          </w:p>
          <w:p w:rsidR="00463489" w:rsidRPr="00866FFB" w:rsidRDefault="00463489" w:rsidP="00463489">
            <w:pPr>
              <w:spacing w:line="276" w:lineRule="auto"/>
              <w:rPr>
                <w:noProof/>
                <w:sz w:val="20"/>
                <w:szCs w:val="20"/>
                <w:lang w:val="en-US" w:eastAsia="el-GR"/>
              </w:rPr>
            </w:pPr>
            <w:r w:rsidRPr="00463489">
              <w:rPr>
                <w:sz w:val="20"/>
                <w:szCs w:val="20"/>
                <w:lang w:val="el-GR"/>
              </w:rPr>
              <w:t xml:space="preserve">        </w:t>
            </w:r>
            <w:r w:rsidRPr="00866FFB">
              <w:rPr>
                <w:sz w:val="20"/>
                <w:szCs w:val="20"/>
                <w:lang w:val="en-US"/>
              </w:rPr>
              <w:t>358/919-23100</w:t>
            </w:r>
          </w:p>
        </w:tc>
        <w:tc>
          <w:tcPr>
            <w:tcW w:w="3103" w:type="dxa"/>
            <w:vAlign w:val="center"/>
          </w:tcPr>
          <w:p w:rsidR="00463489" w:rsidRPr="00463489" w:rsidRDefault="00463489" w:rsidP="00463489">
            <w:pPr>
              <w:spacing w:line="276" w:lineRule="auto"/>
              <w:rPr>
                <w:sz w:val="20"/>
                <w:szCs w:val="20"/>
                <w:lang w:val="el-GR"/>
              </w:rPr>
            </w:pPr>
            <w:r w:rsidRPr="00463489">
              <w:rPr>
                <w:sz w:val="20"/>
                <w:szCs w:val="20"/>
                <w:lang w:val="el-GR"/>
              </w:rPr>
              <w:t xml:space="preserve">    ΝΑΙ…1                             ΟΧΙ…2</w:t>
            </w:r>
          </w:p>
          <w:p w:rsidR="00463489" w:rsidRPr="00463489" w:rsidRDefault="00463489" w:rsidP="00463489">
            <w:pPr>
              <w:spacing w:line="276" w:lineRule="auto"/>
              <w:rPr>
                <w:sz w:val="20"/>
                <w:szCs w:val="20"/>
                <w:lang w:val="el-GR"/>
              </w:rPr>
            </w:pPr>
            <w:r w:rsidRPr="00463489">
              <w:rPr>
                <w:sz w:val="18"/>
                <w:szCs w:val="18"/>
                <w:lang w:val="el-GR"/>
              </w:rPr>
              <w:t>ΑΝ ΟΧΙ, ΕΞΗΓΗΣΤΕ (Π.Χ.,ΕΓΡΑΨΕ ΑΛΛΟΝ ΑΡΙΘΜΟ)</w:t>
            </w:r>
          </w:p>
        </w:tc>
      </w:tr>
      <w:tr w:rsidR="00463489" w:rsidRPr="002D7931" w:rsidTr="00463489">
        <w:trPr>
          <w:trHeight w:val="665"/>
        </w:trPr>
        <w:tc>
          <w:tcPr>
            <w:tcW w:w="4376" w:type="dxa"/>
          </w:tcPr>
          <w:p w:rsidR="00463489" w:rsidRPr="00463489" w:rsidRDefault="00463489" w:rsidP="00463489">
            <w:pPr>
              <w:spacing w:line="276" w:lineRule="auto"/>
              <w:rPr>
                <w:sz w:val="20"/>
                <w:szCs w:val="20"/>
                <w:lang w:val="el-GR"/>
              </w:rPr>
            </w:pPr>
          </w:p>
          <w:p w:rsidR="00463489" w:rsidRPr="00463489" w:rsidRDefault="00C4694A" w:rsidP="00463489">
            <w:pPr>
              <w:spacing w:line="276" w:lineRule="auto"/>
              <w:rPr>
                <w:sz w:val="20"/>
                <w:szCs w:val="20"/>
                <w:lang w:val="el-GR"/>
              </w:rPr>
            </w:pPr>
            <w:r>
              <w:rPr>
                <w:noProof/>
                <w:sz w:val="22"/>
                <w:szCs w:val="22"/>
                <w:lang w:eastAsia="en-GB"/>
              </w:rPr>
              <w:pict>
                <v:rect id="Rectangle 96" o:spid="_x0000_s1035" alt="" style="position:absolute;margin-left:-40.75pt;margin-top:.6pt;width:24.5pt;height:28.95pt;z-index:251744256;visibility:visible;mso-wrap-edited:f">
                  <v:path arrowok="t"/>
                </v:rect>
              </w:pict>
            </w:r>
            <w:r w:rsidR="00463489" w:rsidRPr="00463489">
              <w:rPr>
                <w:sz w:val="20"/>
                <w:szCs w:val="20"/>
                <w:lang w:val="el-GR"/>
              </w:rPr>
              <w:t>Δ1</w:t>
            </w:r>
            <w:r w:rsidR="00463489" w:rsidRPr="00463489">
              <w:rPr>
                <w:sz w:val="20"/>
                <w:szCs w:val="20"/>
                <w:vertAlign w:val="subscript"/>
                <w:lang w:val="el-GR"/>
              </w:rPr>
              <w:t>ε</w:t>
            </w:r>
            <w:r w:rsidR="00463489" w:rsidRPr="00463489">
              <w:rPr>
                <w:b/>
                <w:sz w:val="20"/>
                <w:szCs w:val="20"/>
                <w:vertAlign w:val="subscript"/>
                <w:lang w:val="el-GR"/>
              </w:rPr>
              <w:t xml:space="preserve">. </w:t>
            </w:r>
            <w:r w:rsidR="00463489" w:rsidRPr="00463489">
              <w:rPr>
                <w:sz w:val="20"/>
                <w:szCs w:val="20"/>
                <w:lang w:val="el-GR"/>
              </w:rPr>
              <w:t>Ο ΣΥΜΜΕΤΕΧΟΝΤΑΣ ΓΡΑΦΕΙ ΤΗΝ</w:t>
            </w:r>
          </w:p>
          <w:p w:rsidR="00463489" w:rsidRPr="00463489" w:rsidRDefault="00463489" w:rsidP="00463489">
            <w:pPr>
              <w:spacing w:line="276" w:lineRule="auto"/>
              <w:rPr>
                <w:sz w:val="20"/>
                <w:szCs w:val="20"/>
                <w:lang w:val="el-GR"/>
              </w:rPr>
            </w:pPr>
            <w:r w:rsidRPr="00463489">
              <w:rPr>
                <w:sz w:val="20"/>
                <w:szCs w:val="20"/>
                <w:lang w:val="el-GR"/>
              </w:rPr>
              <w:t xml:space="preserve">       ΗΜΕΡΟΜΗΝΙΑ ΚΑΙ ΥΠΟΓΡΑΦΕΙ</w:t>
            </w:r>
          </w:p>
        </w:tc>
        <w:tc>
          <w:tcPr>
            <w:tcW w:w="3103" w:type="dxa"/>
            <w:vAlign w:val="center"/>
          </w:tcPr>
          <w:p w:rsidR="00463489" w:rsidRPr="00463489" w:rsidRDefault="00463489" w:rsidP="00463489">
            <w:pPr>
              <w:spacing w:line="276" w:lineRule="auto"/>
              <w:rPr>
                <w:sz w:val="20"/>
                <w:szCs w:val="20"/>
                <w:lang w:val="el-GR"/>
              </w:rPr>
            </w:pPr>
            <w:r w:rsidRPr="00463489">
              <w:rPr>
                <w:sz w:val="20"/>
                <w:szCs w:val="20"/>
                <w:lang w:val="el-GR"/>
              </w:rPr>
              <w:t xml:space="preserve">    ΝΑΙ…1                             ΟΧΙ…2</w:t>
            </w:r>
          </w:p>
          <w:p w:rsidR="00463489" w:rsidRPr="00463489" w:rsidRDefault="00463489" w:rsidP="00463489">
            <w:pPr>
              <w:spacing w:line="276" w:lineRule="auto"/>
              <w:rPr>
                <w:sz w:val="20"/>
                <w:szCs w:val="20"/>
                <w:lang w:val="el-GR"/>
              </w:rPr>
            </w:pPr>
            <w:r w:rsidRPr="00463489">
              <w:rPr>
                <w:sz w:val="18"/>
                <w:szCs w:val="18"/>
                <w:lang w:val="el-GR"/>
              </w:rPr>
              <w:t>ΑΝ ΟΧΙ, ΕΞΗΓΗΣΤΕ (Π.Χ., ΥΠΕΓΡΑΨΕ ΣΕ ΛΑΘΟΣ ΠΕΔΙΟ)</w:t>
            </w:r>
          </w:p>
        </w:tc>
      </w:tr>
    </w:tbl>
    <w:p w:rsidR="00463489" w:rsidRPr="00463489" w:rsidRDefault="00463489" w:rsidP="00463489">
      <w:pPr>
        <w:spacing w:line="276" w:lineRule="auto"/>
        <w:ind w:left="1440" w:hanging="1440"/>
        <w:rPr>
          <w:lang w:val="el-GR"/>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8"/>
        <w:gridCol w:w="1939"/>
        <w:gridCol w:w="2416"/>
      </w:tblGrid>
      <w:tr w:rsidR="00463489" w:rsidRPr="002D7931" w:rsidTr="00463489">
        <w:tc>
          <w:tcPr>
            <w:tcW w:w="7513" w:type="dxa"/>
            <w:gridSpan w:val="3"/>
          </w:tcPr>
          <w:p w:rsidR="00463489" w:rsidRPr="00463489" w:rsidRDefault="00C4694A" w:rsidP="00463489">
            <w:pPr>
              <w:spacing w:line="276" w:lineRule="auto"/>
              <w:rPr>
                <w:sz w:val="20"/>
                <w:szCs w:val="20"/>
                <w:lang w:val="el-GR"/>
              </w:rPr>
            </w:pPr>
            <w:r>
              <w:rPr>
                <w:noProof/>
                <w:sz w:val="22"/>
                <w:szCs w:val="22"/>
                <w:lang w:eastAsia="en-GB"/>
              </w:rPr>
              <w:pict>
                <v:rect id="Rectangle 97" o:spid="_x0000_s1034" alt="" style="position:absolute;margin-left:-39.85pt;margin-top:17.55pt;width:24.5pt;height:37pt;z-index:251745280;visibility:visible;mso-wrap-edited:f">
                  <v:path arrowok="t"/>
                </v:rect>
              </w:pict>
            </w:r>
            <w:r w:rsidR="00463489" w:rsidRPr="00463489">
              <w:rPr>
                <w:sz w:val="20"/>
                <w:szCs w:val="20"/>
                <w:lang w:val="el-GR"/>
              </w:rPr>
              <w:t>ΑΝ Ο ΣΥΜΜΕΤΕΧΟΝΤΑΣ ΔΕΝ ΔΙΝΕΙ ΚΑΜΙΑ ΑΠΑΝΤΗΣΗ ΓΙΑ ΤΟΥΛΑΧΙΣΤΟΝ 15 ΔΕΥΤΕΡΟΛΕΠΤΑ, Ή ΠΕΙ «ΔΕΝ ΞΕΡΩ», ΜΠΟΡΕΙΤΑΙ ΝΑ ΔΩΣΕΤΕ ΤΗΝ ΠΑΡΑΚΑΤΩ ΠΡΟΤΡΟΠΗ</w:t>
            </w:r>
          </w:p>
          <w:p w:rsidR="00463489" w:rsidRPr="00463489" w:rsidRDefault="00463489" w:rsidP="00463489">
            <w:pPr>
              <w:autoSpaceDE w:val="0"/>
              <w:autoSpaceDN w:val="0"/>
              <w:adjustRightInd w:val="0"/>
              <w:rPr>
                <w:rFonts w:cs="Calibri"/>
                <w:b/>
                <w:bCs/>
                <w:lang w:val="el-GR"/>
              </w:rPr>
            </w:pPr>
            <w:r w:rsidRPr="00463489">
              <w:rPr>
                <w:rFonts w:cs="Calibri"/>
                <w:b/>
                <w:bCs/>
                <w:lang w:val="el-GR"/>
              </w:rPr>
              <w:t xml:space="preserve">Παρακαλώ δείξτε μου όλα τα απαραίτητα βήματα τα οποία κάποιος πρέπει να ακολουθήσει για να συνδέσει επιτυχώς τον λογαριασμό της ΔΕΗ με τον λογαριασμό τραπέζης του.   </w:t>
            </w:r>
          </w:p>
        </w:tc>
      </w:tr>
      <w:tr w:rsidR="00463489" w:rsidRPr="00866FFB" w:rsidTr="00463489">
        <w:trPr>
          <w:trHeight w:val="632"/>
        </w:trPr>
        <w:tc>
          <w:tcPr>
            <w:tcW w:w="3158" w:type="dxa"/>
            <w:tcBorders>
              <w:right w:val="nil"/>
            </w:tcBorders>
            <w:vAlign w:val="center"/>
          </w:tcPr>
          <w:p w:rsidR="00463489" w:rsidRPr="00866FFB" w:rsidRDefault="00463489" w:rsidP="00463489">
            <w:pPr>
              <w:spacing w:line="276" w:lineRule="auto"/>
              <w:rPr>
                <w:sz w:val="20"/>
                <w:szCs w:val="20"/>
              </w:rPr>
            </w:pPr>
            <w:r w:rsidRPr="00866FFB">
              <w:rPr>
                <w:sz w:val="20"/>
                <w:szCs w:val="20"/>
              </w:rPr>
              <w:t>Δ1</w:t>
            </w:r>
            <w:r w:rsidRPr="00866FFB">
              <w:rPr>
                <w:sz w:val="20"/>
                <w:szCs w:val="20"/>
                <w:vertAlign w:val="subscript"/>
              </w:rPr>
              <w:t>ζ</w:t>
            </w:r>
            <w:r w:rsidRPr="00866FFB">
              <w:rPr>
                <w:sz w:val="20"/>
                <w:szCs w:val="20"/>
              </w:rPr>
              <w:t>. ΔΩΘΗΚΕ ΠΡΟΤΡΟΠΗ;</w:t>
            </w:r>
          </w:p>
        </w:tc>
        <w:tc>
          <w:tcPr>
            <w:tcW w:w="1939" w:type="dxa"/>
            <w:tcBorders>
              <w:left w:val="nil"/>
              <w:right w:val="nil"/>
            </w:tcBorders>
            <w:vAlign w:val="center"/>
          </w:tcPr>
          <w:p w:rsidR="00463489" w:rsidRPr="00866FFB" w:rsidRDefault="00463489" w:rsidP="00463489">
            <w:pPr>
              <w:spacing w:line="276" w:lineRule="auto"/>
              <w:rPr>
                <w:sz w:val="20"/>
                <w:szCs w:val="20"/>
              </w:rPr>
            </w:pPr>
            <w:r w:rsidRPr="00866FFB">
              <w:rPr>
                <w:sz w:val="20"/>
                <w:szCs w:val="20"/>
              </w:rPr>
              <w:t>ΝΑΙ………..1</w:t>
            </w:r>
          </w:p>
        </w:tc>
        <w:tc>
          <w:tcPr>
            <w:tcW w:w="2416" w:type="dxa"/>
            <w:tcBorders>
              <w:left w:val="nil"/>
            </w:tcBorders>
            <w:vAlign w:val="center"/>
          </w:tcPr>
          <w:p w:rsidR="00463489" w:rsidRPr="00866FFB" w:rsidRDefault="00463489" w:rsidP="00463489">
            <w:pPr>
              <w:spacing w:line="276" w:lineRule="auto"/>
              <w:rPr>
                <w:sz w:val="20"/>
                <w:szCs w:val="20"/>
              </w:rPr>
            </w:pPr>
            <w:r w:rsidRPr="00866FFB">
              <w:rPr>
                <w:sz w:val="20"/>
                <w:szCs w:val="20"/>
              </w:rPr>
              <w:t>ΟΧΙ………..2</w:t>
            </w:r>
          </w:p>
        </w:tc>
      </w:tr>
    </w:tbl>
    <w:p w:rsidR="00463489" w:rsidRDefault="00463489" w:rsidP="00463489">
      <w:pPr>
        <w:spacing w:line="276" w:lineRule="auto"/>
        <w:ind w:left="1440" w:hanging="1440"/>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58"/>
        <w:gridCol w:w="4355"/>
      </w:tblGrid>
      <w:tr w:rsidR="00463489" w:rsidRPr="00866FFB" w:rsidTr="00463489">
        <w:trPr>
          <w:trHeight w:val="632"/>
        </w:trPr>
        <w:tc>
          <w:tcPr>
            <w:tcW w:w="3158" w:type="dxa"/>
            <w:tcBorders>
              <w:right w:val="nil"/>
            </w:tcBorders>
            <w:vAlign w:val="center"/>
          </w:tcPr>
          <w:p w:rsidR="00463489" w:rsidRPr="00463489" w:rsidRDefault="00463489" w:rsidP="00463489">
            <w:pPr>
              <w:spacing w:line="276" w:lineRule="auto"/>
              <w:rPr>
                <w:sz w:val="20"/>
                <w:szCs w:val="20"/>
                <w:lang w:val="el-GR"/>
              </w:rPr>
            </w:pPr>
            <w:r w:rsidRPr="00463489">
              <w:rPr>
                <w:sz w:val="20"/>
                <w:szCs w:val="20"/>
                <w:lang w:val="el-GR"/>
              </w:rPr>
              <w:t>Δ1</w:t>
            </w:r>
            <w:r w:rsidRPr="00463489">
              <w:rPr>
                <w:sz w:val="20"/>
                <w:szCs w:val="20"/>
                <w:vertAlign w:val="subscript"/>
                <w:lang w:val="el-GR"/>
              </w:rPr>
              <w:t>η</w:t>
            </w:r>
            <w:r w:rsidRPr="00463489">
              <w:rPr>
                <w:sz w:val="20"/>
                <w:szCs w:val="20"/>
                <w:lang w:val="el-GR"/>
              </w:rPr>
              <w:t>. ΑΝ ΤΟ Δ1</w:t>
            </w:r>
            <w:r w:rsidRPr="00463489">
              <w:rPr>
                <w:sz w:val="20"/>
                <w:szCs w:val="20"/>
                <w:vertAlign w:val="subscript"/>
                <w:lang w:val="el-GR"/>
              </w:rPr>
              <w:t>ζ</w:t>
            </w:r>
            <w:r w:rsidRPr="00463489">
              <w:rPr>
                <w:sz w:val="20"/>
                <w:szCs w:val="20"/>
                <w:lang w:val="el-GR"/>
              </w:rPr>
              <w:t xml:space="preserve"> ΕΙΝΑΙ «ΝΑΙ», ΤΟΤΕ ΠΩΣ ΦΟΡΕΣ ΔΩΣΑΤΕ ΚΑΠΟΙΑ ΠΡΟΤΡΟΠΗ  </w:t>
            </w:r>
          </w:p>
        </w:tc>
        <w:tc>
          <w:tcPr>
            <w:tcW w:w="4355" w:type="dxa"/>
            <w:tcBorders>
              <w:left w:val="nil"/>
            </w:tcBorders>
            <w:vAlign w:val="center"/>
          </w:tcPr>
          <w:p w:rsidR="00463489" w:rsidRPr="00866FFB" w:rsidRDefault="00463489" w:rsidP="00463489">
            <w:pPr>
              <w:spacing w:line="276" w:lineRule="auto"/>
              <w:jc w:val="center"/>
              <w:rPr>
                <w:sz w:val="20"/>
                <w:szCs w:val="20"/>
              </w:rPr>
            </w:pPr>
            <w:r w:rsidRPr="00866FFB">
              <w:rPr>
                <w:sz w:val="20"/>
                <w:szCs w:val="20"/>
              </w:rPr>
              <w:t>1    2    3    4    5    6    7    άλλο νούμερο ……</w:t>
            </w:r>
          </w:p>
        </w:tc>
      </w:tr>
    </w:tbl>
    <w:p w:rsidR="005D6C71" w:rsidRDefault="005D6C71" w:rsidP="00546D49">
      <w:pPr>
        <w:pStyle w:val="Heading3"/>
        <w:ind w:left="2094"/>
      </w:pPr>
    </w:p>
    <w:p w:rsidR="001327B6" w:rsidRDefault="001327B6" w:rsidP="00546D49">
      <w:pPr>
        <w:pStyle w:val="Heading3"/>
        <w:ind w:left="2094"/>
      </w:pPr>
      <w:bookmarkStart w:id="228" w:name="_Toc521184288"/>
      <w:r>
        <w:t xml:space="preserve">Material for medication </w:t>
      </w:r>
      <w:r w:rsidR="007F72A9">
        <w:t>handling</w:t>
      </w:r>
      <w:bookmarkEnd w:id="228"/>
    </w:p>
    <w:p w:rsidR="001327B6" w:rsidRPr="002C3B9C" w:rsidRDefault="001327B6" w:rsidP="001327B6">
      <w:pPr>
        <w:rPr>
          <w:sz w:val="16"/>
          <w:szCs w:val="16"/>
        </w:rPr>
      </w:pPr>
      <w:r w:rsidRPr="001327B6">
        <w:rPr>
          <w:sz w:val="16"/>
          <w:szCs w:val="16"/>
          <w:lang w:val="el-GR"/>
        </w:rPr>
        <w:t>Υπεύθυνος</w:t>
      </w:r>
      <w:r w:rsidRPr="002C3B9C">
        <w:rPr>
          <w:sz w:val="16"/>
          <w:szCs w:val="16"/>
        </w:rPr>
        <w:t xml:space="preserve"> </w:t>
      </w:r>
      <w:r w:rsidRPr="001327B6">
        <w:rPr>
          <w:sz w:val="16"/>
          <w:szCs w:val="16"/>
          <w:lang w:val="el-GR"/>
        </w:rPr>
        <w:t>άδειας</w:t>
      </w:r>
      <w:r w:rsidRPr="002C3B9C">
        <w:rPr>
          <w:sz w:val="16"/>
          <w:szCs w:val="16"/>
        </w:rPr>
        <w:t xml:space="preserve"> </w:t>
      </w:r>
      <w:r w:rsidRPr="001327B6">
        <w:rPr>
          <w:sz w:val="16"/>
          <w:szCs w:val="16"/>
          <w:lang w:val="el-GR"/>
        </w:rPr>
        <w:t>κυκλοφορίας</w:t>
      </w:r>
      <w:r w:rsidRPr="002C3B9C">
        <w:rPr>
          <w:sz w:val="16"/>
          <w:szCs w:val="16"/>
        </w:rPr>
        <w:t>:</w:t>
      </w:r>
    </w:p>
    <w:p w:rsidR="001327B6" w:rsidRPr="002C3B9C" w:rsidRDefault="001327B6" w:rsidP="001327B6">
      <w:pPr>
        <w:rPr>
          <w:sz w:val="16"/>
          <w:szCs w:val="16"/>
        </w:rPr>
      </w:pPr>
      <w:r w:rsidRPr="00D12888">
        <w:rPr>
          <w:sz w:val="16"/>
          <w:szCs w:val="16"/>
          <w:lang w:val="en-US"/>
        </w:rPr>
        <w:t>Sanofi</w:t>
      </w:r>
      <w:r w:rsidRPr="002C3B9C">
        <w:rPr>
          <w:sz w:val="16"/>
          <w:szCs w:val="16"/>
        </w:rPr>
        <w:t xml:space="preserve"> </w:t>
      </w:r>
      <w:r w:rsidRPr="00D12888">
        <w:rPr>
          <w:sz w:val="16"/>
          <w:szCs w:val="16"/>
          <w:lang w:val="en-US"/>
        </w:rPr>
        <w:t>Aventis</w:t>
      </w:r>
      <w:r w:rsidRPr="002C3B9C">
        <w:rPr>
          <w:sz w:val="16"/>
          <w:szCs w:val="16"/>
        </w:rPr>
        <w:t xml:space="preserve"> </w:t>
      </w:r>
      <w:r w:rsidRPr="001327B6">
        <w:rPr>
          <w:sz w:val="16"/>
          <w:szCs w:val="16"/>
          <w:lang w:val="el-GR"/>
        </w:rPr>
        <w:t>ΑΕΒΕ</w:t>
      </w:r>
    </w:p>
    <w:p w:rsidR="001327B6" w:rsidRPr="002C3B9C" w:rsidRDefault="001327B6" w:rsidP="001327B6">
      <w:pPr>
        <w:rPr>
          <w:sz w:val="16"/>
          <w:szCs w:val="16"/>
        </w:rPr>
      </w:pPr>
      <w:r w:rsidRPr="001327B6">
        <w:rPr>
          <w:sz w:val="16"/>
          <w:szCs w:val="16"/>
          <w:lang w:val="el-GR"/>
        </w:rPr>
        <w:t>Λεωφ</w:t>
      </w:r>
      <w:r w:rsidRPr="002C3B9C">
        <w:rPr>
          <w:sz w:val="16"/>
          <w:szCs w:val="16"/>
        </w:rPr>
        <w:t xml:space="preserve">. </w:t>
      </w:r>
      <w:r w:rsidRPr="001327B6">
        <w:rPr>
          <w:sz w:val="16"/>
          <w:szCs w:val="16"/>
          <w:lang w:val="el-GR"/>
        </w:rPr>
        <w:t>Συγγρού</w:t>
      </w:r>
      <w:r w:rsidRPr="002C3B9C">
        <w:rPr>
          <w:sz w:val="16"/>
          <w:szCs w:val="16"/>
        </w:rPr>
        <w:t xml:space="preserve"> 34- </w:t>
      </w:r>
      <w:r w:rsidRPr="001327B6">
        <w:rPr>
          <w:sz w:val="16"/>
          <w:szCs w:val="16"/>
          <w:lang w:val="el-GR"/>
        </w:rPr>
        <w:t>Κτίριο</w:t>
      </w:r>
      <w:r w:rsidRPr="002C3B9C">
        <w:rPr>
          <w:sz w:val="16"/>
          <w:szCs w:val="16"/>
        </w:rPr>
        <w:t xml:space="preserve"> </w:t>
      </w:r>
      <w:r w:rsidRPr="001327B6">
        <w:rPr>
          <w:sz w:val="16"/>
          <w:szCs w:val="16"/>
          <w:lang w:val="el-GR"/>
        </w:rPr>
        <w:t>Α</w:t>
      </w:r>
    </w:p>
    <w:p w:rsidR="001327B6" w:rsidRPr="005D6C71" w:rsidRDefault="001327B6" w:rsidP="001327B6">
      <w:pPr>
        <w:rPr>
          <w:sz w:val="16"/>
          <w:szCs w:val="16"/>
          <w:lang w:val="en-US"/>
        </w:rPr>
      </w:pPr>
      <w:r w:rsidRPr="005D6C71">
        <w:rPr>
          <w:sz w:val="16"/>
          <w:szCs w:val="16"/>
          <w:lang w:val="en-US"/>
        </w:rPr>
        <w:t xml:space="preserve">176 74 </w:t>
      </w:r>
      <w:r w:rsidRPr="001327B6">
        <w:rPr>
          <w:sz w:val="16"/>
          <w:szCs w:val="16"/>
          <w:lang w:val="el-GR"/>
        </w:rPr>
        <w:t>Καλλιθέα</w:t>
      </w:r>
      <w:r w:rsidRPr="005D6C71">
        <w:rPr>
          <w:sz w:val="16"/>
          <w:szCs w:val="16"/>
          <w:lang w:val="en-US"/>
        </w:rPr>
        <w:t>-</w:t>
      </w:r>
      <w:r w:rsidRPr="001327B6">
        <w:rPr>
          <w:sz w:val="16"/>
          <w:szCs w:val="16"/>
          <w:lang w:val="el-GR"/>
        </w:rPr>
        <w:t>Αθήνα</w:t>
      </w:r>
    </w:p>
    <w:p w:rsidR="001327B6" w:rsidRPr="005D6C71" w:rsidRDefault="001327B6" w:rsidP="001327B6">
      <w:pPr>
        <w:rPr>
          <w:sz w:val="16"/>
          <w:szCs w:val="16"/>
          <w:lang w:val="en-US"/>
        </w:rPr>
      </w:pPr>
      <w:r w:rsidRPr="001327B6">
        <w:rPr>
          <w:sz w:val="16"/>
          <w:szCs w:val="16"/>
          <w:lang w:val="el-GR"/>
        </w:rPr>
        <w:t>Τηλ</w:t>
      </w:r>
      <w:r w:rsidRPr="005D6C71">
        <w:rPr>
          <w:sz w:val="16"/>
          <w:szCs w:val="16"/>
          <w:lang w:val="en-US"/>
        </w:rPr>
        <w:t>. +30 210 90 01 600</w:t>
      </w:r>
    </w:p>
    <w:p w:rsidR="001327B6" w:rsidRPr="005D6C71" w:rsidRDefault="001327B6" w:rsidP="001327B6">
      <w:pPr>
        <w:rPr>
          <w:lang w:val="en-US"/>
        </w:rPr>
      </w:pPr>
    </w:p>
    <w:p w:rsidR="001327B6" w:rsidRPr="005D6C71" w:rsidRDefault="001327B6" w:rsidP="001327B6">
      <w:pPr>
        <w:rPr>
          <w:lang w:val="en-US"/>
        </w:rPr>
      </w:pPr>
      <w:r w:rsidRPr="001327B6">
        <w:rPr>
          <w:b/>
          <w:lang w:val="el-GR"/>
        </w:rPr>
        <w:t>Αρ</w:t>
      </w:r>
      <w:r w:rsidRPr="005D6C71">
        <w:rPr>
          <w:b/>
          <w:lang w:val="en-US"/>
        </w:rPr>
        <w:t xml:space="preserve">. </w:t>
      </w:r>
      <w:r w:rsidRPr="001327B6">
        <w:rPr>
          <w:b/>
          <w:lang w:val="el-GR"/>
        </w:rPr>
        <w:t>Άδειας</w:t>
      </w:r>
      <w:r w:rsidRPr="005D6C71">
        <w:rPr>
          <w:b/>
          <w:lang w:val="en-US"/>
        </w:rPr>
        <w:t xml:space="preserve"> </w:t>
      </w:r>
      <w:r w:rsidRPr="001327B6">
        <w:rPr>
          <w:b/>
          <w:lang w:val="el-GR"/>
        </w:rPr>
        <w:t>κυκλ</w:t>
      </w:r>
      <w:r w:rsidRPr="005D6C71">
        <w:rPr>
          <w:lang w:val="en-US"/>
        </w:rPr>
        <w:t>.51871/10-12-10</w:t>
      </w:r>
    </w:p>
    <w:p w:rsidR="001327B6" w:rsidRPr="005D6C71" w:rsidRDefault="001327B6" w:rsidP="001327B6">
      <w:pPr>
        <w:rPr>
          <w:lang w:val="en-US"/>
        </w:rPr>
      </w:pPr>
    </w:p>
    <w:p w:rsidR="001327B6" w:rsidRPr="005D6C71" w:rsidRDefault="001327B6" w:rsidP="001327B6">
      <w:pPr>
        <w:rPr>
          <w:b/>
          <w:lang w:val="en-US"/>
        </w:rPr>
      </w:pPr>
      <w:r w:rsidRPr="001327B6">
        <w:rPr>
          <w:b/>
          <w:lang w:val="el-GR"/>
        </w:rPr>
        <w:t>Δοσολογία</w:t>
      </w:r>
      <w:r w:rsidRPr="005D6C71">
        <w:rPr>
          <w:b/>
          <w:lang w:val="en-US"/>
        </w:rPr>
        <w:t xml:space="preserve"> </w:t>
      </w:r>
      <w:r w:rsidRPr="001327B6">
        <w:rPr>
          <w:b/>
          <w:lang w:val="el-GR"/>
        </w:rPr>
        <w:t>και</w:t>
      </w:r>
      <w:r w:rsidRPr="005D6C71">
        <w:rPr>
          <w:b/>
          <w:lang w:val="en-US"/>
        </w:rPr>
        <w:t xml:space="preserve"> </w:t>
      </w:r>
      <w:r w:rsidRPr="001327B6">
        <w:rPr>
          <w:b/>
          <w:lang w:val="el-GR"/>
        </w:rPr>
        <w:t>τρόπος</w:t>
      </w:r>
      <w:r w:rsidRPr="005D6C71">
        <w:rPr>
          <w:b/>
          <w:lang w:val="en-US"/>
        </w:rPr>
        <w:t xml:space="preserve"> </w:t>
      </w:r>
      <w:r w:rsidRPr="001327B6">
        <w:rPr>
          <w:b/>
          <w:lang w:val="el-GR"/>
        </w:rPr>
        <w:t>χορήγησης</w:t>
      </w:r>
    </w:p>
    <w:p w:rsidR="001327B6" w:rsidRPr="005D6C71" w:rsidRDefault="001327B6" w:rsidP="001327B6">
      <w:pPr>
        <w:rPr>
          <w:b/>
          <w:lang w:val="en-US"/>
        </w:rPr>
      </w:pPr>
    </w:p>
    <w:p w:rsidR="001327B6" w:rsidRPr="001327B6" w:rsidRDefault="001327B6" w:rsidP="001327B6">
      <w:pPr>
        <w:rPr>
          <w:lang w:val="el-GR"/>
        </w:rPr>
      </w:pPr>
      <w:r w:rsidRPr="001327B6">
        <w:rPr>
          <w:i/>
          <w:u w:val="single"/>
          <w:lang w:val="el-GR"/>
        </w:rPr>
        <w:t>Τρόπος χορήγησης:</w:t>
      </w:r>
      <w:r w:rsidRPr="001327B6">
        <w:rPr>
          <w:lang w:val="el-GR"/>
        </w:rPr>
        <w:t xml:space="preserve"> Από στόματος χρήση.</w:t>
      </w:r>
    </w:p>
    <w:p w:rsidR="001327B6" w:rsidRPr="001327B6" w:rsidRDefault="001327B6" w:rsidP="001327B6">
      <w:pPr>
        <w:rPr>
          <w:lang w:val="el-GR"/>
        </w:rPr>
      </w:pPr>
    </w:p>
    <w:p w:rsidR="001327B6" w:rsidRPr="001327B6" w:rsidRDefault="001327B6" w:rsidP="001327B6">
      <w:pPr>
        <w:rPr>
          <w:lang w:val="el-GR"/>
        </w:rPr>
      </w:pPr>
      <w:r w:rsidRPr="001327B6">
        <w:rPr>
          <w:i/>
          <w:u w:val="single"/>
          <w:lang w:val="el-GR"/>
        </w:rPr>
        <w:t>Δοσολογία:</w:t>
      </w:r>
      <w:r w:rsidRPr="001327B6">
        <w:rPr>
          <w:lang w:val="el-GR"/>
        </w:rPr>
        <w:t xml:space="preserve"> 1 δισκίο, δύο φορές την ημέρα.</w:t>
      </w:r>
    </w:p>
    <w:p w:rsidR="001327B6" w:rsidRPr="001327B6" w:rsidRDefault="001327B6" w:rsidP="001327B6">
      <w:pPr>
        <w:rPr>
          <w:lang w:val="el-GR"/>
        </w:rPr>
      </w:pPr>
    </w:p>
    <w:p w:rsidR="001327B6" w:rsidRPr="001327B6" w:rsidRDefault="001327B6" w:rsidP="001327B6">
      <w:pPr>
        <w:rPr>
          <w:b/>
          <w:lang w:val="el-GR"/>
        </w:rPr>
      </w:pPr>
    </w:p>
    <w:p w:rsidR="001327B6" w:rsidRPr="001327B6" w:rsidRDefault="00C4694A" w:rsidP="001327B6">
      <w:pPr>
        <w:rPr>
          <w:lang w:val="el-GR"/>
        </w:rPr>
      </w:pPr>
      <w:r>
        <w:rPr>
          <w:noProof/>
          <w:lang w:eastAsia="en-GB"/>
        </w:rPr>
        <w:pict>
          <v:shape id="Text Box 101" o:spid="_x0000_s1033" type="#_x0000_t202" alt="" style="position:absolute;margin-left:80.15pt;margin-top:6.5pt;width:255pt;height:78.25pt;z-index:251750400;visibility:visible;mso-wrap-edited:f;mso-height-percent:200;mso-height-percent:200;mso-width-relative:margin;mso-height-relative:margin">
            <v:path arrowok="t"/>
            <v:textbox style="mso-next-textbox:#Text Box 101;mso-fit-shape-to-text:t">
              <w:txbxContent>
                <w:p w:rsidR="00E87F3A" w:rsidRPr="006F329A" w:rsidRDefault="00E87F3A" w:rsidP="001327B6">
                  <w:pPr>
                    <w:jc w:val="center"/>
                    <w:rPr>
                      <w:lang w:val="el-GR"/>
                    </w:rPr>
                  </w:pPr>
                  <w:r w:rsidRPr="006F329A">
                    <w:rPr>
                      <w:lang w:val="el-GR"/>
                    </w:rPr>
                    <w:t>ΖΗΤΗΣΤΕ ΤΗΝ ΣΥΜΒΟΥΛΗ ΤΟΥ ΓΙΑΤΡΟΥ ΣΑΣ</w:t>
                  </w:r>
                </w:p>
                <w:p w:rsidR="00E87F3A" w:rsidRPr="006F329A" w:rsidRDefault="00E87F3A" w:rsidP="001327B6">
                  <w:pPr>
                    <w:rPr>
                      <w:lang w:val="el-GR"/>
                    </w:rPr>
                  </w:pPr>
                  <w:r w:rsidRPr="006F329A">
                    <w:rPr>
                      <w:lang w:val="el-GR"/>
                    </w:rPr>
                    <w:t>πριν πάρετε οποιαδήποτε μη-συνταγογραφούμενη φαρμακευτική ουσία, γιατί μερικές μπορεί να επιδρούν στην δράση του φαρμάκου.</w:t>
                  </w:r>
                </w:p>
              </w:txbxContent>
            </v:textbox>
          </v:shape>
        </w:pict>
      </w: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sz w:val="16"/>
          <w:szCs w:val="16"/>
          <w:lang w:val="el-GR"/>
        </w:rPr>
      </w:pPr>
      <w:r w:rsidRPr="001327B6">
        <w:rPr>
          <w:sz w:val="16"/>
          <w:szCs w:val="16"/>
          <w:lang w:val="el-GR"/>
        </w:rPr>
        <w:t>Υπεύθυνος άδειας κυκλοφορίας:</w:t>
      </w:r>
    </w:p>
    <w:p w:rsidR="001327B6" w:rsidRPr="001327B6" w:rsidRDefault="001327B6" w:rsidP="001327B6">
      <w:pPr>
        <w:rPr>
          <w:sz w:val="16"/>
          <w:szCs w:val="16"/>
          <w:lang w:val="el-GR"/>
        </w:rPr>
      </w:pPr>
      <w:r w:rsidRPr="00D12888">
        <w:rPr>
          <w:sz w:val="16"/>
          <w:szCs w:val="16"/>
          <w:lang w:val="en-US"/>
        </w:rPr>
        <w:t>Sanofi</w:t>
      </w:r>
      <w:r w:rsidRPr="001327B6">
        <w:rPr>
          <w:sz w:val="16"/>
          <w:szCs w:val="16"/>
          <w:lang w:val="el-GR"/>
        </w:rPr>
        <w:t xml:space="preserve"> </w:t>
      </w:r>
      <w:r w:rsidRPr="00D12888">
        <w:rPr>
          <w:sz w:val="16"/>
          <w:szCs w:val="16"/>
          <w:lang w:val="en-US"/>
        </w:rPr>
        <w:t>Aventis</w:t>
      </w:r>
      <w:r w:rsidRPr="001327B6">
        <w:rPr>
          <w:sz w:val="16"/>
          <w:szCs w:val="16"/>
          <w:lang w:val="el-GR"/>
        </w:rPr>
        <w:t xml:space="preserve"> ΑΕΒΕ</w:t>
      </w:r>
    </w:p>
    <w:p w:rsidR="001327B6" w:rsidRPr="001327B6" w:rsidRDefault="001327B6" w:rsidP="001327B6">
      <w:pPr>
        <w:rPr>
          <w:sz w:val="16"/>
          <w:szCs w:val="16"/>
          <w:lang w:val="el-GR"/>
        </w:rPr>
      </w:pPr>
      <w:r w:rsidRPr="001327B6">
        <w:rPr>
          <w:sz w:val="16"/>
          <w:szCs w:val="16"/>
          <w:lang w:val="el-GR"/>
        </w:rPr>
        <w:t>Λεωφ. Συγγρού 34- Κτίριο Α</w:t>
      </w:r>
    </w:p>
    <w:p w:rsidR="001327B6" w:rsidRPr="001327B6" w:rsidRDefault="001327B6" w:rsidP="001327B6">
      <w:pPr>
        <w:rPr>
          <w:sz w:val="16"/>
          <w:szCs w:val="16"/>
          <w:lang w:val="el-GR"/>
        </w:rPr>
      </w:pPr>
      <w:r w:rsidRPr="001327B6">
        <w:rPr>
          <w:sz w:val="16"/>
          <w:szCs w:val="16"/>
          <w:lang w:val="el-GR"/>
        </w:rPr>
        <w:t>176 74 Καλλιθέα-Αθήνα</w:t>
      </w:r>
    </w:p>
    <w:p w:rsidR="001327B6" w:rsidRPr="001327B6" w:rsidRDefault="001327B6" w:rsidP="001327B6">
      <w:pPr>
        <w:rPr>
          <w:sz w:val="16"/>
          <w:szCs w:val="16"/>
          <w:lang w:val="el-GR"/>
        </w:rPr>
      </w:pPr>
      <w:r w:rsidRPr="001327B6">
        <w:rPr>
          <w:sz w:val="16"/>
          <w:szCs w:val="16"/>
          <w:lang w:val="el-GR"/>
        </w:rPr>
        <w:t>Τηλ. +30 210 90 01 600</w:t>
      </w:r>
    </w:p>
    <w:p w:rsidR="001327B6" w:rsidRPr="001327B6" w:rsidRDefault="001327B6" w:rsidP="001327B6">
      <w:pPr>
        <w:rPr>
          <w:lang w:val="el-GR"/>
        </w:rPr>
      </w:pPr>
    </w:p>
    <w:p w:rsidR="001327B6" w:rsidRPr="001327B6" w:rsidRDefault="001327B6" w:rsidP="001327B6">
      <w:pPr>
        <w:rPr>
          <w:lang w:val="el-GR"/>
        </w:rPr>
      </w:pPr>
      <w:r w:rsidRPr="001327B6">
        <w:rPr>
          <w:b/>
          <w:lang w:val="el-GR"/>
        </w:rPr>
        <w:t>Αρ. Άδειας κυκλ</w:t>
      </w:r>
      <w:r w:rsidRPr="001327B6">
        <w:rPr>
          <w:lang w:val="el-GR"/>
        </w:rPr>
        <w:t>.48827/10-09-09</w:t>
      </w:r>
      <w:r w:rsidRPr="001327B6">
        <w:rPr>
          <w:lang w:val="el-GR"/>
        </w:rPr>
        <w:tab/>
      </w:r>
      <w:r w:rsidRPr="001327B6">
        <w:rPr>
          <w:lang w:val="el-GR"/>
        </w:rPr>
        <w:tab/>
      </w:r>
      <w:r w:rsidRPr="001327B6">
        <w:rPr>
          <w:lang w:val="el-GR"/>
        </w:rPr>
        <w:tab/>
      </w:r>
    </w:p>
    <w:p w:rsidR="001327B6" w:rsidRPr="001327B6" w:rsidRDefault="001327B6" w:rsidP="001327B6">
      <w:pPr>
        <w:rPr>
          <w:lang w:val="el-GR"/>
        </w:rPr>
      </w:pPr>
    </w:p>
    <w:p w:rsidR="001327B6" w:rsidRPr="001327B6" w:rsidRDefault="001327B6" w:rsidP="001327B6">
      <w:pPr>
        <w:rPr>
          <w:b/>
          <w:lang w:val="el-GR"/>
        </w:rPr>
      </w:pPr>
      <w:r w:rsidRPr="001327B6">
        <w:rPr>
          <w:b/>
          <w:lang w:val="el-GR"/>
        </w:rPr>
        <w:t>Δοσολογία και τρόπος χορήγησης</w:t>
      </w:r>
    </w:p>
    <w:p w:rsidR="001327B6" w:rsidRPr="001327B6" w:rsidRDefault="001327B6" w:rsidP="001327B6">
      <w:pPr>
        <w:rPr>
          <w:b/>
          <w:lang w:val="el-GR"/>
        </w:rPr>
      </w:pPr>
    </w:p>
    <w:p w:rsidR="001327B6" w:rsidRPr="001327B6" w:rsidRDefault="001327B6" w:rsidP="001327B6">
      <w:pPr>
        <w:rPr>
          <w:lang w:val="el-GR"/>
        </w:rPr>
      </w:pPr>
      <w:r w:rsidRPr="001327B6">
        <w:rPr>
          <w:i/>
          <w:u w:val="single"/>
          <w:lang w:val="el-GR"/>
        </w:rPr>
        <w:t>Τρόπος χορήγησης:</w:t>
      </w:r>
      <w:r w:rsidRPr="001327B6">
        <w:rPr>
          <w:lang w:val="el-GR"/>
        </w:rPr>
        <w:t xml:space="preserve"> Από στόματος χρήση, ΜΕΤΑ ΤΟ ΦΑΓΗΤΟ</w:t>
      </w:r>
    </w:p>
    <w:p w:rsidR="001327B6" w:rsidRPr="001327B6" w:rsidRDefault="001327B6" w:rsidP="001327B6">
      <w:pPr>
        <w:rPr>
          <w:lang w:val="el-GR"/>
        </w:rPr>
      </w:pPr>
    </w:p>
    <w:p w:rsidR="001327B6" w:rsidRPr="001327B6" w:rsidRDefault="001327B6" w:rsidP="001327B6">
      <w:pPr>
        <w:rPr>
          <w:lang w:val="el-GR"/>
        </w:rPr>
      </w:pPr>
      <w:r w:rsidRPr="001327B6">
        <w:rPr>
          <w:i/>
          <w:u w:val="single"/>
          <w:lang w:val="el-GR"/>
        </w:rPr>
        <w:t>Δοσολογία:</w:t>
      </w:r>
      <w:r w:rsidRPr="001327B6">
        <w:rPr>
          <w:lang w:val="el-GR"/>
        </w:rPr>
        <w:t xml:space="preserve"> 1 δισκίο, 3 φορές την ημέρα.</w:t>
      </w:r>
    </w:p>
    <w:p w:rsidR="001327B6" w:rsidRPr="001327B6" w:rsidRDefault="001327B6" w:rsidP="001327B6">
      <w:pPr>
        <w:rPr>
          <w:lang w:val="el-GR"/>
        </w:rPr>
      </w:pPr>
    </w:p>
    <w:p w:rsidR="001327B6" w:rsidRPr="001327B6" w:rsidRDefault="001327B6" w:rsidP="001327B6">
      <w:pPr>
        <w:rPr>
          <w:b/>
          <w:lang w:val="el-GR"/>
        </w:rPr>
      </w:pPr>
    </w:p>
    <w:p w:rsidR="001327B6" w:rsidRPr="001327B6" w:rsidRDefault="00C4694A" w:rsidP="001327B6">
      <w:pPr>
        <w:rPr>
          <w:lang w:val="el-GR"/>
        </w:rPr>
      </w:pPr>
      <w:r>
        <w:rPr>
          <w:noProof/>
          <w:lang w:eastAsia="en-GB"/>
        </w:rPr>
        <w:pict>
          <v:shape id="Text Box 102" o:spid="_x0000_s1032" type="#_x0000_t202" alt="" style="position:absolute;margin-left:80.15pt;margin-top:6.5pt;width:313.8pt;height:64.15pt;z-index:251751424;visibility:visible;mso-wrap-edited:f;mso-height-percent:200;mso-height-percent:200;mso-width-relative:margin;mso-height-relative:margin">
            <v:path arrowok="t"/>
            <v:textbox style="mso-next-textbox:#Text Box 102;mso-fit-shape-to-text:t">
              <w:txbxContent>
                <w:p w:rsidR="00E87F3A" w:rsidRPr="006F329A" w:rsidRDefault="00E87F3A" w:rsidP="001327B6">
                  <w:pPr>
                    <w:jc w:val="center"/>
                    <w:rPr>
                      <w:lang w:val="el-GR"/>
                    </w:rPr>
                  </w:pPr>
                  <w:r w:rsidRPr="006F329A">
                    <w:rPr>
                      <w:lang w:val="el-GR"/>
                    </w:rPr>
                    <w:t>Μπορεί να προκαλέσει υπνηλία</w:t>
                  </w:r>
                </w:p>
                <w:p w:rsidR="00E87F3A" w:rsidRPr="006F329A" w:rsidRDefault="00E87F3A" w:rsidP="001327B6">
                  <w:pPr>
                    <w:jc w:val="center"/>
                    <w:rPr>
                      <w:lang w:val="el-GR"/>
                    </w:rPr>
                  </w:pPr>
                  <w:r w:rsidRPr="006F329A">
                    <w:rPr>
                      <w:lang w:val="el-GR"/>
                    </w:rPr>
                    <w:t>Το αλκοόλ μπορεί να εντείνει αυτή την παρενέργεια</w:t>
                  </w:r>
                </w:p>
                <w:p w:rsidR="00E87F3A" w:rsidRPr="006F329A" w:rsidRDefault="00E87F3A" w:rsidP="001327B6">
                  <w:pPr>
                    <w:jc w:val="center"/>
                    <w:rPr>
                      <w:lang w:val="el-GR"/>
                    </w:rPr>
                  </w:pPr>
                  <w:r w:rsidRPr="006F329A">
                    <w:rPr>
                      <w:lang w:val="el-GR"/>
                    </w:rPr>
                    <w:t xml:space="preserve">Προσοχή όταν οδηγείτε αμάξι ή βαρέα και επικίνδυνα </w:t>
                  </w:r>
                  <w:r w:rsidRPr="006F329A">
                    <w:rPr>
                      <w:lang w:val="el-GR"/>
                    </w:rPr>
                    <w:tab/>
                    <w:t>οχήματα</w:t>
                  </w:r>
                </w:p>
              </w:txbxContent>
            </v:textbox>
          </v:shape>
        </w:pict>
      </w: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sz w:val="16"/>
          <w:szCs w:val="16"/>
          <w:lang w:val="el-GR"/>
        </w:rPr>
      </w:pPr>
      <w:r w:rsidRPr="001327B6">
        <w:rPr>
          <w:sz w:val="16"/>
          <w:szCs w:val="16"/>
          <w:lang w:val="el-GR"/>
        </w:rPr>
        <w:t>Υπεύθυνος άδειας κυκλοφορίας:</w:t>
      </w:r>
    </w:p>
    <w:p w:rsidR="001327B6" w:rsidRPr="001327B6" w:rsidRDefault="001327B6" w:rsidP="001327B6">
      <w:pPr>
        <w:rPr>
          <w:sz w:val="16"/>
          <w:szCs w:val="16"/>
          <w:lang w:val="el-GR"/>
        </w:rPr>
      </w:pPr>
      <w:r w:rsidRPr="00D12888">
        <w:rPr>
          <w:sz w:val="16"/>
          <w:szCs w:val="16"/>
          <w:lang w:val="en-US"/>
        </w:rPr>
        <w:t>Sanofi</w:t>
      </w:r>
      <w:r w:rsidRPr="001327B6">
        <w:rPr>
          <w:sz w:val="16"/>
          <w:szCs w:val="16"/>
          <w:lang w:val="el-GR"/>
        </w:rPr>
        <w:t xml:space="preserve"> </w:t>
      </w:r>
      <w:r w:rsidRPr="00D12888">
        <w:rPr>
          <w:sz w:val="16"/>
          <w:szCs w:val="16"/>
          <w:lang w:val="en-US"/>
        </w:rPr>
        <w:t>Aventis</w:t>
      </w:r>
      <w:r w:rsidRPr="001327B6">
        <w:rPr>
          <w:sz w:val="16"/>
          <w:szCs w:val="16"/>
          <w:lang w:val="el-GR"/>
        </w:rPr>
        <w:t xml:space="preserve"> ΑΕΒΕ</w:t>
      </w:r>
    </w:p>
    <w:p w:rsidR="001327B6" w:rsidRPr="001327B6" w:rsidRDefault="001327B6" w:rsidP="001327B6">
      <w:pPr>
        <w:rPr>
          <w:sz w:val="16"/>
          <w:szCs w:val="16"/>
          <w:lang w:val="el-GR"/>
        </w:rPr>
      </w:pPr>
      <w:r w:rsidRPr="001327B6">
        <w:rPr>
          <w:sz w:val="16"/>
          <w:szCs w:val="16"/>
          <w:lang w:val="el-GR"/>
        </w:rPr>
        <w:t>Λεωφ. Συγγρού 34- Κτίριο Α</w:t>
      </w:r>
    </w:p>
    <w:p w:rsidR="001327B6" w:rsidRPr="001327B6" w:rsidRDefault="001327B6" w:rsidP="001327B6">
      <w:pPr>
        <w:rPr>
          <w:sz w:val="16"/>
          <w:szCs w:val="16"/>
          <w:lang w:val="el-GR"/>
        </w:rPr>
      </w:pPr>
      <w:r w:rsidRPr="001327B6">
        <w:rPr>
          <w:sz w:val="16"/>
          <w:szCs w:val="16"/>
          <w:lang w:val="el-GR"/>
        </w:rPr>
        <w:t>176 74 Καλλιθέα-Αθήνα</w:t>
      </w:r>
    </w:p>
    <w:p w:rsidR="001327B6" w:rsidRPr="001327B6" w:rsidRDefault="001327B6" w:rsidP="001327B6">
      <w:pPr>
        <w:rPr>
          <w:sz w:val="16"/>
          <w:szCs w:val="16"/>
          <w:lang w:val="el-GR"/>
        </w:rPr>
      </w:pPr>
      <w:r w:rsidRPr="001327B6">
        <w:rPr>
          <w:sz w:val="16"/>
          <w:szCs w:val="16"/>
          <w:lang w:val="el-GR"/>
        </w:rPr>
        <w:t>Τηλ. +30 210 90 01 600</w:t>
      </w:r>
    </w:p>
    <w:p w:rsidR="001327B6" w:rsidRPr="001327B6" w:rsidRDefault="001327B6" w:rsidP="001327B6">
      <w:pPr>
        <w:rPr>
          <w:lang w:val="el-GR"/>
        </w:rPr>
      </w:pPr>
    </w:p>
    <w:p w:rsidR="001327B6" w:rsidRPr="001327B6" w:rsidRDefault="001327B6" w:rsidP="001327B6">
      <w:pPr>
        <w:rPr>
          <w:lang w:val="el-GR"/>
        </w:rPr>
      </w:pPr>
      <w:r w:rsidRPr="001327B6">
        <w:rPr>
          <w:b/>
          <w:lang w:val="el-GR"/>
        </w:rPr>
        <w:t>Αρ. Άδειας κυκλ</w:t>
      </w:r>
      <w:r w:rsidRPr="001327B6">
        <w:rPr>
          <w:lang w:val="el-GR"/>
        </w:rPr>
        <w:t>.48827/10-09-09</w:t>
      </w:r>
      <w:r w:rsidRPr="001327B6">
        <w:rPr>
          <w:lang w:val="el-GR"/>
        </w:rPr>
        <w:tab/>
      </w:r>
      <w:r w:rsidRPr="001327B6">
        <w:rPr>
          <w:lang w:val="el-GR"/>
        </w:rPr>
        <w:tab/>
      </w:r>
      <w:r w:rsidRPr="001327B6">
        <w:rPr>
          <w:lang w:val="el-GR"/>
        </w:rPr>
        <w:tab/>
      </w:r>
    </w:p>
    <w:p w:rsidR="001327B6" w:rsidRPr="001327B6" w:rsidRDefault="001327B6" w:rsidP="001327B6">
      <w:pPr>
        <w:rPr>
          <w:lang w:val="el-GR"/>
        </w:rPr>
      </w:pPr>
    </w:p>
    <w:p w:rsidR="001327B6" w:rsidRPr="001327B6" w:rsidRDefault="001327B6" w:rsidP="001327B6">
      <w:pPr>
        <w:rPr>
          <w:b/>
          <w:lang w:val="el-GR"/>
        </w:rPr>
      </w:pPr>
      <w:r w:rsidRPr="001327B6">
        <w:rPr>
          <w:b/>
          <w:lang w:val="el-GR"/>
        </w:rPr>
        <w:t>Δοσολογία και τρόπος χορήγησης</w:t>
      </w:r>
    </w:p>
    <w:p w:rsidR="001327B6" w:rsidRPr="001327B6" w:rsidRDefault="001327B6" w:rsidP="001327B6">
      <w:pPr>
        <w:rPr>
          <w:b/>
          <w:lang w:val="el-GR"/>
        </w:rPr>
      </w:pPr>
    </w:p>
    <w:p w:rsidR="001327B6" w:rsidRPr="001327B6" w:rsidRDefault="001327B6" w:rsidP="001327B6">
      <w:pPr>
        <w:rPr>
          <w:lang w:val="el-GR"/>
        </w:rPr>
      </w:pPr>
      <w:r w:rsidRPr="001327B6">
        <w:rPr>
          <w:i/>
          <w:u w:val="single"/>
          <w:lang w:val="el-GR"/>
        </w:rPr>
        <w:t>Τρόπος χορήγησης:</w:t>
      </w:r>
      <w:r w:rsidRPr="001327B6">
        <w:rPr>
          <w:lang w:val="el-GR"/>
        </w:rPr>
        <w:t xml:space="preserve"> Από στόματος χρήση</w:t>
      </w:r>
    </w:p>
    <w:p w:rsidR="001327B6" w:rsidRPr="001327B6" w:rsidRDefault="001327B6" w:rsidP="001327B6">
      <w:pPr>
        <w:rPr>
          <w:lang w:val="el-GR"/>
        </w:rPr>
      </w:pPr>
    </w:p>
    <w:p w:rsidR="001327B6" w:rsidRPr="001327B6" w:rsidRDefault="001327B6" w:rsidP="001327B6">
      <w:pPr>
        <w:rPr>
          <w:lang w:val="el-GR"/>
        </w:rPr>
      </w:pPr>
      <w:r w:rsidRPr="001327B6">
        <w:rPr>
          <w:i/>
          <w:u w:val="single"/>
          <w:lang w:val="el-GR"/>
        </w:rPr>
        <w:t>Δοσολογία:</w:t>
      </w:r>
      <w:r w:rsidRPr="001327B6">
        <w:rPr>
          <w:lang w:val="el-GR"/>
        </w:rPr>
        <w:t xml:space="preserve"> 1 δισκίο, 4 φορές την ημέρα.</w:t>
      </w:r>
    </w:p>
    <w:p w:rsidR="001327B6" w:rsidRPr="001327B6" w:rsidRDefault="001327B6" w:rsidP="001327B6">
      <w:pPr>
        <w:rPr>
          <w:lang w:val="el-GR"/>
        </w:rPr>
      </w:pPr>
    </w:p>
    <w:p w:rsidR="001327B6" w:rsidRPr="001327B6" w:rsidRDefault="001327B6" w:rsidP="001327B6">
      <w:pPr>
        <w:rPr>
          <w:b/>
          <w:lang w:val="el-GR"/>
        </w:rPr>
      </w:pPr>
    </w:p>
    <w:p w:rsidR="001327B6" w:rsidRPr="001327B6" w:rsidRDefault="00C4694A" w:rsidP="001327B6">
      <w:pPr>
        <w:rPr>
          <w:lang w:val="el-GR"/>
        </w:rPr>
      </w:pPr>
      <w:r>
        <w:rPr>
          <w:noProof/>
          <w:lang w:eastAsia="en-GB"/>
        </w:rPr>
        <w:pict>
          <v:shape id="Text Box 103" o:spid="_x0000_s1031" type="#_x0000_t202" alt="" style="position:absolute;margin-left:112.45pt;margin-top:6.5pt;width:225.65pt;height:50.1pt;z-index:251752448;visibility:visible;mso-wrap-edited:f;mso-height-percent:200;mso-height-percent:200;mso-width-relative:margin;mso-height-relative:margin">
            <v:path arrowok="t"/>
            <v:textbox style="mso-next-textbox:#Text Box 103;mso-fit-shape-to-text:t">
              <w:txbxContent>
                <w:p w:rsidR="00E87F3A" w:rsidRDefault="00E87F3A" w:rsidP="001327B6">
                  <w:pPr>
                    <w:jc w:val="center"/>
                  </w:pPr>
                </w:p>
                <w:p w:rsidR="00E87F3A" w:rsidRPr="006F329A" w:rsidRDefault="00E87F3A" w:rsidP="001327B6">
                  <w:pPr>
                    <w:jc w:val="center"/>
                    <w:rPr>
                      <w:lang w:val="el-GR"/>
                    </w:rPr>
                  </w:pPr>
                  <w:r w:rsidRPr="006F329A">
                    <w:rPr>
                      <w:lang w:val="el-GR"/>
                    </w:rPr>
                    <w:t xml:space="preserve">ΜΠΟΡΕΙ ΝΑ ΠΡΟΚΑΛΕΣΕΙ ΥΠΝΗΛΙΑ </w:t>
                  </w:r>
                </w:p>
                <w:p w:rsidR="00E87F3A" w:rsidRPr="006F329A" w:rsidRDefault="00E87F3A" w:rsidP="001327B6">
                  <w:pPr>
                    <w:jc w:val="center"/>
                    <w:rPr>
                      <w:lang w:val="el-GR"/>
                    </w:rPr>
                  </w:pPr>
                  <w:r w:rsidRPr="006F329A">
                    <w:rPr>
                      <w:lang w:val="el-GR"/>
                    </w:rPr>
                    <w:t>Η ΖΑΛΗ</w:t>
                  </w:r>
                </w:p>
              </w:txbxContent>
            </v:textbox>
          </v:shape>
        </w:pict>
      </w: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p>
    <w:p w:rsidR="001327B6" w:rsidRPr="001327B6" w:rsidRDefault="001327B6" w:rsidP="001327B6">
      <w:pPr>
        <w:rPr>
          <w:lang w:val="el-GR"/>
        </w:rPr>
      </w:pPr>
      <w:r>
        <w:rPr>
          <w:noProof/>
          <w:lang w:eastAsia="zh-CN"/>
        </w:rPr>
        <w:drawing>
          <wp:inline distT="0" distB="0" distL="0" distR="0">
            <wp:extent cx="5943600" cy="24098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01-02 at 22.45.31.png"/>
                    <pic:cNvPicPr/>
                  </pic:nvPicPr>
                  <pic:blipFill>
                    <a:blip r:embed="rId106">
                      <a:extLst>
                        <a:ext uri="{28A0092B-C50C-407E-A947-70E740481C1C}">
                          <a14:useLocalDpi xmlns:a14="http://schemas.microsoft.com/office/drawing/2010/main" val="0"/>
                        </a:ext>
                      </a:extLst>
                    </a:blip>
                    <a:stretch>
                      <a:fillRect/>
                    </a:stretch>
                  </pic:blipFill>
                  <pic:spPr>
                    <a:xfrm>
                      <a:off x="0" y="0"/>
                      <a:ext cx="5943600" cy="2409825"/>
                    </a:xfrm>
                    <a:prstGeom prst="rect">
                      <a:avLst/>
                    </a:prstGeom>
                  </pic:spPr>
                </pic:pic>
              </a:graphicData>
            </a:graphic>
          </wp:inline>
        </w:drawing>
      </w:r>
    </w:p>
    <w:p w:rsidR="001327B6" w:rsidRPr="001327B6" w:rsidRDefault="001327B6" w:rsidP="001327B6">
      <w:pPr>
        <w:rPr>
          <w:lang w:val="el-GR"/>
        </w:rPr>
      </w:pPr>
    </w:p>
    <w:p w:rsidR="001327B6" w:rsidRDefault="00FA5BF6">
      <w:pPr>
        <w:rPr>
          <w:u w:val="single"/>
          <w:lang w:val="el-GR"/>
        </w:rPr>
      </w:pPr>
      <w:r>
        <w:rPr>
          <w:u w:val="single"/>
          <w:lang w:val="el-GR"/>
        </w:rPr>
        <w:br w:type="page"/>
      </w:r>
    </w:p>
    <w:p w:rsidR="006F329A" w:rsidRPr="006F329A" w:rsidRDefault="00C4694A" w:rsidP="005C41B7">
      <w:pPr>
        <w:pStyle w:val="APAPar"/>
      </w:pPr>
      <w:bookmarkStart w:id="229" w:name="_Toc502697835"/>
      <w:bookmarkStart w:id="230" w:name="_Toc502697963"/>
      <w:bookmarkStart w:id="231" w:name="_Toc502698570"/>
      <w:bookmarkStart w:id="232" w:name="_Toc502698698"/>
      <w:bookmarkStart w:id="233" w:name="_Toc502698826"/>
      <w:r>
        <w:rPr>
          <w:noProof/>
          <w:lang w:eastAsia="en-GB"/>
        </w:rPr>
        <w:pict>
          <v:shape id="Text Box 104" o:spid="_x0000_s1030" type="#_x0000_t202" alt="" style="position:absolute;left:0;text-align:left;margin-left:1.05pt;margin-top:27.2pt;width:452.2pt;height:631.2pt;z-index:251753472;visibility:visible;mso-wrap-edited:f;mso-width-relative:margin;mso-height-relative:margin" wrapcoords="-36 -26 -36 21574 21636 21574 21636 -26 -36 -26">
            <v:path arrowok="t"/>
            <v:textbox style="mso-next-textbox:#Text Box 104">
              <w:txbxContent>
                <w:p w:rsidR="00E87F3A" w:rsidRPr="006F329A" w:rsidRDefault="00E87F3A" w:rsidP="001327B6">
                  <w:pPr>
                    <w:jc w:val="center"/>
                    <w:rPr>
                      <w:b/>
                      <w:u w:val="single"/>
                      <w:lang w:val="el-GR"/>
                    </w:rPr>
                  </w:pPr>
                  <w:r w:rsidRPr="006F329A">
                    <w:rPr>
                      <w:b/>
                      <w:u w:val="single"/>
                      <w:lang w:val="el-GR"/>
                    </w:rPr>
                    <w:t>Ιστορικό Ασθενούς</w:t>
                  </w:r>
                </w:p>
                <w:p w:rsidR="00E87F3A" w:rsidRPr="006F329A" w:rsidRDefault="00E87F3A" w:rsidP="001327B6">
                  <w:pPr>
                    <w:spacing w:line="360" w:lineRule="auto"/>
                    <w:jc w:val="both"/>
                    <w:rPr>
                      <w:lang w:val="el-GR"/>
                    </w:rPr>
                  </w:pPr>
                  <w:r w:rsidRPr="006F329A">
                    <w:rPr>
                      <w:lang w:val="el-GR"/>
                    </w:rPr>
                    <w:t>Όνομα:__________________________________________   Αρ. Ασθενή:___________</w:t>
                  </w:r>
                </w:p>
                <w:p w:rsidR="00E87F3A" w:rsidRPr="006F329A" w:rsidRDefault="00E87F3A" w:rsidP="001327B6">
                  <w:pPr>
                    <w:spacing w:line="360" w:lineRule="auto"/>
                    <w:jc w:val="both"/>
                    <w:rPr>
                      <w:lang w:val="el-GR"/>
                    </w:rPr>
                  </w:pPr>
                  <w:r w:rsidRPr="006F329A">
                    <w:rPr>
                      <w:lang w:val="el-GR"/>
                    </w:rPr>
                    <w:t>Ημ. Γέννησης:___/___/___  Τηλέφωνο οικίας:_______________ Αρ. Ταυτοτ.:________________</w:t>
                  </w:r>
                </w:p>
                <w:p w:rsidR="00E87F3A" w:rsidRPr="006F329A" w:rsidRDefault="00E87F3A" w:rsidP="001327B6">
                  <w:pPr>
                    <w:spacing w:line="360" w:lineRule="auto"/>
                    <w:jc w:val="both"/>
                    <w:rPr>
                      <w:lang w:val="el-GR"/>
                    </w:rPr>
                  </w:pPr>
                  <w:r w:rsidRPr="006F329A">
                    <w:rPr>
                      <w:lang w:val="el-GR"/>
                    </w:rPr>
                    <w:t>Ασφάλεια:____________________________    ΑΜΚΑ:__________________________________</w:t>
                  </w:r>
                </w:p>
                <w:p w:rsidR="00E87F3A" w:rsidRPr="006F329A" w:rsidRDefault="00E87F3A" w:rsidP="001327B6">
                  <w:pPr>
                    <w:spacing w:line="360" w:lineRule="auto"/>
                    <w:jc w:val="both"/>
                    <w:rPr>
                      <w:lang w:val="el-GR"/>
                    </w:rPr>
                  </w:pPr>
                </w:p>
                <w:p w:rsidR="00E87F3A" w:rsidRPr="006F329A" w:rsidRDefault="00E87F3A" w:rsidP="001327B6">
                  <w:pPr>
                    <w:spacing w:line="360" w:lineRule="auto"/>
                    <w:jc w:val="both"/>
                    <w:rPr>
                      <w:lang w:val="el-GR"/>
                    </w:rPr>
                  </w:pPr>
                  <w:r w:rsidRPr="006F329A">
                    <w:rPr>
                      <w:lang w:val="el-GR"/>
                    </w:rPr>
                    <w:t>Διεύθυνση οικίας:</w:t>
                  </w:r>
                </w:p>
                <w:p w:rsidR="00E87F3A" w:rsidRPr="006F329A" w:rsidRDefault="00E87F3A" w:rsidP="001327B6">
                  <w:pPr>
                    <w:spacing w:line="360" w:lineRule="auto"/>
                    <w:jc w:val="both"/>
                    <w:rPr>
                      <w:lang w:val="el-GR"/>
                    </w:rPr>
                  </w:pPr>
                  <w:r w:rsidRPr="006F329A">
                    <w:rPr>
                      <w:lang w:val="el-GR"/>
                    </w:rPr>
                    <w:t>Οδός:______________________________:  Πόλη:______________________  Τ.Κ.:____________</w:t>
                  </w:r>
                </w:p>
                <w:p w:rsidR="00E87F3A" w:rsidRPr="006F329A" w:rsidRDefault="00E87F3A" w:rsidP="001327B6">
                  <w:pPr>
                    <w:spacing w:line="360" w:lineRule="auto"/>
                    <w:jc w:val="both"/>
                    <w:rPr>
                      <w:lang w:val="el-GR"/>
                    </w:rPr>
                  </w:pPr>
                  <w:r w:rsidRPr="006F329A">
                    <w:rPr>
                      <w:lang w:val="el-GR"/>
                    </w:rPr>
                    <w:t>Πρόσωπο επείγουσας επικοινωνίας:_________________________  Τηλ:____________________</w:t>
                  </w:r>
                </w:p>
                <w:p w:rsidR="00E87F3A" w:rsidRPr="006F329A" w:rsidRDefault="00E87F3A" w:rsidP="001327B6">
                  <w:pPr>
                    <w:spacing w:line="360" w:lineRule="auto"/>
                    <w:jc w:val="both"/>
                    <w:rPr>
                      <w:lang w:val="el-GR"/>
                    </w:rPr>
                  </w:pPr>
                </w:p>
                <w:p w:rsidR="00E87F3A" w:rsidRPr="006F329A" w:rsidRDefault="00E87F3A" w:rsidP="001327B6">
                  <w:pPr>
                    <w:spacing w:line="360" w:lineRule="auto"/>
                    <w:jc w:val="both"/>
                    <w:rPr>
                      <w:lang w:val="el-GR"/>
                    </w:rPr>
                  </w:pPr>
                  <w:r w:rsidRPr="006F329A">
                    <w:rPr>
                      <w:lang w:val="el-GR"/>
                    </w:rPr>
                    <w:t>Όνομα Γιατρού:____________________________________Τηλεφωνο:____________________</w:t>
                  </w:r>
                </w:p>
                <w:p w:rsidR="00E87F3A" w:rsidRPr="006F329A" w:rsidRDefault="00E87F3A" w:rsidP="001327B6">
                  <w:pPr>
                    <w:spacing w:line="360" w:lineRule="auto"/>
                    <w:jc w:val="both"/>
                    <w:rPr>
                      <w:lang w:val="el-GR"/>
                    </w:rPr>
                  </w:pPr>
                  <w:r w:rsidRPr="006F329A">
                    <w:rPr>
                      <w:lang w:val="el-GR"/>
                    </w:rPr>
                    <w:t>Το ύψος σας:____________  Το βάρος σας: __________</w:t>
                  </w:r>
                </w:p>
                <w:p w:rsidR="00E87F3A" w:rsidRPr="006F329A" w:rsidRDefault="00E87F3A" w:rsidP="001327B6">
                  <w:pPr>
                    <w:spacing w:line="360" w:lineRule="auto"/>
                    <w:jc w:val="both"/>
                    <w:rPr>
                      <w:lang w:val="el-GR"/>
                    </w:rPr>
                  </w:pPr>
                  <w:r w:rsidRPr="006F329A">
                    <w:rPr>
                      <w:lang w:val="el-GR"/>
                    </w:rPr>
                    <w:t>Πρόσφατα προβλήματα υγείας /Συμπτώματα: Έχετε λάβει θεραπεία για αυτό το νόσημα στο</w:t>
                  </w:r>
                </w:p>
                <w:p w:rsidR="00E87F3A" w:rsidRPr="006F329A" w:rsidRDefault="00E87F3A" w:rsidP="001327B6">
                  <w:pPr>
                    <w:spacing w:line="360" w:lineRule="auto"/>
                    <w:jc w:val="both"/>
                    <w:rPr>
                      <w:lang w:val="el-GR"/>
                    </w:rPr>
                  </w:pPr>
                  <w:r w:rsidRPr="006F329A">
                    <w:rPr>
                      <w:lang w:val="el-GR"/>
                    </w:rPr>
                    <w:t xml:space="preserve">                                                                                                                                                       παρελθόν;    </w:t>
                  </w:r>
                </w:p>
                <w:p w:rsidR="00E87F3A" w:rsidRPr="006F329A" w:rsidRDefault="00E87F3A" w:rsidP="001327B6">
                  <w:pPr>
                    <w:spacing w:line="360" w:lineRule="auto"/>
                    <w:jc w:val="both"/>
                    <w:rPr>
                      <w:lang w:val="el-GR"/>
                    </w:rPr>
                  </w:pPr>
                  <w:r w:rsidRPr="006F329A">
                    <w:rPr>
                      <w:lang w:val="el-GR"/>
                    </w:rPr>
                    <w:t>(1) _______________________________________  Ναι – Όχι         Έτος ________</w:t>
                  </w:r>
                </w:p>
                <w:p w:rsidR="00E87F3A" w:rsidRPr="006F329A" w:rsidRDefault="00E87F3A" w:rsidP="001327B6">
                  <w:pPr>
                    <w:spacing w:line="360" w:lineRule="auto"/>
                    <w:jc w:val="both"/>
                    <w:rPr>
                      <w:lang w:val="el-GR"/>
                    </w:rPr>
                  </w:pPr>
                  <w:r w:rsidRPr="006F329A">
                    <w:rPr>
                      <w:lang w:val="el-GR"/>
                    </w:rPr>
                    <w:t>(2) _______________________________________  Ναι – Όχι         Έτος ________</w:t>
                  </w:r>
                </w:p>
                <w:p w:rsidR="00E87F3A" w:rsidRPr="006F329A" w:rsidRDefault="00E87F3A" w:rsidP="001327B6">
                  <w:pPr>
                    <w:spacing w:line="360" w:lineRule="auto"/>
                    <w:jc w:val="both"/>
                    <w:rPr>
                      <w:lang w:val="el-GR"/>
                    </w:rPr>
                  </w:pPr>
                  <w:r w:rsidRPr="006F329A">
                    <w:rPr>
                      <w:lang w:val="el-GR"/>
                    </w:rPr>
                    <w:t xml:space="preserve">(3) _______________________________________  Ναι – Όχι         Έτος ________     </w:t>
                  </w:r>
                </w:p>
                <w:p w:rsidR="00E87F3A" w:rsidRPr="006F329A" w:rsidRDefault="00E87F3A" w:rsidP="001327B6">
                  <w:pPr>
                    <w:spacing w:line="360" w:lineRule="auto"/>
                    <w:jc w:val="both"/>
                    <w:rPr>
                      <w:lang w:val="el-GR"/>
                    </w:rPr>
                  </w:pPr>
                  <w:r w:rsidRPr="006F329A">
                    <w:rPr>
                      <w:lang w:val="el-GR"/>
                    </w:rPr>
                    <w:t>(4) _______________________________________  Ναι – Όχι         Έτος ________</w:t>
                  </w:r>
                </w:p>
                <w:p w:rsidR="00E87F3A" w:rsidRPr="006F329A" w:rsidRDefault="00E87F3A" w:rsidP="001327B6">
                  <w:pPr>
                    <w:spacing w:line="360" w:lineRule="auto"/>
                    <w:jc w:val="both"/>
                    <w:rPr>
                      <w:lang w:val="el-GR"/>
                    </w:rPr>
                  </w:pPr>
                  <w:r w:rsidRPr="006F329A">
                    <w:rPr>
                      <w:lang w:val="el-GR"/>
                    </w:rPr>
                    <w:t>(5) _______________________________________  Ναι – Όχι         Έτος ________</w:t>
                  </w:r>
                </w:p>
                <w:p w:rsidR="00E87F3A" w:rsidRPr="006F329A" w:rsidRDefault="00E87F3A" w:rsidP="001327B6">
                  <w:pPr>
                    <w:spacing w:line="360" w:lineRule="auto"/>
                    <w:jc w:val="both"/>
                    <w:rPr>
                      <w:lang w:val="el-GR"/>
                    </w:rPr>
                  </w:pPr>
                </w:p>
                <w:p w:rsidR="00E87F3A" w:rsidRPr="006F329A" w:rsidRDefault="00E87F3A" w:rsidP="001327B6">
                  <w:pPr>
                    <w:spacing w:line="360" w:lineRule="auto"/>
                    <w:jc w:val="both"/>
                    <w:rPr>
                      <w:lang w:val="el-GR"/>
                    </w:rPr>
                  </w:pPr>
                  <w:r w:rsidRPr="006F329A">
                    <w:rPr>
                      <w:lang w:val="el-GR"/>
                    </w:rPr>
                    <w:t>Έχετε κάποια αλλεργία σε φάρμακα;   Ναι / Όχι</w:t>
                  </w:r>
                </w:p>
                <w:p w:rsidR="00E87F3A" w:rsidRPr="006F329A" w:rsidRDefault="00E87F3A" w:rsidP="001327B6">
                  <w:pPr>
                    <w:spacing w:line="360" w:lineRule="auto"/>
                    <w:jc w:val="both"/>
                    <w:rPr>
                      <w:lang w:val="el-GR"/>
                    </w:rPr>
                  </w:pPr>
                  <w:r w:rsidRPr="006F329A">
                    <w:rPr>
                      <w:lang w:val="el-GR"/>
                    </w:rPr>
                    <w:t>Παρακαλώ προσδιορίστε: ________________________________________________________</w:t>
                  </w:r>
                </w:p>
                <w:p w:rsidR="00E87F3A" w:rsidRPr="006F329A" w:rsidRDefault="00E87F3A" w:rsidP="001327B6">
                  <w:pPr>
                    <w:spacing w:line="360" w:lineRule="auto"/>
                    <w:jc w:val="both"/>
                    <w:rPr>
                      <w:lang w:val="el-GR"/>
                    </w:rPr>
                  </w:pPr>
                  <w:r w:rsidRPr="006F329A">
                    <w:rPr>
                      <w:lang w:val="el-GR"/>
                    </w:rPr>
                    <w:t xml:space="preserve">                                                 ________________________________________________________</w:t>
                  </w:r>
                </w:p>
                <w:p w:rsidR="00E87F3A" w:rsidRPr="006F329A" w:rsidRDefault="00E87F3A" w:rsidP="001327B6">
                  <w:pPr>
                    <w:spacing w:line="360" w:lineRule="auto"/>
                    <w:jc w:val="both"/>
                    <w:rPr>
                      <w:lang w:val="el-GR"/>
                    </w:rPr>
                  </w:pPr>
                </w:p>
                <w:p w:rsidR="00E87F3A" w:rsidRPr="006F329A" w:rsidRDefault="00E87F3A" w:rsidP="001327B6">
                  <w:pPr>
                    <w:spacing w:line="360" w:lineRule="auto"/>
                    <w:jc w:val="both"/>
                    <w:rPr>
                      <w:lang w:val="el-GR"/>
                    </w:rPr>
                  </w:pPr>
                  <w:r w:rsidRPr="006F329A">
                    <w:rPr>
                      <w:lang w:val="el-GR"/>
                    </w:rPr>
                    <w:t>Έχετε χειρουργηθεί στο παρελθόν;  Ναι / Όχι</w:t>
                  </w:r>
                </w:p>
                <w:p w:rsidR="00E87F3A" w:rsidRPr="006F329A" w:rsidRDefault="00E87F3A" w:rsidP="001327B6">
                  <w:pPr>
                    <w:spacing w:line="360" w:lineRule="auto"/>
                    <w:jc w:val="both"/>
                    <w:rPr>
                      <w:lang w:val="el-GR"/>
                    </w:rPr>
                  </w:pPr>
                  <w:r w:rsidRPr="006F329A">
                    <w:rPr>
                      <w:lang w:val="el-GR"/>
                    </w:rPr>
                    <w:t>Παρακαλώ περιγράψτε:     ________________________________________________________</w:t>
                  </w:r>
                </w:p>
                <w:p w:rsidR="00E87F3A" w:rsidRPr="006F329A" w:rsidRDefault="00E87F3A" w:rsidP="001327B6">
                  <w:pPr>
                    <w:spacing w:line="360" w:lineRule="auto"/>
                    <w:jc w:val="both"/>
                    <w:rPr>
                      <w:lang w:val="el-GR"/>
                    </w:rPr>
                  </w:pPr>
                  <w:r w:rsidRPr="006F329A">
                    <w:rPr>
                      <w:lang w:val="el-GR"/>
                    </w:rPr>
                    <w:t xml:space="preserve">                                                 ________________________________________________________</w:t>
                  </w:r>
                </w:p>
                <w:p w:rsidR="00E87F3A" w:rsidRPr="006F329A" w:rsidRDefault="00E87F3A" w:rsidP="001327B6">
                  <w:pPr>
                    <w:spacing w:line="360" w:lineRule="auto"/>
                    <w:jc w:val="both"/>
                    <w:rPr>
                      <w:lang w:val="el-GR"/>
                    </w:rPr>
                  </w:pPr>
                </w:p>
                <w:p w:rsidR="00E87F3A" w:rsidRDefault="00E87F3A" w:rsidP="001327B6">
                  <w:pPr>
                    <w:spacing w:line="360" w:lineRule="auto"/>
                    <w:jc w:val="both"/>
                  </w:pPr>
                  <w:r w:rsidRPr="006F329A">
                    <w:rPr>
                      <w:lang w:val="el-GR"/>
                    </w:rPr>
                    <w:t xml:space="preserve">Είχατε ποτέ επιπλοκές κατά την διάρκεια αναισθησίας;  </w:t>
                  </w:r>
                  <w:r>
                    <w:t>Ναι / Όχι</w:t>
                  </w:r>
                </w:p>
                <w:p w:rsidR="00E87F3A" w:rsidRDefault="00E87F3A" w:rsidP="001327B6">
                  <w:pPr>
                    <w:spacing w:line="360" w:lineRule="auto"/>
                    <w:jc w:val="both"/>
                  </w:pPr>
                  <w:r>
                    <w:t>Παρακαλώ περιγράψτε:     ________________________________________________________</w:t>
                  </w:r>
                </w:p>
                <w:p w:rsidR="00E87F3A" w:rsidRDefault="00E87F3A" w:rsidP="001327B6">
                  <w:pPr>
                    <w:spacing w:line="360" w:lineRule="auto"/>
                    <w:jc w:val="both"/>
                  </w:pPr>
                  <w:r>
                    <w:t xml:space="preserve">                                                 ________________________________________________________</w:t>
                  </w:r>
                </w:p>
                <w:p w:rsidR="00E87F3A" w:rsidRDefault="00E87F3A" w:rsidP="001327B6">
                  <w:pPr>
                    <w:spacing w:line="360" w:lineRule="auto"/>
                    <w:jc w:val="both"/>
                  </w:pPr>
                </w:p>
                <w:p w:rsidR="00E87F3A" w:rsidRDefault="00E87F3A" w:rsidP="001327B6">
                  <w:pPr>
                    <w:spacing w:line="360" w:lineRule="auto"/>
                    <w:jc w:val="both"/>
                  </w:pPr>
                </w:p>
                <w:p w:rsidR="00E87F3A" w:rsidRPr="005068A6" w:rsidRDefault="00E87F3A" w:rsidP="001327B6">
                  <w:pPr>
                    <w:spacing w:line="360" w:lineRule="auto"/>
                    <w:jc w:val="both"/>
                  </w:pPr>
                </w:p>
                <w:p w:rsidR="00E87F3A" w:rsidRPr="005068A6" w:rsidRDefault="00E87F3A" w:rsidP="001327B6"/>
              </w:txbxContent>
            </v:textbox>
            <w10:wrap type="through"/>
          </v:shape>
        </w:pict>
      </w:r>
      <w:bookmarkEnd w:id="229"/>
      <w:bookmarkEnd w:id="230"/>
      <w:bookmarkEnd w:id="231"/>
      <w:bookmarkEnd w:id="232"/>
      <w:bookmarkEnd w:id="233"/>
    </w:p>
    <w:p w:rsidR="006F329A" w:rsidRPr="006F329A" w:rsidRDefault="006F329A" w:rsidP="00546D49">
      <w:pPr>
        <w:pStyle w:val="Heading3"/>
        <w:ind w:left="2094"/>
      </w:pPr>
      <w:bookmarkStart w:id="234" w:name="_Toc521184289"/>
      <w:r w:rsidRPr="006F329A">
        <w:t xml:space="preserve">Material for telephone </w:t>
      </w:r>
      <w:r w:rsidR="007F72A9">
        <w:t>handling</w:t>
      </w:r>
      <w:bookmarkEnd w:id="234"/>
    </w:p>
    <w:p w:rsidR="006F329A" w:rsidRDefault="006F329A" w:rsidP="005C41B7">
      <w:pPr>
        <w:pStyle w:val="APAPar"/>
      </w:pPr>
      <w:r>
        <w:rPr>
          <w:noProof/>
          <w:lang w:eastAsia="zh-CN"/>
        </w:rPr>
        <w:drawing>
          <wp:inline distT="0" distB="0" distL="0" distR="0">
            <wp:extent cx="5854700" cy="7086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01-02 at 22.53.33.png"/>
                    <pic:cNvPicPr/>
                  </pic:nvPicPr>
                  <pic:blipFill>
                    <a:blip r:embed="rId107">
                      <a:extLst>
                        <a:ext uri="{28A0092B-C50C-407E-A947-70E740481C1C}">
                          <a14:useLocalDpi xmlns:a14="http://schemas.microsoft.com/office/drawing/2010/main" val="0"/>
                        </a:ext>
                      </a:extLst>
                    </a:blip>
                    <a:stretch>
                      <a:fillRect/>
                    </a:stretch>
                  </pic:blipFill>
                  <pic:spPr>
                    <a:xfrm>
                      <a:off x="0" y="0"/>
                      <a:ext cx="5854700" cy="7086600"/>
                    </a:xfrm>
                    <a:prstGeom prst="rect">
                      <a:avLst/>
                    </a:prstGeom>
                  </pic:spPr>
                </pic:pic>
              </a:graphicData>
            </a:graphic>
          </wp:inline>
        </w:drawing>
      </w:r>
    </w:p>
    <w:p w:rsidR="006F329A" w:rsidRDefault="006F329A">
      <w:pPr>
        <w:rPr>
          <w:rFonts w:ascii="Times New Roman" w:eastAsiaTheme="majorEastAsia" w:hAnsi="Times New Roman" w:cstheme="majorBidi"/>
          <w:b/>
          <w:bCs/>
          <w:szCs w:val="32"/>
        </w:rPr>
      </w:pPr>
      <w:r>
        <w:br w:type="page"/>
      </w:r>
    </w:p>
    <w:p w:rsidR="006F329A" w:rsidRDefault="006F329A" w:rsidP="005C41B7">
      <w:pPr>
        <w:pStyle w:val="APAPar"/>
      </w:pPr>
      <w:r>
        <w:rPr>
          <w:noProof/>
          <w:lang w:eastAsia="zh-CN"/>
        </w:rPr>
        <w:drawing>
          <wp:inline distT="0" distB="0" distL="0" distR="0">
            <wp:extent cx="5003800" cy="7124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01-02 at 22.55.21.png"/>
                    <pic:cNvPicPr/>
                  </pic:nvPicPr>
                  <pic:blipFill>
                    <a:blip r:embed="rId108">
                      <a:extLst>
                        <a:ext uri="{28A0092B-C50C-407E-A947-70E740481C1C}">
                          <a14:useLocalDpi xmlns:a14="http://schemas.microsoft.com/office/drawing/2010/main" val="0"/>
                        </a:ext>
                      </a:extLst>
                    </a:blip>
                    <a:stretch>
                      <a:fillRect/>
                    </a:stretch>
                  </pic:blipFill>
                  <pic:spPr>
                    <a:xfrm>
                      <a:off x="0" y="0"/>
                      <a:ext cx="5003800" cy="7124700"/>
                    </a:xfrm>
                    <a:prstGeom prst="rect">
                      <a:avLst/>
                    </a:prstGeom>
                  </pic:spPr>
                </pic:pic>
              </a:graphicData>
            </a:graphic>
          </wp:inline>
        </w:drawing>
      </w:r>
    </w:p>
    <w:p w:rsidR="006F329A" w:rsidRDefault="006F329A">
      <w:pPr>
        <w:rPr>
          <w:rFonts w:ascii="Times New Roman" w:eastAsiaTheme="majorEastAsia" w:hAnsi="Times New Roman" w:cstheme="majorBidi"/>
          <w:b/>
          <w:bCs/>
          <w:szCs w:val="32"/>
        </w:rPr>
      </w:pPr>
      <w:r>
        <w:br w:type="page"/>
      </w:r>
    </w:p>
    <w:p w:rsidR="006F329A" w:rsidRDefault="006F329A" w:rsidP="005C41B7">
      <w:pPr>
        <w:pStyle w:val="APAPar"/>
      </w:pPr>
      <w:r>
        <w:rPr>
          <w:noProof/>
          <w:lang w:eastAsia="zh-CN"/>
        </w:rPr>
        <w:drawing>
          <wp:inline distT="0" distB="0" distL="0" distR="0">
            <wp:extent cx="4660900" cy="7010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8-01-02 at 22.56.40.png"/>
                    <pic:cNvPicPr/>
                  </pic:nvPicPr>
                  <pic:blipFill>
                    <a:blip r:embed="rId109">
                      <a:extLst>
                        <a:ext uri="{28A0092B-C50C-407E-A947-70E740481C1C}">
                          <a14:useLocalDpi xmlns:a14="http://schemas.microsoft.com/office/drawing/2010/main" val="0"/>
                        </a:ext>
                      </a:extLst>
                    </a:blip>
                    <a:stretch>
                      <a:fillRect/>
                    </a:stretch>
                  </pic:blipFill>
                  <pic:spPr>
                    <a:xfrm>
                      <a:off x="0" y="0"/>
                      <a:ext cx="4660900" cy="7010400"/>
                    </a:xfrm>
                    <a:prstGeom prst="rect">
                      <a:avLst/>
                    </a:prstGeom>
                  </pic:spPr>
                </pic:pic>
              </a:graphicData>
            </a:graphic>
          </wp:inline>
        </w:drawing>
      </w:r>
    </w:p>
    <w:p w:rsidR="00EA632F" w:rsidRDefault="00EA632F">
      <w:pPr>
        <w:rPr>
          <w:rFonts w:ascii="Times New Roman" w:eastAsiaTheme="majorEastAsia" w:hAnsi="Times New Roman" w:cstheme="majorBidi"/>
          <w:b/>
          <w:bCs/>
          <w:szCs w:val="32"/>
        </w:rPr>
      </w:pPr>
      <w:r>
        <w:br w:type="page"/>
      </w:r>
    </w:p>
    <w:p w:rsidR="00EA632F" w:rsidRDefault="00EA632F" w:rsidP="00546D49">
      <w:pPr>
        <w:pStyle w:val="Heading3"/>
        <w:ind w:left="2094"/>
      </w:pPr>
      <w:bookmarkStart w:id="235" w:name="_Toc521184290"/>
      <w:r>
        <w:t>Material for finance handling</w:t>
      </w:r>
      <w:bookmarkEnd w:id="235"/>
    </w:p>
    <w:p w:rsidR="00EA632F" w:rsidRPr="00EA632F" w:rsidRDefault="00EA632F" w:rsidP="005C41B7">
      <w:pPr>
        <w:pStyle w:val="APAPar"/>
      </w:pPr>
      <w:r>
        <w:rPr>
          <w:noProof/>
          <w:lang w:eastAsia="zh-CN"/>
        </w:rPr>
        <w:drawing>
          <wp:inline distT="0" distB="0" distL="0" distR="0">
            <wp:extent cx="5283200" cy="53848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18-01-02 at 23.00.15.png"/>
                    <pic:cNvPicPr/>
                  </pic:nvPicPr>
                  <pic:blipFill>
                    <a:blip r:embed="rId110">
                      <a:extLst>
                        <a:ext uri="{28A0092B-C50C-407E-A947-70E740481C1C}">
                          <a14:useLocalDpi xmlns:a14="http://schemas.microsoft.com/office/drawing/2010/main" val="0"/>
                        </a:ext>
                      </a:extLst>
                    </a:blip>
                    <a:stretch>
                      <a:fillRect/>
                    </a:stretch>
                  </pic:blipFill>
                  <pic:spPr>
                    <a:xfrm>
                      <a:off x="0" y="0"/>
                      <a:ext cx="5283200" cy="5384800"/>
                    </a:xfrm>
                    <a:prstGeom prst="rect">
                      <a:avLst/>
                    </a:prstGeom>
                  </pic:spPr>
                </pic:pic>
              </a:graphicData>
            </a:graphic>
          </wp:inline>
        </w:drawing>
      </w:r>
    </w:p>
    <w:p w:rsidR="00EA632F" w:rsidRDefault="00EA632F">
      <w:pPr>
        <w:rPr>
          <w:rFonts w:ascii="Times New Roman" w:eastAsiaTheme="majorEastAsia" w:hAnsi="Times New Roman" w:cstheme="majorBidi"/>
          <w:b/>
          <w:bCs/>
          <w:szCs w:val="32"/>
        </w:rPr>
      </w:pPr>
      <w:r>
        <w:br w:type="page"/>
      </w:r>
    </w:p>
    <w:p w:rsidR="00EA632F" w:rsidRDefault="00EA632F" w:rsidP="005C41B7">
      <w:pPr>
        <w:pStyle w:val="APAPar"/>
      </w:pPr>
      <w:r>
        <w:rPr>
          <w:noProof/>
          <w:lang w:eastAsia="zh-CN"/>
        </w:rPr>
        <w:drawing>
          <wp:inline distT="0" distB="0" distL="0" distR="0">
            <wp:extent cx="5943600" cy="465010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8-01-02 at 23.01.43.png"/>
                    <pic:cNvPicPr/>
                  </pic:nvPicPr>
                  <pic:blipFill>
                    <a:blip r:embed="rId111">
                      <a:extLst>
                        <a:ext uri="{28A0092B-C50C-407E-A947-70E740481C1C}">
                          <a14:useLocalDpi xmlns:a14="http://schemas.microsoft.com/office/drawing/2010/main" val="0"/>
                        </a:ext>
                      </a:extLst>
                    </a:blip>
                    <a:stretch>
                      <a:fillRect/>
                    </a:stretch>
                  </pic:blipFill>
                  <pic:spPr>
                    <a:xfrm>
                      <a:off x="0" y="0"/>
                      <a:ext cx="5943600" cy="4650105"/>
                    </a:xfrm>
                    <a:prstGeom prst="rect">
                      <a:avLst/>
                    </a:prstGeom>
                  </pic:spPr>
                </pic:pic>
              </a:graphicData>
            </a:graphic>
          </wp:inline>
        </w:drawing>
      </w:r>
    </w:p>
    <w:p w:rsidR="00EA632F" w:rsidRDefault="00EA632F">
      <w:pPr>
        <w:rPr>
          <w:rFonts w:ascii="Times New Roman" w:eastAsiaTheme="majorEastAsia" w:hAnsi="Times New Roman" w:cstheme="majorBidi"/>
          <w:b/>
          <w:bCs/>
          <w:szCs w:val="32"/>
        </w:rPr>
      </w:pPr>
      <w:r>
        <w:br w:type="page"/>
      </w:r>
    </w:p>
    <w:p w:rsidR="00EA632F" w:rsidRDefault="00EA632F" w:rsidP="00DA7E68">
      <w:pPr>
        <w:pStyle w:val="Heading1"/>
      </w:pPr>
    </w:p>
    <w:p w:rsidR="00EA632F" w:rsidRPr="00EA632F" w:rsidRDefault="00EA632F" w:rsidP="005C41B7">
      <w:pPr>
        <w:pStyle w:val="APAPar"/>
      </w:pPr>
      <w:r>
        <w:rPr>
          <w:noProof/>
          <w:lang w:eastAsia="zh-CN"/>
        </w:rPr>
        <w:drawing>
          <wp:inline distT="0" distB="0" distL="0" distR="0">
            <wp:extent cx="5271135" cy="7523199"/>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8-01-02 at 23.02.58.png"/>
                    <pic:cNvPicPr/>
                  </pic:nvPicPr>
                  <pic:blipFill>
                    <a:blip r:embed="rId112">
                      <a:extLst>
                        <a:ext uri="{28A0092B-C50C-407E-A947-70E740481C1C}">
                          <a14:useLocalDpi xmlns:a14="http://schemas.microsoft.com/office/drawing/2010/main" val="0"/>
                        </a:ext>
                      </a:extLst>
                    </a:blip>
                    <a:stretch>
                      <a:fillRect/>
                    </a:stretch>
                  </pic:blipFill>
                  <pic:spPr>
                    <a:xfrm>
                      <a:off x="0" y="0"/>
                      <a:ext cx="5274527" cy="7528040"/>
                    </a:xfrm>
                    <a:prstGeom prst="rect">
                      <a:avLst/>
                    </a:prstGeom>
                  </pic:spPr>
                </pic:pic>
              </a:graphicData>
            </a:graphic>
          </wp:inline>
        </w:drawing>
      </w:r>
    </w:p>
    <w:p w:rsidR="00EA632F" w:rsidRDefault="00EA632F" w:rsidP="005C41B7">
      <w:pPr>
        <w:pStyle w:val="APAPar"/>
      </w:pPr>
      <w:r>
        <w:rPr>
          <w:noProof/>
          <w:lang w:eastAsia="zh-CN"/>
        </w:rPr>
        <w:drawing>
          <wp:inline distT="0" distB="0" distL="0" distR="0">
            <wp:extent cx="4546600" cy="76073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8-01-02 at 23.04.49.png"/>
                    <pic:cNvPicPr/>
                  </pic:nvPicPr>
                  <pic:blipFill>
                    <a:blip r:embed="rId113">
                      <a:extLst>
                        <a:ext uri="{28A0092B-C50C-407E-A947-70E740481C1C}">
                          <a14:useLocalDpi xmlns:a14="http://schemas.microsoft.com/office/drawing/2010/main" val="0"/>
                        </a:ext>
                      </a:extLst>
                    </a:blip>
                    <a:stretch>
                      <a:fillRect/>
                    </a:stretch>
                  </pic:blipFill>
                  <pic:spPr>
                    <a:xfrm>
                      <a:off x="0" y="0"/>
                      <a:ext cx="4546600" cy="7607300"/>
                    </a:xfrm>
                    <a:prstGeom prst="rect">
                      <a:avLst/>
                    </a:prstGeom>
                  </pic:spPr>
                </pic:pic>
              </a:graphicData>
            </a:graphic>
          </wp:inline>
        </w:drawing>
      </w:r>
    </w:p>
    <w:p w:rsidR="00CE0713" w:rsidRDefault="00CE0713">
      <w:pPr>
        <w:rPr>
          <w:rFonts w:ascii="Times New Roman" w:eastAsia="Calibri" w:hAnsi="Times New Roman" w:cs="Times New Roman"/>
          <w:color w:val="000000"/>
          <w:szCs w:val="20"/>
        </w:rPr>
      </w:pPr>
      <w:r>
        <w:br w:type="page"/>
      </w:r>
    </w:p>
    <w:p w:rsidR="00CE0713" w:rsidRDefault="00CE0713" w:rsidP="00546D49">
      <w:pPr>
        <w:pStyle w:val="Heading3"/>
        <w:ind w:left="2094"/>
      </w:pPr>
      <w:bookmarkStart w:id="236" w:name="_Toc521184291"/>
      <w:r>
        <w:t>Question cards</w:t>
      </w:r>
      <w:bookmarkEnd w:id="236"/>
    </w:p>
    <w:tbl>
      <w:tblPr>
        <w:tblW w:w="0" w:type="auto"/>
        <w:tblLayout w:type="fixed"/>
        <w:tblCellMar>
          <w:left w:w="72" w:type="dxa"/>
          <w:right w:w="72" w:type="dxa"/>
        </w:tblCellMar>
        <w:tblLook w:val="0000" w:firstRow="0" w:lastRow="0" w:firstColumn="0" w:lastColumn="0" w:noHBand="0" w:noVBand="0"/>
      </w:tblPr>
      <w:tblGrid>
        <w:gridCol w:w="8640"/>
      </w:tblGrid>
      <w:tr w:rsidR="00CE0713" w:rsidTr="00372966">
        <w:trPr>
          <w:cantSplit/>
          <w:trHeight w:hRule="exact" w:val="5760"/>
        </w:trPr>
        <w:tc>
          <w:tcPr>
            <w:tcW w:w="8640" w:type="dxa"/>
          </w:tcPr>
          <w:p w:rsidR="00CE0713" w:rsidRPr="007C5AE0" w:rsidRDefault="00CE0713" w:rsidP="00372966">
            <w:pPr>
              <w:ind w:right="90"/>
              <w:rPr>
                <w:b/>
                <w:lang w:val="el-GR"/>
              </w:rPr>
            </w:pPr>
            <w:r>
              <w:rPr>
                <w:b/>
              </w:rPr>
              <w:t>A</w:t>
            </w:r>
            <w:r w:rsidRPr="00EB186C">
              <w:rPr>
                <w:b/>
                <w:lang w:val="el-GR"/>
              </w:rPr>
              <w:t xml:space="preserve">.    </w:t>
            </w:r>
            <w:r>
              <w:rPr>
                <w:b/>
                <w:lang w:val="el-GR"/>
              </w:rPr>
              <w:t>Δοκιμασία 1</w:t>
            </w:r>
            <w:r w:rsidRPr="00EB186C">
              <w:rPr>
                <w:b/>
                <w:lang w:val="el-GR"/>
              </w:rPr>
              <w:t xml:space="preserve"> – </w:t>
            </w:r>
            <w:r>
              <w:rPr>
                <w:b/>
                <w:lang w:val="el-GR"/>
              </w:rPr>
              <w:t>Λήψη Φαρμάκων</w:t>
            </w:r>
          </w:p>
          <w:p w:rsidR="00CE0713" w:rsidRPr="00EB186C" w:rsidRDefault="00CE0713" w:rsidP="00372966">
            <w:pPr>
              <w:ind w:right="90"/>
              <w:rPr>
                <w:lang w:val="el-GR"/>
              </w:rPr>
            </w:pPr>
            <w:r w:rsidRPr="00EB186C">
              <w:rPr>
                <w:b/>
                <w:lang w:val="el-GR"/>
              </w:rPr>
              <w:t xml:space="preserve">        </w:t>
            </w:r>
            <w:r>
              <w:rPr>
                <w:b/>
                <w:lang w:val="el-GR"/>
              </w:rPr>
              <w:t xml:space="preserve">Ερώτηση </w:t>
            </w:r>
            <w:r w:rsidRPr="00EB186C">
              <w:rPr>
                <w:b/>
                <w:lang w:val="el-GR"/>
              </w:rPr>
              <w:t>1</w:t>
            </w:r>
          </w:p>
          <w:p w:rsidR="00CE0713" w:rsidRPr="00EB186C" w:rsidRDefault="00CE0713" w:rsidP="00372966">
            <w:pPr>
              <w:ind w:right="90"/>
              <w:rPr>
                <w:b/>
                <w:lang w:val="el-GR"/>
              </w:rPr>
            </w:pPr>
          </w:p>
          <w:p w:rsidR="00CE0713" w:rsidRPr="00EB186C" w:rsidRDefault="00CE0713" w:rsidP="00372966">
            <w:pPr>
              <w:ind w:right="90"/>
              <w:rPr>
                <w:b/>
                <w:lang w:val="el-GR"/>
              </w:rPr>
            </w:pPr>
          </w:p>
          <w:p w:rsidR="00CE0713" w:rsidRPr="00EB186C" w:rsidRDefault="00CE0713" w:rsidP="00372966">
            <w:pPr>
              <w:ind w:right="90"/>
              <w:rPr>
                <w:b/>
                <w:lang w:val="el-GR"/>
              </w:rPr>
            </w:pPr>
          </w:p>
          <w:p w:rsidR="00CE0713" w:rsidRPr="00EB186C" w:rsidRDefault="00CE0713" w:rsidP="00372966">
            <w:pPr>
              <w:ind w:right="90"/>
              <w:rPr>
                <w:b/>
                <w:lang w:val="el-GR"/>
              </w:rPr>
            </w:pPr>
          </w:p>
          <w:p w:rsidR="00CE0713" w:rsidRPr="007C5AE0" w:rsidRDefault="00CE0713" w:rsidP="00372966">
            <w:pPr>
              <w:ind w:right="90"/>
              <w:rPr>
                <w:lang w:val="el-GR"/>
              </w:rPr>
            </w:pPr>
            <w:r w:rsidRPr="007C5AE0">
              <w:rPr>
                <w:bCs/>
                <w:sz w:val="36"/>
                <w:lang w:val="el-GR"/>
              </w:rPr>
              <w:t xml:space="preserve">Πόσες μέρες θα διαρκέσει ένα κουτί </w:t>
            </w:r>
            <w:r w:rsidRPr="007C5AE0">
              <w:rPr>
                <w:bCs/>
                <w:sz w:val="36"/>
              </w:rPr>
              <w:t>MAALOX</w:t>
            </w:r>
            <w:r w:rsidRPr="007C5AE0">
              <w:rPr>
                <w:bCs/>
                <w:sz w:val="36"/>
                <w:lang w:val="el-GR"/>
              </w:rPr>
              <w:t xml:space="preserve"> για τον κ. Παπαδόπουλο;</w:t>
            </w:r>
          </w:p>
          <w:p w:rsidR="00CE0713" w:rsidRPr="007C5AE0" w:rsidRDefault="00CE0713" w:rsidP="00372966">
            <w:pPr>
              <w:ind w:right="90"/>
              <w:rPr>
                <w:lang w:val="el-GR"/>
              </w:rPr>
            </w:pPr>
          </w:p>
          <w:p w:rsidR="00CE0713" w:rsidRPr="007C5AE0" w:rsidRDefault="00CE0713" w:rsidP="00372966">
            <w:pPr>
              <w:ind w:right="90"/>
              <w:rPr>
                <w:lang w:val="el-GR"/>
              </w:rPr>
            </w:pPr>
          </w:p>
          <w:p w:rsidR="00CE0713" w:rsidRPr="007C5AE0" w:rsidRDefault="00CE0713" w:rsidP="00372966">
            <w:pPr>
              <w:ind w:right="90"/>
              <w:rPr>
                <w:lang w:val="el-GR"/>
              </w:rPr>
            </w:pPr>
          </w:p>
          <w:p w:rsidR="00CE0713" w:rsidRPr="007C5AE0" w:rsidRDefault="00CE0713" w:rsidP="00372966">
            <w:pPr>
              <w:ind w:right="90"/>
              <w:rPr>
                <w:lang w:val="el-GR"/>
              </w:rPr>
            </w:pPr>
          </w:p>
          <w:p w:rsidR="00CE0713" w:rsidRPr="007C5AE0" w:rsidRDefault="00CE0713" w:rsidP="00372966">
            <w:pPr>
              <w:ind w:right="90"/>
              <w:rPr>
                <w:lang w:val="el-GR"/>
              </w:rPr>
            </w:pPr>
          </w:p>
          <w:p w:rsidR="00CE0713" w:rsidRPr="007C5AE0" w:rsidRDefault="00CE0713" w:rsidP="00372966">
            <w:pPr>
              <w:spacing w:before="111"/>
              <w:ind w:left="144" w:right="90"/>
              <w:rPr>
                <w:lang w:val="el-GR"/>
              </w:rPr>
            </w:pPr>
          </w:p>
          <w:p w:rsidR="00CE0713" w:rsidRDefault="00CE0713" w:rsidP="00372966">
            <w:pPr>
              <w:spacing w:before="111"/>
              <w:ind w:left="144" w:right="90"/>
            </w:pPr>
            <w:r>
              <w:rPr>
                <w:lang w:val="el-GR"/>
              </w:rPr>
              <w:t>Κάρτα</w:t>
            </w:r>
            <w:r>
              <w:t xml:space="preserve"> 1 </w:t>
            </w:r>
            <w:r>
              <w:rPr>
                <w:sz w:val="10"/>
              </w:rPr>
              <w:t>(SoFa CoDe)</w:t>
            </w:r>
          </w:p>
          <w:p w:rsidR="00CE0713" w:rsidRDefault="00CE0713" w:rsidP="00372966">
            <w:pPr>
              <w:ind w:left="144" w:right="90"/>
            </w:pPr>
          </w:p>
          <w:p w:rsidR="00CE0713" w:rsidRDefault="00CE0713" w:rsidP="00372966">
            <w:pPr>
              <w:ind w:left="144" w:right="90"/>
            </w:pPr>
          </w:p>
        </w:tc>
      </w:tr>
      <w:tr w:rsidR="00CE0713" w:rsidTr="00372966">
        <w:trPr>
          <w:cantSplit/>
          <w:trHeight w:hRule="exact" w:val="5760"/>
        </w:trPr>
        <w:tc>
          <w:tcPr>
            <w:tcW w:w="8640" w:type="dxa"/>
          </w:tcPr>
          <w:p w:rsidR="00CE0713" w:rsidRPr="007C5AE0" w:rsidRDefault="00CE0713" w:rsidP="00372966">
            <w:pPr>
              <w:spacing w:before="111"/>
              <w:ind w:left="144" w:right="90"/>
              <w:rPr>
                <w:lang w:val="el-GR"/>
              </w:rPr>
            </w:pPr>
          </w:p>
          <w:p w:rsidR="00CE0713" w:rsidRPr="007C5AE0" w:rsidRDefault="00CE0713" w:rsidP="00372966">
            <w:pPr>
              <w:ind w:right="90"/>
              <w:rPr>
                <w:b/>
                <w:lang w:val="el-GR"/>
              </w:rPr>
            </w:pPr>
            <w:r>
              <w:rPr>
                <w:b/>
              </w:rPr>
              <w:t>A</w:t>
            </w:r>
            <w:r w:rsidRPr="007C5AE0">
              <w:rPr>
                <w:b/>
                <w:lang w:val="el-GR"/>
              </w:rPr>
              <w:t xml:space="preserve">.    </w:t>
            </w:r>
            <w:r>
              <w:rPr>
                <w:b/>
                <w:lang w:val="el-GR"/>
              </w:rPr>
              <w:t>Δοκιμασία 1</w:t>
            </w:r>
            <w:r w:rsidRPr="007C5AE0">
              <w:rPr>
                <w:b/>
                <w:lang w:val="el-GR"/>
              </w:rPr>
              <w:t xml:space="preserve"> – </w:t>
            </w:r>
            <w:r>
              <w:rPr>
                <w:b/>
                <w:lang w:val="el-GR"/>
              </w:rPr>
              <w:t>Λήψη Φαρμάκων</w:t>
            </w:r>
          </w:p>
          <w:p w:rsidR="00CE0713" w:rsidRPr="007C5AE0" w:rsidRDefault="00CE0713" w:rsidP="00372966">
            <w:pPr>
              <w:ind w:right="90"/>
              <w:rPr>
                <w:lang w:val="el-GR"/>
              </w:rPr>
            </w:pPr>
            <w:r w:rsidRPr="007C5AE0">
              <w:rPr>
                <w:b/>
                <w:lang w:val="el-GR"/>
              </w:rPr>
              <w:t xml:space="preserve">        </w:t>
            </w:r>
            <w:r>
              <w:rPr>
                <w:b/>
                <w:lang w:val="el-GR"/>
              </w:rPr>
              <w:t xml:space="preserve">Ερώτηση </w:t>
            </w:r>
            <w:r w:rsidRPr="007C5AE0">
              <w:rPr>
                <w:b/>
                <w:lang w:val="el-GR"/>
              </w:rPr>
              <w:t>2</w:t>
            </w:r>
          </w:p>
          <w:p w:rsidR="00CE0713" w:rsidRPr="007C5AE0" w:rsidRDefault="00CE0713" w:rsidP="00372966">
            <w:pPr>
              <w:ind w:right="60"/>
              <w:rPr>
                <w:b/>
                <w:lang w:val="el-GR"/>
              </w:rPr>
            </w:pPr>
          </w:p>
          <w:p w:rsidR="00CE0713" w:rsidRPr="007C5AE0" w:rsidRDefault="00CE0713" w:rsidP="00372966">
            <w:pPr>
              <w:ind w:right="60"/>
              <w:rPr>
                <w:b/>
                <w:lang w:val="el-GR"/>
              </w:rPr>
            </w:pPr>
          </w:p>
          <w:p w:rsidR="00CE0713" w:rsidRPr="007C5AE0" w:rsidRDefault="00CE0713" w:rsidP="00372966">
            <w:pPr>
              <w:ind w:right="60"/>
              <w:rPr>
                <w:b/>
                <w:lang w:val="el-GR"/>
              </w:rPr>
            </w:pPr>
          </w:p>
          <w:p w:rsidR="00CE0713" w:rsidRPr="007C5AE0" w:rsidRDefault="00CE0713" w:rsidP="00372966">
            <w:pPr>
              <w:ind w:right="60"/>
              <w:rPr>
                <w:b/>
                <w:lang w:val="el-GR"/>
              </w:rPr>
            </w:pPr>
          </w:p>
          <w:p w:rsidR="00CE0713" w:rsidRPr="007C5AE0" w:rsidRDefault="00CE0713" w:rsidP="00372966">
            <w:pPr>
              <w:ind w:right="2160"/>
              <w:rPr>
                <w:lang w:val="el-GR"/>
              </w:rPr>
            </w:pPr>
            <w:r w:rsidRPr="007C5AE0">
              <w:rPr>
                <w:bCs/>
                <w:sz w:val="36"/>
                <w:lang w:val="el-GR"/>
              </w:rPr>
              <w:t>O κ. Παπαδόπουλος νιώθει νυσταγμένος μόλις λαμβάνει τη φαρμακευτική του αγωγή</w:t>
            </w:r>
            <w:r>
              <w:rPr>
                <w:bCs/>
                <w:sz w:val="36"/>
                <w:lang w:val="el-GR"/>
              </w:rPr>
              <w:t>, που περιλαμβάνει και τα τρία σκευάσματα</w:t>
            </w:r>
            <w:r w:rsidRPr="007C5AE0">
              <w:rPr>
                <w:bCs/>
                <w:sz w:val="36"/>
                <w:lang w:val="el-GR"/>
              </w:rPr>
              <w:t xml:space="preserve">. Μπορείτε να μου </w:t>
            </w:r>
            <w:r w:rsidRPr="00EB186C">
              <w:rPr>
                <w:bCs/>
                <w:sz w:val="36"/>
                <w:u w:val="single"/>
                <w:lang w:val="el-GR"/>
              </w:rPr>
              <w:t>πείτε</w:t>
            </w:r>
            <w:r w:rsidRPr="007C5AE0">
              <w:rPr>
                <w:bCs/>
                <w:sz w:val="36"/>
                <w:lang w:val="el-GR"/>
              </w:rPr>
              <w:t xml:space="preserve"> τι μπορεί να προκαλεί την υπνηλία του; </w:t>
            </w:r>
          </w:p>
          <w:p w:rsidR="00CE0713" w:rsidRPr="007C5AE0" w:rsidRDefault="00CE0713" w:rsidP="00372966">
            <w:pPr>
              <w:ind w:right="2160"/>
              <w:rPr>
                <w:lang w:val="el-GR"/>
              </w:rPr>
            </w:pPr>
          </w:p>
          <w:p w:rsidR="00CE0713" w:rsidRPr="00EB186C" w:rsidRDefault="00CE0713" w:rsidP="00372966">
            <w:pPr>
              <w:ind w:right="2160"/>
              <w:rPr>
                <w:lang w:val="el-GR"/>
              </w:rPr>
            </w:pPr>
          </w:p>
          <w:p w:rsidR="00CE0713" w:rsidRPr="007C5AE0" w:rsidRDefault="00CE0713" w:rsidP="00372966">
            <w:pPr>
              <w:ind w:right="2160"/>
              <w:rPr>
                <w:lang w:val="el-GR"/>
              </w:rPr>
            </w:pPr>
          </w:p>
          <w:p w:rsidR="00CE0713" w:rsidRPr="007C5AE0" w:rsidRDefault="00CE0713" w:rsidP="00372966">
            <w:pPr>
              <w:ind w:right="2160"/>
              <w:rPr>
                <w:lang w:val="el-GR"/>
              </w:rPr>
            </w:pPr>
          </w:p>
          <w:p w:rsidR="00CE0713" w:rsidRPr="007C5AE0" w:rsidRDefault="00CE0713" w:rsidP="00372966">
            <w:pPr>
              <w:ind w:right="2160"/>
              <w:rPr>
                <w:lang w:val="el-GR"/>
              </w:rPr>
            </w:pPr>
          </w:p>
          <w:p w:rsidR="00CE0713" w:rsidRPr="007C5AE0" w:rsidRDefault="00CE0713" w:rsidP="00372966">
            <w:pPr>
              <w:ind w:right="2160"/>
              <w:rPr>
                <w:lang w:val="el-GR"/>
              </w:rPr>
            </w:pPr>
          </w:p>
          <w:p w:rsidR="00CE0713" w:rsidRDefault="00CE0713" w:rsidP="00372966">
            <w:pPr>
              <w:spacing w:before="111"/>
              <w:ind w:left="144" w:right="90"/>
            </w:pPr>
            <w:r>
              <w:rPr>
                <w:lang w:val="el-GR"/>
              </w:rPr>
              <w:t>Κάρτα</w:t>
            </w:r>
            <w:r>
              <w:t xml:space="preserve"> 2 </w:t>
            </w:r>
            <w:r>
              <w:rPr>
                <w:sz w:val="10"/>
              </w:rPr>
              <w:t>(SoFa CoDe)</w:t>
            </w:r>
          </w:p>
          <w:p w:rsidR="00CE0713" w:rsidRDefault="00CE0713" w:rsidP="00372966">
            <w:pPr>
              <w:ind w:left="144" w:right="90"/>
            </w:pPr>
          </w:p>
          <w:p w:rsidR="00CE0713" w:rsidRDefault="00CE0713" w:rsidP="00372966">
            <w:pPr>
              <w:ind w:left="144" w:right="90"/>
            </w:pPr>
          </w:p>
        </w:tc>
      </w:tr>
    </w:tbl>
    <w:p w:rsidR="00CE0713" w:rsidRDefault="00CE0713" w:rsidP="00CE0713">
      <w:pPr>
        <w:ind w:left="144" w:right="144"/>
      </w:pPr>
      <w:r>
        <w:br w:type="page"/>
      </w:r>
    </w:p>
    <w:tbl>
      <w:tblPr>
        <w:tblW w:w="0" w:type="auto"/>
        <w:tblLayout w:type="fixed"/>
        <w:tblCellMar>
          <w:left w:w="72" w:type="dxa"/>
          <w:right w:w="72" w:type="dxa"/>
        </w:tblCellMar>
        <w:tblLook w:val="0000" w:firstRow="0" w:lastRow="0" w:firstColumn="0" w:lastColumn="0" w:noHBand="0" w:noVBand="0"/>
      </w:tblPr>
      <w:tblGrid>
        <w:gridCol w:w="8640"/>
      </w:tblGrid>
      <w:tr w:rsidR="00CE0713" w:rsidTr="00372966">
        <w:trPr>
          <w:cantSplit/>
          <w:trHeight w:hRule="exact" w:val="5760"/>
        </w:trPr>
        <w:tc>
          <w:tcPr>
            <w:tcW w:w="8640" w:type="dxa"/>
          </w:tcPr>
          <w:p w:rsidR="00CE0713" w:rsidRPr="007C5AE0" w:rsidRDefault="00CE0713" w:rsidP="00372966">
            <w:pPr>
              <w:ind w:right="90"/>
              <w:rPr>
                <w:b/>
                <w:lang w:val="el-GR"/>
              </w:rPr>
            </w:pPr>
            <w:r>
              <w:rPr>
                <w:b/>
              </w:rPr>
              <w:t>A</w:t>
            </w:r>
            <w:r w:rsidRPr="007C5AE0">
              <w:rPr>
                <w:b/>
                <w:lang w:val="el-GR"/>
              </w:rPr>
              <w:t xml:space="preserve">.    </w:t>
            </w:r>
            <w:r>
              <w:rPr>
                <w:b/>
                <w:lang w:val="el-GR"/>
              </w:rPr>
              <w:t xml:space="preserve">Δοκιμασία </w:t>
            </w:r>
            <w:r w:rsidRPr="00EB186C">
              <w:rPr>
                <w:b/>
                <w:lang w:val="el-GR"/>
              </w:rPr>
              <w:t>2</w:t>
            </w:r>
            <w:r w:rsidRPr="007C5AE0">
              <w:rPr>
                <w:b/>
                <w:lang w:val="el-GR"/>
              </w:rPr>
              <w:t xml:space="preserve"> – </w:t>
            </w:r>
            <w:r>
              <w:rPr>
                <w:b/>
                <w:lang w:val="el-GR"/>
              </w:rPr>
              <w:t>Λήψη Φαρμάκων</w:t>
            </w:r>
          </w:p>
          <w:p w:rsidR="00CE0713" w:rsidRPr="007C5AE0" w:rsidRDefault="00CE0713" w:rsidP="00372966">
            <w:pPr>
              <w:ind w:right="90"/>
              <w:rPr>
                <w:lang w:val="el-GR"/>
              </w:rPr>
            </w:pPr>
            <w:r w:rsidRPr="007C5AE0">
              <w:rPr>
                <w:b/>
                <w:lang w:val="el-GR"/>
              </w:rPr>
              <w:t xml:space="preserve">        </w:t>
            </w:r>
            <w:r>
              <w:rPr>
                <w:b/>
                <w:lang w:val="el-GR"/>
              </w:rPr>
              <w:t xml:space="preserve">Ερώτηση </w:t>
            </w:r>
            <w:r w:rsidRPr="007C5AE0">
              <w:rPr>
                <w:b/>
                <w:lang w:val="el-GR"/>
              </w:rPr>
              <w:t>1</w:t>
            </w:r>
          </w:p>
          <w:p w:rsidR="00CE0713" w:rsidRPr="007C5AE0" w:rsidRDefault="00CE0713" w:rsidP="00372966">
            <w:pPr>
              <w:ind w:right="36"/>
              <w:rPr>
                <w:lang w:val="el-GR"/>
              </w:rPr>
            </w:pPr>
          </w:p>
          <w:p w:rsidR="00CE0713" w:rsidRPr="007C5AE0" w:rsidRDefault="00CE0713" w:rsidP="00372966">
            <w:pPr>
              <w:ind w:right="36"/>
              <w:rPr>
                <w:lang w:val="el-GR"/>
              </w:rPr>
            </w:pPr>
          </w:p>
          <w:p w:rsidR="00CE0713" w:rsidRPr="007C5AE0" w:rsidRDefault="00CE0713" w:rsidP="00372966">
            <w:pPr>
              <w:ind w:right="36"/>
              <w:rPr>
                <w:lang w:val="el-GR"/>
              </w:rPr>
            </w:pPr>
          </w:p>
          <w:p w:rsidR="00CE0713" w:rsidRPr="007C5AE0" w:rsidRDefault="00CE0713" w:rsidP="00372966">
            <w:pPr>
              <w:ind w:right="36"/>
              <w:rPr>
                <w:lang w:val="el-GR"/>
              </w:rPr>
            </w:pPr>
          </w:p>
          <w:p w:rsidR="00CE0713" w:rsidRPr="007C5AE0" w:rsidRDefault="00CE0713" w:rsidP="00372966">
            <w:pPr>
              <w:ind w:right="36"/>
              <w:rPr>
                <w:lang w:val="el-GR"/>
              </w:rPr>
            </w:pPr>
            <w:r w:rsidRPr="007C5AE0">
              <w:rPr>
                <w:bCs/>
                <w:sz w:val="36"/>
                <w:lang w:val="el-GR"/>
              </w:rPr>
              <w:t xml:space="preserve">Σύμφωνα με αυτό το εσώκλειστο φυλλάδιο οδηγιών, </w:t>
            </w:r>
            <w:r w:rsidRPr="00AC3B63">
              <w:rPr>
                <w:bCs/>
                <w:sz w:val="36"/>
                <w:u w:val="single"/>
                <w:lang w:val="el-GR"/>
              </w:rPr>
              <w:t>μέχρι</w:t>
            </w:r>
            <w:r>
              <w:rPr>
                <w:bCs/>
                <w:sz w:val="36"/>
                <w:lang w:val="el-GR"/>
              </w:rPr>
              <w:t xml:space="preserve"> </w:t>
            </w:r>
            <w:r w:rsidRPr="007C5AE0">
              <w:rPr>
                <w:bCs/>
                <w:sz w:val="36"/>
                <w:lang w:val="el-GR"/>
              </w:rPr>
              <w:t>πόσα χάπια ασπιρίνης μπορεί κάποιος να πάρει μέσα σε 24 ώρες;</w:t>
            </w:r>
          </w:p>
          <w:p w:rsidR="00CE0713" w:rsidRPr="007C5AE0" w:rsidRDefault="00CE0713" w:rsidP="00372966">
            <w:pPr>
              <w:ind w:right="36"/>
              <w:rPr>
                <w:lang w:val="el-GR"/>
              </w:rPr>
            </w:pPr>
          </w:p>
          <w:p w:rsidR="00CE0713" w:rsidRPr="007C5AE0" w:rsidRDefault="00CE0713" w:rsidP="00372966">
            <w:pPr>
              <w:spacing w:before="111"/>
              <w:ind w:left="144" w:right="144"/>
              <w:rPr>
                <w:lang w:val="el-GR"/>
              </w:rPr>
            </w:pPr>
          </w:p>
          <w:p w:rsidR="00CE0713" w:rsidRPr="007C5AE0" w:rsidRDefault="00CE0713" w:rsidP="00372966">
            <w:pPr>
              <w:spacing w:before="111"/>
              <w:ind w:left="144" w:right="144"/>
              <w:rPr>
                <w:lang w:val="el-GR"/>
              </w:rPr>
            </w:pPr>
          </w:p>
          <w:p w:rsidR="00CE0713" w:rsidRPr="007C5AE0" w:rsidRDefault="00CE0713" w:rsidP="00372966">
            <w:pPr>
              <w:spacing w:before="111"/>
              <w:ind w:left="144" w:right="144"/>
              <w:rPr>
                <w:lang w:val="el-GR"/>
              </w:rPr>
            </w:pPr>
          </w:p>
          <w:p w:rsidR="00CE0713" w:rsidRDefault="00CE0713" w:rsidP="00372966">
            <w:pPr>
              <w:spacing w:before="111"/>
              <w:ind w:left="144" w:right="144"/>
            </w:pPr>
            <w:r>
              <w:rPr>
                <w:lang w:val="el-GR"/>
              </w:rPr>
              <w:t>Κάρτα</w:t>
            </w:r>
            <w:r>
              <w:t xml:space="preserve"> 3 </w:t>
            </w:r>
            <w:r>
              <w:rPr>
                <w:sz w:val="10"/>
              </w:rPr>
              <w:t>(SoFa CoDe</w:t>
            </w:r>
          </w:p>
          <w:p w:rsidR="00CE0713" w:rsidRDefault="00CE0713" w:rsidP="00372966">
            <w:pPr>
              <w:ind w:left="144" w:right="144"/>
            </w:pPr>
          </w:p>
          <w:p w:rsidR="00CE0713" w:rsidRDefault="00CE0713" w:rsidP="00372966">
            <w:pPr>
              <w:ind w:left="144" w:right="144"/>
            </w:pPr>
          </w:p>
        </w:tc>
      </w:tr>
      <w:tr w:rsidR="00CE0713" w:rsidTr="00372966">
        <w:trPr>
          <w:cantSplit/>
          <w:trHeight w:hRule="exact" w:val="5760"/>
        </w:trPr>
        <w:tc>
          <w:tcPr>
            <w:tcW w:w="8640" w:type="dxa"/>
          </w:tcPr>
          <w:p w:rsidR="00CE0713" w:rsidRPr="007C5AE0" w:rsidRDefault="00CE0713" w:rsidP="00372966">
            <w:pPr>
              <w:ind w:right="90"/>
              <w:rPr>
                <w:b/>
                <w:lang w:val="el-GR"/>
              </w:rPr>
            </w:pPr>
            <w:r>
              <w:rPr>
                <w:b/>
              </w:rPr>
              <w:t>A</w:t>
            </w:r>
            <w:r w:rsidRPr="007C5AE0">
              <w:rPr>
                <w:b/>
                <w:lang w:val="el-GR"/>
              </w:rPr>
              <w:t xml:space="preserve">.    </w:t>
            </w:r>
            <w:r>
              <w:rPr>
                <w:b/>
                <w:lang w:val="el-GR"/>
              </w:rPr>
              <w:t>Δοκιμασία 1</w:t>
            </w:r>
            <w:r w:rsidRPr="007C5AE0">
              <w:rPr>
                <w:b/>
                <w:lang w:val="el-GR"/>
              </w:rPr>
              <w:t xml:space="preserve"> – </w:t>
            </w:r>
            <w:r>
              <w:rPr>
                <w:b/>
                <w:lang w:val="el-GR"/>
              </w:rPr>
              <w:t>Λήψη Φαρμάκων</w:t>
            </w:r>
          </w:p>
          <w:p w:rsidR="00CE0713" w:rsidRPr="007C5AE0" w:rsidRDefault="00CE0713" w:rsidP="00372966">
            <w:pPr>
              <w:ind w:right="90"/>
              <w:rPr>
                <w:lang w:val="el-GR"/>
              </w:rPr>
            </w:pPr>
            <w:r w:rsidRPr="007C5AE0">
              <w:rPr>
                <w:b/>
                <w:lang w:val="el-GR"/>
              </w:rPr>
              <w:t xml:space="preserve">        </w:t>
            </w:r>
            <w:r>
              <w:rPr>
                <w:b/>
                <w:lang w:val="el-GR"/>
              </w:rPr>
              <w:t xml:space="preserve">Ερώτηση </w:t>
            </w:r>
            <w:r w:rsidRPr="007C5AE0">
              <w:rPr>
                <w:b/>
                <w:lang w:val="el-GR"/>
              </w:rPr>
              <w:t>2</w:t>
            </w:r>
          </w:p>
          <w:p w:rsidR="00CE0713" w:rsidRPr="007C5AE0" w:rsidRDefault="00CE0713" w:rsidP="00372966">
            <w:pPr>
              <w:ind w:right="36"/>
              <w:rPr>
                <w:lang w:val="el-GR"/>
              </w:rPr>
            </w:pPr>
          </w:p>
          <w:p w:rsidR="00CE0713" w:rsidRPr="007C5AE0" w:rsidRDefault="00CE0713" w:rsidP="00372966">
            <w:pPr>
              <w:ind w:right="36"/>
              <w:rPr>
                <w:lang w:val="el-GR"/>
              </w:rPr>
            </w:pPr>
          </w:p>
          <w:p w:rsidR="00CE0713" w:rsidRPr="007C5AE0" w:rsidRDefault="00CE0713" w:rsidP="00372966">
            <w:pPr>
              <w:ind w:right="36"/>
              <w:rPr>
                <w:lang w:val="el-GR"/>
              </w:rPr>
            </w:pPr>
          </w:p>
          <w:p w:rsidR="00CE0713" w:rsidRPr="007C5AE0" w:rsidRDefault="00CE0713" w:rsidP="00372966">
            <w:pPr>
              <w:ind w:right="36"/>
              <w:rPr>
                <w:lang w:val="el-GR"/>
              </w:rPr>
            </w:pPr>
          </w:p>
          <w:p w:rsidR="00CE0713" w:rsidRPr="007C5AE0" w:rsidRDefault="00CE0713" w:rsidP="00372966">
            <w:pPr>
              <w:ind w:right="36"/>
              <w:rPr>
                <w:lang w:val="el-GR"/>
              </w:rPr>
            </w:pPr>
            <w:r w:rsidRPr="007C5AE0">
              <w:rPr>
                <w:bCs/>
                <w:sz w:val="36"/>
                <w:lang w:val="el-GR"/>
              </w:rPr>
              <w:t>Σύμφωνα με αυτό το εσώκλειστο φυλλάδιο οδηγιών</w:t>
            </w:r>
            <w:r w:rsidRPr="007C5AE0">
              <w:rPr>
                <w:sz w:val="36"/>
                <w:lang w:val="el-GR"/>
              </w:rPr>
              <w:t xml:space="preserve"> , ποιο χρονικό διάστημα πρέπει να μεσολαβήσει πριν κάποιος </w:t>
            </w:r>
            <w:r>
              <w:rPr>
                <w:sz w:val="36"/>
                <w:lang w:val="el-GR"/>
              </w:rPr>
              <w:t xml:space="preserve">να μπορεί να πάρει ένα χάπι </w:t>
            </w:r>
            <w:r w:rsidRPr="007C5AE0">
              <w:rPr>
                <w:sz w:val="36"/>
                <w:lang w:val="el-GR"/>
              </w:rPr>
              <w:t>ξανά</w:t>
            </w:r>
            <w:r>
              <w:rPr>
                <w:sz w:val="36"/>
                <w:lang w:val="el-GR"/>
              </w:rPr>
              <w:t>;</w:t>
            </w:r>
            <w:r w:rsidRPr="007C5AE0">
              <w:rPr>
                <w:sz w:val="36"/>
                <w:lang w:val="el-GR"/>
              </w:rPr>
              <w:t xml:space="preserve"> </w:t>
            </w:r>
          </w:p>
          <w:p w:rsidR="00CE0713" w:rsidRPr="007C5AE0" w:rsidRDefault="00CE0713" w:rsidP="00372966">
            <w:pPr>
              <w:ind w:right="36"/>
              <w:rPr>
                <w:lang w:val="el-GR"/>
              </w:rPr>
            </w:pPr>
          </w:p>
          <w:p w:rsidR="00CE0713" w:rsidRPr="007C5AE0" w:rsidRDefault="00CE0713" w:rsidP="00372966">
            <w:pPr>
              <w:ind w:right="36"/>
              <w:rPr>
                <w:lang w:val="el-GR"/>
              </w:rPr>
            </w:pPr>
          </w:p>
          <w:p w:rsidR="00CE0713" w:rsidRPr="007C5AE0" w:rsidRDefault="00CE0713" w:rsidP="00372966">
            <w:pPr>
              <w:ind w:right="36"/>
              <w:rPr>
                <w:lang w:val="el-GR"/>
              </w:rPr>
            </w:pPr>
          </w:p>
          <w:p w:rsidR="00CE0713" w:rsidRPr="007C5AE0" w:rsidRDefault="00CE0713" w:rsidP="00372966">
            <w:pPr>
              <w:ind w:right="2160"/>
              <w:rPr>
                <w:lang w:val="el-GR"/>
              </w:rPr>
            </w:pPr>
          </w:p>
          <w:p w:rsidR="00CE0713" w:rsidRPr="007C5AE0" w:rsidRDefault="00CE0713" w:rsidP="00372966">
            <w:pPr>
              <w:ind w:right="2160"/>
              <w:rPr>
                <w:lang w:val="el-GR"/>
              </w:rPr>
            </w:pPr>
          </w:p>
          <w:p w:rsidR="00CE0713" w:rsidRPr="007C5AE0" w:rsidRDefault="00CE0713" w:rsidP="00372966">
            <w:pPr>
              <w:ind w:right="2160"/>
              <w:rPr>
                <w:lang w:val="el-GR"/>
              </w:rPr>
            </w:pPr>
          </w:p>
          <w:p w:rsidR="00CE0713" w:rsidRDefault="00CE0713" w:rsidP="00372966">
            <w:pPr>
              <w:ind w:right="2160"/>
            </w:pPr>
            <w:r>
              <w:rPr>
                <w:lang w:val="el-GR"/>
              </w:rPr>
              <w:t>Κάρτα</w:t>
            </w:r>
            <w:r>
              <w:t xml:space="preserve"> 4 </w:t>
            </w:r>
            <w:r>
              <w:rPr>
                <w:sz w:val="10"/>
              </w:rPr>
              <w:t>(SoFa CoDe</w:t>
            </w:r>
          </w:p>
          <w:p w:rsidR="00CE0713" w:rsidRDefault="00CE0713" w:rsidP="00372966">
            <w:pPr>
              <w:spacing w:before="111"/>
              <w:ind w:left="144" w:right="144"/>
            </w:pPr>
          </w:p>
          <w:p w:rsidR="00CE0713" w:rsidRDefault="00CE0713" w:rsidP="00372966">
            <w:pPr>
              <w:ind w:left="144" w:right="144"/>
            </w:pPr>
          </w:p>
          <w:p w:rsidR="00CE0713" w:rsidRDefault="00CE0713" w:rsidP="00372966">
            <w:pPr>
              <w:ind w:left="144" w:right="144"/>
            </w:pPr>
          </w:p>
        </w:tc>
      </w:tr>
    </w:tbl>
    <w:p w:rsidR="00CE0713" w:rsidRDefault="00CE0713" w:rsidP="00CE0713">
      <w:pPr>
        <w:ind w:left="144" w:right="144"/>
      </w:pPr>
      <w:r>
        <w:br w:type="page"/>
      </w:r>
    </w:p>
    <w:tbl>
      <w:tblPr>
        <w:tblW w:w="0" w:type="auto"/>
        <w:tblLayout w:type="fixed"/>
        <w:tblCellMar>
          <w:left w:w="72" w:type="dxa"/>
          <w:right w:w="72" w:type="dxa"/>
        </w:tblCellMar>
        <w:tblLook w:val="0000" w:firstRow="0" w:lastRow="0" w:firstColumn="0" w:lastColumn="0" w:noHBand="0" w:noVBand="0"/>
      </w:tblPr>
      <w:tblGrid>
        <w:gridCol w:w="8640"/>
      </w:tblGrid>
      <w:tr w:rsidR="00CE0713" w:rsidRPr="002D7931" w:rsidTr="00372966">
        <w:trPr>
          <w:cantSplit/>
          <w:trHeight w:hRule="exact" w:val="5760"/>
        </w:trPr>
        <w:tc>
          <w:tcPr>
            <w:tcW w:w="8640" w:type="dxa"/>
          </w:tcPr>
          <w:p w:rsidR="00CE0713" w:rsidRPr="007C5AE0" w:rsidRDefault="00CE0713" w:rsidP="00372966">
            <w:pPr>
              <w:ind w:right="90"/>
              <w:rPr>
                <w:b/>
                <w:lang w:val="el-GR"/>
              </w:rPr>
            </w:pPr>
            <w:r>
              <w:rPr>
                <w:b/>
              </w:rPr>
              <w:t>A</w:t>
            </w:r>
            <w:r w:rsidRPr="007C5AE0">
              <w:rPr>
                <w:b/>
                <w:lang w:val="el-GR"/>
              </w:rPr>
              <w:t xml:space="preserve">.    </w:t>
            </w:r>
            <w:r>
              <w:rPr>
                <w:b/>
                <w:lang w:val="el-GR"/>
              </w:rPr>
              <w:t>Δοκιμασία 2</w:t>
            </w:r>
            <w:r w:rsidRPr="007C5AE0">
              <w:rPr>
                <w:b/>
                <w:lang w:val="el-GR"/>
              </w:rPr>
              <w:t xml:space="preserve"> – </w:t>
            </w:r>
            <w:r>
              <w:rPr>
                <w:b/>
                <w:lang w:val="el-GR"/>
              </w:rPr>
              <w:t>Λήψη Φαρμάκων</w:t>
            </w:r>
          </w:p>
          <w:p w:rsidR="00CE0713" w:rsidRPr="007C5AE0" w:rsidRDefault="00CE0713" w:rsidP="00372966">
            <w:pPr>
              <w:ind w:right="90"/>
              <w:rPr>
                <w:lang w:val="el-GR"/>
              </w:rPr>
            </w:pPr>
            <w:r w:rsidRPr="007C5AE0">
              <w:rPr>
                <w:b/>
                <w:lang w:val="el-GR"/>
              </w:rPr>
              <w:t xml:space="preserve">        </w:t>
            </w:r>
            <w:r>
              <w:rPr>
                <w:b/>
                <w:lang w:val="el-GR"/>
              </w:rPr>
              <w:t>Ερώτηση 3</w:t>
            </w: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r w:rsidRPr="00082BD8">
              <w:rPr>
                <w:sz w:val="36"/>
                <w:lang w:val="el-GR"/>
              </w:rPr>
              <w:t>Μια</w:t>
            </w:r>
            <w:r w:rsidRPr="00082BD8">
              <w:rPr>
                <w:bCs/>
                <w:sz w:val="36"/>
                <w:lang w:val="el-GR"/>
              </w:rPr>
              <w:t xml:space="preserve"> ηλικιωμένη γυναίκα έπεσε περίπου δύο εβδομάδες πριν και παίρνει αυτά τα χάπια Ασπιρίνης διότι πονάει η μέση του από τότε. Σύμφωνα με το φυλλάδιο, τι πρέπει να κάνει; </w:t>
            </w: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2160"/>
              <w:rPr>
                <w:lang w:val="el-GR"/>
              </w:rPr>
            </w:pPr>
          </w:p>
          <w:p w:rsidR="00CE0713" w:rsidRPr="00082BD8" w:rsidRDefault="00CE0713" w:rsidP="00372966">
            <w:pPr>
              <w:ind w:right="2160"/>
              <w:rPr>
                <w:lang w:val="el-GR"/>
              </w:rPr>
            </w:pPr>
          </w:p>
          <w:p w:rsidR="00CE0713" w:rsidRPr="00082BD8" w:rsidRDefault="00CE0713" w:rsidP="00372966">
            <w:pPr>
              <w:ind w:right="2160"/>
              <w:rPr>
                <w:lang w:val="el-GR"/>
              </w:rPr>
            </w:pPr>
          </w:p>
          <w:p w:rsidR="00CE0713" w:rsidRPr="00EB186C" w:rsidRDefault="00CE0713" w:rsidP="00372966">
            <w:pPr>
              <w:ind w:right="2160"/>
              <w:rPr>
                <w:lang w:val="el-GR"/>
              </w:rPr>
            </w:pPr>
            <w:r>
              <w:rPr>
                <w:lang w:val="el-GR"/>
              </w:rPr>
              <w:t>Κάρτα</w:t>
            </w:r>
            <w:r w:rsidRPr="00EB186C">
              <w:rPr>
                <w:lang w:val="el-GR"/>
              </w:rPr>
              <w:t xml:space="preserve"> </w:t>
            </w:r>
            <w:r>
              <w:rPr>
                <w:lang w:val="el-GR"/>
              </w:rPr>
              <w:t>5</w:t>
            </w:r>
            <w:r w:rsidRPr="00EB186C">
              <w:rPr>
                <w:lang w:val="el-GR"/>
              </w:rPr>
              <w:t xml:space="preserve"> </w:t>
            </w:r>
            <w:r w:rsidRPr="00EB186C">
              <w:rPr>
                <w:sz w:val="10"/>
                <w:lang w:val="el-GR"/>
              </w:rPr>
              <w:t>(</w:t>
            </w:r>
            <w:r>
              <w:rPr>
                <w:sz w:val="10"/>
              </w:rPr>
              <w:t>SoFa</w:t>
            </w:r>
            <w:r w:rsidRPr="00EB186C">
              <w:rPr>
                <w:sz w:val="10"/>
                <w:lang w:val="el-GR"/>
              </w:rPr>
              <w:t xml:space="preserve"> </w:t>
            </w:r>
            <w:r>
              <w:rPr>
                <w:sz w:val="10"/>
              </w:rPr>
              <w:t>CoDe</w:t>
            </w:r>
          </w:p>
          <w:p w:rsidR="00CE0713" w:rsidRPr="00EB186C" w:rsidRDefault="00CE0713" w:rsidP="00372966">
            <w:pPr>
              <w:ind w:right="36"/>
              <w:rPr>
                <w:lang w:val="el-GR"/>
              </w:rPr>
            </w:pPr>
          </w:p>
          <w:p w:rsidR="00CE0713" w:rsidRPr="00EB186C" w:rsidRDefault="00CE0713" w:rsidP="00372966">
            <w:pPr>
              <w:spacing w:before="111"/>
              <w:ind w:left="144" w:right="90"/>
              <w:rPr>
                <w:lang w:val="el-GR"/>
              </w:rPr>
            </w:pPr>
          </w:p>
          <w:p w:rsidR="00CE0713" w:rsidRPr="00EB186C" w:rsidRDefault="00CE0713" w:rsidP="00372966">
            <w:pPr>
              <w:ind w:left="144" w:right="90"/>
              <w:rPr>
                <w:lang w:val="el-GR"/>
              </w:rPr>
            </w:pPr>
          </w:p>
          <w:p w:rsidR="00CE0713" w:rsidRPr="00EB186C" w:rsidRDefault="00CE0713" w:rsidP="00372966">
            <w:pPr>
              <w:ind w:left="144" w:right="90"/>
              <w:rPr>
                <w:lang w:val="el-GR"/>
              </w:rPr>
            </w:pPr>
          </w:p>
        </w:tc>
      </w:tr>
      <w:tr w:rsidR="00CE0713" w:rsidTr="00372966">
        <w:trPr>
          <w:cantSplit/>
          <w:trHeight w:hRule="exact" w:val="5760"/>
        </w:trPr>
        <w:tc>
          <w:tcPr>
            <w:tcW w:w="8640" w:type="dxa"/>
          </w:tcPr>
          <w:p w:rsidR="00CE0713" w:rsidRPr="00082BD8" w:rsidRDefault="00CE0713" w:rsidP="00372966">
            <w:pPr>
              <w:ind w:right="36"/>
              <w:rPr>
                <w:b/>
                <w:lang w:val="el-GR"/>
              </w:rPr>
            </w:pPr>
            <w:r>
              <w:rPr>
                <w:b/>
              </w:rPr>
              <w:t>A</w:t>
            </w:r>
            <w:r w:rsidRPr="00EB186C">
              <w:rPr>
                <w:b/>
                <w:lang w:val="el-GR"/>
              </w:rPr>
              <w:t xml:space="preserve">.    </w:t>
            </w:r>
            <w:r>
              <w:rPr>
                <w:b/>
                <w:lang w:val="el-GR"/>
              </w:rPr>
              <w:t>Δοκιμασία 3</w:t>
            </w:r>
            <w:r w:rsidRPr="00EB186C">
              <w:rPr>
                <w:b/>
                <w:lang w:val="el-GR"/>
              </w:rPr>
              <w:t xml:space="preserve"> – </w:t>
            </w:r>
            <w:r>
              <w:rPr>
                <w:b/>
                <w:lang w:val="el-GR"/>
              </w:rPr>
              <w:t>Ιατρικό ιστορικό</w:t>
            </w:r>
          </w:p>
          <w:p w:rsidR="00CE0713" w:rsidRPr="00082BD8" w:rsidRDefault="00CE0713" w:rsidP="00372966">
            <w:pPr>
              <w:ind w:right="36"/>
              <w:rPr>
                <w:lang w:val="el-GR"/>
              </w:rPr>
            </w:pPr>
            <w:r w:rsidRPr="00082BD8">
              <w:rPr>
                <w:b/>
                <w:lang w:val="el-GR"/>
              </w:rPr>
              <w:t xml:space="preserve">        </w:t>
            </w:r>
            <w:r>
              <w:rPr>
                <w:b/>
                <w:lang w:val="el-GR"/>
              </w:rPr>
              <w:t>Ερώτηση</w:t>
            </w:r>
            <w:r w:rsidRPr="00082BD8">
              <w:rPr>
                <w:b/>
                <w:lang w:val="el-GR"/>
              </w:rPr>
              <w:t xml:space="preserve"> 1</w:t>
            </w: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p>
          <w:p w:rsidR="00CE0713" w:rsidRDefault="00CE0713" w:rsidP="00372966">
            <w:pPr>
              <w:ind w:right="36"/>
            </w:pPr>
            <w:r w:rsidRPr="00082BD8">
              <w:rPr>
                <w:bCs/>
                <w:sz w:val="36"/>
                <w:lang w:val="el-GR"/>
              </w:rPr>
              <w:t xml:space="preserve">Σε ποιο σημείο αυτού του εντύπου θα γράψει ο κ. Παπαδόπουλος ότι καλύπτεται από την ασφάλεια του ΕΟΠΥΥ; </w:t>
            </w:r>
            <w:r w:rsidRPr="00EB186C">
              <w:rPr>
                <w:bCs/>
                <w:sz w:val="36"/>
                <w:u w:val="single"/>
                <w:lang w:val="el-GR"/>
              </w:rPr>
              <w:t>Γράψτε το τώρα</w:t>
            </w:r>
            <w:r w:rsidRPr="00082BD8">
              <w:rPr>
                <w:sz w:val="36"/>
              </w:rPr>
              <w:t xml:space="preserve"> </w:t>
            </w:r>
          </w:p>
          <w:p w:rsidR="00CE0713" w:rsidRDefault="00CE0713" w:rsidP="00372966">
            <w:pPr>
              <w:ind w:right="36"/>
            </w:pPr>
          </w:p>
          <w:p w:rsidR="00CE0713" w:rsidRPr="00082BD8" w:rsidRDefault="00CE0713" w:rsidP="00372966">
            <w:pPr>
              <w:ind w:right="36"/>
              <w:rPr>
                <w:lang w:val="el-GR"/>
              </w:rPr>
            </w:pPr>
          </w:p>
          <w:p w:rsidR="00CE0713" w:rsidRPr="00082BD8" w:rsidRDefault="00CE0713" w:rsidP="00372966">
            <w:pPr>
              <w:ind w:right="2160"/>
              <w:rPr>
                <w:lang w:val="el-GR"/>
              </w:rPr>
            </w:pPr>
          </w:p>
          <w:p w:rsidR="00CE0713" w:rsidRDefault="00CE0713" w:rsidP="00372966">
            <w:pPr>
              <w:ind w:right="2160"/>
            </w:pPr>
          </w:p>
          <w:p w:rsidR="00CE0713" w:rsidRDefault="00CE0713" w:rsidP="00372966">
            <w:pPr>
              <w:ind w:right="2160"/>
            </w:pPr>
          </w:p>
          <w:p w:rsidR="00CE0713" w:rsidRDefault="00CE0713" w:rsidP="00372966">
            <w:pPr>
              <w:ind w:right="2160"/>
            </w:pPr>
          </w:p>
          <w:p w:rsidR="00CE0713" w:rsidRDefault="00CE0713" w:rsidP="00372966">
            <w:pPr>
              <w:ind w:right="2160"/>
            </w:pPr>
          </w:p>
          <w:p w:rsidR="00CE0713" w:rsidRDefault="00CE0713" w:rsidP="00372966">
            <w:pPr>
              <w:ind w:right="2160"/>
            </w:pPr>
            <w:r>
              <w:rPr>
                <w:lang w:val="el-GR"/>
              </w:rPr>
              <w:t>Κάρτα</w:t>
            </w:r>
            <w:r>
              <w:t xml:space="preserve"> </w:t>
            </w:r>
            <w:r>
              <w:rPr>
                <w:lang w:val="el-GR"/>
              </w:rPr>
              <w:t>6</w:t>
            </w:r>
            <w:r>
              <w:t xml:space="preserve"> </w:t>
            </w:r>
            <w:r>
              <w:rPr>
                <w:sz w:val="10"/>
              </w:rPr>
              <w:t>(SoFa CoDe</w:t>
            </w:r>
          </w:p>
          <w:p w:rsidR="00CE0713" w:rsidRDefault="00CE0713" w:rsidP="00372966">
            <w:pPr>
              <w:ind w:right="36"/>
            </w:pPr>
          </w:p>
          <w:p w:rsidR="00CE0713" w:rsidRDefault="00CE0713" w:rsidP="00372966">
            <w:pPr>
              <w:spacing w:before="111"/>
              <w:ind w:left="144" w:right="90"/>
            </w:pPr>
          </w:p>
          <w:p w:rsidR="00CE0713" w:rsidRDefault="00CE0713" w:rsidP="00372966">
            <w:pPr>
              <w:ind w:left="144" w:right="90"/>
            </w:pPr>
          </w:p>
          <w:p w:rsidR="00CE0713" w:rsidRDefault="00CE0713" w:rsidP="00372966">
            <w:pPr>
              <w:ind w:left="144" w:right="90"/>
            </w:pPr>
          </w:p>
        </w:tc>
      </w:tr>
    </w:tbl>
    <w:p w:rsidR="00CE0713" w:rsidRDefault="00CE0713" w:rsidP="00CE0713">
      <w:pPr>
        <w:ind w:left="144" w:right="144"/>
      </w:pPr>
      <w:r>
        <w:br w:type="page"/>
      </w:r>
    </w:p>
    <w:tbl>
      <w:tblPr>
        <w:tblW w:w="0" w:type="auto"/>
        <w:tblLayout w:type="fixed"/>
        <w:tblCellMar>
          <w:left w:w="72" w:type="dxa"/>
          <w:right w:w="72" w:type="dxa"/>
        </w:tblCellMar>
        <w:tblLook w:val="0000" w:firstRow="0" w:lastRow="0" w:firstColumn="0" w:lastColumn="0" w:noHBand="0" w:noVBand="0"/>
      </w:tblPr>
      <w:tblGrid>
        <w:gridCol w:w="8640"/>
      </w:tblGrid>
      <w:tr w:rsidR="00CE0713" w:rsidTr="00372966">
        <w:trPr>
          <w:cantSplit/>
          <w:trHeight w:hRule="exact" w:val="5760"/>
        </w:trPr>
        <w:tc>
          <w:tcPr>
            <w:tcW w:w="8640" w:type="dxa"/>
          </w:tcPr>
          <w:p w:rsidR="00CE0713" w:rsidRPr="00082BD8" w:rsidRDefault="00CE0713" w:rsidP="00372966">
            <w:pPr>
              <w:ind w:right="36"/>
              <w:rPr>
                <w:b/>
                <w:lang w:val="el-GR"/>
              </w:rPr>
            </w:pPr>
            <w:r>
              <w:rPr>
                <w:b/>
              </w:rPr>
              <w:t>A</w:t>
            </w:r>
            <w:r w:rsidRPr="00082BD8">
              <w:rPr>
                <w:b/>
                <w:lang w:val="el-GR"/>
              </w:rPr>
              <w:t xml:space="preserve">.    </w:t>
            </w:r>
            <w:r>
              <w:rPr>
                <w:b/>
                <w:lang w:val="el-GR"/>
              </w:rPr>
              <w:t>Δοκιμασία 3</w:t>
            </w:r>
            <w:r w:rsidRPr="00082BD8">
              <w:rPr>
                <w:b/>
                <w:lang w:val="el-GR"/>
              </w:rPr>
              <w:t xml:space="preserve"> – </w:t>
            </w:r>
            <w:r>
              <w:rPr>
                <w:b/>
                <w:lang w:val="el-GR"/>
              </w:rPr>
              <w:t>Ιατρικό ιστορικό</w:t>
            </w:r>
          </w:p>
          <w:p w:rsidR="00CE0713" w:rsidRPr="00082BD8" w:rsidRDefault="00CE0713" w:rsidP="00372966">
            <w:pPr>
              <w:ind w:right="36"/>
              <w:rPr>
                <w:lang w:val="el-GR"/>
              </w:rPr>
            </w:pPr>
            <w:r w:rsidRPr="00082BD8">
              <w:rPr>
                <w:b/>
                <w:lang w:val="el-GR"/>
              </w:rPr>
              <w:t xml:space="preserve">        </w:t>
            </w:r>
            <w:r>
              <w:rPr>
                <w:b/>
                <w:lang w:val="el-GR"/>
              </w:rPr>
              <w:t>Ερώτηση</w:t>
            </w:r>
            <w:r w:rsidRPr="00082BD8">
              <w:rPr>
                <w:b/>
                <w:lang w:val="el-GR"/>
              </w:rPr>
              <w:t xml:space="preserve"> 1</w:t>
            </w: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p>
          <w:p w:rsidR="00CE0713" w:rsidRDefault="00CE0713" w:rsidP="00372966">
            <w:pPr>
              <w:ind w:right="36"/>
              <w:rPr>
                <w:sz w:val="36"/>
              </w:rPr>
            </w:pPr>
            <w:r w:rsidRPr="00082BD8">
              <w:rPr>
                <w:sz w:val="36"/>
                <w:lang w:val="el-GR"/>
              </w:rPr>
              <w:t xml:space="preserve">. </w:t>
            </w:r>
            <w:r w:rsidRPr="00082BD8">
              <w:rPr>
                <w:bCs/>
                <w:sz w:val="36"/>
                <w:lang w:val="el-GR"/>
              </w:rPr>
              <w:t xml:space="preserve">O κ. Παπαδόπουλος είχε ασταθή πίεση αίματος την τελευταία φορά που υπεβλήθη σε αναισθησία. Σε ποιο σημείο αυτού του εντύπου θα κάνει σημείωση αυτής της κατάστασης; </w:t>
            </w:r>
            <w:r w:rsidRPr="00EB186C">
              <w:rPr>
                <w:bCs/>
                <w:sz w:val="36"/>
                <w:u w:val="single"/>
                <w:lang w:val="el-GR"/>
              </w:rPr>
              <w:t>Γράψτε το τώρα.</w:t>
            </w:r>
            <w:r w:rsidRPr="00EB186C">
              <w:rPr>
                <w:sz w:val="36"/>
                <w:u w:val="single"/>
              </w:rPr>
              <w:t>.</w:t>
            </w:r>
          </w:p>
          <w:p w:rsidR="00CE0713" w:rsidRDefault="00CE0713" w:rsidP="00372966">
            <w:pPr>
              <w:ind w:right="36"/>
            </w:pPr>
          </w:p>
          <w:p w:rsidR="00CE0713" w:rsidRPr="00082BD8" w:rsidRDefault="00CE0713" w:rsidP="00372966">
            <w:pPr>
              <w:ind w:right="36"/>
              <w:rPr>
                <w:lang w:val="el-GR"/>
              </w:rPr>
            </w:pPr>
          </w:p>
          <w:p w:rsidR="00CE0713" w:rsidRPr="00082BD8" w:rsidRDefault="00CE0713" w:rsidP="00372966">
            <w:pPr>
              <w:ind w:right="2160"/>
              <w:rPr>
                <w:lang w:val="el-GR"/>
              </w:rPr>
            </w:pPr>
          </w:p>
          <w:p w:rsidR="00CE0713" w:rsidRDefault="00CE0713" w:rsidP="00372966">
            <w:pPr>
              <w:ind w:right="2160"/>
            </w:pPr>
          </w:p>
          <w:p w:rsidR="00CE0713" w:rsidRDefault="00CE0713" w:rsidP="00372966">
            <w:pPr>
              <w:ind w:right="2160"/>
            </w:pPr>
          </w:p>
          <w:p w:rsidR="00CE0713" w:rsidRDefault="00CE0713" w:rsidP="00372966">
            <w:pPr>
              <w:ind w:right="2160"/>
            </w:pPr>
            <w:r>
              <w:rPr>
                <w:lang w:val="el-GR"/>
              </w:rPr>
              <w:t>Κάρτα</w:t>
            </w:r>
            <w:r>
              <w:t xml:space="preserve"> </w:t>
            </w:r>
            <w:r>
              <w:rPr>
                <w:lang w:val="el-GR"/>
              </w:rPr>
              <w:t>7</w:t>
            </w:r>
            <w:r>
              <w:t xml:space="preserve"> </w:t>
            </w:r>
            <w:r>
              <w:rPr>
                <w:sz w:val="10"/>
              </w:rPr>
              <w:t>(SoFa CoDe</w:t>
            </w:r>
          </w:p>
          <w:p w:rsidR="00CE0713" w:rsidRDefault="00CE0713" w:rsidP="00372966">
            <w:pPr>
              <w:ind w:right="36"/>
              <w:rPr>
                <w:sz w:val="28"/>
              </w:rPr>
            </w:pPr>
          </w:p>
          <w:p w:rsidR="00CE0713" w:rsidRDefault="00CE0713" w:rsidP="00372966">
            <w:pPr>
              <w:spacing w:before="111"/>
              <w:ind w:left="144" w:right="90"/>
            </w:pPr>
          </w:p>
          <w:p w:rsidR="00CE0713" w:rsidRDefault="00CE0713" w:rsidP="00372966">
            <w:pPr>
              <w:ind w:left="144" w:right="90"/>
            </w:pPr>
          </w:p>
          <w:p w:rsidR="00CE0713" w:rsidRDefault="00CE0713" w:rsidP="00372966">
            <w:pPr>
              <w:ind w:left="144" w:right="90"/>
            </w:pPr>
          </w:p>
        </w:tc>
      </w:tr>
      <w:tr w:rsidR="00CE0713" w:rsidRPr="002D7931" w:rsidTr="00372966">
        <w:trPr>
          <w:cantSplit/>
          <w:trHeight w:hRule="exact" w:val="5760"/>
        </w:trPr>
        <w:tc>
          <w:tcPr>
            <w:tcW w:w="8640" w:type="dxa"/>
          </w:tcPr>
          <w:p w:rsidR="00CE0713" w:rsidRPr="00082BD8" w:rsidRDefault="00CE0713" w:rsidP="00372966">
            <w:pPr>
              <w:ind w:right="36"/>
              <w:rPr>
                <w:b/>
                <w:lang w:val="el-GR"/>
              </w:rPr>
            </w:pPr>
            <w:r>
              <w:rPr>
                <w:b/>
              </w:rPr>
              <w:t>B</w:t>
            </w:r>
            <w:r w:rsidRPr="00EB186C">
              <w:rPr>
                <w:b/>
                <w:lang w:val="el-GR"/>
              </w:rPr>
              <w:t xml:space="preserve">.    </w:t>
            </w:r>
            <w:r>
              <w:rPr>
                <w:b/>
                <w:lang w:val="el-GR"/>
              </w:rPr>
              <w:t>Δοκιμασία</w:t>
            </w:r>
            <w:r w:rsidRPr="00082BD8">
              <w:rPr>
                <w:b/>
                <w:lang w:val="el-GR"/>
              </w:rPr>
              <w:t xml:space="preserve"> 1 – </w:t>
            </w:r>
            <w:r>
              <w:rPr>
                <w:b/>
                <w:lang w:val="el-GR"/>
              </w:rPr>
              <w:t>Χρήση Τηλεφώνου</w:t>
            </w: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p>
          <w:p w:rsidR="00CE0713" w:rsidRPr="00082BD8" w:rsidRDefault="00CE0713" w:rsidP="00372966">
            <w:pPr>
              <w:ind w:right="36"/>
              <w:rPr>
                <w:lang w:val="el-GR"/>
              </w:rPr>
            </w:pPr>
            <w:r w:rsidRPr="00082BD8">
              <w:rPr>
                <w:bCs/>
                <w:sz w:val="36"/>
                <w:lang w:val="el-GR"/>
              </w:rPr>
              <w:t xml:space="preserve">Ποιο τηλέφωνο θα καλούσατε εάν θα θέλατε να μάθετε για επιδοτούμενη διαμονή σε κατοικίες  για ηλικιωμένους ή οίκους ευγηρίας; Μπορείτε να χρησιμοποιήσετε ένα στυλό για να βρείτε το νούμερο σε αυτή τη σελίδα. Παρακαλώ, </w:t>
            </w:r>
            <w:r w:rsidRPr="00EB186C">
              <w:rPr>
                <w:bCs/>
                <w:sz w:val="36"/>
                <w:u w:val="single"/>
                <w:lang w:val="el-GR"/>
              </w:rPr>
              <w:t>δείξτε</w:t>
            </w:r>
            <w:r w:rsidRPr="00082BD8">
              <w:rPr>
                <w:bCs/>
                <w:sz w:val="36"/>
                <w:lang w:val="el-GR"/>
              </w:rPr>
              <w:t xml:space="preserve"> το νούμερο, </w:t>
            </w:r>
            <w:r w:rsidRPr="00EB186C">
              <w:rPr>
                <w:bCs/>
                <w:sz w:val="36"/>
                <w:u w:val="single"/>
                <w:lang w:val="el-GR"/>
              </w:rPr>
              <w:t>διαβάστε</w:t>
            </w:r>
            <w:r w:rsidRPr="00082BD8">
              <w:rPr>
                <w:bCs/>
                <w:sz w:val="36"/>
                <w:lang w:val="el-GR"/>
              </w:rPr>
              <w:t xml:space="preserve"> το δυνατά και  </w:t>
            </w:r>
            <w:r w:rsidRPr="00EB186C">
              <w:rPr>
                <w:bCs/>
                <w:sz w:val="36"/>
                <w:u w:val="single"/>
                <w:lang w:val="el-GR"/>
              </w:rPr>
              <w:t>καλέστε.</w:t>
            </w:r>
            <w:r w:rsidRPr="00082BD8">
              <w:rPr>
                <w:bCs/>
                <w:sz w:val="36"/>
                <w:lang w:val="el-GR"/>
              </w:rPr>
              <w:t xml:space="preserve"> </w:t>
            </w:r>
          </w:p>
          <w:p w:rsidR="00CE0713" w:rsidRPr="00082BD8" w:rsidRDefault="00CE0713" w:rsidP="00372966">
            <w:pPr>
              <w:ind w:right="36"/>
              <w:rPr>
                <w:lang w:val="el-GR"/>
              </w:rPr>
            </w:pPr>
          </w:p>
          <w:p w:rsidR="00CE0713" w:rsidRPr="00082BD8" w:rsidRDefault="00CE0713" w:rsidP="00372966">
            <w:pPr>
              <w:ind w:right="2160"/>
              <w:rPr>
                <w:lang w:val="el-GR"/>
              </w:rPr>
            </w:pPr>
          </w:p>
          <w:p w:rsidR="00CE0713" w:rsidRPr="00082BD8" w:rsidRDefault="00CE0713" w:rsidP="00372966">
            <w:pPr>
              <w:ind w:right="2160"/>
              <w:rPr>
                <w:lang w:val="el-GR"/>
              </w:rPr>
            </w:pPr>
          </w:p>
          <w:p w:rsidR="00CE0713" w:rsidRPr="00EB186C" w:rsidRDefault="00CE0713" w:rsidP="00372966">
            <w:pPr>
              <w:ind w:right="2160"/>
              <w:rPr>
                <w:lang w:val="el-GR"/>
              </w:rPr>
            </w:pPr>
            <w:r>
              <w:rPr>
                <w:lang w:val="el-GR"/>
              </w:rPr>
              <w:t>Κάρτα</w:t>
            </w:r>
            <w:r w:rsidRPr="00EB186C">
              <w:rPr>
                <w:lang w:val="el-GR"/>
              </w:rPr>
              <w:t xml:space="preserve"> </w:t>
            </w:r>
            <w:r>
              <w:rPr>
                <w:lang w:val="el-GR"/>
              </w:rPr>
              <w:t>8</w:t>
            </w:r>
            <w:r w:rsidRPr="00EB186C">
              <w:rPr>
                <w:lang w:val="el-GR"/>
              </w:rPr>
              <w:t xml:space="preserve"> </w:t>
            </w:r>
            <w:r w:rsidRPr="00EB186C">
              <w:rPr>
                <w:sz w:val="10"/>
                <w:lang w:val="el-GR"/>
              </w:rPr>
              <w:t>(</w:t>
            </w:r>
            <w:r>
              <w:rPr>
                <w:sz w:val="10"/>
              </w:rPr>
              <w:t>SoFa</w:t>
            </w:r>
            <w:r w:rsidRPr="00EB186C">
              <w:rPr>
                <w:sz w:val="10"/>
                <w:lang w:val="el-GR"/>
              </w:rPr>
              <w:t xml:space="preserve"> </w:t>
            </w:r>
            <w:r>
              <w:rPr>
                <w:sz w:val="10"/>
              </w:rPr>
              <w:t>CoDe</w:t>
            </w:r>
          </w:p>
          <w:p w:rsidR="00CE0713" w:rsidRPr="00082BD8" w:rsidRDefault="00CE0713" w:rsidP="00372966">
            <w:pPr>
              <w:ind w:right="36"/>
              <w:rPr>
                <w:sz w:val="28"/>
                <w:lang w:val="el-GR"/>
              </w:rPr>
            </w:pPr>
          </w:p>
          <w:p w:rsidR="00CE0713" w:rsidRPr="00082BD8" w:rsidRDefault="00CE0713" w:rsidP="00372966">
            <w:pPr>
              <w:spacing w:before="111"/>
              <w:ind w:left="144" w:right="90"/>
              <w:rPr>
                <w:lang w:val="el-GR"/>
              </w:rPr>
            </w:pPr>
          </w:p>
          <w:p w:rsidR="00CE0713" w:rsidRPr="00082BD8" w:rsidRDefault="00CE0713" w:rsidP="00372966">
            <w:pPr>
              <w:ind w:left="144" w:right="90"/>
              <w:rPr>
                <w:lang w:val="el-GR"/>
              </w:rPr>
            </w:pPr>
          </w:p>
          <w:p w:rsidR="00CE0713" w:rsidRPr="00082BD8" w:rsidRDefault="00CE0713" w:rsidP="00372966">
            <w:pPr>
              <w:ind w:left="144" w:right="90"/>
              <w:rPr>
                <w:lang w:val="el-GR"/>
              </w:rPr>
            </w:pPr>
          </w:p>
        </w:tc>
      </w:tr>
    </w:tbl>
    <w:p w:rsidR="00CE0713" w:rsidRPr="00082BD8" w:rsidRDefault="00CE0713" w:rsidP="00CE0713">
      <w:pPr>
        <w:ind w:left="144" w:right="144"/>
        <w:rPr>
          <w:lang w:val="el-GR"/>
        </w:rPr>
      </w:pPr>
      <w:r w:rsidRPr="00082BD8">
        <w:rPr>
          <w:lang w:val="el-GR"/>
        </w:rPr>
        <w:br w:type="page"/>
      </w:r>
    </w:p>
    <w:tbl>
      <w:tblPr>
        <w:tblW w:w="0" w:type="auto"/>
        <w:tblLayout w:type="fixed"/>
        <w:tblCellMar>
          <w:left w:w="72" w:type="dxa"/>
          <w:right w:w="72" w:type="dxa"/>
        </w:tblCellMar>
        <w:tblLook w:val="0000" w:firstRow="0" w:lastRow="0" w:firstColumn="0" w:lastColumn="0" w:noHBand="0" w:noVBand="0"/>
      </w:tblPr>
      <w:tblGrid>
        <w:gridCol w:w="8640"/>
      </w:tblGrid>
      <w:tr w:rsidR="00CE0713" w:rsidRPr="002D7931" w:rsidTr="00372966">
        <w:trPr>
          <w:cantSplit/>
          <w:trHeight w:hRule="exact" w:val="5760"/>
        </w:trPr>
        <w:tc>
          <w:tcPr>
            <w:tcW w:w="8640" w:type="dxa"/>
          </w:tcPr>
          <w:p w:rsidR="00CE0713" w:rsidRPr="00082BD8" w:rsidRDefault="00CE0713" w:rsidP="00372966">
            <w:pPr>
              <w:ind w:right="36"/>
              <w:rPr>
                <w:b/>
                <w:lang w:val="el-GR"/>
              </w:rPr>
            </w:pPr>
            <w:r>
              <w:rPr>
                <w:b/>
              </w:rPr>
              <w:t>B</w:t>
            </w:r>
            <w:r w:rsidRPr="002D083E">
              <w:rPr>
                <w:b/>
                <w:lang w:val="el-GR"/>
              </w:rPr>
              <w:t xml:space="preserve">.    </w:t>
            </w:r>
            <w:r>
              <w:rPr>
                <w:b/>
                <w:lang w:val="el-GR"/>
              </w:rPr>
              <w:t>Δοκιμασία 2</w:t>
            </w:r>
            <w:r w:rsidRPr="00082BD8">
              <w:rPr>
                <w:b/>
                <w:lang w:val="el-GR"/>
              </w:rPr>
              <w:t xml:space="preserve"> – </w:t>
            </w:r>
            <w:r>
              <w:rPr>
                <w:b/>
                <w:lang w:val="el-GR"/>
              </w:rPr>
              <w:t>Χρήση Τηλεφώνου</w:t>
            </w: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r w:rsidRPr="002D083E">
              <w:rPr>
                <w:bCs/>
                <w:sz w:val="36"/>
                <w:lang w:val="el-GR"/>
              </w:rPr>
              <w:t xml:space="preserve">Ποιο νούμερο θα καλούσατε εάν ψάχνατε  ένα σκεύασμα από φαρμακείο; Μπορείτε να χρησιμοποιήσετε ένα στυλό και για να βρείτε το νούμερο σε αυτή τη σελίδα.  Παρακαλώ </w:t>
            </w:r>
            <w:r w:rsidRPr="00EB186C">
              <w:rPr>
                <w:bCs/>
                <w:sz w:val="36"/>
                <w:u w:val="single"/>
                <w:lang w:val="el-GR"/>
              </w:rPr>
              <w:t>δείξτε</w:t>
            </w:r>
            <w:r w:rsidRPr="002D083E">
              <w:rPr>
                <w:bCs/>
                <w:sz w:val="36"/>
                <w:lang w:val="el-GR"/>
              </w:rPr>
              <w:t xml:space="preserve"> το νούμερο, </w:t>
            </w:r>
            <w:r w:rsidRPr="00EB186C">
              <w:rPr>
                <w:bCs/>
                <w:sz w:val="36"/>
                <w:u w:val="single"/>
                <w:lang w:val="el-GR"/>
              </w:rPr>
              <w:t>διαβάστε</w:t>
            </w:r>
            <w:r w:rsidRPr="002D083E">
              <w:rPr>
                <w:bCs/>
                <w:sz w:val="36"/>
                <w:lang w:val="el-GR"/>
              </w:rPr>
              <w:t xml:space="preserve"> το δυνατά και  </w:t>
            </w:r>
            <w:r w:rsidRPr="00EB186C">
              <w:rPr>
                <w:bCs/>
                <w:sz w:val="36"/>
                <w:u w:val="single"/>
                <w:lang w:val="el-GR"/>
              </w:rPr>
              <w:t>καλέστε</w:t>
            </w:r>
            <w:r w:rsidRPr="002D083E">
              <w:rPr>
                <w:bCs/>
                <w:sz w:val="36"/>
                <w:lang w:val="el-GR"/>
              </w:rPr>
              <w:t>.</w:t>
            </w:r>
            <w:r w:rsidRPr="002D083E">
              <w:rPr>
                <w:sz w:val="36"/>
                <w:lang w:val="el-GR"/>
              </w:rPr>
              <w:t>.</w:t>
            </w: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2160"/>
              <w:rPr>
                <w:lang w:val="el-GR"/>
              </w:rPr>
            </w:pPr>
          </w:p>
          <w:p w:rsidR="00CE0713" w:rsidRPr="002D083E" w:rsidRDefault="00CE0713" w:rsidP="00372966">
            <w:pPr>
              <w:ind w:right="2160"/>
              <w:rPr>
                <w:lang w:val="el-GR"/>
              </w:rPr>
            </w:pPr>
          </w:p>
          <w:p w:rsidR="00CE0713" w:rsidRPr="00EB186C" w:rsidRDefault="00CE0713" w:rsidP="00372966">
            <w:pPr>
              <w:ind w:right="2160"/>
              <w:rPr>
                <w:lang w:val="el-GR"/>
              </w:rPr>
            </w:pPr>
            <w:r>
              <w:rPr>
                <w:lang w:val="el-GR"/>
              </w:rPr>
              <w:t>Κάρτα</w:t>
            </w:r>
            <w:r w:rsidRPr="00EB186C">
              <w:rPr>
                <w:lang w:val="el-GR"/>
              </w:rPr>
              <w:t xml:space="preserve"> </w:t>
            </w:r>
            <w:r>
              <w:rPr>
                <w:lang w:val="el-GR"/>
              </w:rPr>
              <w:t>9</w:t>
            </w:r>
            <w:r w:rsidRPr="00EB186C">
              <w:rPr>
                <w:lang w:val="el-GR"/>
              </w:rPr>
              <w:t xml:space="preserve"> </w:t>
            </w:r>
            <w:r w:rsidRPr="00EB186C">
              <w:rPr>
                <w:sz w:val="10"/>
                <w:lang w:val="el-GR"/>
              </w:rPr>
              <w:t>(</w:t>
            </w:r>
            <w:r>
              <w:rPr>
                <w:sz w:val="10"/>
              </w:rPr>
              <w:t>SoFa</w:t>
            </w:r>
            <w:r w:rsidRPr="00EB186C">
              <w:rPr>
                <w:sz w:val="10"/>
                <w:lang w:val="el-GR"/>
              </w:rPr>
              <w:t xml:space="preserve"> </w:t>
            </w:r>
            <w:r>
              <w:rPr>
                <w:sz w:val="10"/>
              </w:rPr>
              <w:t>CoDe</w:t>
            </w:r>
          </w:p>
          <w:p w:rsidR="00CE0713" w:rsidRPr="002D083E" w:rsidRDefault="00CE0713" w:rsidP="00372966">
            <w:pPr>
              <w:ind w:right="2160"/>
              <w:rPr>
                <w:lang w:val="el-GR"/>
              </w:rPr>
            </w:pPr>
          </w:p>
          <w:p w:rsidR="00CE0713" w:rsidRPr="002D083E" w:rsidRDefault="00CE0713" w:rsidP="00372966">
            <w:pPr>
              <w:spacing w:before="111"/>
              <w:ind w:left="144" w:right="144"/>
              <w:rPr>
                <w:lang w:val="el-GR"/>
              </w:rPr>
            </w:pPr>
          </w:p>
          <w:p w:rsidR="00CE0713" w:rsidRPr="002D083E" w:rsidRDefault="00CE0713" w:rsidP="00372966">
            <w:pPr>
              <w:ind w:left="144" w:right="144"/>
              <w:rPr>
                <w:lang w:val="el-GR"/>
              </w:rPr>
            </w:pPr>
          </w:p>
          <w:p w:rsidR="00CE0713" w:rsidRPr="002D083E" w:rsidRDefault="00CE0713" w:rsidP="00372966">
            <w:pPr>
              <w:ind w:left="144" w:right="144"/>
              <w:rPr>
                <w:lang w:val="el-GR"/>
              </w:rPr>
            </w:pPr>
          </w:p>
        </w:tc>
      </w:tr>
      <w:tr w:rsidR="00CE0713" w:rsidRPr="002D7931" w:rsidTr="00372966">
        <w:trPr>
          <w:cantSplit/>
          <w:trHeight w:hRule="exact" w:val="5760"/>
        </w:trPr>
        <w:tc>
          <w:tcPr>
            <w:tcW w:w="8640" w:type="dxa"/>
          </w:tcPr>
          <w:p w:rsidR="00CE0713" w:rsidRPr="00082BD8" w:rsidRDefault="00CE0713" w:rsidP="00372966">
            <w:pPr>
              <w:ind w:right="36"/>
              <w:rPr>
                <w:b/>
                <w:lang w:val="el-GR"/>
              </w:rPr>
            </w:pPr>
            <w:r>
              <w:rPr>
                <w:b/>
              </w:rPr>
              <w:t>B</w:t>
            </w:r>
            <w:r w:rsidRPr="002D083E">
              <w:rPr>
                <w:b/>
                <w:lang w:val="el-GR"/>
              </w:rPr>
              <w:t xml:space="preserve">.    </w:t>
            </w:r>
            <w:r>
              <w:rPr>
                <w:b/>
                <w:lang w:val="el-GR"/>
              </w:rPr>
              <w:t>Δοκιμασία 3</w:t>
            </w:r>
            <w:r w:rsidRPr="00082BD8">
              <w:rPr>
                <w:b/>
                <w:lang w:val="el-GR"/>
              </w:rPr>
              <w:t xml:space="preserve"> – </w:t>
            </w:r>
            <w:r>
              <w:rPr>
                <w:b/>
                <w:lang w:val="el-GR"/>
              </w:rPr>
              <w:t>Χρήση Τηλεφώνου</w:t>
            </w: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r w:rsidRPr="002D083E">
              <w:rPr>
                <w:bCs/>
                <w:sz w:val="36"/>
                <w:lang w:val="el-GR"/>
              </w:rPr>
              <w:t>Εάν πραγματοποιήσεις μια υπεραστική κλήση  την Κυριακή το βράδυ από τις 10:30 μμ μέχρι τις 11:00 μμ, ποιες χρεώσεις ισχύουν για υπεραστικές κλήσεις; Πρώτα βρείτε την περιοχή σε αυτή την σελίδα. Μπορείτε να χρησιμοποιήσετε ένα στυλό για να βρείτε την τοποθεσία σε αυτή τη σελίδα. Παρακαλώ</w:t>
            </w:r>
            <w:r>
              <w:rPr>
                <w:bCs/>
                <w:sz w:val="36"/>
                <w:lang w:val="el-GR"/>
              </w:rPr>
              <w:t>,</w:t>
            </w:r>
            <w:r w:rsidRPr="002D083E">
              <w:rPr>
                <w:bCs/>
                <w:sz w:val="36"/>
                <w:lang w:val="el-GR"/>
              </w:rPr>
              <w:t xml:space="preserve"> </w:t>
            </w:r>
            <w:r w:rsidRPr="00EB186C">
              <w:rPr>
                <w:bCs/>
                <w:sz w:val="36"/>
                <w:u w:val="single"/>
                <w:lang w:val="el-GR"/>
              </w:rPr>
              <w:t>πείτε</w:t>
            </w:r>
            <w:r w:rsidRPr="002D083E">
              <w:rPr>
                <w:bCs/>
                <w:sz w:val="36"/>
                <w:lang w:val="el-GR"/>
              </w:rPr>
              <w:t xml:space="preserve"> μου ποιες χρεώσεις πιστεύετε ότι ισχύουν.</w:t>
            </w:r>
          </w:p>
          <w:p w:rsidR="00CE0713" w:rsidRPr="00EB186C" w:rsidRDefault="00CE0713" w:rsidP="00372966">
            <w:pPr>
              <w:ind w:right="2160"/>
              <w:rPr>
                <w:lang w:val="el-GR"/>
              </w:rPr>
            </w:pPr>
          </w:p>
          <w:p w:rsidR="00CE0713" w:rsidRPr="002D083E" w:rsidRDefault="00CE0713" w:rsidP="00372966">
            <w:pPr>
              <w:ind w:right="2160"/>
              <w:rPr>
                <w:lang w:val="el-GR"/>
              </w:rPr>
            </w:pPr>
          </w:p>
          <w:p w:rsidR="00CE0713" w:rsidRPr="00EB186C" w:rsidRDefault="00CE0713" w:rsidP="00372966">
            <w:pPr>
              <w:ind w:right="2160"/>
              <w:rPr>
                <w:lang w:val="el-GR"/>
              </w:rPr>
            </w:pPr>
            <w:r>
              <w:rPr>
                <w:lang w:val="el-GR"/>
              </w:rPr>
              <w:t>Κάρτα</w:t>
            </w:r>
            <w:r w:rsidRPr="00EB186C">
              <w:rPr>
                <w:lang w:val="el-GR"/>
              </w:rPr>
              <w:t xml:space="preserve"> </w:t>
            </w:r>
            <w:r>
              <w:rPr>
                <w:lang w:val="el-GR"/>
              </w:rPr>
              <w:t>10</w:t>
            </w:r>
            <w:r w:rsidRPr="00EB186C">
              <w:rPr>
                <w:lang w:val="el-GR"/>
              </w:rPr>
              <w:t xml:space="preserve"> </w:t>
            </w:r>
            <w:r w:rsidRPr="00EB186C">
              <w:rPr>
                <w:sz w:val="10"/>
                <w:lang w:val="el-GR"/>
              </w:rPr>
              <w:t>(</w:t>
            </w:r>
            <w:r>
              <w:rPr>
                <w:sz w:val="10"/>
              </w:rPr>
              <w:t>SoFa</w:t>
            </w:r>
            <w:r w:rsidRPr="00EB186C">
              <w:rPr>
                <w:sz w:val="10"/>
                <w:lang w:val="el-GR"/>
              </w:rPr>
              <w:t xml:space="preserve"> </w:t>
            </w:r>
            <w:r>
              <w:rPr>
                <w:sz w:val="10"/>
              </w:rPr>
              <w:t>CoDe</w:t>
            </w:r>
          </w:p>
          <w:p w:rsidR="00CE0713" w:rsidRPr="00EB186C" w:rsidRDefault="00CE0713" w:rsidP="00372966">
            <w:pPr>
              <w:ind w:right="2160"/>
              <w:rPr>
                <w:lang w:val="el-GR"/>
              </w:rPr>
            </w:pPr>
          </w:p>
          <w:p w:rsidR="00CE0713" w:rsidRPr="00EB186C" w:rsidRDefault="00CE0713" w:rsidP="00372966">
            <w:pPr>
              <w:spacing w:before="111"/>
              <w:ind w:left="144" w:right="144"/>
              <w:rPr>
                <w:lang w:val="el-GR"/>
              </w:rPr>
            </w:pPr>
          </w:p>
          <w:p w:rsidR="00CE0713" w:rsidRPr="00EB186C" w:rsidRDefault="00CE0713" w:rsidP="00372966">
            <w:pPr>
              <w:ind w:left="144" w:right="144"/>
              <w:rPr>
                <w:lang w:val="el-GR"/>
              </w:rPr>
            </w:pPr>
          </w:p>
          <w:p w:rsidR="00CE0713" w:rsidRPr="00EB186C" w:rsidRDefault="00CE0713" w:rsidP="00372966">
            <w:pPr>
              <w:ind w:left="144" w:right="144"/>
              <w:rPr>
                <w:lang w:val="el-GR"/>
              </w:rPr>
            </w:pPr>
          </w:p>
        </w:tc>
      </w:tr>
    </w:tbl>
    <w:p w:rsidR="00CE0713" w:rsidRPr="00EB186C" w:rsidRDefault="00CE0713" w:rsidP="00CE0713">
      <w:pPr>
        <w:ind w:left="144" w:right="144"/>
        <w:rPr>
          <w:lang w:val="el-GR"/>
        </w:rPr>
      </w:pPr>
      <w:r w:rsidRPr="00EB186C">
        <w:rPr>
          <w:lang w:val="el-GR"/>
        </w:rPr>
        <w:br w:type="page"/>
      </w:r>
    </w:p>
    <w:tbl>
      <w:tblPr>
        <w:tblW w:w="0" w:type="auto"/>
        <w:tblLayout w:type="fixed"/>
        <w:tblCellMar>
          <w:left w:w="72" w:type="dxa"/>
          <w:right w:w="72" w:type="dxa"/>
        </w:tblCellMar>
        <w:tblLook w:val="0000" w:firstRow="0" w:lastRow="0" w:firstColumn="0" w:lastColumn="0" w:noHBand="0" w:noVBand="0"/>
      </w:tblPr>
      <w:tblGrid>
        <w:gridCol w:w="8640"/>
      </w:tblGrid>
      <w:tr w:rsidR="00CE0713" w:rsidTr="00372966">
        <w:trPr>
          <w:cantSplit/>
          <w:trHeight w:hRule="exact" w:val="5760"/>
        </w:trPr>
        <w:tc>
          <w:tcPr>
            <w:tcW w:w="8640" w:type="dxa"/>
          </w:tcPr>
          <w:p w:rsidR="00CE0713" w:rsidRPr="002D083E" w:rsidRDefault="00CE0713" w:rsidP="00372966">
            <w:pPr>
              <w:ind w:right="36"/>
              <w:rPr>
                <w:b/>
                <w:lang w:val="el-GR"/>
              </w:rPr>
            </w:pPr>
            <w:r>
              <w:rPr>
                <w:b/>
                <w:lang w:val="el-GR"/>
              </w:rPr>
              <w:t>Γ</w:t>
            </w:r>
            <w:r w:rsidRPr="002D083E">
              <w:rPr>
                <w:b/>
                <w:lang w:val="el-GR"/>
              </w:rPr>
              <w:t xml:space="preserve">.  </w:t>
            </w:r>
            <w:r>
              <w:rPr>
                <w:b/>
                <w:lang w:val="el-GR"/>
              </w:rPr>
              <w:t>Δοκιμασία</w:t>
            </w:r>
            <w:r w:rsidRPr="002D083E">
              <w:rPr>
                <w:b/>
                <w:lang w:val="el-GR"/>
              </w:rPr>
              <w:t xml:space="preserve"> 1 – </w:t>
            </w:r>
            <w:r>
              <w:rPr>
                <w:b/>
                <w:lang w:val="el-GR"/>
              </w:rPr>
              <w:t>Διαχείριση οικονομικών</w:t>
            </w:r>
          </w:p>
          <w:p w:rsidR="00CE0713" w:rsidRPr="002D083E" w:rsidRDefault="00CE0713" w:rsidP="00372966">
            <w:pPr>
              <w:ind w:right="36"/>
              <w:rPr>
                <w:b/>
                <w:lang w:val="el-GR"/>
              </w:rPr>
            </w:pPr>
          </w:p>
          <w:p w:rsidR="00CE0713" w:rsidRPr="002D083E" w:rsidRDefault="00CE0713" w:rsidP="00372966">
            <w:pPr>
              <w:ind w:right="36"/>
              <w:rPr>
                <w:b/>
                <w:lang w:val="el-GR"/>
              </w:rPr>
            </w:pPr>
          </w:p>
          <w:p w:rsidR="00CE0713" w:rsidRPr="002D083E" w:rsidRDefault="00CE0713" w:rsidP="00372966">
            <w:pPr>
              <w:ind w:right="36"/>
              <w:rPr>
                <w:b/>
                <w:lang w:val="el-GR"/>
              </w:rPr>
            </w:pPr>
          </w:p>
          <w:p w:rsidR="00CE0713" w:rsidRPr="002D083E" w:rsidRDefault="00CE0713" w:rsidP="00372966">
            <w:pPr>
              <w:ind w:right="36"/>
              <w:rPr>
                <w:b/>
                <w:lang w:val="el-GR"/>
              </w:rPr>
            </w:pPr>
          </w:p>
          <w:p w:rsidR="00CE0713" w:rsidRPr="002D083E" w:rsidRDefault="00CE0713" w:rsidP="00372966">
            <w:pPr>
              <w:ind w:right="36"/>
              <w:rPr>
                <w:lang w:val="el-GR"/>
              </w:rPr>
            </w:pPr>
            <w:r w:rsidRPr="002D083E">
              <w:rPr>
                <w:bCs/>
                <w:sz w:val="36"/>
                <w:lang w:val="el-GR"/>
              </w:rPr>
              <w:t>Παρακαλώ υπολογίστε τα ρέστα που θα πάρει ο πελάτης εάν πλήρωνε με ένα χαρτονόμισμα των  €10.00</w:t>
            </w: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2160"/>
              <w:rPr>
                <w:lang w:val="el-GR"/>
              </w:rPr>
            </w:pPr>
          </w:p>
          <w:p w:rsidR="00CE0713" w:rsidRPr="002D083E" w:rsidRDefault="00CE0713" w:rsidP="00372966">
            <w:pPr>
              <w:ind w:right="2160"/>
              <w:rPr>
                <w:lang w:val="el-GR"/>
              </w:rPr>
            </w:pPr>
          </w:p>
          <w:p w:rsidR="00CE0713" w:rsidRPr="002D083E" w:rsidRDefault="00CE0713" w:rsidP="00372966">
            <w:pPr>
              <w:ind w:right="2160"/>
              <w:rPr>
                <w:lang w:val="el-GR"/>
              </w:rPr>
            </w:pPr>
          </w:p>
          <w:p w:rsidR="00CE0713" w:rsidRDefault="00CE0713" w:rsidP="00372966">
            <w:pPr>
              <w:ind w:right="2160"/>
            </w:pPr>
            <w:r>
              <w:rPr>
                <w:lang w:val="el-GR"/>
              </w:rPr>
              <w:t>Κάρτα</w:t>
            </w:r>
            <w:r>
              <w:t xml:space="preserve"> </w:t>
            </w:r>
            <w:r>
              <w:rPr>
                <w:lang w:val="el-GR"/>
              </w:rPr>
              <w:t>11</w:t>
            </w:r>
            <w:r>
              <w:t xml:space="preserve"> </w:t>
            </w:r>
            <w:r>
              <w:rPr>
                <w:sz w:val="10"/>
              </w:rPr>
              <w:t>(SoFa CoDe</w:t>
            </w:r>
          </w:p>
          <w:p w:rsidR="00CE0713" w:rsidRDefault="00CE0713" w:rsidP="00372966">
            <w:pPr>
              <w:ind w:right="36"/>
              <w:rPr>
                <w:sz w:val="36"/>
              </w:rPr>
            </w:pPr>
          </w:p>
          <w:p w:rsidR="00CE0713" w:rsidRDefault="00CE0713" w:rsidP="00372966">
            <w:pPr>
              <w:spacing w:before="111"/>
              <w:ind w:left="144" w:right="90"/>
            </w:pPr>
          </w:p>
          <w:p w:rsidR="00CE0713" w:rsidRDefault="00CE0713" w:rsidP="00372966">
            <w:pPr>
              <w:ind w:left="144" w:right="90"/>
            </w:pPr>
          </w:p>
          <w:p w:rsidR="00CE0713" w:rsidRDefault="00CE0713" w:rsidP="00372966">
            <w:pPr>
              <w:ind w:left="144" w:right="90"/>
            </w:pPr>
          </w:p>
        </w:tc>
      </w:tr>
      <w:tr w:rsidR="00CE0713" w:rsidRPr="002D7931" w:rsidTr="00372966">
        <w:trPr>
          <w:cantSplit/>
          <w:trHeight w:hRule="exact" w:val="5760"/>
        </w:trPr>
        <w:tc>
          <w:tcPr>
            <w:tcW w:w="8640" w:type="dxa"/>
          </w:tcPr>
          <w:p w:rsidR="00CE0713" w:rsidRPr="002D083E" w:rsidRDefault="00CE0713" w:rsidP="00372966">
            <w:pPr>
              <w:ind w:right="36"/>
              <w:rPr>
                <w:b/>
                <w:lang w:val="el-GR"/>
              </w:rPr>
            </w:pPr>
            <w:r>
              <w:rPr>
                <w:b/>
                <w:lang w:val="el-GR"/>
              </w:rPr>
              <w:t>Γ</w:t>
            </w:r>
            <w:r w:rsidRPr="002D083E">
              <w:rPr>
                <w:b/>
                <w:lang w:val="el-GR"/>
              </w:rPr>
              <w:t xml:space="preserve">.  </w:t>
            </w:r>
            <w:r>
              <w:rPr>
                <w:b/>
                <w:lang w:val="el-GR"/>
              </w:rPr>
              <w:t>Δοκιμασία 2</w:t>
            </w:r>
            <w:r w:rsidRPr="002D083E">
              <w:rPr>
                <w:b/>
                <w:lang w:val="el-GR"/>
              </w:rPr>
              <w:t xml:space="preserve"> – </w:t>
            </w:r>
            <w:r>
              <w:rPr>
                <w:b/>
                <w:lang w:val="el-GR"/>
              </w:rPr>
              <w:t>Διαχείριση οικονομικών</w:t>
            </w: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2D083E" w:rsidRDefault="00CE0713" w:rsidP="00372966">
            <w:pPr>
              <w:ind w:right="36"/>
              <w:rPr>
                <w:lang w:val="el-GR"/>
              </w:rPr>
            </w:pPr>
          </w:p>
          <w:p w:rsidR="00CE0713" w:rsidRPr="00EB186C" w:rsidRDefault="00CE0713" w:rsidP="00372966">
            <w:pPr>
              <w:ind w:right="36"/>
              <w:rPr>
                <w:lang w:val="el-GR"/>
              </w:rPr>
            </w:pPr>
            <w:r w:rsidRPr="002D083E">
              <w:rPr>
                <w:bCs/>
                <w:sz w:val="36"/>
                <w:lang w:val="el-GR"/>
              </w:rPr>
              <w:t xml:space="preserve">Ένα άτομο που καταγράφει  την κίνηση του τραπεζικού λογαριασμού του, περιμένει να πιστωθεί σε αυτόν μια επιταγή των  €50.00 και επίσης να πληρωθεί από αυτόν ένας λογαριασμό ΔΕΗ του ποσού των €29.21. Παρακαλώ υπολογίστε το υπόλοιπο λογαριασμού που θα έχει. </w:t>
            </w:r>
          </w:p>
          <w:p w:rsidR="00CE0713" w:rsidRPr="00EB186C" w:rsidRDefault="00CE0713" w:rsidP="00372966">
            <w:pPr>
              <w:ind w:right="36"/>
              <w:rPr>
                <w:lang w:val="el-GR"/>
              </w:rPr>
            </w:pPr>
          </w:p>
          <w:p w:rsidR="00CE0713" w:rsidRPr="00EB186C" w:rsidRDefault="00CE0713" w:rsidP="00372966">
            <w:pPr>
              <w:ind w:right="36"/>
              <w:rPr>
                <w:lang w:val="el-GR"/>
              </w:rPr>
            </w:pPr>
          </w:p>
          <w:p w:rsidR="00CE0713" w:rsidRPr="002D083E" w:rsidRDefault="00CE0713" w:rsidP="00372966">
            <w:pPr>
              <w:ind w:right="2160"/>
              <w:rPr>
                <w:lang w:val="el-GR"/>
              </w:rPr>
            </w:pPr>
          </w:p>
          <w:p w:rsidR="00CE0713" w:rsidRPr="00EB186C" w:rsidRDefault="00CE0713" w:rsidP="00372966">
            <w:pPr>
              <w:ind w:right="2160"/>
              <w:rPr>
                <w:lang w:val="el-GR"/>
              </w:rPr>
            </w:pPr>
          </w:p>
          <w:p w:rsidR="00CE0713" w:rsidRPr="00EB186C" w:rsidRDefault="00CE0713" w:rsidP="00372966">
            <w:pPr>
              <w:ind w:right="2160"/>
              <w:rPr>
                <w:lang w:val="el-GR"/>
              </w:rPr>
            </w:pPr>
          </w:p>
          <w:p w:rsidR="00CE0713" w:rsidRPr="00EB186C" w:rsidRDefault="00CE0713" w:rsidP="00372966">
            <w:pPr>
              <w:ind w:right="2160"/>
              <w:rPr>
                <w:lang w:val="el-GR"/>
              </w:rPr>
            </w:pPr>
            <w:r>
              <w:rPr>
                <w:lang w:val="el-GR"/>
              </w:rPr>
              <w:t>Κάρτα</w:t>
            </w:r>
            <w:r w:rsidRPr="00EB186C">
              <w:rPr>
                <w:lang w:val="el-GR"/>
              </w:rPr>
              <w:t xml:space="preserve"> 12 </w:t>
            </w:r>
            <w:r w:rsidRPr="00EB186C">
              <w:rPr>
                <w:sz w:val="10"/>
                <w:lang w:val="el-GR"/>
              </w:rPr>
              <w:t>(</w:t>
            </w:r>
            <w:r>
              <w:rPr>
                <w:sz w:val="10"/>
              </w:rPr>
              <w:t>SoFa</w:t>
            </w:r>
            <w:r w:rsidRPr="00EB186C">
              <w:rPr>
                <w:sz w:val="10"/>
                <w:lang w:val="el-GR"/>
              </w:rPr>
              <w:t xml:space="preserve"> </w:t>
            </w:r>
            <w:r>
              <w:rPr>
                <w:sz w:val="10"/>
              </w:rPr>
              <w:t>CoDe</w:t>
            </w:r>
          </w:p>
          <w:p w:rsidR="00CE0713" w:rsidRPr="00EB186C" w:rsidRDefault="00CE0713" w:rsidP="00372966">
            <w:pPr>
              <w:ind w:right="36"/>
              <w:rPr>
                <w:sz w:val="36"/>
                <w:lang w:val="el-GR"/>
              </w:rPr>
            </w:pPr>
          </w:p>
          <w:p w:rsidR="00CE0713" w:rsidRPr="00EB186C" w:rsidRDefault="00CE0713" w:rsidP="00372966">
            <w:pPr>
              <w:spacing w:before="111"/>
              <w:ind w:left="144" w:right="90"/>
              <w:rPr>
                <w:lang w:val="el-GR"/>
              </w:rPr>
            </w:pPr>
          </w:p>
          <w:p w:rsidR="00CE0713" w:rsidRPr="00EB186C" w:rsidRDefault="00CE0713" w:rsidP="00372966">
            <w:pPr>
              <w:ind w:left="144" w:right="90"/>
              <w:rPr>
                <w:lang w:val="el-GR"/>
              </w:rPr>
            </w:pPr>
          </w:p>
          <w:p w:rsidR="00CE0713" w:rsidRPr="00EB186C" w:rsidRDefault="00CE0713" w:rsidP="00372966">
            <w:pPr>
              <w:ind w:left="144" w:right="90"/>
              <w:rPr>
                <w:lang w:val="el-GR"/>
              </w:rPr>
            </w:pPr>
          </w:p>
        </w:tc>
      </w:tr>
    </w:tbl>
    <w:p w:rsidR="00CE0713" w:rsidRPr="00EB186C" w:rsidRDefault="00CE0713" w:rsidP="00CE0713">
      <w:pPr>
        <w:ind w:left="144" w:right="144"/>
        <w:rPr>
          <w:lang w:val="el-GR"/>
        </w:rPr>
      </w:pPr>
      <w:r w:rsidRPr="00EB186C">
        <w:rPr>
          <w:lang w:val="el-GR"/>
        </w:rPr>
        <w:br w:type="page"/>
      </w:r>
    </w:p>
    <w:tbl>
      <w:tblPr>
        <w:tblW w:w="8640" w:type="dxa"/>
        <w:tblLayout w:type="fixed"/>
        <w:tblCellMar>
          <w:left w:w="72" w:type="dxa"/>
          <w:right w:w="72" w:type="dxa"/>
        </w:tblCellMar>
        <w:tblLook w:val="0000" w:firstRow="0" w:lastRow="0" w:firstColumn="0" w:lastColumn="0" w:noHBand="0" w:noVBand="0"/>
      </w:tblPr>
      <w:tblGrid>
        <w:gridCol w:w="8640"/>
      </w:tblGrid>
      <w:tr w:rsidR="00CE0713" w:rsidTr="00372966">
        <w:trPr>
          <w:cantSplit/>
          <w:trHeight w:hRule="exact" w:val="5760"/>
        </w:trPr>
        <w:tc>
          <w:tcPr>
            <w:tcW w:w="8640" w:type="dxa"/>
          </w:tcPr>
          <w:p w:rsidR="00CE0713" w:rsidRPr="002D083E" w:rsidRDefault="00CE0713" w:rsidP="00372966">
            <w:pPr>
              <w:ind w:right="36"/>
              <w:rPr>
                <w:b/>
                <w:lang w:val="el-GR"/>
              </w:rPr>
            </w:pPr>
            <w:r>
              <w:rPr>
                <w:b/>
                <w:lang w:val="el-GR"/>
              </w:rPr>
              <w:t>Γ</w:t>
            </w:r>
            <w:r w:rsidRPr="002D083E">
              <w:rPr>
                <w:b/>
                <w:lang w:val="el-GR"/>
              </w:rPr>
              <w:t xml:space="preserve">.  </w:t>
            </w:r>
            <w:r>
              <w:rPr>
                <w:b/>
                <w:lang w:val="el-GR"/>
              </w:rPr>
              <w:t>Δοκιμασία 3</w:t>
            </w:r>
            <w:r w:rsidRPr="002D083E">
              <w:rPr>
                <w:b/>
                <w:lang w:val="el-GR"/>
              </w:rPr>
              <w:t xml:space="preserve"> – </w:t>
            </w:r>
            <w:r>
              <w:rPr>
                <w:b/>
                <w:lang w:val="el-GR"/>
              </w:rPr>
              <w:t>Διαχείριση οικονομικών</w:t>
            </w:r>
          </w:p>
          <w:p w:rsidR="00CE0713" w:rsidRPr="00713B2D" w:rsidRDefault="00CE0713" w:rsidP="00372966">
            <w:pPr>
              <w:ind w:right="36"/>
              <w:rPr>
                <w:lang w:val="el-GR"/>
              </w:rPr>
            </w:pPr>
          </w:p>
          <w:p w:rsidR="00CE0713" w:rsidRPr="00713B2D" w:rsidRDefault="00CE0713" w:rsidP="00372966">
            <w:pPr>
              <w:ind w:right="36"/>
              <w:rPr>
                <w:lang w:val="el-GR"/>
              </w:rPr>
            </w:pPr>
          </w:p>
          <w:p w:rsidR="00CE0713" w:rsidRPr="00EB186C" w:rsidRDefault="00CE0713" w:rsidP="00372966">
            <w:pPr>
              <w:ind w:right="36"/>
              <w:rPr>
                <w:b/>
                <w:sz w:val="36"/>
                <w:lang w:val="el-GR"/>
              </w:rPr>
            </w:pPr>
            <w:r w:rsidRPr="00713B2D">
              <w:rPr>
                <w:sz w:val="36"/>
                <w:lang w:val="el-GR"/>
              </w:rPr>
              <w:t>Αυτός είναι ένας λογαριασμός της ΔΕΗ που ήρθε με το ταχυδρομείο. Επισκέπτεστε την τράπεζά σας και εκφράζετε την επιθυμία να πληρώνεται κάθε λογαριασμός της ΔΕΗ μέχρι του ποσού των 200 € απευθείας με χρέωση του τραπεζικού λογαριασμού που διατηρείται σε αυτήν. Σας δίνουν το παρόν έντυπο για να το συμπληρώσετε. Παρακαλώ συμπληρώστε όλα τα στοιχεία που είναι απαραίτητα για να ολοκληρωθεί αυτή η διαδικασία.</w:t>
            </w:r>
            <w:r>
              <w:rPr>
                <w:sz w:val="36"/>
                <w:lang w:val="el-GR"/>
              </w:rPr>
              <w:t xml:space="preserve"> </w:t>
            </w:r>
            <w:r w:rsidRPr="00EB186C">
              <w:rPr>
                <w:sz w:val="36"/>
                <w:lang w:val="el-GR"/>
              </w:rPr>
              <w:t>Μπορείτε να χρησιμοποιήσετε ένα ψεύτικο όνομα και διεύθυνση, για να διατηρηθεί η ανωνυμία σας.</w:t>
            </w:r>
          </w:p>
          <w:p w:rsidR="00CE0713" w:rsidRPr="00713B2D" w:rsidRDefault="00CE0713" w:rsidP="00372966">
            <w:pPr>
              <w:ind w:right="36"/>
              <w:rPr>
                <w:b/>
                <w:sz w:val="36"/>
                <w:lang w:val="el-GR"/>
              </w:rPr>
            </w:pPr>
            <w:r w:rsidRPr="00713B2D">
              <w:rPr>
                <w:b/>
                <w:sz w:val="36"/>
                <w:lang w:val="el-GR"/>
              </w:rPr>
              <w:t xml:space="preserve"> </w:t>
            </w:r>
          </w:p>
          <w:p w:rsidR="00CE0713" w:rsidRPr="00713B2D" w:rsidRDefault="00CE0713" w:rsidP="00372966">
            <w:pPr>
              <w:ind w:right="2160"/>
              <w:rPr>
                <w:lang w:val="el-GR"/>
              </w:rPr>
            </w:pPr>
          </w:p>
          <w:p w:rsidR="00CE0713" w:rsidRDefault="00CE0713" w:rsidP="00372966">
            <w:pPr>
              <w:ind w:right="2160"/>
            </w:pPr>
            <w:r>
              <w:rPr>
                <w:lang w:val="el-GR"/>
              </w:rPr>
              <w:t>Κάρτα</w:t>
            </w:r>
            <w:r>
              <w:t xml:space="preserve"> 1</w:t>
            </w:r>
            <w:r>
              <w:rPr>
                <w:lang w:val="el-GR"/>
              </w:rPr>
              <w:t>3</w:t>
            </w:r>
            <w:r>
              <w:t xml:space="preserve"> </w:t>
            </w:r>
            <w:r>
              <w:rPr>
                <w:sz w:val="10"/>
              </w:rPr>
              <w:t>(SoFa CoDe</w:t>
            </w:r>
          </w:p>
          <w:p w:rsidR="00CE0713" w:rsidRDefault="00CE0713" w:rsidP="00372966">
            <w:pPr>
              <w:spacing w:before="111"/>
              <w:ind w:left="144" w:right="144"/>
            </w:pPr>
          </w:p>
          <w:p w:rsidR="00CE0713" w:rsidRDefault="00CE0713" w:rsidP="00372966">
            <w:pPr>
              <w:ind w:left="144" w:right="144"/>
            </w:pPr>
          </w:p>
          <w:p w:rsidR="00CE0713" w:rsidRDefault="00CE0713" w:rsidP="00372966">
            <w:pPr>
              <w:ind w:left="144" w:right="144"/>
            </w:pPr>
          </w:p>
        </w:tc>
      </w:tr>
    </w:tbl>
    <w:p w:rsidR="00CE0713" w:rsidRDefault="00CE0713" w:rsidP="00CE0713">
      <w:pPr>
        <w:ind w:left="144" w:right="144"/>
        <w:rPr>
          <w:vanish/>
        </w:rPr>
      </w:pPr>
    </w:p>
    <w:p w:rsidR="00CE0713" w:rsidRPr="00CE0713" w:rsidRDefault="00CE0713" w:rsidP="00CE0713"/>
    <w:p w:rsidR="00CE0713" w:rsidRPr="00CE0713" w:rsidRDefault="00CE0713" w:rsidP="00CE0713">
      <w:pPr>
        <w:rPr>
          <w:rFonts w:ascii="Times New Roman" w:eastAsiaTheme="majorEastAsia" w:hAnsi="Times New Roman" w:cstheme="majorBidi"/>
          <w:b/>
          <w:bCs/>
          <w:szCs w:val="32"/>
        </w:rPr>
      </w:pPr>
      <w:r>
        <w:br w:type="page"/>
      </w:r>
    </w:p>
    <w:p w:rsidR="00020E1F" w:rsidRPr="00EA632F" w:rsidRDefault="00C34AA2" w:rsidP="00DA7E68">
      <w:pPr>
        <w:pStyle w:val="Heading1"/>
      </w:pPr>
      <w:bookmarkStart w:id="237" w:name="_Toc521184292"/>
      <w:r w:rsidRPr="006F329A">
        <w:t>Appendix</w:t>
      </w:r>
      <w:r w:rsidRPr="00EA632F">
        <w:t xml:space="preserve"> </w:t>
      </w:r>
      <w:r w:rsidRPr="006F329A">
        <w:t>V</w:t>
      </w:r>
      <w:bookmarkEnd w:id="237"/>
    </w:p>
    <w:p w:rsidR="00020E1F" w:rsidRPr="00FB7A4E" w:rsidRDefault="00FB7A4E" w:rsidP="00FE028D">
      <w:pPr>
        <w:pStyle w:val="Heading2"/>
        <w:rPr>
          <w:lang w:val="el-GR"/>
        </w:rPr>
      </w:pPr>
      <w:bookmarkStart w:id="238" w:name="_Toc521184293"/>
      <w:r>
        <w:t>The</w:t>
      </w:r>
      <w:r w:rsidRPr="00FB7A4E">
        <w:rPr>
          <w:lang w:val="el-GR"/>
        </w:rPr>
        <w:t xml:space="preserve"> </w:t>
      </w:r>
      <w:r>
        <w:t>EPT</w:t>
      </w:r>
      <w:r w:rsidRPr="00FB7A4E">
        <w:rPr>
          <w:lang w:val="el-GR"/>
        </w:rPr>
        <w:t>-</w:t>
      </w:r>
      <w:r>
        <w:t>G</w:t>
      </w:r>
      <w:bookmarkEnd w:id="238"/>
    </w:p>
    <w:p w:rsidR="00C34AA2" w:rsidRPr="00FB7A4E" w:rsidRDefault="00C34AA2" w:rsidP="00FB7A4E">
      <w:pPr>
        <w:spacing w:line="480" w:lineRule="auto"/>
        <w:rPr>
          <w:b/>
          <w:lang w:val="el-GR"/>
        </w:rPr>
      </w:pPr>
      <w:r w:rsidRPr="006F212C">
        <w:rPr>
          <w:b/>
          <w:lang w:val="el-GR"/>
        </w:rPr>
        <w:t>Διάγραμμα: Διαλέγοντας Γυαλιστικά Προϊόντα Επίπλων</w:t>
      </w:r>
    </w:p>
    <w:p w:rsidR="00C34AA2" w:rsidRPr="00910D74" w:rsidRDefault="00C34AA2" w:rsidP="00C34AA2">
      <w:pPr>
        <w:spacing w:line="480" w:lineRule="auto"/>
        <w:ind w:left="360"/>
        <w:rPr>
          <w:lang w:val="el-GR"/>
        </w:rPr>
      </w:pPr>
      <w:r>
        <w:rPr>
          <w:noProof/>
          <w:lang w:eastAsia="zh-CN"/>
        </w:rPr>
        <w:drawing>
          <wp:inline distT="0" distB="0" distL="0" distR="0">
            <wp:extent cx="5232400" cy="5448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01-02 at 22.18.33.png"/>
                    <pic:cNvPicPr/>
                  </pic:nvPicPr>
                  <pic:blipFill>
                    <a:blip r:embed="rId114">
                      <a:extLst>
                        <a:ext uri="{28A0092B-C50C-407E-A947-70E740481C1C}">
                          <a14:useLocalDpi xmlns:a14="http://schemas.microsoft.com/office/drawing/2010/main" val="0"/>
                        </a:ext>
                      </a:extLst>
                    </a:blip>
                    <a:stretch>
                      <a:fillRect/>
                    </a:stretch>
                  </pic:blipFill>
                  <pic:spPr>
                    <a:xfrm>
                      <a:off x="0" y="0"/>
                      <a:ext cx="5232400" cy="5448300"/>
                    </a:xfrm>
                    <a:prstGeom prst="rect">
                      <a:avLst/>
                    </a:prstGeom>
                  </pic:spPr>
                </pic:pic>
              </a:graphicData>
            </a:graphic>
          </wp:inline>
        </w:drawing>
      </w:r>
    </w:p>
    <w:p w:rsidR="00C34AA2" w:rsidRPr="00910D74" w:rsidRDefault="00C34AA2" w:rsidP="00224991">
      <w:pPr>
        <w:pStyle w:val="ListParagraph"/>
        <w:numPr>
          <w:ilvl w:val="0"/>
          <w:numId w:val="14"/>
        </w:numPr>
        <w:spacing w:after="0" w:line="360" w:lineRule="auto"/>
        <w:rPr>
          <w:lang w:val="el-GR"/>
        </w:rPr>
      </w:pPr>
      <w:r w:rsidRPr="00910D74">
        <w:rPr>
          <w:lang w:val="el-GR"/>
        </w:rPr>
        <w:t>Ποιο προϊόν πρέπει να χρησιμοποιήσετε για να κ</w:t>
      </w:r>
      <w:r>
        <w:rPr>
          <w:lang w:val="el-GR"/>
        </w:rPr>
        <w:t>αλύψετε</w:t>
      </w:r>
      <w:r w:rsidRPr="00910D74">
        <w:rPr>
          <w:lang w:val="el-GR"/>
        </w:rPr>
        <w:t xml:space="preserve"> ατέλειες στο λούστρο του επίπλου</w:t>
      </w:r>
      <w:r>
        <w:rPr>
          <w:lang w:val="el-GR"/>
        </w:rPr>
        <w:t>; _________________________________________________________________________________________</w:t>
      </w:r>
    </w:p>
    <w:p w:rsidR="00C34AA2" w:rsidRDefault="00C34AA2" w:rsidP="00224991">
      <w:pPr>
        <w:pStyle w:val="ListParagraph"/>
        <w:numPr>
          <w:ilvl w:val="0"/>
          <w:numId w:val="14"/>
        </w:numPr>
        <w:spacing w:after="0" w:line="360" w:lineRule="auto"/>
        <w:rPr>
          <w:lang w:val="el-GR"/>
        </w:rPr>
      </w:pPr>
      <w:r w:rsidRPr="00910D74">
        <w:rPr>
          <w:lang w:val="el-GR"/>
        </w:rPr>
        <w:t>Ποιό προϊόν πρέπει να διαλέξετε αν θέλετε την μέγιστη δυνα</w:t>
      </w:r>
      <w:r>
        <w:rPr>
          <w:lang w:val="el-GR"/>
        </w:rPr>
        <w:t>τή προστασία για το έπιπλό σας? ___________________________________________________________________________________</w:t>
      </w:r>
    </w:p>
    <w:p w:rsidR="00C34AA2" w:rsidRPr="00910D74" w:rsidRDefault="00C34AA2" w:rsidP="00C34AA2">
      <w:pPr>
        <w:rPr>
          <w:lang w:val="el-GR"/>
        </w:rPr>
      </w:pPr>
      <w:r>
        <w:rPr>
          <w:lang w:val="el-GR"/>
        </w:rPr>
        <w:br w:type="page"/>
      </w:r>
    </w:p>
    <w:tbl>
      <w:tblPr>
        <w:tblStyle w:val="TableGrid"/>
        <w:tblpPr w:leftFromText="180" w:rightFromText="180" w:vertAnchor="page" w:horzAnchor="margin" w:tblpY="2715"/>
        <w:tblW w:w="9180" w:type="dxa"/>
        <w:tblLayout w:type="fixed"/>
        <w:tblLook w:val="04A0" w:firstRow="1" w:lastRow="0" w:firstColumn="1" w:lastColumn="0" w:noHBand="0" w:noVBand="1"/>
      </w:tblPr>
      <w:tblGrid>
        <w:gridCol w:w="507"/>
        <w:gridCol w:w="1457"/>
        <w:gridCol w:w="1263"/>
        <w:gridCol w:w="1134"/>
        <w:gridCol w:w="1134"/>
        <w:gridCol w:w="1701"/>
        <w:gridCol w:w="992"/>
        <w:gridCol w:w="992"/>
      </w:tblGrid>
      <w:tr w:rsidR="00C34AA2" w:rsidRPr="00910D74" w:rsidTr="00C34AA2">
        <w:tc>
          <w:tcPr>
            <w:tcW w:w="9180" w:type="dxa"/>
            <w:gridSpan w:val="8"/>
            <w:tcBorders>
              <w:bottom w:val="nil"/>
            </w:tcBorders>
          </w:tcPr>
          <w:p w:rsidR="00C34AA2" w:rsidRPr="00910D74" w:rsidRDefault="00C34AA2" w:rsidP="00C34AA2">
            <w:pPr>
              <w:jc w:val="right"/>
              <w:rPr>
                <w:lang w:val="el-GR"/>
              </w:rPr>
            </w:pPr>
            <w:r w:rsidRPr="00910D74">
              <w:rPr>
                <w:lang w:val="el-GR"/>
              </w:rPr>
              <w:t>4 Οκτωβρίου 2013</w:t>
            </w:r>
          </w:p>
        </w:tc>
      </w:tr>
      <w:tr w:rsidR="00C34AA2" w:rsidRPr="002D7931" w:rsidTr="00C34AA2">
        <w:tc>
          <w:tcPr>
            <w:tcW w:w="9180" w:type="dxa"/>
            <w:gridSpan w:val="8"/>
            <w:tcBorders>
              <w:top w:val="nil"/>
            </w:tcBorders>
          </w:tcPr>
          <w:p w:rsidR="00C34AA2" w:rsidRPr="00960A7E" w:rsidRDefault="00C34AA2" w:rsidP="00C34AA2">
            <w:pPr>
              <w:spacing w:line="360" w:lineRule="auto"/>
              <w:rPr>
                <w:rFonts w:ascii="Times New Roman" w:hAnsi="Times New Roman" w:cs="Times New Roman"/>
                <w:lang w:val="el-GR"/>
              </w:rPr>
            </w:pPr>
            <w:r w:rsidRPr="00960A7E">
              <w:rPr>
                <w:rFonts w:ascii="Times New Roman" w:hAnsi="Times New Roman" w:cs="Times New Roman"/>
                <w:lang w:val="el-GR"/>
              </w:rPr>
              <w:t>Αυτό το μέρος του λογαριασμού αφορά τις παρεχόμενες υπηρεσίες από εναλλακτικό πάροχο επικοινωνίας. Επιλέξατε άλλη εταιρία για τις υπεραστικές και διεθνείς σας κλήσεις, διατηρώντας τις υπηρεσίες του ΟΤΕ για τις τοπικές κλήσεις.</w:t>
            </w:r>
          </w:p>
        </w:tc>
      </w:tr>
      <w:tr w:rsidR="00C34AA2" w:rsidRPr="00910D74" w:rsidTr="00C34AA2">
        <w:tc>
          <w:tcPr>
            <w:tcW w:w="507" w:type="dxa"/>
          </w:tcPr>
          <w:p w:rsidR="00C34AA2" w:rsidRPr="00910D74" w:rsidRDefault="00C34AA2" w:rsidP="00C34AA2">
            <w:pPr>
              <w:rPr>
                <w:lang w:val="el-GR"/>
              </w:rPr>
            </w:pPr>
            <w:r w:rsidRPr="00910D74">
              <w:rPr>
                <w:lang w:val="el-GR"/>
              </w:rPr>
              <w:t>Νο</w:t>
            </w:r>
          </w:p>
        </w:tc>
        <w:tc>
          <w:tcPr>
            <w:tcW w:w="1457" w:type="dxa"/>
          </w:tcPr>
          <w:p w:rsidR="00C34AA2" w:rsidRPr="00910D74" w:rsidRDefault="00C34AA2" w:rsidP="00C34AA2">
            <w:pPr>
              <w:rPr>
                <w:lang w:val="el-GR"/>
              </w:rPr>
            </w:pPr>
            <w:r w:rsidRPr="00910D74">
              <w:rPr>
                <w:lang w:val="el-GR"/>
              </w:rPr>
              <w:t>Ημερομηνία</w:t>
            </w:r>
          </w:p>
        </w:tc>
        <w:tc>
          <w:tcPr>
            <w:tcW w:w="1263" w:type="dxa"/>
          </w:tcPr>
          <w:p w:rsidR="00C34AA2" w:rsidRPr="00910D74" w:rsidRDefault="00C34AA2" w:rsidP="00C34AA2">
            <w:pPr>
              <w:rPr>
                <w:lang w:val="el-GR"/>
              </w:rPr>
            </w:pPr>
            <w:r w:rsidRPr="00910D74">
              <w:rPr>
                <w:lang w:val="el-GR"/>
              </w:rPr>
              <w:t>Ώρα</w:t>
            </w:r>
          </w:p>
        </w:tc>
        <w:tc>
          <w:tcPr>
            <w:tcW w:w="1134" w:type="dxa"/>
          </w:tcPr>
          <w:p w:rsidR="00C34AA2" w:rsidRPr="00910D74" w:rsidRDefault="00C34AA2" w:rsidP="00C34AA2">
            <w:pPr>
              <w:rPr>
                <w:lang w:val="el-GR"/>
              </w:rPr>
            </w:pPr>
            <w:r w:rsidRPr="00910D74">
              <w:rPr>
                <w:lang w:val="el-GR"/>
              </w:rPr>
              <w:t xml:space="preserve">Τύπος </w:t>
            </w:r>
          </w:p>
        </w:tc>
        <w:tc>
          <w:tcPr>
            <w:tcW w:w="1134" w:type="dxa"/>
          </w:tcPr>
          <w:p w:rsidR="00C34AA2" w:rsidRPr="00910D74" w:rsidRDefault="00C34AA2" w:rsidP="00C34AA2">
            <w:pPr>
              <w:rPr>
                <w:lang w:val="el-GR"/>
              </w:rPr>
            </w:pPr>
            <w:r w:rsidRPr="00910D74">
              <w:rPr>
                <w:lang w:val="el-GR"/>
              </w:rPr>
              <w:t>Προς</w:t>
            </w:r>
          </w:p>
        </w:tc>
        <w:tc>
          <w:tcPr>
            <w:tcW w:w="1701" w:type="dxa"/>
          </w:tcPr>
          <w:p w:rsidR="00C34AA2" w:rsidRPr="00910D74" w:rsidRDefault="00C34AA2" w:rsidP="00C34AA2">
            <w:pPr>
              <w:rPr>
                <w:lang w:val="el-GR"/>
              </w:rPr>
            </w:pPr>
            <w:r w:rsidRPr="00910D74">
              <w:rPr>
                <w:lang w:val="el-GR"/>
              </w:rPr>
              <w:t>Νούμερο</w:t>
            </w:r>
          </w:p>
        </w:tc>
        <w:tc>
          <w:tcPr>
            <w:tcW w:w="992" w:type="dxa"/>
          </w:tcPr>
          <w:p w:rsidR="00C34AA2" w:rsidRPr="00910D74" w:rsidRDefault="00C34AA2" w:rsidP="00C34AA2">
            <w:pPr>
              <w:rPr>
                <w:lang w:val="el-GR"/>
              </w:rPr>
            </w:pPr>
            <w:r w:rsidRPr="00910D74">
              <w:rPr>
                <w:lang w:val="el-GR"/>
              </w:rPr>
              <w:t>Λεπτά</w:t>
            </w:r>
          </w:p>
        </w:tc>
        <w:tc>
          <w:tcPr>
            <w:tcW w:w="992" w:type="dxa"/>
          </w:tcPr>
          <w:p w:rsidR="00C34AA2" w:rsidRPr="00910D74" w:rsidRDefault="00C34AA2" w:rsidP="00C34AA2">
            <w:pPr>
              <w:rPr>
                <w:lang w:val="el-GR"/>
              </w:rPr>
            </w:pPr>
            <w:r w:rsidRPr="00910D74">
              <w:rPr>
                <w:lang w:val="el-GR"/>
              </w:rPr>
              <w:t>Κόστος</w:t>
            </w:r>
          </w:p>
        </w:tc>
      </w:tr>
      <w:tr w:rsidR="00C34AA2" w:rsidRPr="00910D74" w:rsidTr="00C34AA2">
        <w:tc>
          <w:tcPr>
            <w:tcW w:w="507" w:type="dxa"/>
          </w:tcPr>
          <w:p w:rsidR="00C34AA2" w:rsidRPr="00910D74" w:rsidRDefault="00C34AA2" w:rsidP="00C34AA2">
            <w:pPr>
              <w:rPr>
                <w:lang w:val="el-GR"/>
              </w:rPr>
            </w:pPr>
            <w:r w:rsidRPr="00910D74">
              <w:rPr>
                <w:lang w:val="el-GR"/>
              </w:rPr>
              <w:t>1</w:t>
            </w:r>
          </w:p>
        </w:tc>
        <w:tc>
          <w:tcPr>
            <w:tcW w:w="1457" w:type="dxa"/>
          </w:tcPr>
          <w:p w:rsidR="00C34AA2" w:rsidRPr="00910D74" w:rsidRDefault="00C34AA2" w:rsidP="00C34AA2">
            <w:pPr>
              <w:rPr>
                <w:lang w:val="el-GR"/>
              </w:rPr>
            </w:pPr>
            <w:r w:rsidRPr="00910D74">
              <w:rPr>
                <w:lang w:val="el-GR"/>
              </w:rPr>
              <w:t>Αυγουστ 29</w:t>
            </w:r>
          </w:p>
        </w:tc>
        <w:tc>
          <w:tcPr>
            <w:tcW w:w="1263" w:type="dxa"/>
          </w:tcPr>
          <w:p w:rsidR="00C34AA2" w:rsidRPr="00910D74" w:rsidRDefault="00C34AA2" w:rsidP="00C34AA2">
            <w:pPr>
              <w:rPr>
                <w:lang w:val="el-GR"/>
              </w:rPr>
            </w:pPr>
            <w:r w:rsidRPr="00910D74">
              <w:rPr>
                <w:lang w:val="el-GR"/>
              </w:rPr>
              <w:t>7:28 ΜΜ</w:t>
            </w:r>
          </w:p>
        </w:tc>
        <w:tc>
          <w:tcPr>
            <w:tcW w:w="1134" w:type="dxa"/>
          </w:tcPr>
          <w:p w:rsidR="00C34AA2" w:rsidRPr="00910D74" w:rsidRDefault="00C34AA2" w:rsidP="00C34AA2">
            <w:pPr>
              <w:rPr>
                <w:lang w:val="el-GR"/>
              </w:rPr>
            </w:pPr>
            <w:r w:rsidRPr="00910D74">
              <w:rPr>
                <w:lang w:val="el-GR"/>
              </w:rPr>
              <w:t>Απογευμ</w:t>
            </w:r>
          </w:p>
        </w:tc>
        <w:tc>
          <w:tcPr>
            <w:tcW w:w="1134" w:type="dxa"/>
          </w:tcPr>
          <w:p w:rsidR="00C34AA2" w:rsidRPr="00910D74" w:rsidRDefault="00C34AA2" w:rsidP="00C34AA2">
            <w:pPr>
              <w:rPr>
                <w:lang w:val="el-GR"/>
              </w:rPr>
            </w:pPr>
            <w:r w:rsidRPr="00910D74">
              <w:rPr>
                <w:lang w:val="el-GR"/>
              </w:rPr>
              <w:t>ΑΘΗΝΑ</w:t>
            </w:r>
          </w:p>
        </w:tc>
        <w:tc>
          <w:tcPr>
            <w:tcW w:w="1701" w:type="dxa"/>
          </w:tcPr>
          <w:p w:rsidR="00C34AA2" w:rsidRPr="00910D74" w:rsidRDefault="00C34AA2" w:rsidP="00C34AA2">
            <w:pPr>
              <w:rPr>
                <w:lang w:val="el-GR"/>
              </w:rPr>
            </w:pPr>
            <w:r w:rsidRPr="00910D74">
              <w:rPr>
                <w:lang w:val="el-GR"/>
              </w:rPr>
              <w:t>210-2165551</w:t>
            </w:r>
          </w:p>
        </w:tc>
        <w:tc>
          <w:tcPr>
            <w:tcW w:w="992" w:type="dxa"/>
          </w:tcPr>
          <w:p w:rsidR="00C34AA2" w:rsidRPr="00910D74" w:rsidRDefault="00C34AA2" w:rsidP="00C34AA2">
            <w:pPr>
              <w:jc w:val="right"/>
              <w:rPr>
                <w:lang w:val="el-GR"/>
              </w:rPr>
            </w:pPr>
            <w:r w:rsidRPr="00910D74">
              <w:rPr>
                <w:lang w:val="el-GR"/>
              </w:rPr>
              <w:t>46</w:t>
            </w:r>
          </w:p>
        </w:tc>
        <w:tc>
          <w:tcPr>
            <w:tcW w:w="992" w:type="dxa"/>
          </w:tcPr>
          <w:p w:rsidR="00C34AA2" w:rsidRPr="00910D74" w:rsidRDefault="00C34AA2" w:rsidP="00C34AA2">
            <w:pPr>
              <w:jc w:val="right"/>
              <w:rPr>
                <w:lang w:val="el-GR"/>
              </w:rPr>
            </w:pPr>
            <w:r w:rsidRPr="00910D74">
              <w:rPr>
                <w:lang w:val="el-GR"/>
              </w:rPr>
              <w:t>7.08</w:t>
            </w:r>
          </w:p>
        </w:tc>
      </w:tr>
      <w:tr w:rsidR="00C34AA2" w:rsidRPr="00910D74" w:rsidTr="00C34AA2">
        <w:tc>
          <w:tcPr>
            <w:tcW w:w="507" w:type="dxa"/>
          </w:tcPr>
          <w:p w:rsidR="00C34AA2" w:rsidRPr="00910D74" w:rsidRDefault="00C34AA2" w:rsidP="00C34AA2">
            <w:pPr>
              <w:rPr>
                <w:lang w:val="el-GR"/>
              </w:rPr>
            </w:pPr>
            <w:r w:rsidRPr="00910D74">
              <w:rPr>
                <w:lang w:val="el-GR"/>
              </w:rPr>
              <w:t>2</w:t>
            </w:r>
          </w:p>
        </w:tc>
        <w:tc>
          <w:tcPr>
            <w:tcW w:w="1457" w:type="dxa"/>
          </w:tcPr>
          <w:p w:rsidR="00C34AA2" w:rsidRPr="00910D74" w:rsidRDefault="00C34AA2" w:rsidP="00C34AA2">
            <w:pPr>
              <w:rPr>
                <w:lang w:val="el-GR"/>
              </w:rPr>
            </w:pPr>
            <w:r w:rsidRPr="00910D74">
              <w:rPr>
                <w:lang w:val="el-GR"/>
              </w:rPr>
              <w:t>Αυγουστ 29</w:t>
            </w:r>
          </w:p>
        </w:tc>
        <w:tc>
          <w:tcPr>
            <w:tcW w:w="1263" w:type="dxa"/>
          </w:tcPr>
          <w:p w:rsidR="00C34AA2" w:rsidRPr="00910D74" w:rsidRDefault="00C34AA2" w:rsidP="00C34AA2">
            <w:pPr>
              <w:rPr>
                <w:lang w:val="el-GR"/>
              </w:rPr>
            </w:pPr>
            <w:r w:rsidRPr="00910D74">
              <w:rPr>
                <w:lang w:val="el-GR"/>
              </w:rPr>
              <w:t>8:46 ΜΜ</w:t>
            </w:r>
          </w:p>
        </w:tc>
        <w:tc>
          <w:tcPr>
            <w:tcW w:w="1134" w:type="dxa"/>
          </w:tcPr>
          <w:p w:rsidR="00C34AA2" w:rsidRPr="00910D74" w:rsidRDefault="00C34AA2" w:rsidP="00C34AA2">
            <w:pPr>
              <w:rPr>
                <w:lang w:val="el-GR"/>
              </w:rPr>
            </w:pPr>
            <w:r w:rsidRPr="00910D74">
              <w:rPr>
                <w:lang w:val="el-GR"/>
              </w:rPr>
              <w:t>Απογευμ</w:t>
            </w:r>
          </w:p>
        </w:tc>
        <w:tc>
          <w:tcPr>
            <w:tcW w:w="1134" w:type="dxa"/>
          </w:tcPr>
          <w:p w:rsidR="00C34AA2" w:rsidRPr="00910D74" w:rsidRDefault="00C34AA2" w:rsidP="00C34AA2">
            <w:pPr>
              <w:rPr>
                <w:lang w:val="el-GR"/>
              </w:rPr>
            </w:pPr>
            <w:r w:rsidRPr="00910D74">
              <w:rPr>
                <w:lang w:val="el-GR"/>
              </w:rPr>
              <w:t>ΛΑΡΙΣΑ</w:t>
            </w:r>
          </w:p>
        </w:tc>
        <w:tc>
          <w:tcPr>
            <w:tcW w:w="1701" w:type="dxa"/>
          </w:tcPr>
          <w:p w:rsidR="00C34AA2" w:rsidRPr="00910D74" w:rsidRDefault="00C34AA2" w:rsidP="00C34AA2">
            <w:pPr>
              <w:rPr>
                <w:lang w:val="el-GR"/>
              </w:rPr>
            </w:pPr>
            <w:r w:rsidRPr="00910D74">
              <w:rPr>
                <w:lang w:val="el-GR"/>
              </w:rPr>
              <w:t>2410-614777</w:t>
            </w:r>
          </w:p>
        </w:tc>
        <w:tc>
          <w:tcPr>
            <w:tcW w:w="992" w:type="dxa"/>
          </w:tcPr>
          <w:p w:rsidR="00C34AA2" w:rsidRPr="00910D74" w:rsidRDefault="00C34AA2" w:rsidP="00C34AA2">
            <w:pPr>
              <w:jc w:val="right"/>
              <w:rPr>
                <w:lang w:val="el-GR"/>
              </w:rPr>
            </w:pPr>
            <w:r w:rsidRPr="00910D74">
              <w:rPr>
                <w:lang w:val="el-GR"/>
              </w:rPr>
              <w:t>1</w:t>
            </w:r>
          </w:p>
        </w:tc>
        <w:tc>
          <w:tcPr>
            <w:tcW w:w="992" w:type="dxa"/>
          </w:tcPr>
          <w:p w:rsidR="00C34AA2" w:rsidRPr="00910D74" w:rsidRDefault="00C34AA2" w:rsidP="00C34AA2">
            <w:pPr>
              <w:jc w:val="right"/>
              <w:rPr>
                <w:lang w:val="el-GR"/>
              </w:rPr>
            </w:pPr>
            <w:r w:rsidRPr="00910D74">
              <w:rPr>
                <w:lang w:val="el-GR"/>
              </w:rPr>
              <w:t>.15</w:t>
            </w:r>
          </w:p>
        </w:tc>
      </w:tr>
      <w:tr w:rsidR="00C34AA2" w:rsidRPr="00910D74" w:rsidTr="00C34AA2">
        <w:tc>
          <w:tcPr>
            <w:tcW w:w="507" w:type="dxa"/>
          </w:tcPr>
          <w:p w:rsidR="00C34AA2" w:rsidRPr="00910D74" w:rsidRDefault="00C34AA2" w:rsidP="00C34AA2">
            <w:pPr>
              <w:rPr>
                <w:lang w:val="el-GR"/>
              </w:rPr>
            </w:pPr>
            <w:r w:rsidRPr="00910D74">
              <w:rPr>
                <w:lang w:val="el-GR"/>
              </w:rPr>
              <w:t>3</w:t>
            </w:r>
          </w:p>
        </w:tc>
        <w:tc>
          <w:tcPr>
            <w:tcW w:w="1457" w:type="dxa"/>
          </w:tcPr>
          <w:p w:rsidR="00C34AA2" w:rsidRPr="00910D74" w:rsidRDefault="00C34AA2" w:rsidP="00C34AA2">
            <w:pPr>
              <w:rPr>
                <w:lang w:val="el-GR"/>
              </w:rPr>
            </w:pPr>
            <w:r w:rsidRPr="00910D74">
              <w:rPr>
                <w:lang w:val="el-GR"/>
              </w:rPr>
              <w:t>Αυγουστ 29</w:t>
            </w:r>
          </w:p>
        </w:tc>
        <w:tc>
          <w:tcPr>
            <w:tcW w:w="1263" w:type="dxa"/>
          </w:tcPr>
          <w:p w:rsidR="00C34AA2" w:rsidRPr="00910D74" w:rsidRDefault="00C34AA2" w:rsidP="00C34AA2">
            <w:pPr>
              <w:rPr>
                <w:lang w:val="el-GR"/>
              </w:rPr>
            </w:pPr>
            <w:r w:rsidRPr="00910D74">
              <w:rPr>
                <w:lang w:val="el-GR"/>
              </w:rPr>
              <w:t>8:51 ΜΜ</w:t>
            </w:r>
          </w:p>
        </w:tc>
        <w:tc>
          <w:tcPr>
            <w:tcW w:w="1134" w:type="dxa"/>
          </w:tcPr>
          <w:p w:rsidR="00C34AA2" w:rsidRPr="00910D74" w:rsidRDefault="00C34AA2" w:rsidP="00C34AA2">
            <w:pPr>
              <w:rPr>
                <w:lang w:val="el-GR"/>
              </w:rPr>
            </w:pPr>
            <w:r w:rsidRPr="00910D74">
              <w:rPr>
                <w:lang w:val="el-GR"/>
              </w:rPr>
              <w:t>Απογευμ</w:t>
            </w:r>
          </w:p>
        </w:tc>
        <w:tc>
          <w:tcPr>
            <w:tcW w:w="1134" w:type="dxa"/>
          </w:tcPr>
          <w:p w:rsidR="00C34AA2" w:rsidRPr="00910D74" w:rsidRDefault="00C34AA2" w:rsidP="00C34AA2">
            <w:pPr>
              <w:rPr>
                <w:lang w:val="el-GR"/>
              </w:rPr>
            </w:pPr>
            <w:r w:rsidRPr="00910D74">
              <w:rPr>
                <w:lang w:val="el-GR"/>
              </w:rPr>
              <w:t>ΑΘΗΝΑ</w:t>
            </w:r>
          </w:p>
        </w:tc>
        <w:tc>
          <w:tcPr>
            <w:tcW w:w="1701" w:type="dxa"/>
          </w:tcPr>
          <w:p w:rsidR="00C34AA2" w:rsidRPr="00910D74" w:rsidRDefault="00C34AA2" w:rsidP="00C34AA2">
            <w:pPr>
              <w:rPr>
                <w:lang w:val="el-GR"/>
              </w:rPr>
            </w:pPr>
            <w:r w:rsidRPr="00910D74">
              <w:rPr>
                <w:lang w:val="el-GR"/>
              </w:rPr>
              <w:t>210-2164567</w:t>
            </w:r>
          </w:p>
        </w:tc>
        <w:tc>
          <w:tcPr>
            <w:tcW w:w="992" w:type="dxa"/>
          </w:tcPr>
          <w:p w:rsidR="00C34AA2" w:rsidRPr="00910D74" w:rsidRDefault="00C34AA2" w:rsidP="00C34AA2">
            <w:pPr>
              <w:jc w:val="right"/>
              <w:rPr>
                <w:lang w:val="el-GR"/>
              </w:rPr>
            </w:pPr>
            <w:r w:rsidRPr="00910D74">
              <w:rPr>
                <w:lang w:val="el-GR"/>
              </w:rPr>
              <w:t>1</w:t>
            </w:r>
          </w:p>
        </w:tc>
        <w:tc>
          <w:tcPr>
            <w:tcW w:w="992" w:type="dxa"/>
          </w:tcPr>
          <w:p w:rsidR="00C34AA2" w:rsidRPr="00910D74" w:rsidRDefault="00C34AA2" w:rsidP="00C34AA2">
            <w:pPr>
              <w:jc w:val="right"/>
              <w:rPr>
                <w:lang w:val="el-GR"/>
              </w:rPr>
            </w:pPr>
            <w:r w:rsidRPr="00910D74">
              <w:rPr>
                <w:lang w:val="el-GR"/>
              </w:rPr>
              <w:t>.15</w:t>
            </w:r>
          </w:p>
        </w:tc>
      </w:tr>
      <w:tr w:rsidR="00C34AA2" w:rsidRPr="00910D74" w:rsidTr="00C34AA2">
        <w:tc>
          <w:tcPr>
            <w:tcW w:w="507" w:type="dxa"/>
          </w:tcPr>
          <w:p w:rsidR="00C34AA2" w:rsidRPr="00910D74" w:rsidRDefault="00C34AA2" w:rsidP="00C34AA2">
            <w:pPr>
              <w:rPr>
                <w:lang w:val="el-GR"/>
              </w:rPr>
            </w:pPr>
            <w:r w:rsidRPr="00910D74">
              <w:rPr>
                <w:lang w:val="el-GR"/>
              </w:rPr>
              <w:t>4</w:t>
            </w:r>
          </w:p>
        </w:tc>
        <w:tc>
          <w:tcPr>
            <w:tcW w:w="1457" w:type="dxa"/>
          </w:tcPr>
          <w:p w:rsidR="00C34AA2" w:rsidRPr="00910D74" w:rsidRDefault="00C34AA2" w:rsidP="00C34AA2">
            <w:pPr>
              <w:rPr>
                <w:lang w:val="el-GR"/>
              </w:rPr>
            </w:pPr>
            <w:r w:rsidRPr="00910D74">
              <w:rPr>
                <w:lang w:val="el-GR"/>
              </w:rPr>
              <w:t>Αυγουστ 29</w:t>
            </w:r>
          </w:p>
        </w:tc>
        <w:tc>
          <w:tcPr>
            <w:tcW w:w="1263" w:type="dxa"/>
          </w:tcPr>
          <w:p w:rsidR="00C34AA2" w:rsidRPr="00910D74" w:rsidRDefault="00C34AA2" w:rsidP="00C34AA2">
            <w:pPr>
              <w:rPr>
                <w:lang w:val="el-GR"/>
              </w:rPr>
            </w:pPr>
            <w:r w:rsidRPr="00910D74">
              <w:rPr>
                <w:lang w:val="el-GR"/>
              </w:rPr>
              <w:t>9:28 ΜΜ</w:t>
            </w:r>
          </w:p>
        </w:tc>
        <w:tc>
          <w:tcPr>
            <w:tcW w:w="1134" w:type="dxa"/>
          </w:tcPr>
          <w:p w:rsidR="00C34AA2" w:rsidRPr="00910D74" w:rsidRDefault="00C34AA2" w:rsidP="00C34AA2">
            <w:pPr>
              <w:rPr>
                <w:lang w:val="el-GR"/>
              </w:rPr>
            </w:pPr>
            <w:r>
              <w:rPr>
                <w:lang w:val="el-GR"/>
              </w:rPr>
              <w:t>Απογευ.</w:t>
            </w:r>
          </w:p>
        </w:tc>
        <w:tc>
          <w:tcPr>
            <w:tcW w:w="1134" w:type="dxa"/>
          </w:tcPr>
          <w:p w:rsidR="00C34AA2" w:rsidRPr="00910D74" w:rsidRDefault="00C34AA2" w:rsidP="00C34AA2">
            <w:pPr>
              <w:rPr>
                <w:lang w:val="el-GR"/>
              </w:rPr>
            </w:pPr>
            <w:r w:rsidRPr="00910D74">
              <w:rPr>
                <w:lang w:val="el-GR"/>
              </w:rPr>
              <w:t>ΑΘΗΝΑ</w:t>
            </w:r>
          </w:p>
        </w:tc>
        <w:tc>
          <w:tcPr>
            <w:tcW w:w="1701" w:type="dxa"/>
          </w:tcPr>
          <w:p w:rsidR="00C34AA2" w:rsidRPr="00910D74" w:rsidRDefault="00C34AA2" w:rsidP="00C34AA2">
            <w:pPr>
              <w:rPr>
                <w:lang w:val="el-GR"/>
              </w:rPr>
            </w:pPr>
            <w:r w:rsidRPr="00910D74">
              <w:rPr>
                <w:lang w:val="el-GR"/>
              </w:rPr>
              <w:t>210-2165551</w:t>
            </w:r>
          </w:p>
        </w:tc>
        <w:tc>
          <w:tcPr>
            <w:tcW w:w="992" w:type="dxa"/>
          </w:tcPr>
          <w:p w:rsidR="00C34AA2" w:rsidRPr="00910D74" w:rsidRDefault="00C34AA2" w:rsidP="00C34AA2">
            <w:pPr>
              <w:jc w:val="right"/>
              <w:rPr>
                <w:lang w:val="el-GR"/>
              </w:rPr>
            </w:pPr>
            <w:r w:rsidRPr="00910D74">
              <w:rPr>
                <w:lang w:val="el-GR"/>
              </w:rPr>
              <w:t>1</w:t>
            </w:r>
          </w:p>
        </w:tc>
        <w:tc>
          <w:tcPr>
            <w:tcW w:w="992" w:type="dxa"/>
          </w:tcPr>
          <w:p w:rsidR="00C34AA2" w:rsidRPr="00910D74" w:rsidRDefault="00C34AA2" w:rsidP="00C34AA2">
            <w:pPr>
              <w:jc w:val="right"/>
              <w:rPr>
                <w:lang w:val="el-GR"/>
              </w:rPr>
            </w:pPr>
            <w:r w:rsidRPr="00910D74">
              <w:rPr>
                <w:lang w:val="el-GR"/>
              </w:rPr>
              <w:t>.15</w:t>
            </w:r>
          </w:p>
        </w:tc>
      </w:tr>
      <w:tr w:rsidR="00C34AA2" w:rsidRPr="00910D74" w:rsidTr="00C34AA2">
        <w:tc>
          <w:tcPr>
            <w:tcW w:w="507" w:type="dxa"/>
          </w:tcPr>
          <w:p w:rsidR="00C34AA2" w:rsidRPr="00910D74" w:rsidRDefault="00C34AA2" w:rsidP="00C34AA2">
            <w:pPr>
              <w:rPr>
                <w:lang w:val="el-GR"/>
              </w:rPr>
            </w:pPr>
            <w:r w:rsidRPr="00910D74">
              <w:rPr>
                <w:lang w:val="el-GR"/>
              </w:rPr>
              <w:t>5</w:t>
            </w:r>
          </w:p>
        </w:tc>
        <w:tc>
          <w:tcPr>
            <w:tcW w:w="1457" w:type="dxa"/>
          </w:tcPr>
          <w:p w:rsidR="00C34AA2" w:rsidRPr="00910D74" w:rsidRDefault="00C34AA2" w:rsidP="00C34AA2">
            <w:pPr>
              <w:rPr>
                <w:lang w:val="el-GR"/>
              </w:rPr>
            </w:pPr>
            <w:r w:rsidRPr="00910D74">
              <w:rPr>
                <w:lang w:val="el-GR"/>
              </w:rPr>
              <w:t>Σεπτεμβ 10</w:t>
            </w:r>
          </w:p>
        </w:tc>
        <w:tc>
          <w:tcPr>
            <w:tcW w:w="1263" w:type="dxa"/>
          </w:tcPr>
          <w:p w:rsidR="00C34AA2" w:rsidRPr="00910D74" w:rsidRDefault="00C34AA2" w:rsidP="00C34AA2">
            <w:pPr>
              <w:rPr>
                <w:lang w:val="el-GR"/>
              </w:rPr>
            </w:pPr>
            <w:r w:rsidRPr="00910D74">
              <w:rPr>
                <w:lang w:val="el-GR"/>
              </w:rPr>
              <w:t>7:11 ΜΜ</w:t>
            </w:r>
          </w:p>
        </w:tc>
        <w:tc>
          <w:tcPr>
            <w:tcW w:w="1134" w:type="dxa"/>
          </w:tcPr>
          <w:p w:rsidR="00C34AA2" w:rsidRPr="00910D74" w:rsidRDefault="00C34AA2" w:rsidP="00C34AA2">
            <w:pPr>
              <w:rPr>
                <w:lang w:val="el-GR"/>
              </w:rPr>
            </w:pPr>
            <w:r w:rsidRPr="00910D74">
              <w:rPr>
                <w:lang w:val="el-GR"/>
              </w:rPr>
              <w:t>Απογευμ</w:t>
            </w:r>
          </w:p>
        </w:tc>
        <w:tc>
          <w:tcPr>
            <w:tcW w:w="1134" w:type="dxa"/>
          </w:tcPr>
          <w:p w:rsidR="00C34AA2" w:rsidRPr="00910D74" w:rsidRDefault="00C34AA2" w:rsidP="00C34AA2">
            <w:pPr>
              <w:rPr>
                <w:lang w:val="el-GR"/>
              </w:rPr>
            </w:pPr>
            <w:r w:rsidRPr="00910D74">
              <w:rPr>
                <w:lang w:val="el-GR"/>
              </w:rPr>
              <w:t>ΑΘΗΝΑ</w:t>
            </w:r>
          </w:p>
        </w:tc>
        <w:tc>
          <w:tcPr>
            <w:tcW w:w="1701" w:type="dxa"/>
          </w:tcPr>
          <w:p w:rsidR="00C34AA2" w:rsidRPr="00910D74" w:rsidRDefault="00C34AA2" w:rsidP="00C34AA2">
            <w:pPr>
              <w:rPr>
                <w:lang w:val="el-GR"/>
              </w:rPr>
            </w:pPr>
            <w:r w:rsidRPr="00910D74">
              <w:rPr>
                <w:lang w:val="el-GR"/>
              </w:rPr>
              <w:t>210-2168882</w:t>
            </w:r>
          </w:p>
        </w:tc>
        <w:tc>
          <w:tcPr>
            <w:tcW w:w="992" w:type="dxa"/>
          </w:tcPr>
          <w:p w:rsidR="00C34AA2" w:rsidRPr="00910D74" w:rsidRDefault="00C34AA2" w:rsidP="00C34AA2">
            <w:pPr>
              <w:jc w:val="right"/>
              <w:rPr>
                <w:lang w:val="el-GR"/>
              </w:rPr>
            </w:pPr>
            <w:r w:rsidRPr="00910D74">
              <w:rPr>
                <w:lang w:val="el-GR"/>
              </w:rPr>
              <w:t>44</w:t>
            </w:r>
          </w:p>
        </w:tc>
        <w:tc>
          <w:tcPr>
            <w:tcW w:w="992" w:type="dxa"/>
          </w:tcPr>
          <w:p w:rsidR="00C34AA2" w:rsidRPr="00910D74" w:rsidRDefault="00C34AA2" w:rsidP="00C34AA2">
            <w:pPr>
              <w:jc w:val="right"/>
              <w:rPr>
                <w:lang w:val="el-GR"/>
              </w:rPr>
            </w:pPr>
            <w:r w:rsidRPr="00910D74">
              <w:rPr>
                <w:lang w:val="el-GR"/>
              </w:rPr>
              <w:t>6.78</w:t>
            </w:r>
          </w:p>
        </w:tc>
      </w:tr>
      <w:tr w:rsidR="00C34AA2" w:rsidRPr="00910D74" w:rsidTr="00C34AA2">
        <w:tc>
          <w:tcPr>
            <w:tcW w:w="507" w:type="dxa"/>
          </w:tcPr>
          <w:p w:rsidR="00C34AA2" w:rsidRPr="00910D74" w:rsidRDefault="00C34AA2" w:rsidP="00C34AA2">
            <w:pPr>
              <w:rPr>
                <w:lang w:val="el-GR"/>
              </w:rPr>
            </w:pPr>
            <w:r w:rsidRPr="00910D74">
              <w:rPr>
                <w:lang w:val="el-GR"/>
              </w:rPr>
              <w:t>6</w:t>
            </w:r>
          </w:p>
        </w:tc>
        <w:tc>
          <w:tcPr>
            <w:tcW w:w="1457" w:type="dxa"/>
          </w:tcPr>
          <w:p w:rsidR="00C34AA2" w:rsidRPr="00910D74" w:rsidRDefault="00C34AA2" w:rsidP="00C34AA2">
            <w:pPr>
              <w:rPr>
                <w:lang w:val="el-GR"/>
              </w:rPr>
            </w:pPr>
            <w:r w:rsidRPr="00910D74">
              <w:rPr>
                <w:lang w:val="el-GR"/>
              </w:rPr>
              <w:t>Σεπτεμβ 17</w:t>
            </w:r>
          </w:p>
        </w:tc>
        <w:tc>
          <w:tcPr>
            <w:tcW w:w="1263" w:type="dxa"/>
          </w:tcPr>
          <w:p w:rsidR="00C34AA2" w:rsidRPr="00910D74" w:rsidRDefault="00C34AA2" w:rsidP="00C34AA2">
            <w:pPr>
              <w:rPr>
                <w:lang w:val="el-GR"/>
              </w:rPr>
            </w:pPr>
            <w:r w:rsidRPr="00910D74">
              <w:rPr>
                <w:lang w:val="el-GR"/>
              </w:rPr>
              <w:t>9:14 ΜΜ</w:t>
            </w:r>
          </w:p>
        </w:tc>
        <w:tc>
          <w:tcPr>
            <w:tcW w:w="1134" w:type="dxa"/>
          </w:tcPr>
          <w:p w:rsidR="00C34AA2" w:rsidRPr="00910D74" w:rsidRDefault="00C34AA2" w:rsidP="00C34AA2">
            <w:pPr>
              <w:rPr>
                <w:lang w:val="el-GR"/>
              </w:rPr>
            </w:pPr>
            <w:r>
              <w:rPr>
                <w:lang w:val="el-GR"/>
              </w:rPr>
              <w:t>Απογευ.</w:t>
            </w:r>
          </w:p>
        </w:tc>
        <w:tc>
          <w:tcPr>
            <w:tcW w:w="1134" w:type="dxa"/>
          </w:tcPr>
          <w:p w:rsidR="00C34AA2" w:rsidRPr="00910D74" w:rsidRDefault="00C34AA2" w:rsidP="00C34AA2">
            <w:pPr>
              <w:rPr>
                <w:lang w:val="el-GR"/>
              </w:rPr>
            </w:pPr>
            <w:r w:rsidRPr="00910D74">
              <w:rPr>
                <w:lang w:val="el-GR"/>
              </w:rPr>
              <w:t>ΑΘΗΝΑ</w:t>
            </w:r>
          </w:p>
        </w:tc>
        <w:tc>
          <w:tcPr>
            <w:tcW w:w="1701" w:type="dxa"/>
          </w:tcPr>
          <w:p w:rsidR="00C34AA2" w:rsidRPr="00910D74" w:rsidRDefault="00C34AA2" w:rsidP="00C34AA2">
            <w:pPr>
              <w:rPr>
                <w:lang w:val="el-GR"/>
              </w:rPr>
            </w:pPr>
            <w:r w:rsidRPr="00910D74">
              <w:rPr>
                <w:lang w:val="el-GR"/>
              </w:rPr>
              <w:t>210-2169999</w:t>
            </w:r>
          </w:p>
        </w:tc>
        <w:tc>
          <w:tcPr>
            <w:tcW w:w="992" w:type="dxa"/>
          </w:tcPr>
          <w:p w:rsidR="00C34AA2" w:rsidRPr="00910D74" w:rsidRDefault="00C34AA2" w:rsidP="00C34AA2">
            <w:pPr>
              <w:jc w:val="right"/>
              <w:rPr>
                <w:lang w:val="el-GR"/>
              </w:rPr>
            </w:pPr>
            <w:r w:rsidRPr="00910D74">
              <w:rPr>
                <w:lang w:val="el-GR"/>
              </w:rPr>
              <w:t>33</w:t>
            </w:r>
          </w:p>
        </w:tc>
        <w:tc>
          <w:tcPr>
            <w:tcW w:w="992" w:type="dxa"/>
          </w:tcPr>
          <w:p w:rsidR="00C34AA2" w:rsidRPr="00910D74" w:rsidRDefault="00C34AA2" w:rsidP="00C34AA2">
            <w:pPr>
              <w:jc w:val="right"/>
              <w:rPr>
                <w:lang w:val="el-GR"/>
              </w:rPr>
            </w:pPr>
            <w:r w:rsidRPr="00910D74">
              <w:rPr>
                <w:lang w:val="el-GR"/>
              </w:rPr>
              <w:t>5.08</w:t>
            </w:r>
          </w:p>
        </w:tc>
      </w:tr>
      <w:tr w:rsidR="00C34AA2" w:rsidRPr="00910D74" w:rsidTr="00C34AA2">
        <w:tc>
          <w:tcPr>
            <w:tcW w:w="507" w:type="dxa"/>
          </w:tcPr>
          <w:p w:rsidR="00C34AA2" w:rsidRPr="00910D74" w:rsidRDefault="00C34AA2" w:rsidP="00C34AA2">
            <w:pPr>
              <w:rPr>
                <w:lang w:val="el-GR"/>
              </w:rPr>
            </w:pPr>
            <w:r w:rsidRPr="00910D74">
              <w:rPr>
                <w:lang w:val="el-GR"/>
              </w:rPr>
              <w:t>7</w:t>
            </w:r>
          </w:p>
        </w:tc>
        <w:tc>
          <w:tcPr>
            <w:tcW w:w="1457" w:type="dxa"/>
          </w:tcPr>
          <w:p w:rsidR="00C34AA2" w:rsidRPr="00910D74" w:rsidRDefault="00C34AA2" w:rsidP="00C34AA2">
            <w:pPr>
              <w:rPr>
                <w:lang w:val="el-GR"/>
              </w:rPr>
            </w:pPr>
            <w:r w:rsidRPr="00910D74">
              <w:rPr>
                <w:lang w:val="el-GR"/>
              </w:rPr>
              <w:t>Σεπτεμβ 22</w:t>
            </w:r>
          </w:p>
        </w:tc>
        <w:tc>
          <w:tcPr>
            <w:tcW w:w="1263" w:type="dxa"/>
          </w:tcPr>
          <w:p w:rsidR="00C34AA2" w:rsidRPr="00910D74" w:rsidRDefault="00C34AA2" w:rsidP="00C34AA2">
            <w:pPr>
              <w:rPr>
                <w:lang w:val="el-GR"/>
              </w:rPr>
            </w:pPr>
            <w:r w:rsidRPr="00910D74">
              <w:rPr>
                <w:lang w:val="el-GR"/>
              </w:rPr>
              <w:t>7:10 ΜΜ</w:t>
            </w:r>
          </w:p>
        </w:tc>
        <w:tc>
          <w:tcPr>
            <w:tcW w:w="1134" w:type="dxa"/>
          </w:tcPr>
          <w:p w:rsidR="00C34AA2" w:rsidRPr="00910D74" w:rsidRDefault="00C34AA2" w:rsidP="00C34AA2">
            <w:pPr>
              <w:rPr>
                <w:lang w:val="el-GR"/>
              </w:rPr>
            </w:pPr>
            <w:r w:rsidRPr="00910D74">
              <w:rPr>
                <w:lang w:val="el-GR"/>
              </w:rPr>
              <w:t>Απογευμ</w:t>
            </w:r>
          </w:p>
        </w:tc>
        <w:tc>
          <w:tcPr>
            <w:tcW w:w="1134" w:type="dxa"/>
          </w:tcPr>
          <w:p w:rsidR="00C34AA2" w:rsidRPr="00910D74" w:rsidRDefault="00C34AA2" w:rsidP="00C34AA2">
            <w:pPr>
              <w:rPr>
                <w:lang w:val="el-GR"/>
              </w:rPr>
            </w:pPr>
            <w:r w:rsidRPr="00910D74">
              <w:rPr>
                <w:lang w:val="el-GR"/>
              </w:rPr>
              <w:t>ΑΘΗΝΑ</w:t>
            </w:r>
          </w:p>
        </w:tc>
        <w:tc>
          <w:tcPr>
            <w:tcW w:w="1701" w:type="dxa"/>
          </w:tcPr>
          <w:p w:rsidR="00C34AA2" w:rsidRPr="00910D74" w:rsidRDefault="00C34AA2" w:rsidP="00C34AA2">
            <w:pPr>
              <w:rPr>
                <w:lang w:val="el-GR"/>
              </w:rPr>
            </w:pPr>
            <w:r w:rsidRPr="00910D74">
              <w:rPr>
                <w:lang w:val="el-GR"/>
              </w:rPr>
              <w:t>210-2165551</w:t>
            </w:r>
          </w:p>
        </w:tc>
        <w:tc>
          <w:tcPr>
            <w:tcW w:w="992" w:type="dxa"/>
          </w:tcPr>
          <w:p w:rsidR="00C34AA2" w:rsidRPr="00910D74" w:rsidRDefault="00C34AA2" w:rsidP="00C34AA2">
            <w:pPr>
              <w:jc w:val="right"/>
              <w:rPr>
                <w:lang w:val="el-GR"/>
              </w:rPr>
            </w:pPr>
            <w:r w:rsidRPr="00910D74">
              <w:rPr>
                <w:lang w:val="el-GR"/>
              </w:rPr>
              <w:t>1</w:t>
            </w:r>
          </w:p>
        </w:tc>
        <w:tc>
          <w:tcPr>
            <w:tcW w:w="992" w:type="dxa"/>
          </w:tcPr>
          <w:p w:rsidR="00C34AA2" w:rsidRPr="00910D74" w:rsidRDefault="00C34AA2" w:rsidP="00C34AA2">
            <w:pPr>
              <w:jc w:val="right"/>
              <w:rPr>
                <w:lang w:val="el-GR"/>
              </w:rPr>
            </w:pPr>
            <w:r w:rsidRPr="00910D74">
              <w:rPr>
                <w:lang w:val="el-GR"/>
              </w:rPr>
              <w:t>.15</w:t>
            </w:r>
          </w:p>
        </w:tc>
      </w:tr>
      <w:tr w:rsidR="00C34AA2" w:rsidRPr="00910D74" w:rsidTr="00C34AA2">
        <w:tc>
          <w:tcPr>
            <w:tcW w:w="507" w:type="dxa"/>
          </w:tcPr>
          <w:p w:rsidR="00C34AA2" w:rsidRPr="00910D74" w:rsidRDefault="00C34AA2" w:rsidP="00C34AA2">
            <w:pPr>
              <w:rPr>
                <w:lang w:val="el-GR"/>
              </w:rPr>
            </w:pPr>
            <w:r w:rsidRPr="00910D74">
              <w:rPr>
                <w:lang w:val="el-GR"/>
              </w:rPr>
              <w:t>8</w:t>
            </w:r>
          </w:p>
        </w:tc>
        <w:tc>
          <w:tcPr>
            <w:tcW w:w="1457" w:type="dxa"/>
          </w:tcPr>
          <w:p w:rsidR="00C34AA2" w:rsidRPr="00910D74" w:rsidRDefault="00C34AA2" w:rsidP="00C34AA2">
            <w:pPr>
              <w:rPr>
                <w:lang w:val="el-GR"/>
              </w:rPr>
            </w:pPr>
            <w:r w:rsidRPr="00910D74">
              <w:rPr>
                <w:lang w:val="el-GR"/>
              </w:rPr>
              <w:t>Σεπτεμβ 22</w:t>
            </w:r>
          </w:p>
        </w:tc>
        <w:tc>
          <w:tcPr>
            <w:tcW w:w="1263" w:type="dxa"/>
          </w:tcPr>
          <w:p w:rsidR="00C34AA2" w:rsidRPr="00910D74" w:rsidRDefault="00C34AA2" w:rsidP="00C34AA2">
            <w:pPr>
              <w:rPr>
                <w:lang w:val="el-GR"/>
              </w:rPr>
            </w:pPr>
            <w:r w:rsidRPr="00910D74">
              <w:rPr>
                <w:lang w:val="el-GR"/>
              </w:rPr>
              <w:t>8:35 ΜΜ</w:t>
            </w:r>
          </w:p>
        </w:tc>
        <w:tc>
          <w:tcPr>
            <w:tcW w:w="1134" w:type="dxa"/>
          </w:tcPr>
          <w:p w:rsidR="00C34AA2" w:rsidRPr="00910D74" w:rsidRDefault="00C34AA2" w:rsidP="00C34AA2">
            <w:pPr>
              <w:rPr>
                <w:lang w:val="el-GR"/>
              </w:rPr>
            </w:pPr>
            <w:r w:rsidRPr="00910D74">
              <w:rPr>
                <w:lang w:val="el-GR"/>
              </w:rPr>
              <w:t>Απογευμ</w:t>
            </w:r>
          </w:p>
        </w:tc>
        <w:tc>
          <w:tcPr>
            <w:tcW w:w="1134" w:type="dxa"/>
          </w:tcPr>
          <w:p w:rsidR="00C34AA2" w:rsidRPr="00910D74" w:rsidRDefault="00C34AA2" w:rsidP="00C34AA2">
            <w:pPr>
              <w:rPr>
                <w:lang w:val="el-GR"/>
              </w:rPr>
            </w:pPr>
            <w:r>
              <w:rPr>
                <w:lang w:val="el-GR"/>
              </w:rPr>
              <w:t>ΠΑΤΡΑ</w:t>
            </w:r>
          </w:p>
        </w:tc>
        <w:tc>
          <w:tcPr>
            <w:tcW w:w="1701" w:type="dxa"/>
          </w:tcPr>
          <w:p w:rsidR="00C34AA2" w:rsidRPr="00910D74" w:rsidRDefault="00C34AA2" w:rsidP="00C34AA2">
            <w:pPr>
              <w:rPr>
                <w:lang w:val="el-GR"/>
              </w:rPr>
            </w:pPr>
            <w:r>
              <w:rPr>
                <w:lang w:val="el-GR"/>
              </w:rPr>
              <w:t>26</w:t>
            </w:r>
            <w:r w:rsidRPr="00910D74">
              <w:rPr>
                <w:lang w:val="el-GR"/>
              </w:rPr>
              <w:t>10-21577</w:t>
            </w:r>
            <w:r>
              <w:rPr>
                <w:lang w:val="el-GR"/>
              </w:rPr>
              <w:t>7</w:t>
            </w:r>
          </w:p>
        </w:tc>
        <w:tc>
          <w:tcPr>
            <w:tcW w:w="992" w:type="dxa"/>
          </w:tcPr>
          <w:p w:rsidR="00C34AA2" w:rsidRPr="00910D74" w:rsidRDefault="00C34AA2" w:rsidP="00C34AA2">
            <w:pPr>
              <w:jc w:val="right"/>
              <w:rPr>
                <w:lang w:val="el-GR"/>
              </w:rPr>
            </w:pPr>
            <w:r w:rsidRPr="00910D74">
              <w:rPr>
                <w:lang w:val="el-GR"/>
              </w:rPr>
              <w:t>23</w:t>
            </w:r>
          </w:p>
        </w:tc>
        <w:tc>
          <w:tcPr>
            <w:tcW w:w="992" w:type="dxa"/>
          </w:tcPr>
          <w:p w:rsidR="00C34AA2" w:rsidRPr="00910D74" w:rsidRDefault="00C34AA2" w:rsidP="00C34AA2">
            <w:pPr>
              <w:jc w:val="right"/>
              <w:rPr>
                <w:lang w:val="el-GR"/>
              </w:rPr>
            </w:pPr>
            <w:r w:rsidRPr="00910D74">
              <w:rPr>
                <w:lang w:val="el-GR"/>
              </w:rPr>
              <w:t>4.42</w:t>
            </w:r>
          </w:p>
        </w:tc>
      </w:tr>
      <w:tr w:rsidR="00C34AA2" w:rsidRPr="00910D74" w:rsidTr="00C34AA2">
        <w:tc>
          <w:tcPr>
            <w:tcW w:w="507" w:type="dxa"/>
          </w:tcPr>
          <w:p w:rsidR="00C34AA2" w:rsidRPr="00910D74" w:rsidRDefault="00C34AA2" w:rsidP="00C34AA2">
            <w:pPr>
              <w:rPr>
                <w:lang w:val="el-GR"/>
              </w:rPr>
            </w:pPr>
            <w:r w:rsidRPr="00910D74">
              <w:rPr>
                <w:lang w:val="el-GR"/>
              </w:rPr>
              <w:t>9</w:t>
            </w:r>
          </w:p>
        </w:tc>
        <w:tc>
          <w:tcPr>
            <w:tcW w:w="1457" w:type="dxa"/>
          </w:tcPr>
          <w:p w:rsidR="00C34AA2" w:rsidRPr="00910D74" w:rsidRDefault="00C34AA2" w:rsidP="00C34AA2">
            <w:pPr>
              <w:rPr>
                <w:lang w:val="el-GR"/>
              </w:rPr>
            </w:pPr>
            <w:r w:rsidRPr="00910D74">
              <w:rPr>
                <w:lang w:val="el-GR"/>
              </w:rPr>
              <w:t>Οκτωμβ 01</w:t>
            </w:r>
          </w:p>
        </w:tc>
        <w:tc>
          <w:tcPr>
            <w:tcW w:w="1263" w:type="dxa"/>
          </w:tcPr>
          <w:p w:rsidR="00C34AA2" w:rsidRPr="00910D74" w:rsidRDefault="00C34AA2" w:rsidP="00C34AA2">
            <w:pPr>
              <w:rPr>
                <w:lang w:val="el-GR"/>
              </w:rPr>
            </w:pPr>
            <w:r w:rsidRPr="00910D74">
              <w:rPr>
                <w:lang w:val="el-GR"/>
              </w:rPr>
              <w:t>8:33 ΜΜ</w:t>
            </w:r>
          </w:p>
        </w:tc>
        <w:tc>
          <w:tcPr>
            <w:tcW w:w="1134" w:type="dxa"/>
          </w:tcPr>
          <w:p w:rsidR="00C34AA2" w:rsidRPr="00910D74" w:rsidRDefault="00C34AA2" w:rsidP="00C34AA2">
            <w:pPr>
              <w:rPr>
                <w:lang w:val="el-GR"/>
              </w:rPr>
            </w:pPr>
            <w:r w:rsidRPr="00910D74">
              <w:rPr>
                <w:lang w:val="el-GR"/>
              </w:rPr>
              <w:t>Απογευμ</w:t>
            </w:r>
          </w:p>
        </w:tc>
        <w:tc>
          <w:tcPr>
            <w:tcW w:w="1134" w:type="dxa"/>
          </w:tcPr>
          <w:p w:rsidR="00C34AA2" w:rsidRPr="00910D74" w:rsidRDefault="00C34AA2" w:rsidP="00C34AA2">
            <w:pPr>
              <w:rPr>
                <w:lang w:val="el-GR"/>
              </w:rPr>
            </w:pPr>
            <w:r w:rsidRPr="00910D74">
              <w:rPr>
                <w:lang w:val="el-GR"/>
              </w:rPr>
              <w:t>ΑΘΗΝΑ</w:t>
            </w:r>
          </w:p>
        </w:tc>
        <w:tc>
          <w:tcPr>
            <w:tcW w:w="1701" w:type="dxa"/>
          </w:tcPr>
          <w:p w:rsidR="00C34AA2" w:rsidRPr="00910D74" w:rsidRDefault="00C34AA2" w:rsidP="00C34AA2">
            <w:pPr>
              <w:rPr>
                <w:lang w:val="el-GR"/>
              </w:rPr>
            </w:pPr>
            <w:r w:rsidRPr="00910D74">
              <w:rPr>
                <w:lang w:val="el-GR"/>
              </w:rPr>
              <w:t>210-2169999</w:t>
            </w:r>
          </w:p>
        </w:tc>
        <w:tc>
          <w:tcPr>
            <w:tcW w:w="992" w:type="dxa"/>
          </w:tcPr>
          <w:p w:rsidR="00C34AA2" w:rsidRPr="00910D74" w:rsidRDefault="00C34AA2" w:rsidP="00C34AA2">
            <w:pPr>
              <w:jc w:val="right"/>
              <w:rPr>
                <w:lang w:val="el-GR"/>
              </w:rPr>
            </w:pPr>
            <w:r w:rsidRPr="00910D74">
              <w:rPr>
                <w:lang w:val="el-GR"/>
              </w:rPr>
              <w:t>23</w:t>
            </w:r>
          </w:p>
        </w:tc>
        <w:tc>
          <w:tcPr>
            <w:tcW w:w="992" w:type="dxa"/>
          </w:tcPr>
          <w:p w:rsidR="00C34AA2" w:rsidRPr="00910D74" w:rsidRDefault="00C34AA2" w:rsidP="00C34AA2">
            <w:pPr>
              <w:jc w:val="right"/>
              <w:rPr>
                <w:lang w:val="el-GR"/>
              </w:rPr>
            </w:pPr>
            <w:r w:rsidRPr="00910D74">
              <w:rPr>
                <w:lang w:val="el-GR"/>
              </w:rPr>
              <w:t>3.69</w:t>
            </w:r>
          </w:p>
        </w:tc>
      </w:tr>
    </w:tbl>
    <w:p w:rsidR="00C34AA2" w:rsidRDefault="00C34AA2" w:rsidP="00C34AA2">
      <w:pPr>
        <w:spacing w:line="360" w:lineRule="auto"/>
        <w:rPr>
          <w:b/>
          <w:lang w:val="el-GR"/>
        </w:rPr>
      </w:pPr>
      <w:r w:rsidRPr="002A2016">
        <w:rPr>
          <w:b/>
          <w:lang w:val="el-GR"/>
        </w:rPr>
        <w:t>Διάγραμμα: Αναλυτικός Λογαριασμός Υπεραστικών Κλήσεων</w:t>
      </w:r>
    </w:p>
    <w:p w:rsidR="00C34AA2" w:rsidRPr="00910D74" w:rsidRDefault="00C34AA2" w:rsidP="00C34AA2">
      <w:pPr>
        <w:rPr>
          <w:lang w:val="el-GR"/>
        </w:rPr>
      </w:pPr>
    </w:p>
    <w:p w:rsidR="00C34AA2" w:rsidRDefault="00C34AA2" w:rsidP="00C34AA2">
      <w:pPr>
        <w:pStyle w:val="ListParagraph"/>
        <w:spacing w:line="480" w:lineRule="auto"/>
        <w:rPr>
          <w:lang w:val="el-GR"/>
        </w:rPr>
      </w:pPr>
    </w:p>
    <w:p w:rsidR="00C34AA2" w:rsidRDefault="00C34AA2" w:rsidP="00C34AA2">
      <w:pPr>
        <w:pStyle w:val="ListParagraph"/>
        <w:spacing w:line="480" w:lineRule="auto"/>
        <w:rPr>
          <w:lang w:val="el-GR"/>
        </w:rPr>
      </w:pPr>
    </w:p>
    <w:p w:rsidR="00C34AA2" w:rsidRDefault="00C34AA2" w:rsidP="00C34AA2">
      <w:pPr>
        <w:pStyle w:val="ListParagraph"/>
        <w:spacing w:line="480" w:lineRule="auto"/>
        <w:rPr>
          <w:lang w:val="el-GR"/>
        </w:rPr>
      </w:pPr>
    </w:p>
    <w:p w:rsidR="00C34AA2" w:rsidRPr="00910D74" w:rsidRDefault="00C34AA2" w:rsidP="00224991">
      <w:pPr>
        <w:pStyle w:val="ListParagraph"/>
        <w:numPr>
          <w:ilvl w:val="0"/>
          <w:numId w:val="14"/>
        </w:numPr>
        <w:spacing w:after="0" w:line="480" w:lineRule="auto"/>
        <w:rPr>
          <w:lang w:val="el-GR"/>
        </w:rPr>
      </w:pPr>
      <w:r w:rsidRPr="00910D74">
        <w:rPr>
          <w:lang w:val="el-GR"/>
        </w:rPr>
        <w:t xml:space="preserve">Σε ποιό τηλεφωνικό νούμερο </w:t>
      </w:r>
      <w:r>
        <w:rPr>
          <w:lang w:val="el-GR"/>
        </w:rPr>
        <w:t>έγι</w:t>
      </w:r>
      <w:r w:rsidRPr="00910D74">
        <w:rPr>
          <w:lang w:val="el-GR"/>
        </w:rPr>
        <w:t>ναν οι πιο πολλές κλήσεις;</w:t>
      </w:r>
      <w:r>
        <w:rPr>
          <w:lang w:val="el-GR"/>
        </w:rPr>
        <w:t xml:space="preserve"> _________________________________________________________________________________________</w:t>
      </w:r>
    </w:p>
    <w:p w:rsidR="00C34AA2" w:rsidRDefault="00C34AA2" w:rsidP="00224991">
      <w:pPr>
        <w:pStyle w:val="ListParagraph"/>
        <w:numPr>
          <w:ilvl w:val="0"/>
          <w:numId w:val="14"/>
        </w:numPr>
        <w:spacing w:after="0" w:line="480" w:lineRule="auto"/>
        <w:rPr>
          <w:lang w:val="el-GR"/>
        </w:rPr>
      </w:pPr>
      <w:r w:rsidRPr="00910D74">
        <w:rPr>
          <w:lang w:val="el-GR"/>
        </w:rPr>
        <w:t>Ποιό είναι το όνομα της εταιρίας που σας προσφέρει τις υπηρεσίες τ</w:t>
      </w:r>
      <w:r>
        <w:rPr>
          <w:lang w:val="el-GR"/>
        </w:rPr>
        <w:t>ης</w:t>
      </w:r>
      <w:r w:rsidRPr="00910D74">
        <w:rPr>
          <w:lang w:val="el-GR"/>
        </w:rPr>
        <w:t xml:space="preserve"> για </w:t>
      </w:r>
      <w:r>
        <w:rPr>
          <w:lang w:val="el-GR"/>
        </w:rPr>
        <w:t>τοπικές κλήσεις; _________________________________________________________________________________________</w:t>
      </w:r>
    </w:p>
    <w:p w:rsidR="00C34AA2" w:rsidRDefault="00C34AA2" w:rsidP="00C34AA2">
      <w:pPr>
        <w:rPr>
          <w:lang w:val="el-GR"/>
        </w:rPr>
      </w:pPr>
      <w:r>
        <w:rPr>
          <w:lang w:val="el-GR"/>
        </w:rPr>
        <w:br w:type="page"/>
      </w:r>
    </w:p>
    <w:p w:rsidR="00C34AA2" w:rsidRPr="001A58C0" w:rsidRDefault="00C34AA2" w:rsidP="00C34AA2">
      <w:pPr>
        <w:rPr>
          <w:lang w:val="el-GR"/>
        </w:rPr>
      </w:pPr>
      <w:r w:rsidRPr="002A2016">
        <w:rPr>
          <w:b/>
          <w:lang w:val="el-GR"/>
        </w:rPr>
        <w:t xml:space="preserve">Οδηγίες: </w:t>
      </w:r>
      <w:r>
        <w:rPr>
          <w:b/>
          <w:lang w:val="el-GR"/>
        </w:rPr>
        <w:t xml:space="preserve">Κανονισμοί Για </w:t>
      </w:r>
      <w:r w:rsidRPr="002A2016">
        <w:rPr>
          <w:b/>
          <w:lang w:val="el-GR"/>
        </w:rPr>
        <w:t xml:space="preserve">Παροχή </w:t>
      </w:r>
      <w:r>
        <w:rPr>
          <w:b/>
          <w:lang w:val="el-GR"/>
        </w:rPr>
        <w:t>Π</w:t>
      </w:r>
      <w:r w:rsidRPr="002A2016">
        <w:rPr>
          <w:b/>
          <w:lang w:val="el-GR"/>
        </w:rPr>
        <w:t>ροτεραιότητας</w:t>
      </w:r>
      <w:r>
        <w:rPr>
          <w:b/>
          <w:lang w:val="el-GR"/>
        </w:rPr>
        <w:t xml:space="preserve"> από Ο</w:t>
      </w:r>
      <w:r w:rsidRPr="002A2016">
        <w:rPr>
          <w:b/>
          <w:lang w:val="el-GR"/>
        </w:rPr>
        <w:t>δηγ</w:t>
      </w:r>
      <w:r>
        <w:rPr>
          <w:b/>
          <w:lang w:val="el-GR"/>
        </w:rPr>
        <w:t>ούς</w:t>
      </w:r>
    </w:p>
    <w:p w:rsidR="00C34AA2" w:rsidRPr="001A58C0" w:rsidRDefault="00C34AA2" w:rsidP="00C34AA2">
      <w:pPr>
        <w:rPr>
          <w:lang w:val="el-GR"/>
        </w:rPr>
      </w:pPr>
    </w:p>
    <w:p w:rsidR="00C34AA2" w:rsidRPr="001A58C0" w:rsidRDefault="00C4694A" w:rsidP="00C34AA2">
      <w:pPr>
        <w:rPr>
          <w:lang w:val="el-GR"/>
        </w:rPr>
      </w:pPr>
      <w:r>
        <w:rPr>
          <w:noProof/>
          <w:lang w:eastAsia="en-GB"/>
        </w:rPr>
        <w:pict>
          <v:shape id="Text Box 5" o:spid="_x0000_s1029" type="#_x0000_t202" alt="" style="position:absolute;margin-left:-1.05pt;margin-top:8.4pt;width:444pt;height:350.25pt;z-index:251692032;visibility:visible;mso-wrap-edited:f;mso-width-relative:margin;mso-height-relative:margin">
            <v:path arrowok="t"/>
            <v:textbox style="mso-next-textbox:#Text Box 5">
              <w:txbxContent>
                <w:p w:rsidR="00E87F3A" w:rsidRDefault="00E87F3A" w:rsidP="00C34AA2">
                  <w:pPr>
                    <w:spacing w:line="360" w:lineRule="auto"/>
                    <w:jc w:val="center"/>
                    <w:rPr>
                      <w:u w:val="single"/>
                      <w:lang w:val="el-GR"/>
                    </w:rPr>
                  </w:pPr>
                  <w:r w:rsidRPr="007E2272">
                    <w:rPr>
                      <w:u w:val="single"/>
                      <w:lang w:val="el-GR"/>
                    </w:rPr>
                    <w:t>ΠΑΡΟΧΗ ΠΡΟΤΕΡΑΙΌΤΗΤΑΣ</w:t>
                  </w:r>
                </w:p>
                <w:p w:rsidR="00E87F3A" w:rsidRDefault="00E87F3A" w:rsidP="00C34AA2">
                  <w:pPr>
                    <w:spacing w:line="276" w:lineRule="auto"/>
                    <w:rPr>
                      <w:lang w:val="el-GR"/>
                    </w:rPr>
                  </w:pPr>
                  <w:r>
                    <w:rPr>
                      <w:lang w:val="el-GR"/>
                    </w:rPr>
                    <w:t>Όταν δεν υπάρχουν στο δρόμο πινακίδες, σημάνσεις, η παρουσία αστυνομίας που θα σας επισημάνουν τι να κάνετε , πρέπει να ακολουθήσετε συγκεκριμένους κανονισμούς. Ακολουθούν τρεις τέτοιοι κανονισμοί.</w:t>
                  </w:r>
                </w:p>
                <w:p w:rsidR="00E87F3A" w:rsidRDefault="00E87F3A" w:rsidP="00224991">
                  <w:pPr>
                    <w:pStyle w:val="ListParagraph"/>
                    <w:numPr>
                      <w:ilvl w:val="0"/>
                      <w:numId w:val="15"/>
                    </w:numPr>
                    <w:spacing w:after="0"/>
                    <w:rPr>
                      <w:lang w:val="el-GR"/>
                    </w:rPr>
                  </w:pPr>
                  <w:r>
                    <w:rPr>
                      <w:lang w:val="el-GR"/>
                    </w:rPr>
                    <w:t>Οι οδηγοί πρέπει να δώσουν προτεραιότητα στις ακόλουθες περιπτώσεις:</w:t>
                  </w:r>
                </w:p>
                <w:p w:rsidR="00E87F3A" w:rsidRDefault="00E87F3A" w:rsidP="00224991">
                  <w:pPr>
                    <w:pStyle w:val="ListParagraph"/>
                    <w:numPr>
                      <w:ilvl w:val="1"/>
                      <w:numId w:val="15"/>
                    </w:numPr>
                    <w:spacing w:after="0"/>
                    <w:rPr>
                      <w:lang w:val="el-GR"/>
                    </w:rPr>
                  </w:pPr>
                  <w:r>
                    <w:rPr>
                      <w:lang w:val="el-GR"/>
                    </w:rPr>
                    <w:t>Όταν πεζοί διασχίζουν τον δρόμο σε σταυροδρόμι  που δεν υπάρχει φωτεινός σηματοδότης (η διάβαση δεν χρειάζεται να είναι διαγραμμισμένη) .</w:t>
                  </w:r>
                </w:p>
                <w:p w:rsidR="00E87F3A" w:rsidRDefault="00E87F3A" w:rsidP="00224991">
                  <w:pPr>
                    <w:pStyle w:val="ListParagraph"/>
                    <w:numPr>
                      <w:ilvl w:val="1"/>
                      <w:numId w:val="15"/>
                    </w:numPr>
                    <w:spacing w:after="0"/>
                    <w:rPr>
                      <w:lang w:val="el-GR"/>
                    </w:rPr>
                  </w:pPr>
                  <w:r>
                    <w:rPr>
                      <w:lang w:val="el-GR"/>
                    </w:rPr>
                    <w:t xml:space="preserve">Όταν πεζοί διασχίζουν τον δρόμο σε ειδικά διαγραμμισμένες διαβάσεις. </w:t>
                  </w:r>
                </w:p>
                <w:p w:rsidR="00E87F3A" w:rsidRDefault="00E87F3A" w:rsidP="00224991">
                  <w:pPr>
                    <w:pStyle w:val="ListParagraph"/>
                    <w:numPr>
                      <w:ilvl w:val="1"/>
                      <w:numId w:val="15"/>
                    </w:numPr>
                    <w:spacing w:after="0"/>
                    <w:rPr>
                      <w:lang w:val="el-GR"/>
                    </w:rPr>
                  </w:pPr>
                  <w:r>
                    <w:rPr>
                      <w:lang w:val="el-GR"/>
                    </w:rPr>
                    <w:t>Όταν ο οδηγός στρίβει σε έναν δρόμο και οι πεζοί διασχίζουν τον δρόμο έχοντας πράσινο.</w:t>
                  </w:r>
                </w:p>
                <w:p w:rsidR="00E87F3A" w:rsidRDefault="00E87F3A" w:rsidP="00224991">
                  <w:pPr>
                    <w:pStyle w:val="ListParagraph"/>
                    <w:numPr>
                      <w:ilvl w:val="1"/>
                      <w:numId w:val="15"/>
                    </w:numPr>
                    <w:spacing w:after="0"/>
                    <w:rPr>
                      <w:lang w:val="el-GR"/>
                    </w:rPr>
                  </w:pPr>
                  <w:r>
                    <w:rPr>
                      <w:lang w:val="el-GR"/>
                    </w:rPr>
                    <w:t>Όταν ένας τυφλός πεζός που φέρει ειδικό μπαστούνι ή συνοδεύεται από σκύλο καθοδήγησης διασχίζει  τον δρόμο.</w:t>
                  </w:r>
                </w:p>
                <w:p w:rsidR="00E87F3A" w:rsidRDefault="00E87F3A" w:rsidP="00224991">
                  <w:pPr>
                    <w:pStyle w:val="ListParagraph"/>
                    <w:numPr>
                      <w:ilvl w:val="1"/>
                      <w:numId w:val="15"/>
                    </w:numPr>
                    <w:spacing w:after="0"/>
                    <w:rPr>
                      <w:lang w:val="el-GR"/>
                    </w:rPr>
                  </w:pPr>
                  <w:r>
                    <w:rPr>
                      <w:lang w:val="el-GR"/>
                    </w:rPr>
                    <w:t>Όταν πεζοί διασχίζουν ένα πεζοδρομημένο σοκάκι ή δρόμο.</w:t>
                  </w:r>
                </w:p>
                <w:p w:rsidR="00E87F3A" w:rsidRDefault="00E87F3A" w:rsidP="00224991">
                  <w:pPr>
                    <w:pStyle w:val="ListParagraph"/>
                    <w:numPr>
                      <w:ilvl w:val="0"/>
                      <w:numId w:val="15"/>
                    </w:numPr>
                    <w:spacing w:after="0"/>
                    <w:rPr>
                      <w:lang w:val="el-GR"/>
                    </w:rPr>
                  </w:pPr>
                  <w:r>
                    <w:rPr>
                      <w:lang w:val="el-GR"/>
                    </w:rPr>
                    <w:t xml:space="preserve">Οδηγοί που στρίβουν αριστερά πρέπει να δίνουν προτεραιότητα σε διερχόμενα οχήματα που διατηρούν την ευθεία πορεία τους. </w:t>
                  </w:r>
                </w:p>
                <w:p w:rsidR="00E87F3A" w:rsidRDefault="00E87F3A" w:rsidP="00224991">
                  <w:pPr>
                    <w:pStyle w:val="ListParagraph"/>
                    <w:numPr>
                      <w:ilvl w:val="0"/>
                      <w:numId w:val="15"/>
                    </w:numPr>
                    <w:spacing w:after="0"/>
                    <w:rPr>
                      <w:lang w:val="el-GR"/>
                    </w:rPr>
                  </w:pPr>
                  <w:r>
                    <w:rPr>
                      <w:lang w:val="el-GR"/>
                    </w:rPr>
                    <w:t>Οδηγοί που βρίσκονται εντός κυκλικού κόμβου πρέπει να παρέχουν την προτεραιότητα στους οδηγούς  που εισέρχονται στον κόμβο.</w:t>
                  </w:r>
                </w:p>
                <w:p w:rsidR="00E87F3A" w:rsidRPr="001A01AD" w:rsidRDefault="00E87F3A" w:rsidP="00C34AA2">
                  <w:pPr>
                    <w:pStyle w:val="ListParagraph"/>
                    <w:rPr>
                      <w:lang w:val="el-GR"/>
                    </w:rPr>
                  </w:pPr>
                </w:p>
              </w:txbxContent>
            </v:textbox>
          </v:shape>
        </w:pict>
      </w: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Pr="001A58C0" w:rsidRDefault="00C34AA2" w:rsidP="00C34AA2">
      <w:pPr>
        <w:rPr>
          <w:lang w:val="el-GR"/>
        </w:rPr>
      </w:pPr>
    </w:p>
    <w:p w:rsidR="00C34AA2" w:rsidRDefault="00C34AA2" w:rsidP="00C34AA2">
      <w:pPr>
        <w:pStyle w:val="ListParagraph"/>
        <w:tabs>
          <w:tab w:val="left" w:pos="3456"/>
        </w:tabs>
        <w:rPr>
          <w:lang w:val="el-GR"/>
        </w:rPr>
      </w:pPr>
    </w:p>
    <w:p w:rsidR="00C34AA2" w:rsidRDefault="00C34AA2" w:rsidP="00C34AA2">
      <w:pPr>
        <w:pStyle w:val="ListParagraph"/>
        <w:tabs>
          <w:tab w:val="left" w:pos="3456"/>
        </w:tabs>
        <w:rPr>
          <w:lang w:val="el-GR"/>
        </w:rPr>
      </w:pPr>
    </w:p>
    <w:p w:rsidR="00C34AA2" w:rsidRDefault="00C34AA2" w:rsidP="00C34AA2">
      <w:pPr>
        <w:pStyle w:val="ListParagraph"/>
        <w:tabs>
          <w:tab w:val="left" w:pos="3456"/>
        </w:tabs>
        <w:rPr>
          <w:lang w:val="el-GR"/>
        </w:rPr>
      </w:pPr>
    </w:p>
    <w:p w:rsidR="00C34AA2" w:rsidRDefault="00C34AA2" w:rsidP="00C34AA2">
      <w:pPr>
        <w:pStyle w:val="ListParagraph"/>
        <w:tabs>
          <w:tab w:val="left" w:pos="3456"/>
        </w:tabs>
        <w:rPr>
          <w:lang w:val="el-GR"/>
        </w:rPr>
      </w:pPr>
    </w:p>
    <w:p w:rsidR="00C34AA2" w:rsidRDefault="00C34AA2" w:rsidP="00C34AA2">
      <w:pPr>
        <w:pStyle w:val="ListParagraph"/>
        <w:tabs>
          <w:tab w:val="left" w:pos="3456"/>
        </w:tabs>
        <w:rPr>
          <w:lang w:val="el-GR"/>
        </w:rPr>
      </w:pPr>
    </w:p>
    <w:p w:rsidR="00C34AA2" w:rsidRDefault="00C34AA2" w:rsidP="00C34AA2">
      <w:pPr>
        <w:pStyle w:val="ListParagraph"/>
        <w:tabs>
          <w:tab w:val="left" w:pos="3456"/>
        </w:tabs>
        <w:rPr>
          <w:lang w:val="el-GR"/>
        </w:rPr>
      </w:pPr>
    </w:p>
    <w:p w:rsidR="00C34AA2" w:rsidRDefault="00C34AA2" w:rsidP="00C34AA2">
      <w:pPr>
        <w:pStyle w:val="ListParagraph"/>
        <w:tabs>
          <w:tab w:val="left" w:pos="3456"/>
        </w:tabs>
        <w:rPr>
          <w:lang w:val="el-GR"/>
        </w:rPr>
      </w:pPr>
    </w:p>
    <w:p w:rsidR="00C34AA2" w:rsidRDefault="00C34AA2" w:rsidP="00C34AA2">
      <w:pPr>
        <w:pStyle w:val="ListParagraph"/>
        <w:tabs>
          <w:tab w:val="left" w:pos="3456"/>
        </w:tabs>
        <w:rPr>
          <w:lang w:val="el-GR"/>
        </w:rPr>
      </w:pPr>
    </w:p>
    <w:p w:rsidR="00C34AA2" w:rsidRPr="009E33E9" w:rsidRDefault="00C34AA2" w:rsidP="00224991">
      <w:pPr>
        <w:pStyle w:val="ListParagraph"/>
        <w:numPr>
          <w:ilvl w:val="0"/>
          <w:numId w:val="14"/>
        </w:numPr>
        <w:tabs>
          <w:tab w:val="left" w:pos="3456"/>
        </w:tabs>
        <w:spacing w:after="0" w:line="360" w:lineRule="auto"/>
        <w:rPr>
          <w:lang w:val="el-GR"/>
        </w:rPr>
      </w:pPr>
      <w:r>
        <w:rPr>
          <w:lang w:val="el-GR"/>
        </w:rPr>
        <w:t>Αν οδηγείτε ευθεία στον δρόμο διασχίζοντας ένα σταυροδρόμι, ποιός πρέπει να σας παρέχει την προτεραιότητα;       _________________________________________________________________________________________</w:t>
      </w:r>
    </w:p>
    <w:p w:rsidR="00C34AA2" w:rsidRDefault="00C34AA2" w:rsidP="00224991">
      <w:pPr>
        <w:pStyle w:val="ListParagraph"/>
        <w:numPr>
          <w:ilvl w:val="0"/>
          <w:numId w:val="14"/>
        </w:numPr>
        <w:tabs>
          <w:tab w:val="left" w:pos="3456"/>
        </w:tabs>
        <w:spacing w:after="0" w:line="360" w:lineRule="auto"/>
        <w:rPr>
          <w:lang w:val="el-GR"/>
        </w:rPr>
      </w:pPr>
      <w:r>
        <w:rPr>
          <w:lang w:val="el-GR"/>
        </w:rPr>
        <w:t>Ποιος έχει προτεραιότητα όταν στρίβετε δεξιά έχοντας πορτοκαλί σήμανση που αναβοσβήνει, και ένας πεζός που κάνει τζόκινγκ περνάει την διάβαση τους δρόμου που εισέρχεστε έχοντας πράσινη σήμανση;  _________________________________________________________________________________________</w:t>
      </w:r>
    </w:p>
    <w:p w:rsidR="00C34AA2" w:rsidRDefault="00C34AA2" w:rsidP="00C34AA2">
      <w:pPr>
        <w:spacing w:line="480" w:lineRule="auto"/>
        <w:rPr>
          <w:lang w:val="el-GR"/>
        </w:rPr>
      </w:pPr>
      <w:r>
        <w:rPr>
          <w:lang w:val="el-GR"/>
        </w:rPr>
        <w:br w:type="page"/>
      </w:r>
    </w:p>
    <w:p w:rsidR="00C34AA2" w:rsidRDefault="00C4694A" w:rsidP="00C34AA2">
      <w:pPr>
        <w:rPr>
          <w:lang w:val="el-GR"/>
        </w:rPr>
      </w:pPr>
      <w:r>
        <w:rPr>
          <w:noProof/>
          <w:lang w:eastAsia="en-GB"/>
        </w:rPr>
        <w:pict>
          <v:shape id="Text Box 6" o:spid="_x0000_s1028" type="#_x0000_t202" alt="" style="position:absolute;margin-left:-8.65pt;margin-top:45.6pt;width:475.85pt;height:421.85pt;z-index:251693056;visibility:visible;mso-wrap-edited:f" wrapcoords="-68 -77 -68 21600 21668 21600 21668 -77 -68 -77" filled="f" strokecolor="black [3213]" strokeweight="2.25pt">
            <v:path arrowok="t"/>
            <v:textbox style="mso-next-textbox:#Text Box 6" inset=",7.2pt,,7.2pt">
              <w:txbxContent>
                <w:p w:rsidR="00E87F3A" w:rsidRPr="00791519" w:rsidRDefault="00E87F3A" w:rsidP="00C34AA2">
                  <w:pPr>
                    <w:jc w:val="center"/>
                    <w:rPr>
                      <w:rFonts w:asciiTheme="majorHAnsi" w:hAnsiTheme="majorHAnsi"/>
                      <w:sz w:val="28"/>
                      <w:szCs w:val="28"/>
                      <w:lang w:val="el-GR"/>
                    </w:rPr>
                  </w:pPr>
                  <w:r w:rsidRPr="00791519">
                    <w:rPr>
                      <w:rFonts w:asciiTheme="majorHAnsi" w:hAnsiTheme="majorHAnsi"/>
                      <w:sz w:val="28"/>
                      <w:szCs w:val="28"/>
                      <w:lang w:val="el-GR"/>
                    </w:rPr>
                    <w:t>Ταχυδρομήστε το κουπόνι σας σήμερα-</w:t>
                  </w:r>
                </w:p>
                <w:p w:rsidR="00E87F3A" w:rsidRPr="00791519" w:rsidRDefault="00E87F3A" w:rsidP="00C34AA2">
                  <w:pPr>
                    <w:jc w:val="center"/>
                    <w:rPr>
                      <w:rFonts w:asciiTheme="majorHAnsi" w:hAnsiTheme="majorHAnsi"/>
                      <w:sz w:val="28"/>
                      <w:szCs w:val="28"/>
                      <w:lang w:val="el-GR"/>
                    </w:rPr>
                  </w:pPr>
                  <w:r>
                    <w:rPr>
                      <w:rFonts w:asciiTheme="majorHAnsi" w:hAnsiTheme="majorHAnsi"/>
                      <w:sz w:val="28"/>
                      <w:szCs w:val="28"/>
                      <w:lang w:val="el-GR"/>
                    </w:rPr>
                    <w:t>Το</w:t>
                  </w:r>
                  <w:r w:rsidRPr="00791519">
                    <w:rPr>
                      <w:rFonts w:asciiTheme="majorHAnsi" w:hAnsiTheme="majorHAnsi"/>
                      <w:sz w:val="28"/>
                      <w:szCs w:val="28"/>
                      <w:lang w:val="el-GR"/>
                    </w:rPr>
                    <w:t xml:space="preserve"> να είσαι μέλος της ΕΣΥΠ κοστίζει μόνο 8 €</w:t>
                  </w:r>
                </w:p>
                <w:p w:rsidR="00E87F3A" w:rsidRPr="00791519" w:rsidRDefault="00E87F3A" w:rsidP="00C34AA2">
                  <w:pPr>
                    <w:jc w:val="center"/>
                    <w:rPr>
                      <w:rFonts w:asciiTheme="majorHAnsi" w:hAnsiTheme="majorHAnsi"/>
                      <w:sz w:val="28"/>
                      <w:szCs w:val="28"/>
                      <w:lang w:val="el-GR"/>
                    </w:rPr>
                  </w:pPr>
                </w:p>
                <w:p w:rsidR="00E87F3A" w:rsidRPr="008B4BE7" w:rsidRDefault="00E87F3A" w:rsidP="00C34AA2">
                  <w:pPr>
                    <w:rPr>
                      <w:rFonts w:asciiTheme="majorHAnsi" w:eastAsia="MS Gothic" w:hAnsiTheme="majorHAnsi" w:cs="Apple Symbols"/>
                      <w:color w:val="000000"/>
                      <w:sz w:val="28"/>
                      <w:szCs w:val="28"/>
                      <w:lang w:val="el-GR"/>
                    </w:rPr>
                  </w:pPr>
                  <w:r w:rsidRPr="008B4BE7">
                    <w:rPr>
                      <w:rFonts w:ascii="Apple Symbols" w:eastAsia="MS Gothic" w:hAnsi="Apple Symbols" w:cs="Apple Symbols"/>
                      <w:color w:val="000000"/>
                      <w:sz w:val="28"/>
                      <w:szCs w:val="28"/>
                      <w:lang w:val="el-GR"/>
                    </w:rPr>
                    <w:t>☐</w:t>
                  </w:r>
                  <w:r>
                    <w:rPr>
                      <w:rFonts w:eastAsia="MS Gothic" w:cs="Apple Symbols"/>
                      <w:color w:val="000000"/>
                      <w:sz w:val="28"/>
                      <w:szCs w:val="28"/>
                      <w:lang w:val="el-GR"/>
                    </w:rPr>
                    <w:t xml:space="preserve"> </w:t>
                  </w:r>
                  <w:r w:rsidRPr="008B4BE7">
                    <w:rPr>
                      <w:rFonts w:asciiTheme="majorHAnsi" w:eastAsia="MS Gothic" w:hAnsiTheme="majorHAnsi" w:cs="Apple Symbols"/>
                      <w:color w:val="000000"/>
                      <w:sz w:val="28"/>
                      <w:szCs w:val="28"/>
                      <w:lang w:val="el-GR"/>
                    </w:rPr>
                    <w:t>1 χρόνος/8€</w:t>
                  </w:r>
                  <w:r w:rsidRPr="008B4BE7">
                    <w:rPr>
                      <w:rFonts w:asciiTheme="majorHAnsi" w:eastAsia="MS Gothic" w:hAnsiTheme="majorHAnsi" w:cs="Apple Symbols"/>
                      <w:color w:val="000000"/>
                      <w:sz w:val="28"/>
                      <w:szCs w:val="28"/>
                      <w:lang w:val="el-GR"/>
                    </w:rPr>
                    <w:tab/>
                  </w:r>
                  <w:r w:rsidRPr="008B4BE7">
                    <w:rPr>
                      <w:rFonts w:asciiTheme="majorHAnsi" w:eastAsia="MS Gothic" w:hAnsiTheme="majorHAnsi" w:cs="Apple Symbols"/>
                      <w:color w:val="000000"/>
                      <w:sz w:val="28"/>
                      <w:szCs w:val="28"/>
                      <w:lang w:val="el-GR"/>
                    </w:rPr>
                    <w:tab/>
                  </w:r>
                  <w:r w:rsidRPr="008B4BE7">
                    <w:rPr>
                      <w:rFonts w:ascii="Apple Symbols" w:eastAsia="MS Gothic" w:hAnsi="Apple Symbols" w:cs="Apple Symbols"/>
                      <w:color w:val="000000"/>
                      <w:sz w:val="28"/>
                      <w:szCs w:val="28"/>
                      <w:lang w:val="el-GR"/>
                    </w:rPr>
                    <w:t>☐</w:t>
                  </w:r>
                  <w:r>
                    <w:rPr>
                      <w:rFonts w:eastAsia="MS Gothic" w:cs="Apple Symbols"/>
                      <w:color w:val="000000"/>
                      <w:sz w:val="28"/>
                      <w:szCs w:val="28"/>
                      <w:lang w:val="el-GR"/>
                    </w:rPr>
                    <w:t xml:space="preserve"> </w:t>
                  </w:r>
                  <w:r w:rsidRPr="008B4BE7">
                    <w:rPr>
                      <w:rFonts w:asciiTheme="majorHAnsi" w:eastAsia="MS Gothic" w:hAnsiTheme="majorHAnsi" w:cs="Apple Symbols"/>
                      <w:color w:val="000000"/>
                      <w:sz w:val="28"/>
                      <w:szCs w:val="28"/>
                      <w:lang w:val="el-GR"/>
                    </w:rPr>
                    <w:t>3χρόνια/20€</w:t>
                  </w:r>
                  <w:r w:rsidRPr="008B4BE7">
                    <w:rPr>
                      <w:rFonts w:asciiTheme="majorHAnsi" w:eastAsia="MS Gothic" w:hAnsiTheme="majorHAnsi" w:cs="Apple Symbols"/>
                      <w:color w:val="000000"/>
                      <w:sz w:val="28"/>
                      <w:szCs w:val="28"/>
                      <w:lang w:val="el-GR"/>
                    </w:rPr>
                    <w:tab/>
                  </w:r>
                  <w:r w:rsidRPr="008B4BE7">
                    <w:rPr>
                      <w:rFonts w:asciiTheme="majorHAnsi" w:eastAsia="MS Gothic" w:hAnsiTheme="majorHAnsi" w:cs="Apple Symbols"/>
                      <w:color w:val="000000"/>
                      <w:sz w:val="28"/>
                      <w:szCs w:val="28"/>
                      <w:lang w:val="el-GR"/>
                    </w:rPr>
                    <w:tab/>
                  </w:r>
                  <w:r w:rsidRPr="008B4BE7">
                    <w:rPr>
                      <w:rFonts w:ascii="Apple Symbols" w:eastAsia="MS Gothic" w:hAnsi="Apple Symbols" w:cs="Apple Symbols"/>
                      <w:color w:val="000000"/>
                      <w:sz w:val="28"/>
                      <w:szCs w:val="28"/>
                      <w:lang w:val="el-GR"/>
                    </w:rPr>
                    <w:t>☐</w:t>
                  </w:r>
                  <w:r>
                    <w:rPr>
                      <w:rFonts w:eastAsia="MS Gothic" w:cs="Apple Symbols"/>
                      <w:color w:val="000000"/>
                      <w:sz w:val="28"/>
                      <w:szCs w:val="28"/>
                      <w:lang w:val="el-GR"/>
                    </w:rPr>
                    <w:t xml:space="preserve"> </w:t>
                  </w:r>
                  <w:r w:rsidRPr="008B4BE7">
                    <w:rPr>
                      <w:rFonts w:asciiTheme="majorHAnsi" w:eastAsia="MS Gothic" w:hAnsiTheme="majorHAnsi" w:cs="Apple Symbols"/>
                      <w:color w:val="000000"/>
                      <w:sz w:val="28"/>
                      <w:szCs w:val="28"/>
                      <w:lang w:val="el-GR"/>
                    </w:rPr>
                    <w:t>10 χρόνια/45€</w:t>
                  </w:r>
                </w:p>
                <w:p w:rsidR="00E87F3A" w:rsidRPr="008B4BE7" w:rsidRDefault="00E87F3A" w:rsidP="00C34AA2">
                  <w:pPr>
                    <w:rPr>
                      <w:rFonts w:asciiTheme="majorHAnsi" w:eastAsia="MS Gothic" w:hAnsiTheme="majorHAnsi" w:cs="Apple Symbols"/>
                      <w:color w:val="000000"/>
                      <w:sz w:val="28"/>
                      <w:szCs w:val="28"/>
                      <w:lang w:val="el-GR"/>
                    </w:rPr>
                  </w:pPr>
                  <w:r w:rsidRPr="008B4BE7">
                    <w:rPr>
                      <w:rFonts w:asciiTheme="majorHAnsi" w:eastAsia="MS Gothic" w:hAnsiTheme="majorHAnsi" w:cs="Apple Symbols"/>
                      <w:color w:val="000000"/>
                      <w:sz w:val="28"/>
                      <w:szCs w:val="28"/>
                      <w:lang w:val="el-GR"/>
                    </w:rPr>
                    <w:t>Όνομα__________________________________________________________</w:t>
                  </w:r>
                </w:p>
                <w:p w:rsidR="00E87F3A" w:rsidRPr="008B4BE7" w:rsidRDefault="00E87F3A" w:rsidP="00C34AA2">
                  <w:pPr>
                    <w:rPr>
                      <w:rFonts w:asciiTheme="majorHAnsi" w:eastAsia="MS Gothic" w:hAnsiTheme="majorHAnsi" w:cs="Apple Symbols"/>
                      <w:color w:val="000000"/>
                      <w:sz w:val="28"/>
                      <w:szCs w:val="28"/>
                      <w:lang w:val="el-GR"/>
                    </w:rPr>
                  </w:pPr>
                  <w:r w:rsidRPr="008B4BE7">
                    <w:rPr>
                      <w:rFonts w:asciiTheme="majorHAnsi" w:eastAsia="MS Gothic" w:hAnsiTheme="majorHAnsi" w:cs="Apple Symbols"/>
                      <w:color w:val="000000"/>
                      <w:sz w:val="28"/>
                      <w:szCs w:val="28"/>
                      <w:lang w:val="el-GR"/>
                    </w:rPr>
                    <w:t>Διεύθυνση ______________________________________________________</w:t>
                  </w:r>
                </w:p>
                <w:p w:rsidR="00E87F3A" w:rsidRPr="008B4BE7" w:rsidRDefault="00E87F3A" w:rsidP="00C34AA2">
                  <w:pPr>
                    <w:rPr>
                      <w:rFonts w:asciiTheme="majorHAnsi" w:eastAsia="MS Gothic" w:hAnsiTheme="majorHAnsi" w:cs="Apple Symbols"/>
                      <w:color w:val="000000"/>
                      <w:sz w:val="28"/>
                      <w:szCs w:val="28"/>
                      <w:lang w:val="el-GR"/>
                    </w:rPr>
                  </w:pPr>
                  <w:r w:rsidRPr="008B4BE7">
                    <w:rPr>
                      <w:rFonts w:asciiTheme="majorHAnsi" w:eastAsia="MS Gothic" w:hAnsiTheme="majorHAnsi" w:cs="Apple Symbols"/>
                      <w:color w:val="000000"/>
                      <w:sz w:val="28"/>
                      <w:szCs w:val="28"/>
                      <w:lang w:val="el-GR"/>
                    </w:rPr>
                    <w:t>Πόλη__________________ Νομός</w:t>
                  </w:r>
                  <w:r>
                    <w:rPr>
                      <w:rFonts w:asciiTheme="majorHAnsi" w:eastAsia="MS Gothic" w:hAnsiTheme="majorHAnsi" w:cs="Apple Symbols"/>
                      <w:color w:val="000000"/>
                      <w:sz w:val="28"/>
                      <w:szCs w:val="28"/>
                      <w:lang w:val="el-GR"/>
                    </w:rPr>
                    <w:t xml:space="preserve"> </w:t>
                  </w:r>
                  <w:r w:rsidRPr="008B4BE7">
                    <w:rPr>
                      <w:rFonts w:asciiTheme="majorHAnsi" w:eastAsia="MS Gothic" w:hAnsiTheme="majorHAnsi" w:cs="Apple Symbols"/>
                      <w:color w:val="000000"/>
                      <w:sz w:val="28"/>
                      <w:szCs w:val="28"/>
                      <w:lang w:val="el-GR"/>
                    </w:rPr>
                    <w:t>___________________Τ.Κ. __________</w:t>
                  </w:r>
                </w:p>
                <w:p w:rsidR="00E87F3A" w:rsidRPr="00791519" w:rsidRDefault="00E87F3A" w:rsidP="00C34AA2">
                  <w:pPr>
                    <w:rPr>
                      <w:rFonts w:asciiTheme="majorHAnsi" w:hAnsiTheme="majorHAnsi"/>
                      <w:sz w:val="28"/>
                      <w:szCs w:val="28"/>
                      <w:lang w:val="el-GR"/>
                    </w:rPr>
                  </w:pPr>
                  <w:r>
                    <w:rPr>
                      <w:rFonts w:asciiTheme="majorHAnsi" w:hAnsiTheme="majorHAnsi"/>
                      <w:sz w:val="28"/>
                      <w:szCs w:val="28"/>
                      <w:lang w:val="el-GR"/>
                    </w:rPr>
                    <w:t>Ημερομηνία γέννηση</w:t>
                  </w:r>
                  <w:r w:rsidRPr="00791519">
                    <w:rPr>
                      <w:rFonts w:asciiTheme="majorHAnsi" w:hAnsiTheme="majorHAnsi"/>
                      <w:sz w:val="28"/>
                      <w:szCs w:val="28"/>
                      <w:lang w:val="el-GR"/>
                    </w:rPr>
                    <w:t>ς ____________/____________/___________</w:t>
                  </w:r>
                </w:p>
                <w:p w:rsidR="00E87F3A" w:rsidRPr="00C610E6" w:rsidRDefault="00E87F3A" w:rsidP="00C34AA2">
                  <w:pPr>
                    <w:rPr>
                      <w:rFonts w:asciiTheme="majorHAnsi" w:hAnsiTheme="majorHAnsi"/>
                      <w:sz w:val="20"/>
                      <w:szCs w:val="20"/>
                      <w:lang w:val="el-GR"/>
                    </w:rPr>
                  </w:pPr>
                  <w:r>
                    <w:rPr>
                      <w:rFonts w:asciiTheme="majorHAnsi" w:hAnsiTheme="majorHAnsi"/>
                      <w:sz w:val="28"/>
                      <w:szCs w:val="28"/>
                      <w:lang w:val="el-GR"/>
                    </w:rPr>
                    <w:tab/>
                  </w:r>
                  <w:r>
                    <w:rPr>
                      <w:rFonts w:asciiTheme="majorHAnsi" w:hAnsiTheme="majorHAnsi"/>
                      <w:sz w:val="28"/>
                      <w:szCs w:val="28"/>
                      <w:lang w:val="el-GR"/>
                    </w:rPr>
                    <w:tab/>
                  </w:r>
                  <w:r>
                    <w:rPr>
                      <w:rFonts w:asciiTheme="majorHAnsi" w:hAnsiTheme="majorHAnsi"/>
                      <w:sz w:val="28"/>
                      <w:szCs w:val="28"/>
                      <w:lang w:val="el-GR"/>
                    </w:rPr>
                    <w:tab/>
                  </w:r>
                  <w:r>
                    <w:rPr>
                      <w:rFonts w:asciiTheme="majorHAnsi" w:hAnsiTheme="majorHAnsi"/>
                      <w:sz w:val="28"/>
                      <w:szCs w:val="28"/>
                      <w:lang w:val="el-GR"/>
                    </w:rPr>
                    <w:tab/>
                  </w:r>
                  <w:r>
                    <w:rPr>
                      <w:rFonts w:asciiTheme="majorHAnsi" w:hAnsiTheme="majorHAnsi"/>
                      <w:sz w:val="28"/>
                      <w:szCs w:val="28"/>
                      <w:lang w:val="el-GR"/>
                    </w:rPr>
                    <w:tab/>
                  </w:r>
                  <w:r>
                    <w:rPr>
                      <w:rFonts w:asciiTheme="majorHAnsi" w:hAnsiTheme="majorHAnsi"/>
                      <w:sz w:val="20"/>
                      <w:szCs w:val="20"/>
                      <w:lang w:val="el-GR"/>
                    </w:rPr>
                    <w:t>Μέρα</w:t>
                  </w:r>
                  <w:r w:rsidRPr="00C610E6">
                    <w:rPr>
                      <w:rFonts w:asciiTheme="majorHAnsi" w:hAnsiTheme="majorHAnsi"/>
                      <w:sz w:val="20"/>
                      <w:szCs w:val="20"/>
                      <w:lang w:val="el-GR"/>
                    </w:rPr>
                    <w:tab/>
                  </w:r>
                  <w:r w:rsidRPr="00C610E6">
                    <w:rPr>
                      <w:rFonts w:asciiTheme="majorHAnsi" w:hAnsiTheme="majorHAnsi"/>
                      <w:sz w:val="20"/>
                      <w:szCs w:val="20"/>
                      <w:lang w:val="el-GR"/>
                    </w:rPr>
                    <w:tab/>
                  </w:r>
                  <w:r>
                    <w:rPr>
                      <w:rFonts w:asciiTheme="majorHAnsi" w:hAnsiTheme="majorHAnsi"/>
                      <w:sz w:val="20"/>
                      <w:szCs w:val="20"/>
                      <w:lang w:val="el-GR"/>
                    </w:rPr>
                    <w:t>Μήνας</w:t>
                  </w:r>
                  <w:r>
                    <w:rPr>
                      <w:rFonts w:asciiTheme="majorHAnsi" w:hAnsiTheme="majorHAnsi"/>
                      <w:sz w:val="20"/>
                      <w:szCs w:val="20"/>
                      <w:lang w:val="el-GR"/>
                    </w:rPr>
                    <w:tab/>
                  </w:r>
                  <w:r>
                    <w:rPr>
                      <w:rFonts w:asciiTheme="majorHAnsi" w:hAnsiTheme="majorHAnsi"/>
                      <w:sz w:val="20"/>
                      <w:szCs w:val="20"/>
                      <w:lang w:val="el-GR"/>
                    </w:rPr>
                    <w:tab/>
                  </w:r>
                  <w:r w:rsidRPr="00C610E6">
                    <w:rPr>
                      <w:rFonts w:asciiTheme="majorHAnsi" w:hAnsiTheme="majorHAnsi"/>
                      <w:sz w:val="20"/>
                      <w:szCs w:val="20"/>
                      <w:lang w:val="el-GR"/>
                    </w:rPr>
                    <w:t>Έτος</w:t>
                  </w:r>
                  <w:r w:rsidRPr="00C610E6">
                    <w:rPr>
                      <w:rFonts w:asciiTheme="majorHAnsi" w:hAnsiTheme="majorHAnsi"/>
                      <w:sz w:val="20"/>
                      <w:szCs w:val="20"/>
                      <w:lang w:val="el-GR"/>
                    </w:rPr>
                    <w:tab/>
                  </w:r>
                </w:p>
                <w:p w:rsidR="00E87F3A" w:rsidRDefault="00E87F3A" w:rsidP="00C34AA2">
                  <w:pPr>
                    <w:rPr>
                      <w:rFonts w:asciiTheme="majorHAnsi" w:eastAsia="MS Gothic" w:hAnsiTheme="majorHAnsi" w:cs="Apple Symbols"/>
                      <w:color w:val="000000"/>
                      <w:sz w:val="28"/>
                      <w:szCs w:val="28"/>
                      <w:lang w:val="el-GR"/>
                    </w:rPr>
                  </w:pPr>
                  <w:r w:rsidRPr="008B4BE7">
                    <w:rPr>
                      <w:rFonts w:ascii="Apple Symbols" w:eastAsia="MS Gothic" w:hAnsi="Apple Symbols" w:cs="Apple Symbols"/>
                      <w:color w:val="000000"/>
                      <w:sz w:val="28"/>
                      <w:szCs w:val="28"/>
                      <w:lang w:val="el-GR"/>
                    </w:rPr>
                    <w:t>☐</w:t>
                  </w:r>
                  <w:r>
                    <w:rPr>
                      <w:rFonts w:eastAsia="MS Gothic" w:cs="Apple Symbols"/>
                      <w:color w:val="000000"/>
                      <w:sz w:val="28"/>
                      <w:szCs w:val="28"/>
                      <w:lang w:val="el-GR"/>
                    </w:rPr>
                    <w:t xml:space="preserve"> </w:t>
                  </w:r>
                  <w:r w:rsidRPr="008B4BE7">
                    <w:rPr>
                      <w:rFonts w:asciiTheme="majorHAnsi" w:eastAsia="MS Gothic" w:hAnsiTheme="majorHAnsi" w:cs="Apple Symbols"/>
                      <w:color w:val="000000"/>
                      <w:sz w:val="28"/>
                      <w:szCs w:val="28"/>
                      <w:lang w:val="el-GR"/>
                    </w:rPr>
                    <w:t xml:space="preserve">Δουλεύω με πλήρη απασχόληση </w:t>
                  </w:r>
                  <w:r w:rsidRPr="008B4BE7">
                    <w:rPr>
                      <w:rFonts w:ascii="Apple Symbols" w:eastAsia="MS Gothic" w:hAnsi="Apple Symbols" w:cs="Apple Symbols"/>
                      <w:color w:val="000000"/>
                      <w:sz w:val="28"/>
                      <w:szCs w:val="28"/>
                      <w:lang w:val="el-GR"/>
                    </w:rPr>
                    <w:t>☐</w:t>
                  </w:r>
                  <w:r>
                    <w:rPr>
                      <w:rFonts w:eastAsia="MS Gothic" w:cs="Apple Symbols"/>
                      <w:color w:val="000000"/>
                      <w:sz w:val="28"/>
                      <w:szCs w:val="28"/>
                      <w:lang w:val="el-GR"/>
                    </w:rPr>
                    <w:t xml:space="preserve"> </w:t>
                  </w:r>
                  <w:r w:rsidRPr="00791519">
                    <w:rPr>
                      <w:rFonts w:asciiTheme="majorHAnsi" w:eastAsia="MS Gothic" w:hAnsiTheme="majorHAnsi" w:cs="Apple Symbols"/>
                      <w:color w:val="000000"/>
                      <w:sz w:val="28"/>
                      <w:szCs w:val="28"/>
                      <w:lang w:val="el-GR"/>
                    </w:rPr>
                    <w:t xml:space="preserve">Δουλεύω </w:t>
                  </w:r>
                  <w:r w:rsidRPr="008B4BE7">
                    <w:rPr>
                      <w:rFonts w:asciiTheme="majorHAnsi" w:eastAsia="MS Gothic" w:hAnsiTheme="majorHAnsi" w:cs="Apple Symbols"/>
                      <w:color w:val="000000"/>
                      <w:sz w:val="28"/>
                      <w:szCs w:val="28"/>
                      <w:lang w:val="el-GR"/>
                    </w:rPr>
                    <w:t>με μερική απασχόληση</w:t>
                  </w:r>
                  <w:r w:rsidRPr="008B4BE7">
                    <w:rPr>
                      <w:rFonts w:asciiTheme="majorHAnsi" w:eastAsia="MS Gothic" w:hAnsiTheme="majorHAnsi" w:cs="Apple Symbols"/>
                      <w:color w:val="000000"/>
                      <w:sz w:val="28"/>
                      <w:szCs w:val="28"/>
                      <w:lang w:val="el-GR"/>
                    </w:rPr>
                    <w:tab/>
                  </w:r>
                </w:p>
                <w:p w:rsidR="00E87F3A" w:rsidRPr="00791519" w:rsidRDefault="00E87F3A" w:rsidP="00C34AA2">
                  <w:pPr>
                    <w:rPr>
                      <w:rFonts w:asciiTheme="majorHAnsi" w:eastAsia="MS Gothic" w:hAnsiTheme="majorHAnsi" w:cs="Apple Symbols"/>
                      <w:color w:val="000000"/>
                      <w:sz w:val="28"/>
                      <w:szCs w:val="28"/>
                      <w:lang w:val="el-GR"/>
                    </w:rPr>
                  </w:pPr>
                  <w:r w:rsidRPr="008B4BE7">
                    <w:rPr>
                      <w:rFonts w:ascii="Apple Symbols" w:eastAsia="MS Gothic" w:hAnsi="Apple Symbols" w:cs="Apple Symbols"/>
                      <w:color w:val="000000"/>
                      <w:sz w:val="28"/>
                      <w:szCs w:val="28"/>
                      <w:lang w:val="el-GR"/>
                    </w:rPr>
                    <w:t>☐</w:t>
                  </w:r>
                  <w:r>
                    <w:rPr>
                      <w:rFonts w:eastAsia="MS Gothic" w:cs="Apple Symbols"/>
                      <w:color w:val="000000"/>
                      <w:sz w:val="28"/>
                      <w:szCs w:val="28"/>
                      <w:lang w:val="el-GR"/>
                    </w:rPr>
                    <w:t xml:space="preserve"> </w:t>
                  </w:r>
                  <w:r w:rsidRPr="00791519">
                    <w:rPr>
                      <w:rFonts w:asciiTheme="majorHAnsi" w:eastAsia="MS Gothic" w:hAnsiTheme="majorHAnsi" w:cs="Apple Symbols"/>
                      <w:color w:val="000000"/>
                      <w:sz w:val="28"/>
                      <w:szCs w:val="28"/>
                      <w:lang w:val="el-GR"/>
                    </w:rPr>
                    <w:t>Είμαι σ</w:t>
                  </w:r>
                  <w:r>
                    <w:rPr>
                      <w:rFonts w:asciiTheme="majorHAnsi" w:eastAsia="MS Gothic" w:hAnsiTheme="majorHAnsi" w:cs="Apple Symbols"/>
                      <w:color w:val="000000"/>
                      <w:sz w:val="28"/>
                      <w:szCs w:val="28"/>
                      <w:lang w:val="el-GR"/>
                    </w:rPr>
                    <w:t>υνταξιούχος/α</w:t>
                  </w:r>
                </w:p>
                <w:p w:rsidR="00E87F3A" w:rsidRPr="00791519" w:rsidRDefault="00E87F3A" w:rsidP="00C34AA2">
                  <w:pPr>
                    <w:rPr>
                      <w:rFonts w:asciiTheme="majorHAnsi" w:eastAsia="MS Gothic" w:hAnsiTheme="majorHAnsi" w:cs="Apple Symbols"/>
                      <w:color w:val="000000"/>
                      <w:sz w:val="28"/>
                      <w:szCs w:val="28"/>
                      <w:lang w:val="el-GR"/>
                    </w:rPr>
                  </w:pPr>
                  <w:r w:rsidRPr="00791519">
                    <w:rPr>
                      <w:rFonts w:asciiTheme="majorHAnsi" w:eastAsia="MS Gothic" w:hAnsiTheme="majorHAnsi" w:cs="Apple Symbols"/>
                      <w:color w:val="000000"/>
                      <w:sz w:val="28"/>
                      <w:szCs w:val="28"/>
                      <w:lang w:val="el-GR"/>
                    </w:rPr>
                    <w:t>Όνομα συζύγου _________________________________________________</w:t>
                  </w:r>
                </w:p>
                <w:p w:rsidR="00E87F3A" w:rsidRPr="00791519" w:rsidRDefault="00E87F3A" w:rsidP="00C34AA2">
                  <w:pPr>
                    <w:rPr>
                      <w:rFonts w:asciiTheme="majorHAnsi" w:eastAsia="MS Gothic" w:hAnsiTheme="majorHAnsi" w:cs="Apple Symbols"/>
                      <w:color w:val="000000"/>
                      <w:sz w:val="28"/>
                      <w:szCs w:val="28"/>
                      <w:lang w:val="el-GR"/>
                    </w:rPr>
                  </w:pPr>
                  <w:r w:rsidRPr="00791519">
                    <w:rPr>
                      <w:rFonts w:asciiTheme="majorHAnsi" w:eastAsia="MS Gothic" w:hAnsiTheme="majorHAnsi" w:cs="Apple Symbols"/>
                      <w:color w:val="000000"/>
                      <w:sz w:val="28"/>
                      <w:szCs w:val="28"/>
                      <w:lang w:val="el-GR"/>
                    </w:rPr>
                    <w:t xml:space="preserve">Ημερομηνία γέννησης συζύγου </w:t>
                  </w:r>
                  <w:r>
                    <w:rPr>
                      <w:rFonts w:asciiTheme="majorHAnsi" w:eastAsia="MS Gothic" w:hAnsiTheme="majorHAnsi" w:cs="Apple Symbols"/>
                      <w:color w:val="000000"/>
                      <w:sz w:val="28"/>
                      <w:szCs w:val="28"/>
                      <w:lang w:val="el-GR"/>
                    </w:rPr>
                    <w:t>___</w:t>
                  </w:r>
                  <w:r w:rsidRPr="00791519">
                    <w:rPr>
                      <w:rFonts w:asciiTheme="majorHAnsi" w:hAnsiTheme="majorHAnsi"/>
                      <w:sz w:val="28"/>
                      <w:szCs w:val="28"/>
                      <w:lang w:val="el-GR"/>
                    </w:rPr>
                    <w:t>_________/____________/___________</w:t>
                  </w:r>
                </w:p>
                <w:p w:rsidR="00E87F3A" w:rsidRPr="00E91149" w:rsidRDefault="00E87F3A" w:rsidP="00C34AA2">
                  <w:pPr>
                    <w:rPr>
                      <w:rFonts w:asciiTheme="majorHAnsi" w:hAnsiTheme="majorHAnsi"/>
                      <w:sz w:val="20"/>
                      <w:szCs w:val="20"/>
                      <w:lang w:val="el-GR"/>
                    </w:rPr>
                  </w:pPr>
                  <w:r w:rsidRPr="00791519">
                    <w:rPr>
                      <w:rFonts w:asciiTheme="majorHAnsi" w:hAnsiTheme="majorHAnsi"/>
                      <w:sz w:val="28"/>
                      <w:szCs w:val="28"/>
                      <w:lang w:val="el-GR"/>
                    </w:rPr>
                    <w:tab/>
                  </w:r>
                  <w:r w:rsidRPr="00791519">
                    <w:rPr>
                      <w:rFonts w:asciiTheme="majorHAnsi" w:hAnsiTheme="majorHAnsi"/>
                      <w:sz w:val="28"/>
                      <w:szCs w:val="28"/>
                      <w:lang w:val="el-GR"/>
                    </w:rPr>
                    <w:tab/>
                  </w:r>
                  <w:r w:rsidRPr="00791519">
                    <w:rPr>
                      <w:rFonts w:asciiTheme="majorHAnsi" w:hAnsiTheme="majorHAnsi"/>
                      <w:sz w:val="28"/>
                      <w:szCs w:val="28"/>
                      <w:lang w:val="el-GR"/>
                    </w:rPr>
                    <w:tab/>
                  </w:r>
                  <w:r w:rsidRPr="00791519">
                    <w:rPr>
                      <w:rFonts w:asciiTheme="majorHAnsi" w:hAnsiTheme="majorHAnsi"/>
                      <w:sz w:val="28"/>
                      <w:szCs w:val="28"/>
                      <w:lang w:val="el-GR"/>
                    </w:rPr>
                    <w:tab/>
                  </w:r>
                  <w:r w:rsidRPr="00791519">
                    <w:rPr>
                      <w:rFonts w:asciiTheme="majorHAnsi" w:hAnsiTheme="majorHAnsi"/>
                      <w:sz w:val="28"/>
                      <w:szCs w:val="28"/>
                      <w:lang w:val="el-GR"/>
                    </w:rPr>
                    <w:tab/>
                  </w:r>
                  <w:r>
                    <w:rPr>
                      <w:rFonts w:asciiTheme="majorHAnsi" w:hAnsiTheme="majorHAnsi"/>
                      <w:sz w:val="28"/>
                      <w:szCs w:val="28"/>
                      <w:lang w:val="el-GR"/>
                    </w:rPr>
                    <w:tab/>
                  </w:r>
                  <w:r>
                    <w:rPr>
                      <w:rFonts w:asciiTheme="majorHAnsi" w:hAnsiTheme="majorHAnsi"/>
                      <w:sz w:val="20"/>
                      <w:szCs w:val="20"/>
                      <w:lang w:val="el-GR"/>
                    </w:rPr>
                    <w:t>Μήνας</w:t>
                  </w:r>
                  <w:r>
                    <w:rPr>
                      <w:rFonts w:asciiTheme="majorHAnsi" w:hAnsiTheme="majorHAnsi"/>
                      <w:sz w:val="20"/>
                      <w:szCs w:val="20"/>
                      <w:lang w:val="el-GR"/>
                    </w:rPr>
                    <w:tab/>
                  </w:r>
                  <w:r>
                    <w:rPr>
                      <w:rFonts w:asciiTheme="majorHAnsi" w:hAnsiTheme="majorHAnsi"/>
                      <w:sz w:val="20"/>
                      <w:szCs w:val="20"/>
                      <w:lang w:val="el-GR"/>
                    </w:rPr>
                    <w:tab/>
                    <w:t>Μέρα</w:t>
                  </w:r>
                  <w:r>
                    <w:rPr>
                      <w:rFonts w:asciiTheme="majorHAnsi" w:hAnsiTheme="majorHAnsi"/>
                      <w:sz w:val="20"/>
                      <w:szCs w:val="20"/>
                      <w:lang w:val="el-GR"/>
                    </w:rPr>
                    <w:tab/>
                  </w:r>
                  <w:r>
                    <w:rPr>
                      <w:rFonts w:asciiTheme="majorHAnsi" w:hAnsiTheme="majorHAnsi"/>
                      <w:sz w:val="20"/>
                      <w:szCs w:val="20"/>
                      <w:lang w:val="el-GR"/>
                    </w:rPr>
                    <w:tab/>
                  </w:r>
                  <w:r w:rsidRPr="00E91149">
                    <w:rPr>
                      <w:rFonts w:asciiTheme="majorHAnsi" w:hAnsiTheme="majorHAnsi"/>
                      <w:sz w:val="20"/>
                      <w:szCs w:val="20"/>
                      <w:lang w:val="el-GR"/>
                    </w:rPr>
                    <w:t>Έτος</w:t>
                  </w:r>
                  <w:r w:rsidRPr="00E91149">
                    <w:rPr>
                      <w:rFonts w:asciiTheme="majorHAnsi" w:hAnsiTheme="majorHAnsi"/>
                      <w:sz w:val="20"/>
                      <w:szCs w:val="20"/>
                      <w:lang w:val="el-GR"/>
                    </w:rPr>
                    <w:tab/>
                  </w:r>
                </w:p>
                <w:p w:rsidR="00E87F3A" w:rsidRPr="008B4BE7" w:rsidRDefault="00E87F3A" w:rsidP="00C34AA2">
                  <w:pPr>
                    <w:rPr>
                      <w:rFonts w:asciiTheme="majorHAnsi" w:hAnsiTheme="majorHAnsi"/>
                      <w:lang w:val="el-GR"/>
                    </w:rPr>
                  </w:pPr>
                  <w:r w:rsidRPr="008B4BE7">
                    <w:rPr>
                      <w:rFonts w:asciiTheme="majorHAnsi" w:eastAsia="MS Gothic" w:hAnsi="Apple Symbols" w:cs="Apple Symbols"/>
                      <w:color w:val="000000"/>
                      <w:lang w:val="el-GR"/>
                    </w:rPr>
                    <w:t>☐</w:t>
                  </w:r>
                  <w:r w:rsidRPr="008B4BE7">
                    <w:rPr>
                      <w:rFonts w:asciiTheme="majorHAnsi" w:eastAsia="MS Gothic" w:hAnsiTheme="majorHAnsi" w:cs="Apple Symbols"/>
                      <w:color w:val="000000"/>
                      <w:lang w:val="el-GR"/>
                    </w:rPr>
                    <w:t xml:space="preserve"> </w:t>
                  </w:r>
                  <w:r w:rsidRPr="008B4BE7">
                    <w:rPr>
                      <w:rFonts w:asciiTheme="majorHAnsi" w:hAnsiTheme="majorHAnsi"/>
                      <w:lang w:val="el-GR"/>
                    </w:rPr>
                    <w:t>Έχω εσωκλείσει επιταγή ή συναλλαγματική με δικαιούχο την ΕΣΥΠ (μην στείλετε μετρητά)</w:t>
                  </w:r>
                </w:p>
                <w:p w:rsidR="00E87F3A" w:rsidRPr="008B4BE7" w:rsidRDefault="00E87F3A" w:rsidP="00C34AA2">
                  <w:pPr>
                    <w:rPr>
                      <w:rFonts w:asciiTheme="majorHAnsi" w:eastAsia="MS Gothic" w:hAnsiTheme="majorHAnsi" w:cs="Apple Symbols"/>
                      <w:color w:val="000000"/>
                      <w:lang w:val="el-GR"/>
                    </w:rPr>
                  </w:pPr>
                  <w:r w:rsidRPr="008B4BE7">
                    <w:rPr>
                      <w:rFonts w:asciiTheme="majorHAnsi" w:eastAsia="MS Gothic" w:hAnsi="Apple Symbols" w:cs="Apple Symbols"/>
                      <w:color w:val="000000"/>
                      <w:lang w:val="el-GR"/>
                    </w:rPr>
                    <w:t>☐</w:t>
                  </w:r>
                  <w:r w:rsidRPr="008B4BE7">
                    <w:rPr>
                      <w:rFonts w:asciiTheme="majorHAnsi" w:eastAsia="MS Gothic" w:hAnsiTheme="majorHAnsi" w:cs="Apple Symbols"/>
                      <w:color w:val="000000"/>
                      <w:lang w:val="el-GR"/>
                    </w:rPr>
                    <w:t xml:space="preserve"> Παρακαλώ χρεώστε με το ποσό αργότερα</w:t>
                  </w:r>
                </w:p>
                <w:p w:rsidR="00E87F3A" w:rsidRPr="008B4BE7" w:rsidRDefault="00E87F3A" w:rsidP="00C34AA2">
                  <w:pPr>
                    <w:rPr>
                      <w:rFonts w:asciiTheme="majorHAnsi" w:eastAsia="MS Gothic" w:hAnsiTheme="majorHAnsi" w:cs="Apple Symbols"/>
                      <w:color w:val="000000"/>
                      <w:lang w:val="el-GR"/>
                    </w:rPr>
                  </w:pPr>
                  <w:r w:rsidRPr="008B4BE7">
                    <w:rPr>
                      <w:rFonts w:asciiTheme="majorHAnsi" w:eastAsia="MS Gothic" w:hAnsi="Apple Symbols" w:cs="Apple Symbols"/>
                      <w:color w:val="000000"/>
                      <w:lang w:val="el-GR"/>
                    </w:rPr>
                    <w:t>☐</w:t>
                  </w:r>
                  <w:r w:rsidRPr="008B4BE7">
                    <w:rPr>
                      <w:rFonts w:asciiTheme="majorHAnsi" w:eastAsia="MS Gothic" w:hAnsiTheme="majorHAnsi" w:cs="Apple Symbols"/>
                      <w:color w:val="000000"/>
                      <w:lang w:val="el-GR"/>
                    </w:rPr>
                    <w:t xml:space="preserve"> Αν έχετε δουλέψει στο τομέα της εκπαίδευσης στο παρελθόν, μαρκάρετε αυτό το πεδίο για να γίνεται μέλος της Πανελλήνιας Ένωσης Συνταξιούχων Διδασκάλων της ΕΣΥΠ.</w:t>
                  </w:r>
                </w:p>
                <w:p w:rsidR="00E87F3A" w:rsidRPr="008B4BE7" w:rsidRDefault="00E87F3A" w:rsidP="00C34AA2">
                  <w:pPr>
                    <w:rPr>
                      <w:rFonts w:ascii="Apple Symbols" w:eastAsia="MS Gothic" w:hAnsi="Apple Symbols" w:cs="Apple Symbols"/>
                      <w:color w:val="000000"/>
                      <w:sz w:val="28"/>
                      <w:szCs w:val="28"/>
                      <w:lang w:val="el-GR"/>
                    </w:rPr>
                  </w:pPr>
                </w:p>
                <w:p w:rsidR="00E87F3A" w:rsidRPr="00E91149" w:rsidRDefault="00E87F3A" w:rsidP="00C34AA2">
                  <w:pPr>
                    <w:rPr>
                      <w:rFonts w:asciiTheme="majorHAnsi" w:hAnsiTheme="majorHAnsi"/>
                      <w:sz w:val="28"/>
                      <w:szCs w:val="28"/>
                      <w:lang w:val="el-GR"/>
                    </w:rPr>
                  </w:pPr>
                  <w:r>
                    <w:rPr>
                      <w:rFonts w:asciiTheme="majorHAnsi" w:hAnsiTheme="majorHAnsi"/>
                      <w:sz w:val="28"/>
                      <w:szCs w:val="28"/>
                      <w:lang w:val="el-GR"/>
                    </w:rPr>
                    <w:t>Ταχυδρομήστε στην διεύθυ</w:t>
                  </w:r>
                  <w:r w:rsidRPr="00E91149">
                    <w:rPr>
                      <w:rFonts w:asciiTheme="majorHAnsi" w:hAnsiTheme="majorHAnsi"/>
                      <w:sz w:val="28"/>
                      <w:szCs w:val="28"/>
                      <w:lang w:val="el-GR"/>
                    </w:rPr>
                    <w:t>νση</w:t>
                  </w:r>
                  <w:r w:rsidRPr="008B4BE7">
                    <w:rPr>
                      <w:rFonts w:asciiTheme="majorHAnsi" w:hAnsiTheme="majorHAnsi"/>
                      <w:sz w:val="28"/>
                      <w:szCs w:val="28"/>
                      <w:lang w:val="el-GR"/>
                    </w:rPr>
                    <w:t xml:space="preserve">: </w:t>
                  </w:r>
                  <w:r w:rsidRPr="00E91149">
                    <w:rPr>
                      <w:rFonts w:asciiTheme="majorHAnsi" w:hAnsiTheme="majorHAnsi"/>
                      <w:sz w:val="28"/>
                      <w:szCs w:val="28"/>
                      <w:lang w:val="el-GR"/>
                    </w:rPr>
                    <w:t>ΕΣΥΠ, Συγγρού 56, Τ.Κ. 11742, Αθήνα</w:t>
                  </w:r>
                </w:p>
                <w:p w:rsidR="00E87F3A" w:rsidRDefault="00E87F3A" w:rsidP="00C34AA2">
                  <w:pPr>
                    <w:rPr>
                      <w:rFonts w:asciiTheme="majorHAnsi" w:hAnsiTheme="majorHAnsi"/>
                      <w:lang w:val="el-GR"/>
                    </w:rPr>
                  </w:pPr>
                </w:p>
                <w:p w:rsidR="00E87F3A" w:rsidRPr="00F11B3D" w:rsidRDefault="00E87F3A" w:rsidP="00C34AA2">
                  <w:pPr>
                    <w:rPr>
                      <w:rFonts w:asciiTheme="majorHAnsi" w:hAnsiTheme="majorHAnsi"/>
                      <w:lang w:val="el-GR"/>
                    </w:rPr>
                  </w:pPr>
                  <w:r>
                    <w:rPr>
                      <w:rFonts w:asciiTheme="majorHAnsi" w:hAnsiTheme="majorHAnsi"/>
                      <w:lang w:val="el-GR"/>
                    </w:rPr>
                    <w:t>Το ποσό της συνδρομής δεν εκπίπτει από τον φόρο εισοδήματος. Οι ετήσιες συνδρομές περιλαμβάνουν 2,40</w:t>
                  </w:r>
                  <w:r w:rsidRPr="008B4BE7">
                    <w:rPr>
                      <w:rFonts w:ascii="Calibri" w:eastAsia="MS Gothic" w:hAnsi="Calibri" w:cs="Apple Symbols"/>
                      <w:color w:val="000000"/>
                      <w:lang w:val="el-GR"/>
                    </w:rPr>
                    <w:t>€</w:t>
                  </w:r>
                  <w:r w:rsidRPr="008B4BE7">
                    <w:rPr>
                      <w:rFonts w:ascii="Calibri" w:eastAsia="MS Gothic" w:hAnsi="Calibri" w:cs="Apple Symbols"/>
                      <w:color w:val="000000"/>
                      <w:lang w:val="el-GR"/>
                    </w:rPr>
                    <w:tab/>
                    <w:t xml:space="preserve"> για την </w:t>
                  </w:r>
                  <w:r w:rsidRPr="008B4BE7">
                    <w:rPr>
                      <w:rFonts w:ascii="Calibri" w:eastAsia="MS Gothic" w:hAnsi="Calibri" w:cs="Apple Symbols"/>
                      <w:i/>
                      <w:color w:val="000000"/>
                      <w:lang w:val="el-GR"/>
                    </w:rPr>
                    <w:t>Σύγχρονη Ωριμότητα</w:t>
                  </w:r>
                  <w:r w:rsidRPr="008B4BE7">
                    <w:rPr>
                      <w:rFonts w:ascii="Calibri" w:eastAsia="MS Gothic" w:hAnsi="Calibri" w:cs="Apple Symbols"/>
                      <w:color w:val="000000"/>
                      <w:lang w:val="el-GR"/>
                    </w:rPr>
                    <w:t xml:space="preserve"> και 85 λεπτά για το </w:t>
                  </w:r>
                  <w:r>
                    <w:rPr>
                      <w:rFonts w:ascii="Calibri" w:eastAsia="MS Gothic" w:hAnsi="Calibri" w:cs="Apple Symbols"/>
                      <w:i/>
                      <w:color w:val="000000"/>
                      <w:lang w:val="el-GR"/>
                    </w:rPr>
                    <w:t>Ενημερωτικό Δελτίο</w:t>
                  </w:r>
                  <w:r>
                    <w:rPr>
                      <w:rFonts w:ascii="Calibri" w:eastAsia="MS Gothic" w:hAnsi="Calibri" w:cs="Apple Symbols"/>
                      <w:color w:val="000000"/>
                      <w:lang w:val="el-GR"/>
                    </w:rPr>
                    <w:t>. Η συνδρομή καλύπτει και τον/την σύζυγο σας. Παρακαλώ δώστε περιθώριο 6 εβδομάδων για την αποστολή των σχετικών αποδεικτικών και δελτίων.</w:t>
                  </w:r>
                </w:p>
              </w:txbxContent>
            </v:textbox>
            <w10:wrap type="tight"/>
          </v:shape>
        </w:pict>
      </w:r>
    </w:p>
    <w:p w:rsidR="00C34AA2" w:rsidRDefault="00C34AA2" w:rsidP="00C34AA2">
      <w:pPr>
        <w:rPr>
          <w:lang w:val="el-GR"/>
        </w:rPr>
      </w:pPr>
      <w:r w:rsidRPr="002A2016">
        <w:rPr>
          <w:b/>
          <w:lang w:val="el-GR"/>
        </w:rPr>
        <w:t>Έντυπο: Αίτηση</w:t>
      </w:r>
      <w:r>
        <w:rPr>
          <w:b/>
          <w:lang w:val="el-GR"/>
        </w:rPr>
        <w:t xml:space="preserve"> Εγγραφής Μ</w:t>
      </w:r>
      <w:r w:rsidRPr="002A2016">
        <w:rPr>
          <w:b/>
          <w:lang w:val="el-GR"/>
        </w:rPr>
        <w:t>έλους ΕΣΥΠ</w:t>
      </w:r>
    </w:p>
    <w:p w:rsidR="00C34AA2" w:rsidRDefault="00C34AA2" w:rsidP="00C34AA2">
      <w:pPr>
        <w:spacing w:line="480" w:lineRule="auto"/>
        <w:rPr>
          <w:lang w:val="el-GR"/>
        </w:rPr>
      </w:pPr>
    </w:p>
    <w:p w:rsidR="00C34AA2" w:rsidRDefault="00C34AA2" w:rsidP="00C34AA2">
      <w:pPr>
        <w:spacing w:line="480" w:lineRule="auto"/>
        <w:rPr>
          <w:lang w:val="el-GR"/>
        </w:rPr>
      </w:pPr>
    </w:p>
    <w:p w:rsidR="00C34AA2" w:rsidRDefault="00C34AA2" w:rsidP="00C34AA2">
      <w:pPr>
        <w:spacing w:line="360" w:lineRule="auto"/>
        <w:ind w:left="284" w:hanging="284"/>
        <w:rPr>
          <w:lang w:val="el-GR"/>
        </w:rPr>
      </w:pPr>
      <w:r>
        <w:rPr>
          <w:lang w:val="el-GR"/>
        </w:rPr>
        <w:t>7.  Αν αγοράζατε</w:t>
      </w:r>
      <w:r w:rsidRPr="00D84603">
        <w:rPr>
          <w:lang w:val="el-GR"/>
        </w:rPr>
        <w:t xml:space="preserve"> μια συνδρομή για την περίοδο από το 2013 μέχρι το 2023</w:t>
      </w:r>
      <w:r>
        <w:rPr>
          <w:lang w:val="el-GR"/>
        </w:rPr>
        <w:t>, πόσα θα πληρώνατε</w:t>
      </w:r>
      <w:r w:rsidRPr="00D84603">
        <w:rPr>
          <w:lang w:val="el-GR"/>
        </w:rPr>
        <w:t>; _________________________________________________________________</w:t>
      </w:r>
      <w:r>
        <w:rPr>
          <w:lang w:val="el-GR"/>
        </w:rPr>
        <w:t>_____________________________</w:t>
      </w:r>
    </w:p>
    <w:p w:rsidR="00C34AA2" w:rsidRDefault="00C34AA2" w:rsidP="00C34AA2">
      <w:pPr>
        <w:spacing w:line="360" w:lineRule="auto"/>
        <w:ind w:left="284" w:hanging="284"/>
        <w:rPr>
          <w:lang w:val="el-GR"/>
        </w:rPr>
      </w:pPr>
      <w:r>
        <w:rPr>
          <w:lang w:val="el-GR"/>
        </w:rPr>
        <w:t>8.  Αν είστε παντρεμένος/η και αποφασίσετε να γίνεται μέλος της ΕΣΥΠ, πόσο χρειάζεται να πληρώσει ο/η σύζυγός σας; ______________________________________________________________________________________________</w:t>
      </w:r>
    </w:p>
    <w:p w:rsidR="00C34AA2" w:rsidRDefault="00C34AA2" w:rsidP="00C34AA2">
      <w:pPr>
        <w:rPr>
          <w:lang w:val="el-GR"/>
        </w:rPr>
      </w:pPr>
      <w:r>
        <w:rPr>
          <w:lang w:val="el-GR"/>
        </w:rPr>
        <w:br w:type="page"/>
      </w:r>
    </w:p>
    <w:p w:rsidR="00C34AA2" w:rsidRDefault="00C34AA2" w:rsidP="00C34AA2">
      <w:pPr>
        <w:spacing w:line="360" w:lineRule="auto"/>
        <w:rPr>
          <w:lang w:val="el-GR"/>
        </w:rPr>
      </w:pPr>
    </w:p>
    <w:p w:rsidR="00C34AA2" w:rsidRDefault="00C34AA2" w:rsidP="00C34AA2">
      <w:pPr>
        <w:rPr>
          <w:b/>
          <w:lang w:val="el-GR"/>
        </w:rPr>
      </w:pPr>
      <w:r w:rsidRPr="00A9111F">
        <w:rPr>
          <w:b/>
          <w:lang w:val="el-GR"/>
        </w:rPr>
        <w:t>Έντυπο: Ιατρικό Ιστορικό ασθενούς</w:t>
      </w:r>
    </w:p>
    <w:p w:rsidR="00C34AA2" w:rsidRDefault="00C34AA2" w:rsidP="00C34AA2">
      <w:pPr>
        <w:rPr>
          <w:lang w:val="el-GR"/>
        </w:rPr>
      </w:pPr>
    </w:p>
    <w:p w:rsidR="00C34AA2" w:rsidRPr="00772261" w:rsidRDefault="00C34AA2" w:rsidP="00C34AA2">
      <w:pPr>
        <w:spacing w:line="480" w:lineRule="auto"/>
        <w:rPr>
          <w:sz w:val="20"/>
          <w:szCs w:val="20"/>
          <w:lang w:val="el-GR"/>
        </w:rPr>
      </w:pPr>
      <w:r w:rsidRPr="00772261">
        <w:rPr>
          <w:sz w:val="20"/>
          <w:szCs w:val="20"/>
          <w:lang w:val="el-GR"/>
        </w:rPr>
        <w:t>ΟΛΕΣ ΟΙ ΠΛΗΡΟΦΟΡΙΕΣ ΕΊΝΑΙ ΕΜΠΙΣΤΕΥΤΗΚΕΣ</w:t>
      </w:r>
      <w:r>
        <w:rPr>
          <w:sz w:val="20"/>
          <w:szCs w:val="20"/>
          <w:lang w:val="el-GR"/>
        </w:rPr>
        <w:tab/>
      </w:r>
      <w:r>
        <w:rPr>
          <w:sz w:val="20"/>
          <w:szCs w:val="20"/>
          <w:lang w:val="el-GR"/>
        </w:rPr>
        <w:tab/>
      </w:r>
      <w:r w:rsidRPr="00772261">
        <w:rPr>
          <w:sz w:val="20"/>
          <w:szCs w:val="20"/>
          <w:lang w:val="el-GR"/>
        </w:rPr>
        <w:t>ΑΡΧΙΚΟ/ΕΤΗΣΙΟ ΙΣΤΟΡΙΚΟ ΑΣΘΕΝΟΥΣ</w:t>
      </w:r>
    </w:p>
    <w:tbl>
      <w:tblPr>
        <w:tblStyle w:val="TableGrid"/>
        <w:tblW w:w="9498" w:type="dxa"/>
        <w:tblInd w:w="-176" w:type="dxa"/>
        <w:shd w:val="clear" w:color="auto" w:fill="000000"/>
        <w:tblLayout w:type="fixed"/>
        <w:tblLook w:val="04A0" w:firstRow="1" w:lastRow="0" w:firstColumn="1" w:lastColumn="0" w:noHBand="0" w:noVBand="1"/>
      </w:tblPr>
      <w:tblGrid>
        <w:gridCol w:w="8081"/>
        <w:gridCol w:w="708"/>
        <w:gridCol w:w="709"/>
      </w:tblGrid>
      <w:tr w:rsidR="00C34AA2" w:rsidTr="00C34AA2">
        <w:trPr>
          <w:trHeight w:val="366"/>
        </w:trPr>
        <w:tc>
          <w:tcPr>
            <w:tcW w:w="9498" w:type="dxa"/>
            <w:gridSpan w:val="3"/>
            <w:tcBorders>
              <w:bottom w:val="single" w:sz="4" w:space="0" w:color="auto"/>
            </w:tcBorders>
            <w:shd w:val="clear" w:color="auto" w:fill="000000"/>
            <w:vAlign w:val="center"/>
          </w:tcPr>
          <w:p w:rsidR="00C34AA2" w:rsidRPr="0074730D" w:rsidRDefault="00C34AA2" w:rsidP="00C34AA2">
            <w:pPr>
              <w:tabs>
                <w:tab w:val="left" w:pos="2301"/>
                <w:tab w:val="center" w:pos="4323"/>
              </w:tabs>
              <w:jc w:val="center"/>
              <w:rPr>
                <w:color w:val="F2F2F2" w:themeColor="background1" w:themeShade="F2"/>
                <w:sz w:val="36"/>
                <w:szCs w:val="36"/>
                <w:lang w:val="el-GR"/>
              </w:rPr>
            </w:pPr>
            <w:r w:rsidRPr="0074730D">
              <w:rPr>
                <w:color w:val="F2F2F2" w:themeColor="background1" w:themeShade="F2"/>
                <w:sz w:val="36"/>
                <w:szCs w:val="36"/>
                <w:lang w:val="el-GR"/>
              </w:rPr>
              <w:t>ΙΑΤΡΙΚΟ ΙΣΤΟΡΙΚΟ</w:t>
            </w:r>
          </w:p>
        </w:tc>
      </w:tr>
      <w:tr w:rsidR="00C34AA2" w:rsidRPr="0074730D" w:rsidTr="00C34AA2">
        <w:trPr>
          <w:trHeight w:val="358"/>
        </w:trPr>
        <w:tc>
          <w:tcPr>
            <w:tcW w:w="8081" w:type="dxa"/>
            <w:shd w:val="clear" w:color="auto" w:fill="auto"/>
            <w:vAlign w:val="center"/>
          </w:tcPr>
          <w:p w:rsidR="00C34AA2" w:rsidRPr="0074730D" w:rsidRDefault="00C34AA2" w:rsidP="00C34AA2">
            <w:pPr>
              <w:rPr>
                <w:lang w:val="el-GR"/>
              </w:rPr>
            </w:pPr>
            <w:r w:rsidRPr="0074730D">
              <w:rPr>
                <w:lang w:val="el-GR"/>
              </w:rPr>
              <w:t xml:space="preserve">ΕΧΕΤΕ </w:t>
            </w:r>
            <w:r>
              <w:rPr>
                <w:lang w:val="el-GR"/>
              </w:rPr>
              <w:t xml:space="preserve">ΤΩΡΑ </w:t>
            </w:r>
            <w:r w:rsidRPr="0074730D">
              <w:rPr>
                <w:lang w:val="el-GR"/>
              </w:rPr>
              <w:t>Ή ΕΙΧΑΤΕ ΠΟΤΕ:</w:t>
            </w:r>
          </w:p>
        </w:tc>
        <w:tc>
          <w:tcPr>
            <w:tcW w:w="708" w:type="dxa"/>
            <w:shd w:val="clear" w:color="auto" w:fill="auto"/>
          </w:tcPr>
          <w:p w:rsidR="00C34AA2" w:rsidRPr="0074730D" w:rsidRDefault="00C34AA2" w:rsidP="00C34AA2">
            <w:pPr>
              <w:spacing w:line="480" w:lineRule="auto"/>
              <w:rPr>
                <w:lang w:val="el-GR"/>
              </w:rPr>
            </w:pPr>
            <w:r w:rsidRPr="0074730D">
              <w:rPr>
                <w:lang w:val="el-GR"/>
              </w:rPr>
              <w:t>ΝΑΙ</w:t>
            </w:r>
          </w:p>
        </w:tc>
        <w:tc>
          <w:tcPr>
            <w:tcW w:w="709" w:type="dxa"/>
            <w:shd w:val="clear" w:color="auto" w:fill="auto"/>
          </w:tcPr>
          <w:p w:rsidR="00C34AA2" w:rsidRPr="0074730D" w:rsidRDefault="00C34AA2" w:rsidP="00C34AA2">
            <w:pPr>
              <w:spacing w:line="480" w:lineRule="auto"/>
              <w:rPr>
                <w:lang w:val="el-GR"/>
              </w:rPr>
            </w:pPr>
            <w:r w:rsidRPr="0074730D">
              <w:rPr>
                <w:lang w:val="el-GR"/>
              </w:rPr>
              <w:t>ΟΧΙ</w:t>
            </w:r>
          </w:p>
        </w:tc>
      </w:tr>
      <w:tr w:rsidR="00C34AA2" w:rsidRPr="002D7931" w:rsidTr="00C34AA2">
        <w:trPr>
          <w:trHeight w:val="441"/>
        </w:trPr>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Α)Ζάλη/θολή όραση/ισχυρούς πονοκεφάλους ή ημικρανίες</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Β)Επιληψία/κρίσεις με έντονους σπασμούς</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Γ)Νευρικό κλονισμό/κόπωση/κατάθλιψη/συναισθηματικά προβλήματα</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Δ)Πνευμονολογικά προβλήματα/άσθμα/αιμοπτύσεις/φλέγματα</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Ε)Επίμονο βήχα ή βραχνάδα</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Ζ)Πρόβλημα με τον θυρεοειδή</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Η)Καρδιολογικά /ρευματικό πυρετό/ πόνους στο στήθος/ δύσπνοια</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Θ)Υπέρταση/εγκεφαλικό επεισόδιο/υπερλυπιδιμία (χοληστερίνη, τριγλυκερίδια</w:t>
            </w:r>
          </w:p>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 xml:space="preserve">      /χοληστερόλη)</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Ι)Θρόμβους στα πόδια/φλεβίτιδα (κιρσούς)/μούδιασμα</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Κ)Προβλήματα με το συκώτι (ίκτερο, μονοπυρήνωση, ηπατίτιδα)</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Λ)Προβλήματα με την χολή</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Μ)Δυσπεψία ή προβλήματα κατάποσης</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Ν)Παχυσαρκία/αύξηση βάρους/απώλεια βάρους (πόσο και για πόσο καιρό;)</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Ξ)Διατροφικά προβλήματα/σκελετικά προβλήματα ή οστεοαρθρίτιδα</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Ο)Νεφρά/ουροδόχο κύστη/ προβλήματα στη ούρηση ή ουρικές φλεγμονές</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Π)Αλλαγές στην συνήθειες αφόδευσης ή ούρησης</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r w:rsidR="00C34AA2" w:rsidRPr="002D7931" w:rsidTr="00C34AA2">
        <w:trPr>
          <w:trHeight w:val="205"/>
        </w:trPr>
        <w:tc>
          <w:tcPr>
            <w:tcW w:w="8081" w:type="dxa"/>
            <w:shd w:val="clear" w:color="auto" w:fill="auto"/>
            <w:vAlign w:val="center"/>
          </w:tcPr>
          <w:p w:rsidR="00C34AA2" w:rsidRPr="00D50650" w:rsidRDefault="00C34AA2" w:rsidP="00C34AA2">
            <w:pPr>
              <w:spacing w:line="276" w:lineRule="auto"/>
              <w:rPr>
                <w:rFonts w:asciiTheme="majorHAnsi" w:hAnsiTheme="majorHAnsi"/>
                <w:lang w:val="el-GR"/>
              </w:rPr>
            </w:pPr>
            <w:r w:rsidRPr="00D50650">
              <w:rPr>
                <w:rFonts w:asciiTheme="majorHAnsi" w:hAnsiTheme="majorHAnsi"/>
                <w:lang w:val="el-GR"/>
              </w:rPr>
              <w:t>Ρ) Κολίτιδα/πολύποδα στο μέγα ή παχύ έντερο/αιμορραγία από το παχύ έντερο/αίμα στα κόπρανα</w:t>
            </w:r>
          </w:p>
        </w:tc>
        <w:tc>
          <w:tcPr>
            <w:tcW w:w="708" w:type="dxa"/>
            <w:shd w:val="clear" w:color="auto" w:fill="auto"/>
          </w:tcPr>
          <w:p w:rsidR="00C34AA2" w:rsidRPr="00D50650" w:rsidRDefault="00C34AA2" w:rsidP="00C34AA2">
            <w:pPr>
              <w:spacing w:line="276" w:lineRule="auto"/>
              <w:rPr>
                <w:rFonts w:asciiTheme="majorHAnsi" w:hAnsiTheme="majorHAnsi"/>
                <w:lang w:val="el-GR"/>
              </w:rPr>
            </w:pPr>
          </w:p>
        </w:tc>
        <w:tc>
          <w:tcPr>
            <w:tcW w:w="709" w:type="dxa"/>
            <w:shd w:val="clear" w:color="auto" w:fill="auto"/>
          </w:tcPr>
          <w:p w:rsidR="00C34AA2" w:rsidRPr="00D50650" w:rsidRDefault="00C34AA2" w:rsidP="00C34AA2">
            <w:pPr>
              <w:spacing w:line="276" w:lineRule="auto"/>
              <w:rPr>
                <w:rFonts w:asciiTheme="majorHAnsi" w:hAnsiTheme="majorHAnsi"/>
                <w:lang w:val="el-GR"/>
              </w:rPr>
            </w:pPr>
          </w:p>
        </w:tc>
      </w:tr>
    </w:tbl>
    <w:p w:rsidR="00C34AA2" w:rsidRDefault="00C34AA2" w:rsidP="00C34AA2">
      <w:pPr>
        <w:spacing w:line="276" w:lineRule="auto"/>
        <w:rPr>
          <w:sz w:val="22"/>
          <w:szCs w:val="22"/>
          <w:lang w:val="el-GR"/>
        </w:rPr>
      </w:pPr>
    </w:p>
    <w:p w:rsidR="00C34AA2" w:rsidRDefault="00C34AA2" w:rsidP="00C34AA2">
      <w:pPr>
        <w:spacing w:line="276" w:lineRule="auto"/>
        <w:rPr>
          <w:sz w:val="22"/>
          <w:szCs w:val="22"/>
          <w:lang w:val="el-GR"/>
        </w:rPr>
      </w:pPr>
    </w:p>
    <w:p w:rsidR="00C34AA2" w:rsidRDefault="00C34AA2" w:rsidP="00C34AA2">
      <w:pPr>
        <w:spacing w:line="276" w:lineRule="auto"/>
        <w:rPr>
          <w:sz w:val="22"/>
          <w:szCs w:val="22"/>
          <w:lang w:val="el-GR"/>
        </w:rPr>
      </w:pPr>
    </w:p>
    <w:p w:rsidR="00C34AA2" w:rsidRDefault="00C34AA2" w:rsidP="00C34AA2">
      <w:pPr>
        <w:spacing w:line="276" w:lineRule="auto"/>
        <w:ind w:left="284" w:hanging="284"/>
        <w:rPr>
          <w:lang w:val="el-GR"/>
        </w:rPr>
      </w:pPr>
      <w:r w:rsidRPr="008A73CB">
        <w:rPr>
          <w:lang w:val="el-GR"/>
        </w:rPr>
        <w:t xml:space="preserve">9. </w:t>
      </w:r>
      <w:r>
        <w:rPr>
          <w:lang w:val="el-GR"/>
        </w:rPr>
        <w:t xml:space="preserve"> </w:t>
      </w:r>
      <w:r w:rsidRPr="008A73CB">
        <w:rPr>
          <w:lang w:val="el-GR"/>
        </w:rPr>
        <w:t>Αν είσ</w:t>
      </w:r>
      <w:r>
        <w:rPr>
          <w:lang w:val="el-GR"/>
        </w:rPr>
        <w:t>ασταν</w:t>
      </w:r>
      <w:r w:rsidRPr="008A73CB">
        <w:rPr>
          <w:lang w:val="el-GR"/>
        </w:rPr>
        <w:t xml:space="preserve"> συχνά κουρασμένος και θλιμμένος, σε ποιά γραμμή </w:t>
      </w:r>
      <w:r>
        <w:rPr>
          <w:lang w:val="el-GR"/>
        </w:rPr>
        <w:t>στον παραπάνω πίνακα</w:t>
      </w:r>
      <w:r w:rsidRPr="008A73CB">
        <w:rPr>
          <w:lang w:val="el-GR"/>
        </w:rPr>
        <w:t xml:space="preserve"> θα το </w:t>
      </w:r>
      <w:r>
        <w:rPr>
          <w:lang w:val="el-GR"/>
        </w:rPr>
        <w:t>αναφέρατε/σημειώνατε</w:t>
      </w:r>
      <w:r w:rsidRPr="008A73CB">
        <w:rPr>
          <w:lang w:val="el-GR"/>
        </w:rPr>
        <w:t>;</w:t>
      </w:r>
      <w:r>
        <w:rPr>
          <w:lang w:val="el-GR"/>
        </w:rPr>
        <w:t xml:space="preserve"> ______________________________________________________________________________________________</w:t>
      </w:r>
    </w:p>
    <w:p w:rsidR="00C34AA2" w:rsidRDefault="00C34AA2" w:rsidP="00C34AA2">
      <w:pPr>
        <w:spacing w:line="276" w:lineRule="auto"/>
        <w:rPr>
          <w:lang w:val="el-GR"/>
        </w:rPr>
      </w:pPr>
    </w:p>
    <w:p w:rsidR="00C34AA2" w:rsidRDefault="00C34AA2" w:rsidP="00C34AA2">
      <w:pPr>
        <w:spacing w:line="276" w:lineRule="auto"/>
        <w:ind w:left="426" w:hanging="426"/>
        <w:rPr>
          <w:lang w:val="el-GR"/>
        </w:rPr>
      </w:pPr>
      <w:r>
        <w:rPr>
          <w:lang w:val="el-GR"/>
        </w:rPr>
        <w:t xml:space="preserve">10.  Αν έχετε καούρες μετά το φαγητό, </w:t>
      </w:r>
      <w:r w:rsidRPr="008A73CB">
        <w:rPr>
          <w:lang w:val="el-GR"/>
        </w:rPr>
        <w:t xml:space="preserve">σε ποιά γραμμή </w:t>
      </w:r>
      <w:r>
        <w:rPr>
          <w:lang w:val="el-GR"/>
        </w:rPr>
        <w:t>στον παραπάνω πίνακα</w:t>
      </w:r>
      <w:r w:rsidRPr="008A73CB">
        <w:rPr>
          <w:lang w:val="el-GR"/>
        </w:rPr>
        <w:t xml:space="preserve"> θα το </w:t>
      </w:r>
      <w:r>
        <w:rPr>
          <w:lang w:val="el-GR"/>
        </w:rPr>
        <w:t>αναφέρατε/σημειώνατε</w:t>
      </w:r>
      <w:r w:rsidRPr="008A73CB">
        <w:rPr>
          <w:lang w:val="el-GR"/>
        </w:rPr>
        <w:t>;</w:t>
      </w:r>
      <w:r>
        <w:rPr>
          <w:lang w:val="el-GR"/>
        </w:rPr>
        <w:t xml:space="preserve"> ____________________________________________________________________________________________</w:t>
      </w:r>
      <w:r>
        <w:rPr>
          <w:lang w:val="el-GR"/>
        </w:rPr>
        <w:br w:type="page"/>
      </w:r>
    </w:p>
    <w:tbl>
      <w:tblPr>
        <w:tblStyle w:val="TableGrid"/>
        <w:tblpPr w:leftFromText="180" w:rightFromText="180" w:horzAnchor="margin" w:tblpXSpec="center" w:tblpY="1550"/>
        <w:tblW w:w="5993" w:type="dxa"/>
        <w:tblLook w:val="04A0" w:firstRow="1" w:lastRow="0" w:firstColumn="1" w:lastColumn="0" w:noHBand="0" w:noVBand="1"/>
      </w:tblPr>
      <w:tblGrid>
        <w:gridCol w:w="2480"/>
        <w:gridCol w:w="3513"/>
      </w:tblGrid>
      <w:tr w:rsidR="00C34AA2" w:rsidRPr="002D7931" w:rsidTr="00C34AA2">
        <w:trPr>
          <w:trHeight w:val="890"/>
        </w:trPr>
        <w:tc>
          <w:tcPr>
            <w:tcW w:w="5993" w:type="dxa"/>
            <w:gridSpan w:val="2"/>
            <w:tcBorders>
              <w:top w:val="nil"/>
              <w:left w:val="nil"/>
              <w:bottom w:val="single" w:sz="4" w:space="0" w:color="auto"/>
              <w:right w:val="nil"/>
            </w:tcBorders>
          </w:tcPr>
          <w:p w:rsidR="00C34AA2" w:rsidRDefault="00C34AA2" w:rsidP="00C34AA2">
            <w:pPr>
              <w:spacing w:line="276" w:lineRule="auto"/>
              <w:rPr>
                <w:lang w:val="el-GR"/>
              </w:rPr>
            </w:pPr>
            <w:r w:rsidRPr="005A2265">
              <w:rPr>
                <w:b/>
                <w:lang w:val="el-GR"/>
              </w:rPr>
              <w:t>Ενδείξεις</w:t>
            </w:r>
            <w:r>
              <w:rPr>
                <w:lang w:val="el-GR"/>
              </w:rPr>
              <w:t>: Ανακουφίζει Προσωρινά τον Βήχα που Προκαλείται από Μικρούς Ερεθισμούς του Λαιμού και των Βρόγχων, Όπως Παρατηρείται στο Κοινό Κρυολόγημα.</w:t>
            </w:r>
          </w:p>
          <w:p w:rsidR="00C34AA2" w:rsidRDefault="00C34AA2" w:rsidP="00C34AA2">
            <w:pPr>
              <w:spacing w:line="276" w:lineRule="auto"/>
              <w:rPr>
                <w:lang w:val="el-GR"/>
              </w:rPr>
            </w:pPr>
          </w:p>
        </w:tc>
      </w:tr>
      <w:tr w:rsidR="00C34AA2" w:rsidRPr="002D7931" w:rsidTr="00C34AA2">
        <w:trPr>
          <w:trHeight w:val="463"/>
        </w:trPr>
        <w:tc>
          <w:tcPr>
            <w:tcW w:w="5993" w:type="dxa"/>
            <w:gridSpan w:val="2"/>
            <w:tcBorders>
              <w:top w:val="single" w:sz="4" w:space="0" w:color="auto"/>
              <w:bottom w:val="nil"/>
            </w:tcBorders>
          </w:tcPr>
          <w:p w:rsidR="00C34AA2" w:rsidRDefault="00C34AA2" w:rsidP="00C34AA2">
            <w:pPr>
              <w:rPr>
                <w:lang w:val="el-GR"/>
              </w:rPr>
            </w:pPr>
            <w:r w:rsidRPr="0071511C">
              <w:rPr>
                <w:b/>
                <w:lang w:val="el-GR"/>
              </w:rPr>
              <w:t>Οδηγίες</w:t>
            </w:r>
            <w:r>
              <w:rPr>
                <w:lang w:val="el-GR"/>
              </w:rPr>
              <w:t>: Ακολουθήστε την παρακάτω δοσολογία:</w:t>
            </w:r>
          </w:p>
          <w:p w:rsidR="00C34AA2" w:rsidRDefault="00C34AA2" w:rsidP="00C34AA2">
            <w:pPr>
              <w:rPr>
                <w:noProof/>
                <w:lang w:val="el-GR" w:eastAsia="en-US"/>
              </w:rPr>
            </w:pPr>
            <w:r>
              <w:rPr>
                <w:lang w:val="el-GR"/>
              </w:rPr>
              <w:t>Μην ξεπεράσετε τις 4 δόσεις ανά 24-ωρο.</w:t>
            </w:r>
            <w:r w:rsidRPr="00E94FD5">
              <w:rPr>
                <w:noProof/>
                <w:lang w:val="el-GR" w:eastAsia="en-US"/>
              </w:rPr>
              <w:t xml:space="preserve"> </w:t>
            </w:r>
          </w:p>
        </w:tc>
      </w:tr>
      <w:tr w:rsidR="00C34AA2" w:rsidRPr="002D7931" w:rsidTr="00C34AA2">
        <w:trPr>
          <w:trHeight w:val="2129"/>
        </w:trPr>
        <w:tc>
          <w:tcPr>
            <w:tcW w:w="2480" w:type="dxa"/>
            <w:tcBorders>
              <w:top w:val="nil"/>
              <w:bottom w:val="single" w:sz="4" w:space="0" w:color="auto"/>
              <w:right w:val="nil"/>
            </w:tcBorders>
          </w:tcPr>
          <w:p w:rsidR="00C34AA2" w:rsidRDefault="00C34AA2" w:rsidP="00C34AA2">
            <w:pPr>
              <w:spacing w:line="276" w:lineRule="auto"/>
              <w:rPr>
                <w:lang w:val="el-GR"/>
              </w:rPr>
            </w:pPr>
            <w:r w:rsidRPr="008B4BE7">
              <w:rPr>
                <w:noProof/>
                <w:lang w:eastAsia="zh-CN"/>
              </w:rPr>
              <w:drawing>
                <wp:inline distT="0" distB="0" distL="0" distR="0">
                  <wp:extent cx="944184" cy="1736785"/>
                  <wp:effectExtent l="19050" t="0" r="8316" b="0"/>
                  <wp:docPr id="13" name="Picture 4" descr="Macintosh HD:Users:George:Desktop:Pict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orge:Desktop:Picture 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46699" cy="1741411"/>
                          </a:xfrm>
                          <a:prstGeom prst="rect">
                            <a:avLst/>
                          </a:prstGeom>
                          <a:noFill/>
                          <a:ln>
                            <a:noFill/>
                          </a:ln>
                        </pic:spPr>
                      </pic:pic>
                    </a:graphicData>
                  </a:graphic>
                </wp:inline>
              </w:drawing>
            </w:r>
          </w:p>
        </w:tc>
        <w:tc>
          <w:tcPr>
            <w:tcW w:w="3513" w:type="dxa"/>
            <w:tcBorders>
              <w:top w:val="nil"/>
              <w:left w:val="nil"/>
              <w:bottom w:val="single" w:sz="4" w:space="0" w:color="auto"/>
            </w:tcBorders>
          </w:tcPr>
          <w:p w:rsidR="00C34AA2" w:rsidRDefault="00C34AA2" w:rsidP="00C34AA2">
            <w:pPr>
              <w:rPr>
                <w:lang w:val="el-GR"/>
              </w:rPr>
            </w:pPr>
            <w:r>
              <w:rPr>
                <w:b/>
                <w:lang w:val="el-GR"/>
              </w:rPr>
              <w:t>ΔΟΣΟΛΟΓΙΑ ΕΝΗΛΙΚΑ</w:t>
            </w:r>
            <w:r>
              <w:rPr>
                <w:lang w:val="el-GR"/>
              </w:rPr>
              <w:t>(και παιδιών άνω των 12 ετών): 2 κουτάλια του τσαγιού κάθε 6 με 8 ώρες.</w:t>
            </w:r>
          </w:p>
          <w:p w:rsidR="00C34AA2" w:rsidRPr="002A7026" w:rsidRDefault="00C34AA2" w:rsidP="00C34AA2">
            <w:pPr>
              <w:rPr>
                <w:b/>
                <w:lang w:val="el-GR"/>
              </w:rPr>
            </w:pPr>
            <w:r w:rsidRPr="002A7026">
              <w:rPr>
                <w:b/>
                <w:lang w:val="el-GR"/>
              </w:rPr>
              <w:t>ΔΟΣ</w:t>
            </w:r>
            <w:r>
              <w:rPr>
                <w:b/>
                <w:lang w:val="el-GR"/>
              </w:rPr>
              <w:t>ΟΛΟΓΑ ΠΑΙΔΙΟΥ</w:t>
            </w:r>
          </w:p>
          <w:p w:rsidR="00C34AA2" w:rsidRDefault="00C34AA2" w:rsidP="00C34AA2">
            <w:pPr>
              <w:rPr>
                <w:lang w:val="el-GR"/>
              </w:rPr>
            </w:pPr>
            <w:r w:rsidRPr="00B8374F">
              <w:rPr>
                <w:b/>
                <w:lang w:val="el-GR"/>
              </w:rPr>
              <w:t>6χρν. μέχρι 12 χρν</w:t>
            </w:r>
            <w:r>
              <w:rPr>
                <w:lang w:val="el-GR"/>
              </w:rPr>
              <w:t>.</w:t>
            </w:r>
          </w:p>
          <w:p w:rsidR="00C34AA2" w:rsidRDefault="00C34AA2" w:rsidP="00C34AA2">
            <w:pPr>
              <w:rPr>
                <w:lang w:val="el-GR"/>
              </w:rPr>
            </w:pPr>
            <w:r>
              <w:rPr>
                <w:lang w:val="el-GR"/>
              </w:rPr>
              <w:t>Ι κουτάλι του τσαγιού  κάθε 6 με 8 ώρες</w:t>
            </w:r>
          </w:p>
          <w:p w:rsidR="00C34AA2" w:rsidRPr="00B8374F" w:rsidRDefault="00C34AA2" w:rsidP="00C34AA2">
            <w:pPr>
              <w:rPr>
                <w:b/>
                <w:lang w:val="el-GR"/>
              </w:rPr>
            </w:pPr>
            <w:r w:rsidRPr="00B8374F">
              <w:rPr>
                <w:b/>
                <w:lang w:val="el-GR"/>
              </w:rPr>
              <w:t>2χρν. μέχρι 6χρν.</w:t>
            </w:r>
          </w:p>
          <w:p w:rsidR="00C34AA2" w:rsidRDefault="00C34AA2" w:rsidP="00C34AA2">
            <w:pPr>
              <w:rPr>
                <w:lang w:val="el-GR"/>
              </w:rPr>
            </w:pPr>
            <w:r>
              <w:rPr>
                <w:lang w:val="el-GR"/>
              </w:rPr>
              <w:t>½ κουτάλι του τσαγιού κάθε 6 με 8 ώρες</w:t>
            </w:r>
          </w:p>
          <w:p w:rsidR="00C34AA2" w:rsidRDefault="00C34AA2" w:rsidP="00C34AA2">
            <w:pPr>
              <w:rPr>
                <w:lang w:val="el-GR"/>
              </w:rPr>
            </w:pPr>
            <w:r>
              <w:rPr>
                <w:lang w:val="el-GR"/>
              </w:rPr>
              <w:t>Κάτω των 2 χρν– Συμβουλευτείτε τον γιατρό σας</w:t>
            </w:r>
          </w:p>
        </w:tc>
      </w:tr>
      <w:tr w:rsidR="00C34AA2" w:rsidRPr="002D7931" w:rsidTr="00C34AA2">
        <w:trPr>
          <w:trHeight w:val="2624"/>
        </w:trPr>
        <w:tc>
          <w:tcPr>
            <w:tcW w:w="5993" w:type="dxa"/>
            <w:gridSpan w:val="2"/>
            <w:tcBorders>
              <w:top w:val="single" w:sz="4" w:space="0" w:color="auto"/>
              <w:left w:val="nil"/>
              <w:bottom w:val="nil"/>
              <w:right w:val="nil"/>
            </w:tcBorders>
          </w:tcPr>
          <w:p w:rsidR="00C34AA2" w:rsidRDefault="00C34AA2" w:rsidP="00C34AA2">
            <w:pPr>
              <w:rPr>
                <w:b/>
                <w:lang w:val="el-GR"/>
              </w:rPr>
            </w:pPr>
          </w:p>
          <w:p w:rsidR="00C34AA2" w:rsidRDefault="00C34AA2" w:rsidP="00C34AA2">
            <w:pPr>
              <w:rPr>
                <w:lang w:val="el-GR"/>
              </w:rPr>
            </w:pPr>
            <w:r w:rsidRPr="00A16539">
              <w:rPr>
                <w:b/>
                <w:lang w:val="el-GR"/>
              </w:rPr>
              <w:t xml:space="preserve">Προσοχή- </w:t>
            </w:r>
            <w:r w:rsidRPr="00A16539">
              <w:rPr>
                <w:lang w:val="el-GR"/>
              </w:rPr>
              <w:t>Ένας επίμονος βήχας μπορεί να</w:t>
            </w:r>
            <w:r>
              <w:rPr>
                <w:lang w:val="el-GR"/>
              </w:rPr>
              <w:t xml:space="preserve"> </w:t>
            </w:r>
            <w:r w:rsidRPr="00A16539">
              <w:rPr>
                <w:lang w:val="el-GR"/>
              </w:rPr>
              <w:t>αποτελεί ένδειξη μιας σοβαρής κατάστασης. Αν ο βήχας επιμένει πάνω από μία εβδομάδα</w:t>
            </w:r>
            <w:r>
              <w:rPr>
                <w:lang w:val="el-GR"/>
              </w:rPr>
              <w:t>, υποτροπιάζει</w:t>
            </w:r>
            <w:r w:rsidRPr="00A16539">
              <w:rPr>
                <w:lang w:val="el-GR"/>
              </w:rPr>
              <w:t>, ή συνοδεύεται από πυρετό, εξάνθημα, ή επίμονο πονοκέφαλο, συμβουλευτείτε</w:t>
            </w:r>
            <w:r>
              <w:rPr>
                <w:lang w:val="el-GR"/>
              </w:rPr>
              <w:t xml:space="preserve"> έναν γιατρό. Μην λαμβάν</w:t>
            </w:r>
            <w:r w:rsidRPr="00A16539">
              <w:rPr>
                <w:lang w:val="el-GR"/>
              </w:rPr>
              <w:t xml:space="preserve">εται αυτό το προϊόν για επίμονο ή χρόνιο βήχα που </w:t>
            </w:r>
            <w:r>
              <w:rPr>
                <w:lang w:val="el-GR"/>
              </w:rPr>
              <w:t>οφείλεται στο</w:t>
            </w:r>
            <w:r w:rsidRPr="00A16539">
              <w:rPr>
                <w:lang w:val="el-GR"/>
              </w:rPr>
              <w:t xml:space="preserve"> κάπνισμα,</w:t>
            </w:r>
            <w:r>
              <w:rPr>
                <w:lang w:val="el-GR"/>
              </w:rPr>
              <w:t xml:space="preserve"> σε</w:t>
            </w:r>
            <w:r w:rsidRPr="00A16539">
              <w:rPr>
                <w:lang w:val="el-GR"/>
              </w:rPr>
              <w:t xml:space="preserve"> άσθμα, </w:t>
            </w:r>
            <w:r>
              <w:rPr>
                <w:lang w:val="el-GR"/>
              </w:rPr>
              <w:t xml:space="preserve">ή </w:t>
            </w:r>
            <w:r w:rsidRPr="00A16539">
              <w:rPr>
                <w:lang w:val="el-GR"/>
              </w:rPr>
              <w:t>εμφύσημα,</w:t>
            </w:r>
            <w:r>
              <w:rPr>
                <w:lang w:val="el-GR"/>
              </w:rPr>
              <w:t xml:space="preserve"> καθώς και</w:t>
            </w:r>
            <w:r w:rsidRPr="00A16539">
              <w:rPr>
                <w:lang w:val="el-GR"/>
              </w:rPr>
              <w:t xml:space="preserve"> αν ο βήχας συνοδεύεται από </w:t>
            </w:r>
            <w:r>
              <w:rPr>
                <w:lang w:val="el-GR"/>
              </w:rPr>
              <w:t xml:space="preserve">υπερβολικά φλέγματα εκτός αν σας το έχει προτείνει ο γιατρός σας. </w:t>
            </w:r>
          </w:p>
        </w:tc>
      </w:tr>
    </w:tbl>
    <w:p w:rsidR="00C34AA2" w:rsidRPr="00A9111F" w:rsidRDefault="00C34AA2" w:rsidP="00C34AA2">
      <w:pPr>
        <w:spacing w:line="276" w:lineRule="auto"/>
        <w:rPr>
          <w:b/>
          <w:lang w:val="el-GR"/>
        </w:rPr>
      </w:pPr>
      <w:r w:rsidRPr="00A9111F">
        <w:rPr>
          <w:b/>
          <w:lang w:val="el-GR"/>
        </w:rPr>
        <w:t>Οδηγίες: Χρήση Φαρμάκου για τον Βήχα</w:t>
      </w: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ind w:left="426"/>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Pr="00317C1E" w:rsidRDefault="00C34AA2" w:rsidP="00C34AA2">
      <w:pPr>
        <w:ind w:left="426" w:hanging="426"/>
        <w:rPr>
          <w:lang w:val="el-GR"/>
        </w:rPr>
      </w:pPr>
      <w:r w:rsidRPr="00E94FD5">
        <w:rPr>
          <w:lang w:val="el-GR"/>
        </w:rPr>
        <w:t xml:space="preserve">11.  Ποιος είναι ο μέγιστος αριθμός </w:t>
      </w:r>
      <w:r>
        <w:rPr>
          <w:lang w:val="el-GR"/>
        </w:rPr>
        <w:t>κουταλιών τσαγιού από το φάρμακο</w:t>
      </w:r>
      <w:r w:rsidRPr="00E94FD5">
        <w:rPr>
          <w:lang w:val="el-GR"/>
        </w:rPr>
        <w:t xml:space="preserve"> που </w:t>
      </w:r>
      <w:r>
        <w:rPr>
          <w:lang w:val="el-GR"/>
        </w:rPr>
        <w:t>θα μπορούσατε</w:t>
      </w:r>
      <w:r w:rsidRPr="00E94FD5">
        <w:rPr>
          <w:lang w:val="el-GR"/>
        </w:rPr>
        <w:t xml:space="preserve"> να πάρετε </w:t>
      </w:r>
      <w:r>
        <w:rPr>
          <w:lang w:val="el-GR"/>
        </w:rPr>
        <w:t xml:space="preserve">εσείς </w:t>
      </w:r>
      <w:r w:rsidRPr="00E94FD5">
        <w:rPr>
          <w:lang w:val="el-GR"/>
        </w:rPr>
        <w:t xml:space="preserve">σε 24 ώρες; </w:t>
      </w:r>
      <w:r w:rsidRPr="00317C1E">
        <w:rPr>
          <w:lang w:val="el-GR"/>
        </w:rPr>
        <w:t>_________________________________________________________________</w:t>
      </w:r>
      <w:r>
        <w:rPr>
          <w:lang w:val="el-GR"/>
        </w:rPr>
        <w:t>___________________________</w:t>
      </w:r>
    </w:p>
    <w:p w:rsidR="00C34AA2" w:rsidRPr="00317C1E" w:rsidRDefault="00C34AA2" w:rsidP="00C34AA2">
      <w:pPr>
        <w:rPr>
          <w:lang w:val="el-GR"/>
        </w:rPr>
      </w:pPr>
    </w:p>
    <w:p w:rsidR="00C34AA2" w:rsidRPr="0006544F" w:rsidRDefault="00C34AA2" w:rsidP="00C34AA2">
      <w:pPr>
        <w:ind w:left="426" w:hanging="426"/>
        <w:rPr>
          <w:lang w:val="el-GR"/>
        </w:rPr>
      </w:pPr>
      <w:r w:rsidRPr="00E94FD5">
        <w:rPr>
          <w:lang w:val="el-GR"/>
        </w:rPr>
        <w:t>12.</w:t>
      </w:r>
      <w:r>
        <w:rPr>
          <w:lang w:val="el-GR"/>
        </w:rPr>
        <w:t xml:space="preserve"> </w:t>
      </w:r>
      <w:r w:rsidRPr="00E94FD5">
        <w:rPr>
          <w:lang w:val="el-GR"/>
        </w:rPr>
        <w:t xml:space="preserve"> Ο κος Παπαδόπουλος καπνίζει και έχει τσιγαρόβηχα. Ποιός είναι ο μέγιστος αριθμός δόσεων  που </w:t>
      </w:r>
      <w:r>
        <w:rPr>
          <w:lang w:val="el-GR"/>
        </w:rPr>
        <w:t>μπορεί να πάρει</w:t>
      </w:r>
      <w:r w:rsidRPr="00E94FD5">
        <w:rPr>
          <w:lang w:val="el-GR"/>
        </w:rPr>
        <w:t xml:space="preserve"> κάθε μέρα; </w:t>
      </w:r>
      <w:r w:rsidRPr="00C34AA2">
        <w:rPr>
          <w:lang w:val="el-GR"/>
        </w:rPr>
        <w:t>____________________________________________________________________________________________</w:t>
      </w:r>
    </w:p>
    <w:p w:rsidR="00C34AA2" w:rsidRPr="00C34AA2" w:rsidRDefault="00C34AA2" w:rsidP="00C34AA2">
      <w:pPr>
        <w:rPr>
          <w:lang w:val="el-GR"/>
        </w:rPr>
      </w:pPr>
      <w:r w:rsidRPr="00C34AA2">
        <w:rPr>
          <w:lang w:val="el-GR"/>
        </w:rPr>
        <w:br w:type="page"/>
      </w:r>
    </w:p>
    <w:p w:rsidR="00C34AA2" w:rsidRDefault="00C34AA2" w:rsidP="00C34AA2">
      <w:pPr>
        <w:spacing w:line="276" w:lineRule="auto"/>
        <w:rPr>
          <w:b/>
          <w:lang w:val="el-GR"/>
        </w:rPr>
      </w:pPr>
      <w:r w:rsidRPr="00D50650">
        <w:rPr>
          <w:b/>
          <w:lang w:val="el-GR"/>
        </w:rPr>
        <w:t xml:space="preserve">Διάγραμμα: Ταχυδρομήστε για Επιστροφή Χρημάτων από Αγορά Γυναικείων </w:t>
      </w:r>
    </w:p>
    <w:p w:rsidR="00C34AA2" w:rsidRDefault="00C34AA2" w:rsidP="00C34AA2">
      <w:pPr>
        <w:spacing w:line="276" w:lineRule="auto"/>
        <w:ind w:left="720" w:firstLine="720"/>
        <w:rPr>
          <w:b/>
          <w:lang w:val="el-GR"/>
        </w:rPr>
      </w:pPr>
      <w:r w:rsidRPr="00D50650">
        <w:rPr>
          <w:b/>
          <w:lang w:val="el-GR"/>
        </w:rPr>
        <w:t>Εσώρουχων</w:t>
      </w:r>
    </w:p>
    <w:p w:rsidR="00C34AA2" w:rsidRPr="00D50650" w:rsidRDefault="00C34AA2" w:rsidP="00C34AA2">
      <w:pPr>
        <w:spacing w:line="276" w:lineRule="auto"/>
        <w:ind w:left="720" w:firstLine="720"/>
        <w:rPr>
          <w:b/>
          <w:lang w:val="el-GR"/>
        </w:rPr>
      </w:pPr>
    </w:p>
    <w:p w:rsidR="00C34AA2" w:rsidRDefault="00C4694A" w:rsidP="00C34AA2">
      <w:pPr>
        <w:spacing w:line="276" w:lineRule="auto"/>
        <w:rPr>
          <w:lang w:val="el-GR"/>
        </w:rPr>
      </w:pPr>
      <w:r>
        <w:rPr>
          <w:noProof/>
          <w:lang w:eastAsia="en-GB"/>
        </w:rPr>
        <w:pict>
          <v:shape id="Text Box 48" o:spid="_x0000_s1027" type="#_x0000_t202" alt="" style="position:absolute;margin-left:.35pt;margin-top:11.5pt;width:439.45pt;height:390.4pt;z-index:251694080;visibility:visible;mso-wrap-edited:f;mso-width-relative:margin;mso-height-relative:margin" strokeweight="1.5pt">
            <v:path arrowok="t"/>
            <v:textbox style="mso-next-textbox:#Text Box 48">
              <w:txbxContent>
                <w:p w:rsidR="00E87F3A" w:rsidRDefault="00E87F3A" w:rsidP="00C34AA2">
                  <w:pPr>
                    <w:jc w:val="center"/>
                    <w:rPr>
                      <w:rFonts w:asciiTheme="majorHAnsi" w:eastAsia="MS Gothic" w:hAnsiTheme="majorHAnsi" w:cs="Apple Symbols"/>
                      <w:color w:val="000000"/>
                      <w:sz w:val="28"/>
                      <w:szCs w:val="28"/>
                      <w:lang w:val="el-GR"/>
                    </w:rPr>
                  </w:pPr>
                  <w:r w:rsidRPr="00E94FD5">
                    <w:rPr>
                      <w:rFonts w:asciiTheme="majorHAnsi" w:hAnsiTheme="majorHAnsi"/>
                      <w:sz w:val="28"/>
                      <w:szCs w:val="28"/>
                      <w:lang w:val="el-GR"/>
                    </w:rPr>
                    <w:t xml:space="preserve">Πώς να πάρετε </w:t>
                  </w:r>
                  <w:r>
                    <w:rPr>
                      <w:rFonts w:asciiTheme="majorHAnsi" w:hAnsiTheme="majorHAnsi"/>
                      <w:sz w:val="28"/>
                      <w:szCs w:val="28"/>
                      <w:lang w:val="el-GR"/>
                    </w:rPr>
                    <w:t xml:space="preserve">ταχυδρομικά </w:t>
                  </w:r>
                  <w:r w:rsidRPr="00E94FD5">
                    <w:rPr>
                      <w:rFonts w:asciiTheme="majorHAnsi" w:hAnsiTheme="majorHAnsi"/>
                      <w:sz w:val="28"/>
                      <w:szCs w:val="28"/>
                      <w:lang w:val="el-GR"/>
                    </w:rPr>
                    <w:t>μέχρι 4</w:t>
                  </w:r>
                  <w:r w:rsidRPr="00E94FD5">
                    <w:rPr>
                      <w:rFonts w:asciiTheme="majorHAnsi" w:eastAsia="MS Gothic" w:hAnsiTheme="majorHAnsi" w:cs="Apple Symbols"/>
                      <w:color w:val="000000"/>
                      <w:sz w:val="28"/>
                      <w:szCs w:val="28"/>
                      <w:lang w:val="el-GR"/>
                    </w:rPr>
                    <w:t>€ π</w:t>
                  </w:r>
                  <w:r>
                    <w:rPr>
                      <w:rFonts w:asciiTheme="majorHAnsi" w:eastAsia="MS Gothic" w:hAnsiTheme="majorHAnsi" w:cs="Apple Symbols"/>
                      <w:color w:val="000000"/>
                      <w:sz w:val="28"/>
                      <w:szCs w:val="28"/>
                      <w:lang w:val="el-GR"/>
                    </w:rPr>
                    <w:t xml:space="preserve">ίσω από </w:t>
                  </w:r>
                </w:p>
                <w:p w:rsidR="00E87F3A" w:rsidRDefault="00E87F3A" w:rsidP="00C34AA2">
                  <w:pPr>
                    <w:jc w:val="center"/>
                    <w:rPr>
                      <w:rFonts w:asciiTheme="majorHAnsi" w:eastAsia="MS Gothic" w:hAnsiTheme="majorHAnsi" w:cs="Apple Symbols"/>
                      <w:color w:val="000000"/>
                      <w:sz w:val="28"/>
                      <w:szCs w:val="28"/>
                      <w:lang w:val="el-GR"/>
                    </w:rPr>
                  </w:pPr>
                  <w:r>
                    <w:rPr>
                      <w:rFonts w:asciiTheme="majorHAnsi" w:eastAsia="MS Gothic" w:hAnsiTheme="majorHAnsi" w:cs="Apple Symbols"/>
                      <w:color w:val="000000"/>
                      <w:sz w:val="28"/>
                      <w:szCs w:val="28"/>
                      <w:lang w:val="el-GR"/>
                    </w:rPr>
                    <w:t>αγορά γυναικείων εσωρούχων και καλτσών</w:t>
                  </w:r>
                </w:p>
                <w:p w:rsidR="00E87F3A" w:rsidRDefault="00E87F3A" w:rsidP="00C34AA2">
                  <w:pPr>
                    <w:ind w:left="1440" w:firstLine="720"/>
                    <w:jc w:val="both"/>
                    <w:rPr>
                      <w:rFonts w:asciiTheme="majorHAnsi" w:eastAsia="MS Gothic" w:hAnsiTheme="majorHAnsi" w:cs="Apple Symbols"/>
                      <w:color w:val="000000"/>
                      <w:sz w:val="28"/>
                      <w:szCs w:val="28"/>
                      <w:lang w:val="el-GR"/>
                    </w:rPr>
                  </w:pPr>
                </w:p>
                <w:p w:rsidR="00E87F3A" w:rsidRDefault="00E87F3A" w:rsidP="00C34AA2">
                  <w:pPr>
                    <w:rPr>
                      <w:rFonts w:asciiTheme="majorHAnsi" w:eastAsia="MS Gothic" w:hAnsiTheme="majorHAnsi" w:cs="Apple Symbols"/>
                      <w:color w:val="000000"/>
                      <w:sz w:val="28"/>
                      <w:szCs w:val="28"/>
                      <w:lang w:val="el-GR"/>
                    </w:rPr>
                  </w:pPr>
                  <w:r>
                    <w:rPr>
                      <w:rFonts w:asciiTheme="majorHAnsi" w:eastAsia="MS Gothic" w:hAnsiTheme="majorHAnsi" w:cs="Apple Symbols"/>
                      <w:color w:val="000000"/>
                      <w:sz w:val="28"/>
                      <w:szCs w:val="28"/>
                      <w:lang w:val="el-GR"/>
                    </w:rPr>
                    <w:t>Για να έχετε 1</w:t>
                  </w:r>
                  <w:r w:rsidRPr="00E94FD5">
                    <w:rPr>
                      <w:rFonts w:asciiTheme="majorHAnsi" w:eastAsia="MS Gothic" w:hAnsiTheme="majorHAnsi" w:cs="Apple Symbols"/>
                      <w:color w:val="000000"/>
                      <w:sz w:val="28"/>
                      <w:szCs w:val="28"/>
                      <w:lang w:val="el-GR"/>
                    </w:rPr>
                    <w:t>€</w:t>
                  </w:r>
                  <w:r>
                    <w:rPr>
                      <w:rFonts w:asciiTheme="majorHAnsi" w:eastAsia="MS Gothic" w:hAnsiTheme="majorHAnsi" w:cs="Apple Symbols"/>
                      <w:color w:val="000000"/>
                      <w:sz w:val="28"/>
                      <w:szCs w:val="28"/>
                      <w:lang w:val="el-GR"/>
                    </w:rPr>
                    <w:t xml:space="preserve"> ή 2</w:t>
                  </w:r>
                  <w:r w:rsidRPr="00E94FD5">
                    <w:rPr>
                      <w:rFonts w:asciiTheme="majorHAnsi" w:eastAsia="MS Gothic" w:hAnsiTheme="majorHAnsi" w:cs="Apple Symbols"/>
                      <w:color w:val="000000"/>
                      <w:sz w:val="28"/>
                      <w:szCs w:val="28"/>
                      <w:lang w:val="el-GR"/>
                    </w:rPr>
                    <w:t>€</w:t>
                  </w:r>
                  <w:r>
                    <w:rPr>
                      <w:rFonts w:asciiTheme="majorHAnsi" w:eastAsia="MS Gothic" w:hAnsiTheme="majorHAnsi" w:cs="Apple Symbols"/>
                      <w:color w:val="000000"/>
                      <w:sz w:val="28"/>
                      <w:szCs w:val="28"/>
                      <w:lang w:val="el-GR"/>
                    </w:rPr>
                    <w:t xml:space="preserve"> επιστροφή σε κάθε μία από τις παρακάτω δύο κατηγορίες προϊόντων (μέγιστη επιστροφή 4</w:t>
                  </w:r>
                  <w:r w:rsidRPr="00E94FD5">
                    <w:rPr>
                      <w:rFonts w:asciiTheme="majorHAnsi" w:eastAsia="MS Gothic" w:hAnsiTheme="majorHAnsi" w:cs="Apple Symbols"/>
                      <w:color w:val="000000"/>
                      <w:sz w:val="28"/>
                      <w:szCs w:val="28"/>
                      <w:lang w:val="el-GR"/>
                    </w:rPr>
                    <w:t>€</w:t>
                  </w:r>
                  <w:r>
                    <w:rPr>
                      <w:rFonts w:asciiTheme="majorHAnsi" w:eastAsia="MS Gothic" w:hAnsiTheme="majorHAnsi" w:cs="Apple Symbols"/>
                      <w:color w:val="000000"/>
                      <w:sz w:val="28"/>
                      <w:szCs w:val="28"/>
                      <w:lang w:val="el-GR"/>
                    </w:rPr>
                    <w:t>), ταχυδρομήστε αυτό το έντυπο, τις αποδείξεις αγοράς και τους κωδικούς των προϊόντων στην διεύθυνση:</w:t>
                  </w:r>
                </w:p>
                <w:p w:rsidR="00E87F3A" w:rsidRPr="00FA3AB5" w:rsidRDefault="00E87F3A" w:rsidP="00C34AA2">
                  <w:pPr>
                    <w:rPr>
                      <w:rFonts w:asciiTheme="majorHAnsi" w:eastAsia="MS Gothic" w:hAnsiTheme="majorHAnsi" w:cs="Apple Symbols"/>
                      <w:color w:val="000000"/>
                      <w:lang w:val="el-GR"/>
                    </w:rPr>
                  </w:pPr>
                  <w:r w:rsidRPr="00FA3AB5">
                    <w:rPr>
                      <w:rFonts w:asciiTheme="majorHAnsi" w:eastAsia="MS Gothic" w:hAnsiTheme="majorHAnsi" w:cs="Apple Symbols"/>
                      <w:color w:val="000000"/>
                      <w:lang w:val="el-GR"/>
                    </w:rPr>
                    <w:t>ΠΡΟΣΦΟΡΑ ΕΠΙΣΤΡΟΦΗΣ- ΤΑΧΥΔΡΟΜΙΚΗ ΘΥΡΙΔΑ 7062-ΜΑΡΟΥΣΙ, ΑΘΗΝΑ, 57010</w:t>
                  </w:r>
                </w:p>
                <w:p w:rsidR="00E87F3A" w:rsidRDefault="00E87F3A" w:rsidP="00C34AA2">
                  <w:pPr>
                    <w:rPr>
                      <w:rFonts w:asciiTheme="majorHAnsi" w:eastAsia="MS Gothic" w:hAnsiTheme="majorHAnsi" w:cs="Apple Symbols"/>
                      <w:color w:val="000000"/>
                      <w:sz w:val="28"/>
                      <w:szCs w:val="28"/>
                      <w:lang w:val="el-GR"/>
                    </w:rPr>
                  </w:pPr>
                </w:p>
                <w:tbl>
                  <w:tblPr>
                    <w:tblStyle w:val="TableGrid"/>
                    <w:tblW w:w="0" w:type="auto"/>
                    <w:tblInd w:w="-34" w:type="dxa"/>
                    <w:tblLook w:val="04A0" w:firstRow="1" w:lastRow="0" w:firstColumn="1" w:lastColumn="0" w:noHBand="0" w:noVBand="1"/>
                  </w:tblPr>
                  <w:tblGrid>
                    <w:gridCol w:w="284"/>
                    <w:gridCol w:w="1875"/>
                    <w:gridCol w:w="2125"/>
                    <w:gridCol w:w="536"/>
                    <w:gridCol w:w="3715"/>
                  </w:tblGrid>
                  <w:tr w:rsidR="00E87F3A" w:rsidRPr="002D7931" w:rsidTr="00C34AA2">
                    <w:trPr>
                      <w:gridBefore w:val="1"/>
                      <w:wBefore w:w="284" w:type="dxa"/>
                    </w:trPr>
                    <w:tc>
                      <w:tcPr>
                        <w:tcW w:w="8251" w:type="dxa"/>
                        <w:gridSpan w:val="4"/>
                      </w:tcPr>
                      <w:p w:rsidR="00E87F3A" w:rsidRPr="00FA3AB5" w:rsidRDefault="00E87F3A" w:rsidP="00C34AA2">
                        <w:pPr>
                          <w:rPr>
                            <w:rFonts w:asciiTheme="majorHAnsi" w:eastAsia="MS Gothic" w:hAnsiTheme="majorHAnsi" w:cs="Apple Symbols"/>
                            <w:color w:val="000000"/>
                            <w:lang w:val="el-GR"/>
                          </w:rPr>
                        </w:pPr>
                        <w:r w:rsidRPr="00FA3AB5">
                          <w:rPr>
                            <w:rFonts w:asciiTheme="majorHAnsi" w:eastAsia="MS Gothic" w:hAnsiTheme="majorHAnsi" w:cs="Apple Symbols"/>
                            <w:color w:val="000000"/>
                            <w:lang w:val="el-GR"/>
                          </w:rPr>
                          <w:t xml:space="preserve">ΚΑΤΗΓΟΡΙΑ ΠΡΟΙΌΝΤΟΣ         </w:t>
                        </w:r>
                        <w:r w:rsidRPr="00850DF6">
                          <w:rPr>
                            <w:rFonts w:asciiTheme="majorHAnsi" w:eastAsia="MS Gothic" w:hAnsiTheme="majorHAnsi" w:cs="Apple Symbols"/>
                            <w:color w:val="000000"/>
                            <w:sz w:val="22"/>
                            <w:szCs w:val="22"/>
                            <w:lang w:val="el-GR"/>
                          </w:rPr>
                          <w:t xml:space="preserve"> (ΤΣΕΚΑΡΕΤΕ ΜΟΝΟ 1 ΚΟΥΤΑΚΙ ΓΙΑ ΚΑΘΕ ΚΑΤΗΓΟΡΙΑ)</w:t>
                        </w:r>
                      </w:p>
                    </w:tc>
                  </w:tr>
                  <w:tr w:rsidR="00E87F3A" w:rsidRPr="002D7931" w:rsidTr="00C34AA2">
                    <w:trPr>
                      <w:gridBefore w:val="1"/>
                      <w:wBefore w:w="284" w:type="dxa"/>
                    </w:trPr>
                    <w:tc>
                      <w:tcPr>
                        <w:tcW w:w="1875" w:type="dxa"/>
                      </w:tcPr>
                      <w:p w:rsidR="00E87F3A" w:rsidRPr="00FA3AB5" w:rsidRDefault="00E87F3A" w:rsidP="00C34AA2">
                        <w:pPr>
                          <w:rPr>
                            <w:rFonts w:asciiTheme="majorHAnsi" w:eastAsia="MS Gothic" w:hAnsiTheme="majorHAnsi" w:cs="Apple Symbols"/>
                            <w:color w:val="000000"/>
                            <w:lang w:val="el-GR"/>
                          </w:rPr>
                        </w:pPr>
                        <w:r w:rsidRPr="00FA3AB5">
                          <w:rPr>
                            <w:rFonts w:asciiTheme="majorHAnsi" w:eastAsia="MS Gothic" w:hAnsiTheme="majorHAnsi" w:cs="Apple Symbols"/>
                            <w:color w:val="000000"/>
                            <w:lang w:val="el-GR"/>
                          </w:rPr>
                          <w:t xml:space="preserve">ΓΥΝΑΙΚΕΙΑ ΕΣΩΡΟΥΧΑ </w:t>
                        </w:r>
                      </w:p>
                    </w:tc>
                    <w:tc>
                      <w:tcPr>
                        <w:tcW w:w="2125" w:type="dxa"/>
                      </w:tcPr>
                      <w:p w:rsidR="00E87F3A" w:rsidRDefault="00E87F3A" w:rsidP="00C34AA2">
                        <w:pPr>
                          <w:rPr>
                            <w:rFonts w:eastAsia="MS Gothic" w:cs="Apple Symbols"/>
                            <w:color w:val="000000"/>
                            <w:sz w:val="28"/>
                            <w:szCs w:val="28"/>
                            <w:lang w:val="el-GR"/>
                          </w:rPr>
                        </w:pPr>
                        <w:r w:rsidRPr="00E94FD5">
                          <w:rPr>
                            <w:rFonts w:ascii="Apple Symbols" w:eastAsia="MS Gothic" w:hAnsi="Apple Symbols" w:cs="Apple Symbols"/>
                            <w:color w:val="000000"/>
                            <w:sz w:val="28"/>
                            <w:szCs w:val="28"/>
                            <w:lang w:val="el-GR"/>
                          </w:rPr>
                          <w:t>☐</w:t>
                        </w:r>
                      </w:p>
                      <w:p w:rsidR="00E87F3A" w:rsidRDefault="00E87F3A" w:rsidP="00C34AA2">
                        <w:pPr>
                          <w:rPr>
                            <w:rFonts w:asciiTheme="majorHAnsi" w:eastAsia="MS Gothic" w:hAnsiTheme="majorHAnsi" w:cs="Apple Symbols"/>
                            <w:color w:val="000000"/>
                            <w:sz w:val="28"/>
                            <w:szCs w:val="28"/>
                            <w:lang w:val="el-GR"/>
                          </w:rPr>
                        </w:pPr>
                        <w:r>
                          <w:rPr>
                            <w:rFonts w:eastAsia="MS Gothic" w:cs="Apple Symbols"/>
                            <w:color w:val="000000"/>
                            <w:sz w:val="28"/>
                            <w:szCs w:val="28"/>
                            <w:lang w:val="el-GR"/>
                          </w:rPr>
                          <w:t>1.00</w:t>
                        </w:r>
                        <w:r w:rsidRPr="00E94FD5">
                          <w:rPr>
                            <w:rFonts w:asciiTheme="majorHAnsi" w:eastAsia="MS Gothic" w:hAnsiTheme="majorHAnsi" w:cs="Apple Symbols"/>
                            <w:color w:val="000000"/>
                            <w:sz w:val="28"/>
                            <w:szCs w:val="28"/>
                            <w:lang w:val="el-GR"/>
                          </w:rPr>
                          <w:t>€</w:t>
                        </w:r>
                      </w:p>
                      <w:p w:rsidR="00E87F3A" w:rsidRPr="00FA3AB5" w:rsidRDefault="00E87F3A" w:rsidP="00C34AA2">
                        <w:pPr>
                          <w:rPr>
                            <w:rFonts w:eastAsia="MS Gothic" w:cs="Apple Symbols"/>
                            <w:color w:val="000000"/>
                            <w:lang w:val="el-GR"/>
                          </w:rPr>
                        </w:pPr>
                        <w:r>
                          <w:rPr>
                            <w:rFonts w:asciiTheme="majorHAnsi" w:eastAsia="MS Gothic" w:hAnsiTheme="majorHAnsi" w:cs="Apple Symbols"/>
                            <w:color w:val="000000"/>
                            <w:sz w:val="28"/>
                            <w:szCs w:val="28"/>
                            <w:lang w:val="el-GR"/>
                          </w:rPr>
                          <w:t>Κωδικός από ένα πακέτο των 3ων</w:t>
                        </w:r>
                      </w:p>
                    </w:tc>
                    <w:tc>
                      <w:tcPr>
                        <w:tcW w:w="536" w:type="dxa"/>
                        <w:vAlign w:val="center"/>
                      </w:tcPr>
                      <w:p w:rsidR="00E87F3A" w:rsidRPr="00FA3AB5" w:rsidRDefault="00E87F3A" w:rsidP="00C34AA2">
                        <w:pPr>
                          <w:jc w:val="center"/>
                          <w:rPr>
                            <w:rFonts w:asciiTheme="majorHAnsi" w:eastAsia="MS Gothic" w:hAnsiTheme="majorHAnsi" w:cs="Apple Symbols"/>
                            <w:color w:val="000000"/>
                            <w:lang w:val="el-GR"/>
                          </w:rPr>
                        </w:pPr>
                        <w:r>
                          <w:rPr>
                            <w:rFonts w:asciiTheme="majorHAnsi" w:eastAsia="MS Gothic" w:hAnsiTheme="majorHAnsi" w:cs="Apple Symbols"/>
                            <w:color w:val="000000"/>
                            <w:lang w:val="el-GR"/>
                          </w:rPr>
                          <w:t>ή</w:t>
                        </w:r>
                      </w:p>
                    </w:tc>
                    <w:tc>
                      <w:tcPr>
                        <w:tcW w:w="3715" w:type="dxa"/>
                      </w:tcPr>
                      <w:p w:rsidR="00E87F3A" w:rsidRDefault="00E87F3A" w:rsidP="00C34AA2">
                        <w:pPr>
                          <w:rPr>
                            <w:rFonts w:eastAsia="MS Gothic" w:cs="Apple Symbols"/>
                            <w:color w:val="000000"/>
                            <w:sz w:val="28"/>
                            <w:szCs w:val="28"/>
                            <w:lang w:val="el-GR"/>
                          </w:rPr>
                        </w:pPr>
                        <w:r w:rsidRPr="00E94FD5">
                          <w:rPr>
                            <w:rFonts w:ascii="Apple Symbols" w:eastAsia="MS Gothic" w:hAnsi="Apple Symbols" w:cs="Apple Symbols"/>
                            <w:color w:val="000000"/>
                            <w:sz w:val="28"/>
                            <w:szCs w:val="28"/>
                            <w:lang w:val="el-GR"/>
                          </w:rPr>
                          <w:t>☐</w:t>
                        </w:r>
                      </w:p>
                      <w:p w:rsidR="00E87F3A" w:rsidRDefault="00E87F3A" w:rsidP="00C34AA2">
                        <w:pPr>
                          <w:rPr>
                            <w:rFonts w:asciiTheme="majorHAnsi" w:eastAsia="MS Gothic" w:hAnsiTheme="majorHAnsi" w:cs="Apple Symbols"/>
                            <w:color w:val="000000"/>
                            <w:sz w:val="28"/>
                            <w:szCs w:val="28"/>
                            <w:lang w:val="el-GR"/>
                          </w:rPr>
                        </w:pPr>
                        <w:r>
                          <w:rPr>
                            <w:rFonts w:eastAsia="MS Gothic" w:cs="Apple Symbols"/>
                            <w:color w:val="000000"/>
                            <w:sz w:val="28"/>
                            <w:szCs w:val="28"/>
                            <w:lang w:val="el-GR"/>
                          </w:rPr>
                          <w:t>2.00</w:t>
                        </w:r>
                        <w:r w:rsidRPr="00E94FD5">
                          <w:rPr>
                            <w:rFonts w:asciiTheme="majorHAnsi" w:eastAsia="MS Gothic" w:hAnsiTheme="majorHAnsi" w:cs="Apple Symbols"/>
                            <w:color w:val="000000"/>
                            <w:sz w:val="28"/>
                            <w:szCs w:val="28"/>
                            <w:lang w:val="el-GR"/>
                          </w:rPr>
                          <w:t>€</w:t>
                        </w:r>
                      </w:p>
                      <w:p w:rsidR="00E87F3A" w:rsidRPr="00FA3AB5" w:rsidRDefault="00E87F3A" w:rsidP="00C34AA2">
                        <w:pPr>
                          <w:rPr>
                            <w:rFonts w:asciiTheme="majorHAnsi" w:eastAsia="MS Gothic" w:hAnsiTheme="majorHAnsi" w:cs="Apple Symbols"/>
                            <w:color w:val="000000"/>
                            <w:lang w:val="el-GR"/>
                          </w:rPr>
                        </w:pPr>
                        <w:r>
                          <w:rPr>
                            <w:rFonts w:asciiTheme="majorHAnsi" w:eastAsia="MS Gothic" w:hAnsiTheme="majorHAnsi" w:cs="Apple Symbols"/>
                            <w:color w:val="000000"/>
                            <w:sz w:val="28"/>
                            <w:szCs w:val="28"/>
                            <w:lang w:val="el-GR"/>
                          </w:rPr>
                          <w:t>Κωδικοί από δύο πακέτα των 3ων ή ένα πακέτο των 6</w:t>
                        </w:r>
                      </w:p>
                    </w:tc>
                  </w:tr>
                  <w:tr w:rsidR="00E87F3A" w:rsidRPr="002D7931" w:rsidTr="00C34AA2">
                    <w:trPr>
                      <w:gridBefore w:val="1"/>
                      <w:wBefore w:w="284" w:type="dxa"/>
                    </w:trPr>
                    <w:tc>
                      <w:tcPr>
                        <w:tcW w:w="1875" w:type="dxa"/>
                        <w:tcBorders>
                          <w:bottom w:val="single" w:sz="4" w:space="0" w:color="auto"/>
                        </w:tcBorders>
                      </w:tcPr>
                      <w:p w:rsidR="00E87F3A" w:rsidRDefault="00E87F3A" w:rsidP="00C34AA2">
                        <w:pPr>
                          <w:rPr>
                            <w:rFonts w:asciiTheme="majorHAnsi" w:eastAsia="MS Gothic" w:hAnsiTheme="majorHAnsi" w:cs="Apple Symbols"/>
                            <w:color w:val="000000"/>
                            <w:lang w:val="el-GR"/>
                          </w:rPr>
                        </w:pPr>
                        <w:r w:rsidRPr="00FA3AB5">
                          <w:rPr>
                            <w:rFonts w:asciiTheme="majorHAnsi" w:eastAsia="MS Gothic" w:hAnsiTheme="majorHAnsi" w:cs="Apple Symbols"/>
                            <w:color w:val="000000"/>
                            <w:lang w:val="el-GR"/>
                          </w:rPr>
                          <w:t>ΓΥΝΑΙΚ</w:t>
                        </w:r>
                        <w:r>
                          <w:rPr>
                            <w:rFonts w:asciiTheme="majorHAnsi" w:eastAsia="MS Gothic" w:hAnsiTheme="majorHAnsi" w:cs="Apple Symbols"/>
                            <w:color w:val="000000"/>
                            <w:lang w:val="el-GR"/>
                          </w:rPr>
                          <w:t>Ε</w:t>
                        </w:r>
                        <w:r w:rsidRPr="00FA3AB5">
                          <w:rPr>
                            <w:rFonts w:asciiTheme="majorHAnsi" w:eastAsia="MS Gothic" w:hAnsiTheme="majorHAnsi" w:cs="Apple Symbols"/>
                            <w:color w:val="000000"/>
                            <w:lang w:val="el-GR"/>
                          </w:rPr>
                          <w:t xml:space="preserve">ΙΕΣ </w:t>
                        </w:r>
                      </w:p>
                      <w:p w:rsidR="00E87F3A" w:rsidRPr="00FA3AB5" w:rsidRDefault="00E87F3A" w:rsidP="00C34AA2">
                        <w:pPr>
                          <w:rPr>
                            <w:rFonts w:asciiTheme="majorHAnsi" w:eastAsia="MS Gothic" w:hAnsiTheme="majorHAnsi" w:cs="Apple Symbols"/>
                            <w:color w:val="000000"/>
                            <w:lang w:val="el-GR"/>
                          </w:rPr>
                        </w:pPr>
                        <w:r w:rsidRPr="00FA3AB5">
                          <w:rPr>
                            <w:rFonts w:asciiTheme="majorHAnsi" w:eastAsia="MS Gothic" w:hAnsiTheme="majorHAnsi" w:cs="Apple Symbols"/>
                            <w:color w:val="000000"/>
                            <w:lang w:val="el-GR"/>
                          </w:rPr>
                          <w:t>ΚΑΛΤΣΕΣ</w:t>
                        </w:r>
                      </w:p>
                    </w:tc>
                    <w:tc>
                      <w:tcPr>
                        <w:tcW w:w="2125" w:type="dxa"/>
                        <w:tcBorders>
                          <w:bottom w:val="single" w:sz="4" w:space="0" w:color="auto"/>
                        </w:tcBorders>
                      </w:tcPr>
                      <w:p w:rsidR="00E87F3A" w:rsidRDefault="00E87F3A" w:rsidP="00C34AA2">
                        <w:pPr>
                          <w:rPr>
                            <w:rFonts w:eastAsia="MS Gothic" w:cs="Apple Symbols"/>
                            <w:color w:val="000000"/>
                            <w:sz w:val="28"/>
                            <w:szCs w:val="28"/>
                            <w:lang w:val="el-GR"/>
                          </w:rPr>
                        </w:pPr>
                        <w:r w:rsidRPr="00E94FD5">
                          <w:rPr>
                            <w:rFonts w:ascii="Apple Symbols" w:eastAsia="MS Gothic" w:hAnsi="Apple Symbols" w:cs="Apple Symbols"/>
                            <w:color w:val="000000"/>
                            <w:sz w:val="28"/>
                            <w:szCs w:val="28"/>
                            <w:lang w:val="el-GR"/>
                          </w:rPr>
                          <w:t>☐</w:t>
                        </w:r>
                      </w:p>
                      <w:p w:rsidR="00E87F3A" w:rsidRDefault="00E87F3A" w:rsidP="00C34AA2">
                        <w:pPr>
                          <w:rPr>
                            <w:rFonts w:asciiTheme="majorHAnsi" w:eastAsia="MS Gothic" w:hAnsiTheme="majorHAnsi" w:cs="Apple Symbols"/>
                            <w:color w:val="000000"/>
                            <w:sz w:val="28"/>
                            <w:szCs w:val="28"/>
                            <w:lang w:val="el-GR"/>
                          </w:rPr>
                        </w:pPr>
                        <w:r>
                          <w:rPr>
                            <w:rFonts w:eastAsia="MS Gothic" w:cs="Apple Symbols"/>
                            <w:color w:val="000000"/>
                            <w:sz w:val="28"/>
                            <w:szCs w:val="28"/>
                            <w:lang w:val="el-GR"/>
                          </w:rPr>
                          <w:t>1.00</w:t>
                        </w:r>
                        <w:r w:rsidRPr="00E94FD5">
                          <w:rPr>
                            <w:rFonts w:asciiTheme="majorHAnsi" w:eastAsia="MS Gothic" w:hAnsiTheme="majorHAnsi" w:cs="Apple Symbols"/>
                            <w:color w:val="000000"/>
                            <w:sz w:val="28"/>
                            <w:szCs w:val="28"/>
                            <w:lang w:val="el-GR"/>
                          </w:rPr>
                          <w:t>€</w:t>
                        </w:r>
                      </w:p>
                      <w:p w:rsidR="00E87F3A" w:rsidRPr="00FA3AB5" w:rsidRDefault="00E87F3A" w:rsidP="00C34AA2">
                        <w:pPr>
                          <w:rPr>
                            <w:rFonts w:asciiTheme="majorHAnsi" w:eastAsia="MS Gothic" w:hAnsiTheme="majorHAnsi" w:cs="Apple Symbols"/>
                            <w:color w:val="000000"/>
                            <w:lang w:val="el-GR"/>
                          </w:rPr>
                        </w:pPr>
                        <w:r>
                          <w:rPr>
                            <w:rFonts w:asciiTheme="majorHAnsi" w:eastAsia="MS Gothic" w:hAnsiTheme="majorHAnsi" w:cs="Apple Symbols"/>
                            <w:color w:val="000000"/>
                            <w:sz w:val="28"/>
                            <w:szCs w:val="28"/>
                            <w:lang w:val="el-GR"/>
                          </w:rPr>
                          <w:t>Κωδικός από ένα πακέτο των 3ων</w:t>
                        </w:r>
                      </w:p>
                    </w:tc>
                    <w:tc>
                      <w:tcPr>
                        <w:tcW w:w="536" w:type="dxa"/>
                        <w:tcBorders>
                          <w:bottom w:val="single" w:sz="4" w:space="0" w:color="auto"/>
                        </w:tcBorders>
                        <w:vAlign w:val="center"/>
                      </w:tcPr>
                      <w:p w:rsidR="00E87F3A" w:rsidRPr="00FA3AB5" w:rsidRDefault="00E87F3A" w:rsidP="00C34AA2">
                        <w:pPr>
                          <w:jc w:val="center"/>
                          <w:rPr>
                            <w:rFonts w:asciiTheme="majorHAnsi" w:eastAsia="MS Gothic" w:hAnsiTheme="majorHAnsi" w:cs="Apple Symbols"/>
                            <w:color w:val="000000"/>
                            <w:lang w:val="el-GR"/>
                          </w:rPr>
                        </w:pPr>
                        <w:r>
                          <w:rPr>
                            <w:rFonts w:asciiTheme="majorHAnsi" w:eastAsia="MS Gothic" w:hAnsiTheme="majorHAnsi" w:cs="Apple Symbols"/>
                            <w:color w:val="000000"/>
                            <w:lang w:val="el-GR"/>
                          </w:rPr>
                          <w:t>ή</w:t>
                        </w:r>
                      </w:p>
                    </w:tc>
                    <w:tc>
                      <w:tcPr>
                        <w:tcW w:w="3715" w:type="dxa"/>
                      </w:tcPr>
                      <w:p w:rsidR="00E87F3A" w:rsidRDefault="00E87F3A" w:rsidP="00C34AA2">
                        <w:pPr>
                          <w:rPr>
                            <w:rFonts w:eastAsia="MS Gothic" w:cs="Apple Symbols"/>
                            <w:color w:val="000000"/>
                            <w:sz w:val="28"/>
                            <w:szCs w:val="28"/>
                            <w:lang w:val="el-GR"/>
                          </w:rPr>
                        </w:pPr>
                        <w:r w:rsidRPr="00E94FD5">
                          <w:rPr>
                            <w:rFonts w:ascii="Apple Symbols" w:eastAsia="MS Gothic" w:hAnsi="Apple Symbols" w:cs="Apple Symbols"/>
                            <w:color w:val="000000"/>
                            <w:sz w:val="28"/>
                            <w:szCs w:val="28"/>
                            <w:lang w:val="el-GR"/>
                          </w:rPr>
                          <w:t>☐</w:t>
                        </w:r>
                      </w:p>
                      <w:p w:rsidR="00E87F3A" w:rsidRDefault="00E87F3A" w:rsidP="00C34AA2">
                        <w:pPr>
                          <w:rPr>
                            <w:rFonts w:asciiTheme="majorHAnsi" w:eastAsia="MS Gothic" w:hAnsiTheme="majorHAnsi" w:cs="Apple Symbols"/>
                            <w:color w:val="000000"/>
                            <w:sz w:val="28"/>
                            <w:szCs w:val="28"/>
                            <w:lang w:val="el-GR"/>
                          </w:rPr>
                        </w:pPr>
                        <w:r>
                          <w:rPr>
                            <w:rFonts w:eastAsia="MS Gothic" w:cs="Apple Symbols"/>
                            <w:color w:val="000000"/>
                            <w:sz w:val="28"/>
                            <w:szCs w:val="28"/>
                            <w:lang w:val="el-GR"/>
                          </w:rPr>
                          <w:t>2.00</w:t>
                        </w:r>
                        <w:r w:rsidRPr="00E94FD5">
                          <w:rPr>
                            <w:rFonts w:asciiTheme="majorHAnsi" w:eastAsia="MS Gothic" w:hAnsiTheme="majorHAnsi" w:cs="Apple Symbols"/>
                            <w:color w:val="000000"/>
                            <w:sz w:val="28"/>
                            <w:szCs w:val="28"/>
                            <w:lang w:val="el-GR"/>
                          </w:rPr>
                          <w:t>€</w:t>
                        </w:r>
                      </w:p>
                      <w:p w:rsidR="00E87F3A" w:rsidRPr="00FA3AB5" w:rsidRDefault="00E87F3A" w:rsidP="00C34AA2">
                        <w:pPr>
                          <w:rPr>
                            <w:rFonts w:asciiTheme="majorHAnsi" w:eastAsia="MS Gothic" w:hAnsiTheme="majorHAnsi" w:cs="Apple Symbols"/>
                            <w:color w:val="000000"/>
                            <w:lang w:val="el-GR"/>
                          </w:rPr>
                        </w:pPr>
                        <w:r>
                          <w:rPr>
                            <w:rFonts w:asciiTheme="majorHAnsi" w:eastAsia="MS Gothic" w:hAnsiTheme="majorHAnsi" w:cs="Apple Symbols"/>
                            <w:color w:val="000000"/>
                            <w:sz w:val="28"/>
                            <w:szCs w:val="28"/>
                            <w:lang w:val="el-GR"/>
                          </w:rPr>
                          <w:t>Κωδικοί από δύο πακέτα των 3ων ή ένα πακέτο των 6</w:t>
                        </w:r>
                      </w:p>
                    </w:tc>
                  </w:tr>
                  <w:tr w:rsidR="00E87F3A" w:rsidTr="00C34AA2">
                    <w:trPr>
                      <w:trHeight w:val="492"/>
                    </w:trPr>
                    <w:tc>
                      <w:tcPr>
                        <w:tcW w:w="4820" w:type="dxa"/>
                        <w:gridSpan w:val="4"/>
                        <w:tcBorders>
                          <w:left w:val="nil"/>
                          <w:bottom w:val="nil"/>
                        </w:tcBorders>
                        <w:vAlign w:val="center"/>
                      </w:tcPr>
                      <w:p w:rsidR="00E87F3A" w:rsidRPr="00A75A5B" w:rsidRDefault="00E87F3A" w:rsidP="00C34AA2">
                        <w:pPr>
                          <w:rPr>
                            <w:rFonts w:asciiTheme="majorHAnsi" w:eastAsia="MS Gothic" w:hAnsiTheme="majorHAnsi" w:cs="Apple Symbols"/>
                            <w:color w:val="000000"/>
                            <w:sz w:val="22"/>
                            <w:szCs w:val="22"/>
                            <w:lang w:val="el-GR"/>
                          </w:rPr>
                        </w:pPr>
                        <w:r w:rsidRPr="00A75A5B">
                          <w:rPr>
                            <w:rFonts w:asciiTheme="majorHAnsi" w:eastAsia="MS Gothic" w:hAnsiTheme="majorHAnsi" w:cs="Apple Symbols"/>
                            <w:color w:val="000000"/>
                            <w:sz w:val="22"/>
                            <w:szCs w:val="22"/>
                            <w:lang w:val="el-GR"/>
                          </w:rPr>
                          <w:t xml:space="preserve">Παρακαλώ </w:t>
                        </w:r>
                        <w:r>
                          <w:rPr>
                            <w:rFonts w:asciiTheme="majorHAnsi" w:eastAsia="MS Gothic" w:hAnsiTheme="majorHAnsi" w:cs="Apple Symbols"/>
                            <w:color w:val="000000"/>
                            <w:sz w:val="22"/>
                            <w:szCs w:val="22"/>
                            <w:lang w:val="el-GR"/>
                          </w:rPr>
                          <w:t>επιστρέψτε μου το συνολικό ποσό των</w:t>
                        </w:r>
                      </w:p>
                    </w:tc>
                    <w:tc>
                      <w:tcPr>
                        <w:tcW w:w="3715" w:type="dxa"/>
                      </w:tcPr>
                      <w:p w:rsidR="00E87F3A" w:rsidRPr="00E94FD5" w:rsidRDefault="00E87F3A" w:rsidP="00C34AA2">
                        <w:pPr>
                          <w:rPr>
                            <w:rFonts w:ascii="Apple Symbols" w:eastAsia="MS Gothic" w:hAnsi="Apple Symbols" w:cs="Apple Symbols"/>
                            <w:color w:val="000000"/>
                            <w:sz w:val="28"/>
                            <w:szCs w:val="28"/>
                            <w:lang w:val="el-GR"/>
                          </w:rPr>
                        </w:pPr>
                        <w:r w:rsidRPr="00E94FD5">
                          <w:rPr>
                            <w:rFonts w:asciiTheme="majorHAnsi" w:eastAsia="MS Gothic" w:hAnsiTheme="majorHAnsi" w:cs="Apple Symbols"/>
                            <w:color w:val="000000"/>
                            <w:sz w:val="28"/>
                            <w:szCs w:val="28"/>
                            <w:lang w:val="el-GR"/>
                          </w:rPr>
                          <w:t>€</w:t>
                        </w:r>
                      </w:p>
                    </w:tc>
                  </w:tr>
                </w:tbl>
                <w:p w:rsidR="00E87F3A" w:rsidRPr="002673E2" w:rsidRDefault="00E87F3A" w:rsidP="00C34AA2">
                  <w:pPr>
                    <w:rPr>
                      <w:rFonts w:asciiTheme="majorHAnsi" w:hAnsiTheme="majorHAnsi"/>
                      <w:sz w:val="28"/>
                      <w:szCs w:val="28"/>
                      <w:lang w:val="el-GR"/>
                    </w:rPr>
                  </w:pPr>
                  <w:r>
                    <w:rPr>
                      <w:rFonts w:asciiTheme="majorHAnsi" w:eastAsia="MS Gothic" w:hAnsiTheme="majorHAnsi" w:cs="Apple Symbols"/>
                      <w:color w:val="000000"/>
                      <w:sz w:val="28"/>
                      <w:szCs w:val="28"/>
                      <w:lang w:val="el-GR"/>
                    </w:rPr>
                    <w:t xml:space="preserve"> </w:t>
                  </w:r>
                </w:p>
              </w:txbxContent>
            </v:textbox>
          </v:shape>
        </w:pict>
      </w: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ind w:left="426" w:hanging="426"/>
        <w:rPr>
          <w:lang w:val="el-GR"/>
        </w:rPr>
      </w:pPr>
      <w:r>
        <w:rPr>
          <w:lang w:val="el-GR"/>
        </w:rPr>
        <w:t>13.  Πόσα ζευγάρια κάλτσες θα χρειαστεί να αγοράσετε για να σας επιστραφούν 2</w:t>
      </w:r>
      <w:r w:rsidRPr="00E94FD5">
        <w:rPr>
          <w:rFonts w:asciiTheme="majorHAnsi" w:eastAsia="MS Gothic" w:hAnsiTheme="majorHAnsi" w:cs="Apple Symbols"/>
          <w:color w:val="000000"/>
          <w:sz w:val="28"/>
          <w:szCs w:val="28"/>
          <w:lang w:val="el-GR"/>
        </w:rPr>
        <w:t>€</w:t>
      </w:r>
      <w:r>
        <w:rPr>
          <w:rFonts w:asciiTheme="majorHAnsi" w:eastAsia="MS Gothic" w:hAnsiTheme="majorHAnsi" w:cs="Apple Symbols"/>
          <w:color w:val="000000"/>
          <w:sz w:val="28"/>
          <w:szCs w:val="28"/>
          <w:lang w:val="el-GR"/>
        </w:rPr>
        <w:t>;</w:t>
      </w:r>
      <w:r>
        <w:rPr>
          <w:lang w:val="el-GR"/>
        </w:rPr>
        <w:t xml:space="preserve">  ____________________________________________________________________________________________</w:t>
      </w:r>
    </w:p>
    <w:p w:rsidR="00C34AA2" w:rsidRDefault="00C34AA2" w:rsidP="00C34AA2">
      <w:pPr>
        <w:spacing w:line="276" w:lineRule="auto"/>
        <w:rPr>
          <w:lang w:val="el-GR"/>
        </w:rPr>
      </w:pPr>
    </w:p>
    <w:p w:rsidR="00C34AA2" w:rsidRDefault="00C34AA2" w:rsidP="00C34AA2">
      <w:pPr>
        <w:spacing w:line="276" w:lineRule="auto"/>
        <w:ind w:left="426" w:hanging="426"/>
        <w:rPr>
          <w:lang w:val="el-GR"/>
        </w:rPr>
      </w:pPr>
      <w:r>
        <w:rPr>
          <w:lang w:val="el-GR"/>
        </w:rPr>
        <w:t>14.  Τι χρειάζεται να ταχυδρομήσετε μαζί με το παραπάνω έντυπο για να σας επιστραφούν τα χρήματα;</w:t>
      </w:r>
    </w:p>
    <w:p w:rsidR="00C34AA2" w:rsidRDefault="00C34AA2" w:rsidP="00C34AA2">
      <w:pPr>
        <w:ind w:left="426"/>
      </w:pPr>
      <w:r>
        <w:rPr>
          <w:lang w:val="el-GR"/>
        </w:rPr>
        <w:t>____________________________________________________________________________________________</w:t>
      </w:r>
    </w:p>
    <w:p w:rsidR="00C34AA2" w:rsidRDefault="00C34AA2" w:rsidP="00C34AA2">
      <w:pPr>
        <w:rPr>
          <w:lang w:val="el-GR"/>
        </w:rPr>
      </w:pPr>
      <w:r>
        <w:rPr>
          <w:lang w:val="el-GR"/>
        </w:rPr>
        <w:br w:type="page"/>
      </w:r>
    </w:p>
    <w:p w:rsidR="00C34AA2" w:rsidRPr="00A9111F" w:rsidRDefault="00C34AA2" w:rsidP="00C34AA2">
      <w:pPr>
        <w:spacing w:line="276" w:lineRule="auto"/>
        <w:rPr>
          <w:b/>
          <w:lang w:val="el-GR"/>
        </w:rPr>
      </w:pPr>
      <w:r w:rsidRPr="00A9111F">
        <w:rPr>
          <w:b/>
          <w:lang w:val="el-GR"/>
        </w:rPr>
        <w:t>Διάγραμμα: Χρεώσεις Ταξί</w:t>
      </w:r>
    </w:p>
    <w:p w:rsidR="00C34AA2" w:rsidRDefault="00C34AA2" w:rsidP="00C34AA2">
      <w:pPr>
        <w:spacing w:line="276" w:lineRule="auto"/>
        <w:jc w:val="center"/>
        <w:rPr>
          <w:lang w:val="el-GR"/>
        </w:rPr>
      </w:pPr>
    </w:p>
    <w:p w:rsidR="00C34AA2" w:rsidRDefault="00C34AA2" w:rsidP="00C34AA2">
      <w:pPr>
        <w:spacing w:line="276" w:lineRule="auto"/>
        <w:jc w:val="center"/>
        <w:rPr>
          <w:lang w:val="el-GR"/>
        </w:rPr>
      </w:pPr>
      <w:r>
        <w:rPr>
          <w:lang w:val="el-GR"/>
        </w:rPr>
        <w:t>Ταχύ-ΤΑΞΙ</w:t>
      </w:r>
    </w:p>
    <w:tbl>
      <w:tblPr>
        <w:tblStyle w:val="TableGrid"/>
        <w:tblW w:w="0" w:type="auto"/>
        <w:tblInd w:w="1809" w:type="dxa"/>
        <w:tblLook w:val="04A0" w:firstRow="1" w:lastRow="0" w:firstColumn="1" w:lastColumn="0" w:noHBand="0" w:noVBand="1"/>
      </w:tblPr>
      <w:tblGrid>
        <w:gridCol w:w="1145"/>
        <w:gridCol w:w="2541"/>
        <w:gridCol w:w="2410"/>
      </w:tblGrid>
      <w:tr w:rsidR="00C34AA2" w:rsidTr="00C34AA2">
        <w:tc>
          <w:tcPr>
            <w:tcW w:w="1145" w:type="dxa"/>
            <w:vAlign w:val="center"/>
          </w:tcPr>
          <w:p w:rsidR="00C34AA2" w:rsidRDefault="00C34AA2" w:rsidP="00C34AA2">
            <w:pPr>
              <w:spacing w:line="276" w:lineRule="auto"/>
              <w:jc w:val="center"/>
              <w:rPr>
                <w:lang w:val="el-GR"/>
              </w:rPr>
            </w:pPr>
            <w:r>
              <w:rPr>
                <w:lang w:val="el-GR"/>
              </w:rPr>
              <w:t>ΖΩΝΗ</w:t>
            </w:r>
          </w:p>
        </w:tc>
        <w:tc>
          <w:tcPr>
            <w:tcW w:w="2541" w:type="dxa"/>
            <w:vAlign w:val="center"/>
          </w:tcPr>
          <w:p w:rsidR="00C34AA2" w:rsidRDefault="00C34AA2" w:rsidP="00C34AA2">
            <w:pPr>
              <w:spacing w:line="276" w:lineRule="auto"/>
              <w:jc w:val="center"/>
              <w:rPr>
                <w:lang w:val="el-GR"/>
              </w:rPr>
            </w:pPr>
            <w:r>
              <w:rPr>
                <w:lang w:val="el-GR"/>
              </w:rPr>
              <w:t>1/7 ΧΙΛΙΟΜΕΤΡΟΥ</w:t>
            </w:r>
          </w:p>
        </w:tc>
        <w:tc>
          <w:tcPr>
            <w:tcW w:w="2410" w:type="dxa"/>
          </w:tcPr>
          <w:p w:rsidR="00C34AA2" w:rsidRDefault="00C34AA2" w:rsidP="00C34AA2">
            <w:pPr>
              <w:spacing w:line="276" w:lineRule="auto"/>
              <w:jc w:val="center"/>
              <w:rPr>
                <w:lang w:val="el-GR"/>
              </w:rPr>
            </w:pPr>
            <w:r>
              <w:rPr>
                <w:lang w:val="el-GR"/>
              </w:rPr>
              <w:t>ΚΑΘΕ ΕΠΙΠΛΕΟΝ 1/7 ΧΙΛΙΟΜΕΤΡΟΥ</w:t>
            </w:r>
          </w:p>
        </w:tc>
      </w:tr>
      <w:tr w:rsidR="00C34AA2" w:rsidTr="00C34AA2">
        <w:tc>
          <w:tcPr>
            <w:tcW w:w="1145" w:type="dxa"/>
          </w:tcPr>
          <w:p w:rsidR="00C34AA2" w:rsidRDefault="00C34AA2" w:rsidP="00C34AA2">
            <w:pPr>
              <w:spacing w:line="276" w:lineRule="auto"/>
              <w:jc w:val="center"/>
              <w:rPr>
                <w:lang w:val="el-GR"/>
              </w:rPr>
            </w:pPr>
            <w:r>
              <w:rPr>
                <w:lang w:val="el-GR"/>
              </w:rPr>
              <w:t>1</w:t>
            </w:r>
          </w:p>
        </w:tc>
        <w:tc>
          <w:tcPr>
            <w:tcW w:w="2541" w:type="dxa"/>
          </w:tcPr>
          <w:p w:rsidR="00C34AA2" w:rsidRDefault="00C34AA2" w:rsidP="00C34AA2">
            <w:pPr>
              <w:spacing w:line="276" w:lineRule="auto"/>
              <w:jc w:val="center"/>
              <w:rPr>
                <w:lang w:val="el-GR"/>
              </w:rPr>
            </w:pPr>
            <w:r>
              <w:rPr>
                <w:lang w:val="el-GR"/>
              </w:rPr>
              <w:t>1.5</w:t>
            </w:r>
            <w:r w:rsidRPr="00E94FD5">
              <w:rPr>
                <w:rFonts w:asciiTheme="majorHAnsi" w:eastAsia="MS Gothic" w:hAnsiTheme="majorHAnsi" w:cs="Apple Symbols"/>
                <w:color w:val="000000"/>
                <w:sz w:val="28"/>
                <w:szCs w:val="28"/>
                <w:lang w:val="el-GR"/>
              </w:rPr>
              <w:t>€</w:t>
            </w:r>
          </w:p>
        </w:tc>
        <w:tc>
          <w:tcPr>
            <w:tcW w:w="2410" w:type="dxa"/>
          </w:tcPr>
          <w:p w:rsidR="00C34AA2" w:rsidRDefault="00C34AA2" w:rsidP="00C34AA2">
            <w:pPr>
              <w:spacing w:line="276" w:lineRule="auto"/>
              <w:jc w:val="center"/>
              <w:rPr>
                <w:lang w:val="el-GR"/>
              </w:rPr>
            </w:pPr>
            <w:r>
              <w:rPr>
                <w:lang w:val="el-GR"/>
              </w:rPr>
              <w:t>0.20</w:t>
            </w:r>
            <w:r w:rsidRPr="00E94FD5">
              <w:rPr>
                <w:rFonts w:asciiTheme="majorHAnsi" w:eastAsia="MS Gothic" w:hAnsiTheme="majorHAnsi" w:cs="Apple Symbols"/>
                <w:color w:val="000000"/>
                <w:sz w:val="28"/>
                <w:szCs w:val="28"/>
                <w:lang w:val="el-GR"/>
              </w:rPr>
              <w:t>€</w:t>
            </w:r>
          </w:p>
        </w:tc>
      </w:tr>
      <w:tr w:rsidR="00C34AA2" w:rsidTr="00C34AA2">
        <w:tc>
          <w:tcPr>
            <w:tcW w:w="1145" w:type="dxa"/>
          </w:tcPr>
          <w:p w:rsidR="00C34AA2" w:rsidRDefault="00C34AA2" w:rsidP="00C34AA2">
            <w:pPr>
              <w:spacing w:line="276" w:lineRule="auto"/>
              <w:jc w:val="center"/>
              <w:rPr>
                <w:lang w:val="el-GR"/>
              </w:rPr>
            </w:pPr>
            <w:r>
              <w:rPr>
                <w:lang w:val="el-GR"/>
              </w:rPr>
              <w:t>2</w:t>
            </w:r>
          </w:p>
        </w:tc>
        <w:tc>
          <w:tcPr>
            <w:tcW w:w="2541" w:type="dxa"/>
          </w:tcPr>
          <w:p w:rsidR="00C34AA2" w:rsidRDefault="00C34AA2" w:rsidP="00C34AA2">
            <w:pPr>
              <w:spacing w:line="276" w:lineRule="auto"/>
              <w:jc w:val="center"/>
              <w:rPr>
                <w:lang w:val="el-GR"/>
              </w:rPr>
            </w:pPr>
            <w:r>
              <w:rPr>
                <w:lang w:val="el-GR"/>
              </w:rPr>
              <w:t>2.00</w:t>
            </w:r>
            <w:r w:rsidRPr="00E94FD5">
              <w:rPr>
                <w:rFonts w:asciiTheme="majorHAnsi" w:eastAsia="MS Gothic" w:hAnsiTheme="majorHAnsi" w:cs="Apple Symbols"/>
                <w:color w:val="000000"/>
                <w:sz w:val="28"/>
                <w:szCs w:val="28"/>
                <w:lang w:val="el-GR"/>
              </w:rPr>
              <w:t>€</w:t>
            </w:r>
          </w:p>
        </w:tc>
        <w:tc>
          <w:tcPr>
            <w:tcW w:w="2410" w:type="dxa"/>
          </w:tcPr>
          <w:p w:rsidR="00C34AA2" w:rsidRDefault="00C34AA2" w:rsidP="00C34AA2">
            <w:pPr>
              <w:spacing w:line="276" w:lineRule="auto"/>
              <w:jc w:val="center"/>
              <w:rPr>
                <w:lang w:val="el-GR"/>
              </w:rPr>
            </w:pPr>
            <w:r>
              <w:rPr>
                <w:lang w:val="el-GR"/>
              </w:rPr>
              <w:t>0.30</w:t>
            </w:r>
            <w:r w:rsidRPr="00E94FD5">
              <w:rPr>
                <w:rFonts w:asciiTheme="majorHAnsi" w:eastAsia="MS Gothic" w:hAnsiTheme="majorHAnsi" w:cs="Apple Symbols"/>
                <w:color w:val="000000"/>
                <w:sz w:val="28"/>
                <w:szCs w:val="28"/>
                <w:lang w:val="el-GR"/>
              </w:rPr>
              <w:t>€</w:t>
            </w:r>
          </w:p>
        </w:tc>
      </w:tr>
      <w:tr w:rsidR="00C34AA2" w:rsidTr="00C34AA2">
        <w:tc>
          <w:tcPr>
            <w:tcW w:w="1145" w:type="dxa"/>
          </w:tcPr>
          <w:p w:rsidR="00C34AA2" w:rsidRDefault="00C34AA2" w:rsidP="00C34AA2">
            <w:pPr>
              <w:spacing w:line="276" w:lineRule="auto"/>
              <w:jc w:val="center"/>
              <w:rPr>
                <w:lang w:val="el-GR"/>
              </w:rPr>
            </w:pPr>
            <w:r>
              <w:rPr>
                <w:lang w:val="el-GR"/>
              </w:rPr>
              <w:t>3</w:t>
            </w:r>
          </w:p>
        </w:tc>
        <w:tc>
          <w:tcPr>
            <w:tcW w:w="4951" w:type="dxa"/>
            <w:gridSpan w:val="2"/>
          </w:tcPr>
          <w:p w:rsidR="00C34AA2" w:rsidRDefault="00C34AA2" w:rsidP="00C34AA2">
            <w:pPr>
              <w:spacing w:line="276" w:lineRule="auto"/>
              <w:jc w:val="center"/>
              <w:rPr>
                <w:lang w:val="el-GR"/>
              </w:rPr>
            </w:pPr>
            <w:r>
              <w:rPr>
                <w:lang w:val="el-GR"/>
              </w:rPr>
              <w:t>Πάγια χρέωση – 25.00</w:t>
            </w:r>
            <w:r w:rsidRPr="00E94FD5">
              <w:rPr>
                <w:rFonts w:asciiTheme="majorHAnsi" w:eastAsia="MS Gothic" w:hAnsiTheme="majorHAnsi" w:cs="Apple Symbols"/>
                <w:color w:val="000000"/>
                <w:sz w:val="28"/>
                <w:szCs w:val="28"/>
                <w:lang w:val="el-GR"/>
              </w:rPr>
              <w:t>€</w:t>
            </w:r>
          </w:p>
        </w:tc>
      </w:tr>
    </w:tbl>
    <w:p w:rsidR="00C34AA2" w:rsidRDefault="00C34AA2" w:rsidP="00C34AA2">
      <w:pPr>
        <w:spacing w:line="276" w:lineRule="auto"/>
        <w:jc w:val="center"/>
        <w:rPr>
          <w:lang w:val="el-GR"/>
        </w:rPr>
      </w:pPr>
    </w:p>
    <w:p w:rsidR="00C34AA2" w:rsidRDefault="00C34AA2" w:rsidP="00C34AA2">
      <w:pPr>
        <w:spacing w:line="276" w:lineRule="auto"/>
        <w:jc w:val="center"/>
        <w:rPr>
          <w:lang w:val="el-GR"/>
        </w:rPr>
      </w:pPr>
    </w:p>
    <w:p w:rsidR="00C34AA2" w:rsidRDefault="00C34AA2" w:rsidP="00C34AA2">
      <w:pPr>
        <w:spacing w:line="276" w:lineRule="auto"/>
        <w:ind w:left="1985" w:hanging="1559"/>
        <w:rPr>
          <w:lang w:val="el-GR"/>
        </w:rPr>
      </w:pPr>
      <w:r w:rsidRPr="002143F4">
        <w:rPr>
          <w:u w:val="single"/>
          <w:lang w:val="el-GR"/>
        </w:rPr>
        <w:t>Σημείωση</w:t>
      </w:r>
      <w:r w:rsidRPr="00775FAB">
        <w:rPr>
          <w:lang w:val="el-GR"/>
        </w:rPr>
        <w:t xml:space="preserve">:  </w:t>
      </w:r>
      <w:r>
        <w:rPr>
          <w:lang w:val="el-GR"/>
        </w:rPr>
        <w:t>Όλοι οι επιβάτες επιβαίνουν με συνολική χρέωση του ενός εξ αυτών</w:t>
      </w:r>
    </w:p>
    <w:p w:rsidR="00C34AA2" w:rsidRDefault="00C34AA2" w:rsidP="00C34AA2">
      <w:pPr>
        <w:spacing w:line="276" w:lineRule="auto"/>
        <w:rPr>
          <w:lang w:val="el-GR"/>
        </w:rPr>
      </w:pPr>
    </w:p>
    <w:p w:rsidR="00C34AA2" w:rsidRDefault="00C34AA2" w:rsidP="00C34AA2">
      <w:pPr>
        <w:spacing w:line="276" w:lineRule="auto"/>
        <w:rPr>
          <w:lang w:val="el-GR"/>
        </w:rPr>
      </w:pPr>
      <w:r>
        <w:rPr>
          <w:lang w:val="el-GR"/>
        </w:rPr>
        <w:tab/>
      </w:r>
      <w:r>
        <w:rPr>
          <w:lang w:val="el-GR"/>
        </w:rPr>
        <w:tab/>
        <w:t>ΕΠΕΞΗΓΗΣΗ ΖΩΝΩΝ ΧΡΕΩΣΗΣ:</w:t>
      </w:r>
    </w:p>
    <w:p w:rsidR="00C34AA2" w:rsidRDefault="00C34AA2" w:rsidP="00C34AA2">
      <w:pPr>
        <w:spacing w:line="276" w:lineRule="auto"/>
        <w:rPr>
          <w:lang w:val="el-GR"/>
        </w:rPr>
      </w:pPr>
    </w:p>
    <w:p w:rsidR="00C34AA2" w:rsidRDefault="00C34AA2" w:rsidP="00C34AA2">
      <w:pPr>
        <w:pStyle w:val="ListParagraph"/>
        <w:ind w:left="1800"/>
        <w:rPr>
          <w:lang w:val="el-GR"/>
        </w:rPr>
      </w:pPr>
      <w:r>
        <w:rPr>
          <w:lang w:val="el-GR"/>
        </w:rPr>
        <w:t xml:space="preserve">1 – Όλες οι διαδρομές </w:t>
      </w:r>
      <w:r w:rsidRPr="00B87A1D">
        <w:rPr>
          <w:u w:val="single"/>
          <w:lang w:val="el-GR"/>
        </w:rPr>
        <w:t>εντός</w:t>
      </w:r>
      <w:r>
        <w:rPr>
          <w:lang w:val="el-GR"/>
        </w:rPr>
        <w:t xml:space="preserve"> του κέντρου της πόλης.</w:t>
      </w:r>
    </w:p>
    <w:p w:rsidR="00C34AA2" w:rsidRDefault="00C34AA2" w:rsidP="00C34AA2">
      <w:pPr>
        <w:spacing w:line="276" w:lineRule="auto"/>
        <w:ind w:left="2127" w:hanging="284"/>
        <w:rPr>
          <w:lang w:val="el-GR"/>
        </w:rPr>
      </w:pPr>
      <w:r w:rsidRPr="00B87A1D">
        <w:rPr>
          <w:lang w:val="el-GR"/>
        </w:rPr>
        <w:t xml:space="preserve">2 – Όλες οι διαδρομές μέσα σε προάστια, και  </w:t>
      </w:r>
      <w:r>
        <w:rPr>
          <w:lang w:val="el-GR"/>
        </w:rPr>
        <w:t xml:space="preserve">μεταξύ του κέντρου της </w:t>
      </w:r>
      <w:r w:rsidRPr="00B87A1D">
        <w:rPr>
          <w:lang w:val="el-GR"/>
        </w:rPr>
        <w:t xml:space="preserve">πόλης </w:t>
      </w:r>
      <w:r>
        <w:rPr>
          <w:lang w:val="el-GR"/>
        </w:rPr>
        <w:t>και των προαστίων.</w:t>
      </w:r>
    </w:p>
    <w:p w:rsidR="00C34AA2" w:rsidRDefault="00C34AA2" w:rsidP="00C34AA2">
      <w:pPr>
        <w:spacing w:line="276" w:lineRule="auto"/>
        <w:ind w:left="1800"/>
        <w:rPr>
          <w:lang w:val="el-GR"/>
        </w:rPr>
      </w:pPr>
      <w:r>
        <w:rPr>
          <w:lang w:val="el-GR"/>
        </w:rPr>
        <w:t>3 – Διαδρομή μονής κατεύθυνσης από το αεροδρόμιο.</w:t>
      </w:r>
    </w:p>
    <w:p w:rsidR="00C34AA2" w:rsidRDefault="00C34AA2" w:rsidP="00C34AA2">
      <w:pPr>
        <w:spacing w:line="276" w:lineRule="auto"/>
        <w:ind w:left="1800"/>
        <w:rPr>
          <w:lang w:val="el-GR"/>
        </w:rPr>
      </w:pPr>
    </w:p>
    <w:p w:rsidR="00C34AA2" w:rsidRDefault="00C34AA2" w:rsidP="00C34AA2">
      <w:pPr>
        <w:spacing w:line="276" w:lineRule="auto"/>
        <w:rPr>
          <w:lang w:val="el-GR"/>
        </w:rPr>
      </w:pPr>
    </w:p>
    <w:p w:rsidR="00C34AA2" w:rsidRDefault="00C34AA2" w:rsidP="00C34AA2">
      <w:pPr>
        <w:spacing w:line="276" w:lineRule="auto"/>
        <w:rPr>
          <w:lang w:val="el-GR"/>
        </w:rPr>
      </w:pPr>
    </w:p>
    <w:p w:rsidR="00C34AA2" w:rsidRDefault="00C34AA2" w:rsidP="00C34AA2">
      <w:pPr>
        <w:spacing w:line="276" w:lineRule="auto"/>
        <w:ind w:left="426" w:hanging="426"/>
        <w:rPr>
          <w:lang w:val="el-GR"/>
        </w:rPr>
      </w:pPr>
      <w:r>
        <w:rPr>
          <w:lang w:val="el-GR"/>
        </w:rPr>
        <w:t>15. Αν δύο άτομα μοιραστούν ένα ταξί από το αεροδρόμιο, πόσο θα πληρώσει ο καθένας αν χωρίσουν τον λογαριασμό στα δυο;  ____________________________________________________________________________________________</w:t>
      </w:r>
    </w:p>
    <w:p w:rsidR="00C34AA2" w:rsidRDefault="00C34AA2" w:rsidP="00C34AA2">
      <w:pPr>
        <w:spacing w:line="276" w:lineRule="auto"/>
        <w:rPr>
          <w:lang w:val="el-GR"/>
        </w:rPr>
      </w:pPr>
    </w:p>
    <w:p w:rsidR="00C34AA2" w:rsidRDefault="00C34AA2" w:rsidP="00C34AA2">
      <w:pPr>
        <w:spacing w:line="276" w:lineRule="auto"/>
        <w:ind w:left="426" w:hanging="426"/>
        <w:rPr>
          <w:lang w:val="el-GR"/>
        </w:rPr>
      </w:pPr>
      <w:r>
        <w:rPr>
          <w:lang w:val="el-GR"/>
        </w:rPr>
        <w:t>16. Αν ταξιδεύατε μέσα σε προαστιακή περιοχή, πόσο θα πληρώνατε για μια απόσταση 1 χιλιομέτρου?  ____________________________________________________________________________________________</w:t>
      </w:r>
    </w:p>
    <w:p w:rsidR="00C34AA2" w:rsidRDefault="00C34AA2" w:rsidP="00C34AA2">
      <w:pPr>
        <w:rPr>
          <w:lang w:val="el-GR"/>
        </w:rPr>
      </w:pPr>
      <w:r>
        <w:rPr>
          <w:lang w:val="el-GR"/>
        </w:rPr>
        <w:br w:type="page"/>
      </w:r>
    </w:p>
    <w:p w:rsidR="00C34AA2" w:rsidRPr="00A9111F" w:rsidRDefault="00C34AA2" w:rsidP="00C34AA2">
      <w:pPr>
        <w:spacing w:line="276" w:lineRule="auto"/>
        <w:rPr>
          <w:b/>
          <w:lang w:val="el-GR"/>
        </w:rPr>
      </w:pPr>
      <w:r w:rsidRPr="00A9111F">
        <w:rPr>
          <w:b/>
          <w:lang w:val="el-GR"/>
        </w:rPr>
        <w:t>Έντυπο: Επιστροφή Φόρου Εισοδήματος και Καθαρά Κέρδη</w:t>
      </w:r>
    </w:p>
    <w:p w:rsidR="00C34AA2" w:rsidRPr="009826B1" w:rsidRDefault="00C4694A" w:rsidP="00C34AA2">
      <w:pPr>
        <w:rPr>
          <w:lang w:val="el-GR"/>
        </w:rPr>
      </w:pPr>
      <w:r>
        <w:rPr>
          <w:noProof/>
          <w:lang w:eastAsia="en-GB"/>
        </w:rPr>
        <w:pict>
          <v:shape id="Text Box 49" o:spid="_x0000_s1026" type="#_x0000_t202" alt="" style="position:absolute;margin-left:-5.1pt;margin-top:7.6pt;width:444.15pt;height:510.15pt;z-index:251695104;visibility:visible;mso-wrap-edited:f;mso-width-relative:margin;mso-height-relative:margin" strokeweight="1.5pt">
            <v:path arrowok="t"/>
            <v:textbox style="mso-next-textbox:#Text Box 49">
              <w:txbxContent>
                <w:p w:rsidR="00E87F3A" w:rsidRDefault="00E87F3A" w:rsidP="00C34AA2">
                  <w:pPr>
                    <w:ind w:left="-142" w:right="-9"/>
                    <w:jc w:val="center"/>
                    <w:rPr>
                      <w:lang w:val="el-GR"/>
                    </w:rPr>
                  </w:pPr>
                  <w:r>
                    <w:rPr>
                      <w:lang w:val="el-GR"/>
                    </w:rPr>
                    <w:t>ΥΠΟΛΟΓΙΣΜΟΣ ΦΟΡΟΛΟΓΙΣΙΜΟΥ ΕΙΣΟΔΗΜΑΤΟΣ</w:t>
                  </w:r>
                </w:p>
                <w:p w:rsidR="00E87F3A" w:rsidRDefault="00E87F3A" w:rsidP="00C34AA2">
                  <w:pPr>
                    <w:ind w:left="-142" w:right="-9"/>
                    <w:jc w:val="center"/>
                    <w:rPr>
                      <w:lang w:val="el-GR"/>
                    </w:rPr>
                  </w:pPr>
                </w:p>
                <w:p w:rsidR="00E87F3A" w:rsidRDefault="00E87F3A" w:rsidP="00C34AA2">
                  <w:pPr>
                    <w:ind w:right="-9"/>
                    <w:rPr>
                      <w:lang w:val="el-GR"/>
                    </w:rPr>
                  </w:pPr>
                  <w:r>
                    <w:rPr>
                      <w:lang w:val="el-GR"/>
                    </w:rPr>
                    <w:t>ΕΙΣΟΔΗΜΑ (εισόδημα από μισθούς εργασίας πλήρους ή μερικής απασχόλησης, ημερομίσθια, προμήθειες, μπόνους, αμοιβές, φιλοδωρήματα).</w:t>
                  </w:r>
                  <w:r w:rsidRPr="00462587">
                    <w:rPr>
                      <w:lang w:val="el-GR"/>
                    </w:rPr>
                    <w:t xml:space="preserve"> </w:t>
                  </w:r>
                  <w:r>
                    <w:rPr>
                      <w:lang w:val="el-GR"/>
                    </w:rPr>
                    <w:t xml:space="preserve">Αντίγραφο από τα κέρδη και την φορολογική δήλωση (έντυπο Ε-2 και/ή 1099) από κάθε εργοδότη </w:t>
                  </w:r>
                  <w:r w:rsidRPr="00A75A5B">
                    <w:rPr>
                      <w:b/>
                      <w:lang w:val="el-GR"/>
                    </w:rPr>
                    <w:t>ΠΡΕΠΕΙ</w:t>
                  </w:r>
                  <w:r>
                    <w:rPr>
                      <w:lang w:val="el-GR"/>
                    </w:rPr>
                    <w:t xml:space="preserve"> να επισυνάπτεται σε αυτό το έντυπο.</w:t>
                  </w:r>
                </w:p>
                <w:p w:rsidR="00E87F3A" w:rsidRDefault="00E87F3A" w:rsidP="00C34AA2">
                  <w:pPr>
                    <w:ind w:left="-142" w:right="-9"/>
                    <w:rPr>
                      <w:lang w:val="el-GR"/>
                    </w:rPr>
                  </w:pPr>
                </w:p>
                <w:tbl>
                  <w:tblPr>
                    <w:tblStyle w:val="TableGrid"/>
                    <w:tblW w:w="0" w:type="auto"/>
                    <w:tblInd w:w="-34" w:type="dxa"/>
                    <w:tblLook w:val="04A0" w:firstRow="1" w:lastRow="0" w:firstColumn="1" w:lastColumn="0" w:noHBand="0" w:noVBand="1"/>
                  </w:tblPr>
                  <w:tblGrid>
                    <w:gridCol w:w="2701"/>
                    <w:gridCol w:w="4245"/>
                    <w:gridCol w:w="1701"/>
                  </w:tblGrid>
                  <w:tr w:rsidR="00E87F3A" w:rsidTr="00C34AA2">
                    <w:tc>
                      <w:tcPr>
                        <w:tcW w:w="2701" w:type="dxa"/>
                        <w:tcBorders>
                          <w:top w:val="nil"/>
                          <w:left w:val="nil"/>
                          <w:right w:val="nil"/>
                        </w:tcBorders>
                      </w:tcPr>
                      <w:p w:rsidR="00E87F3A" w:rsidRDefault="00E87F3A" w:rsidP="00C34AA2">
                        <w:pPr>
                          <w:ind w:right="-9"/>
                          <w:jc w:val="center"/>
                          <w:rPr>
                            <w:lang w:val="el-GR"/>
                          </w:rPr>
                        </w:pPr>
                        <w:r>
                          <w:rPr>
                            <w:lang w:val="el-GR"/>
                          </w:rPr>
                          <w:t>ΕΡΓΟΔΟΤΗΣ</w:t>
                        </w:r>
                      </w:p>
                    </w:tc>
                    <w:tc>
                      <w:tcPr>
                        <w:tcW w:w="4245" w:type="dxa"/>
                        <w:tcBorders>
                          <w:top w:val="nil"/>
                          <w:left w:val="nil"/>
                          <w:right w:val="nil"/>
                        </w:tcBorders>
                      </w:tcPr>
                      <w:p w:rsidR="00E87F3A" w:rsidRDefault="00E87F3A" w:rsidP="00C34AA2">
                        <w:pPr>
                          <w:ind w:right="-9"/>
                          <w:jc w:val="center"/>
                          <w:rPr>
                            <w:lang w:val="el-GR"/>
                          </w:rPr>
                        </w:pPr>
                        <w:r>
                          <w:rPr>
                            <w:lang w:val="el-GR"/>
                          </w:rPr>
                          <w:t>ΔΙΕΥΘΥΝΣΗ</w:t>
                        </w:r>
                      </w:p>
                    </w:tc>
                    <w:tc>
                      <w:tcPr>
                        <w:tcW w:w="1701" w:type="dxa"/>
                        <w:tcBorders>
                          <w:top w:val="nil"/>
                          <w:left w:val="nil"/>
                          <w:right w:val="nil"/>
                        </w:tcBorders>
                      </w:tcPr>
                      <w:p w:rsidR="00E87F3A" w:rsidRDefault="00E87F3A" w:rsidP="00C34AA2">
                        <w:pPr>
                          <w:ind w:right="-9"/>
                          <w:jc w:val="center"/>
                          <w:rPr>
                            <w:lang w:val="el-GR"/>
                          </w:rPr>
                        </w:pPr>
                        <w:r>
                          <w:rPr>
                            <w:lang w:val="el-GR"/>
                          </w:rPr>
                          <w:t>ΕΙΣΟΔΗΜΑ</w:t>
                        </w:r>
                      </w:p>
                    </w:tc>
                  </w:tr>
                  <w:tr w:rsidR="00E87F3A" w:rsidTr="00C34AA2">
                    <w:tc>
                      <w:tcPr>
                        <w:tcW w:w="2701" w:type="dxa"/>
                        <w:tcBorders>
                          <w:left w:val="nil"/>
                          <w:right w:val="nil"/>
                        </w:tcBorders>
                      </w:tcPr>
                      <w:p w:rsidR="00E87F3A" w:rsidRDefault="00E87F3A" w:rsidP="00C34AA2">
                        <w:pPr>
                          <w:ind w:right="-9"/>
                          <w:rPr>
                            <w:lang w:val="el-GR"/>
                          </w:rPr>
                        </w:pPr>
                      </w:p>
                    </w:tc>
                    <w:tc>
                      <w:tcPr>
                        <w:tcW w:w="4245" w:type="dxa"/>
                        <w:tcBorders>
                          <w:left w:val="nil"/>
                          <w:right w:val="nil"/>
                        </w:tcBorders>
                      </w:tcPr>
                      <w:p w:rsidR="00E87F3A" w:rsidRDefault="00E87F3A" w:rsidP="00C34AA2">
                        <w:pPr>
                          <w:ind w:right="-9"/>
                          <w:rPr>
                            <w:lang w:val="el-GR"/>
                          </w:rPr>
                        </w:pPr>
                      </w:p>
                    </w:tc>
                    <w:tc>
                      <w:tcPr>
                        <w:tcW w:w="1701" w:type="dxa"/>
                        <w:tcBorders>
                          <w:left w:val="nil"/>
                          <w:right w:val="nil"/>
                        </w:tcBorders>
                      </w:tcPr>
                      <w:p w:rsidR="00E87F3A" w:rsidRDefault="00E87F3A" w:rsidP="00C34AA2">
                        <w:pPr>
                          <w:ind w:right="-9"/>
                          <w:rPr>
                            <w:lang w:val="el-GR"/>
                          </w:rPr>
                        </w:pPr>
                      </w:p>
                    </w:tc>
                  </w:tr>
                  <w:tr w:rsidR="00E87F3A" w:rsidTr="00C34AA2">
                    <w:tc>
                      <w:tcPr>
                        <w:tcW w:w="2701" w:type="dxa"/>
                        <w:tcBorders>
                          <w:left w:val="nil"/>
                          <w:right w:val="nil"/>
                        </w:tcBorders>
                      </w:tcPr>
                      <w:p w:rsidR="00E87F3A" w:rsidRDefault="00E87F3A" w:rsidP="00C34AA2">
                        <w:pPr>
                          <w:ind w:right="-9"/>
                          <w:rPr>
                            <w:lang w:val="el-GR"/>
                          </w:rPr>
                        </w:pPr>
                      </w:p>
                    </w:tc>
                    <w:tc>
                      <w:tcPr>
                        <w:tcW w:w="4245" w:type="dxa"/>
                        <w:tcBorders>
                          <w:left w:val="nil"/>
                          <w:right w:val="nil"/>
                        </w:tcBorders>
                      </w:tcPr>
                      <w:p w:rsidR="00E87F3A" w:rsidRDefault="00E87F3A" w:rsidP="00C34AA2">
                        <w:pPr>
                          <w:ind w:right="-9"/>
                          <w:rPr>
                            <w:lang w:val="el-GR"/>
                          </w:rPr>
                        </w:pPr>
                      </w:p>
                    </w:tc>
                    <w:tc>
                      <w:tcPr>
                        <w:tcW w:w="1701" w:type="dxa"/>
                        <w:tcBorders>
                          <w:left w:val="nil"/>
                          <w:bottom w:val="single" w:sz="4" w:space="0" w:color="auto"/>
                          <w:right w:val="nil"/>
                        </w:tcBorders>
                      </w:tcPr>
                      <w:p w:rsidR="00E87F3A" w:rsidRDefault="00E87F3A" w:rsidP="00C34AA2">
                        <w:pPr>
                          <w:ind w:right="-9"/>
                          <w:rPr>
                            <w:lang w:val="el-GR"/>
                          </w:rPr>
                        </w:pPr>
                      </w:p>
                    </w:tc>
                  </w:tr>
                  <w:tr w:rsidR="00E87F3A" w:rsidTr="00C34AA2">
                    <w:tc>
                      <w:tcPr>
                        <w:tcW w:w="2701" w:type="dxa"/>
                        <w:tcBorders>
                          <w:left w:val="nil"/>
                          <w:right w:val="nil"/>
                        </w:tcBorders>
                      </w:tcPr>
                      <w:p w:rsidR="00E87F3A" w:rsidRDefault="00E87F3A" w:rsidP="00C34AA2">
                        <w:pPr>
                          <w:ind w:right="-9"/>
                          <w:rPr>
                            <w:lang w:val="el-GR"/>
                          </w:rPr>
                        </w:pPr>
                      </w:p>
                    </w:tc>
                    <w:tc>
                      <w:tcPr>
                        <w:tcW w:w="4245" w:type="dxa"/>
                        <w:tcBorders>
                          <w:left w:val="nil"/>
                          <w:right w:val="nil"/>
                        </w:tcBorders>
                      </w:tcPr>
                      <w:p w:rsidR="00E87F3A" w:rsidRDefault="00E87F3A" w:rsidP="00C34AA2">
                        <w:pPr>
                          <w:ind w:right="-9"/>
                          <w:rPr>
                            <w:lang w:val="el-GR"/>
                          </w:rPr>
                        </w:pPr>
                      </w:p>
                    </w:tc>
                    <w:tc>
                      <w:tcPr>
                        <w:tcW w:w="1701" w:type="dxa"/>
                        <w:tcBorders>
                          <w:left w:val="nil"/>
                          <w:bottom w:val="single" w:sz="4" w:space="0" w:color="auto"/>
                          <w:right w:val="nil"/>
                        </w:tcBorders>
                      </w:tcPr>
                      <w:p w:rsidR="00E87F3A" w:rsidRDefault="00E87F3A" w:rsidP="00C34AA2">
                        <w:pPr>
                          <w:ind w:right="-9"/>
                          <w:rPr>
                            <w:lang w:val="el-GR"/>
                          </w:rPr>
                        </w:pPr>
                      </w:p>
                    </w:tc>
                  </w:tr>
                  <w:tr w:rsidR="00E87F3A" w:rsidTr="00C34AA2">
                    <w:tc>
                      <w:tcPr>
                        <w:tcW w:w="2701" w:type="dxa"/>
                        <w:tcBorders>
                          <w:left w:val="nil"/>
                          <w:bottom w:val="nil"/>
                          <w:right w:val="nil"/>
                        </w:tcBorders>
                      </w:tcPr>
                      <w:p w:rsidR="00E87F3A" w:rsidRDefault="00E87F3A" w:rsidP="00C34AA2">
                        <w:pPr>
                          <w:ind w:right="-9"/>
                          <w:rPr>
                            <w:lang w:val="el-GR"/>
                          </w:rPr>
                        </w:pPr>
                      </w:p>
                    </w:tc>
                    <w:tc>
                      <w:tcPr>
                        <w:tcW w:w="4245" w:type="dxa"/>
                        <w:tcBorders>
                          <w:left w:val="nil"/>
                          <w:bottom w:val="nil"/>
                          <w:right w:val="nil"/>
                        </w:tcBorders>
                      </w:tcPr>
                      <w:p w:rsidR="00E87F3A" w:rsidRDefault="00E87F3A" w:rsidP="00C34AA2">
                        <w:pPr>
                          <w:ind w:right="-9"/>
                          <w:rPr>
                            <w:lang w:val="el-GR"/>
                          </w:rPr>
                        </w:pPr>
                      </w:p>
                    </w:tc>
                    <w:tc>
                      <w:tcPr>
                        <w:tcW w:w="1701" w:type="dxa"/>
                        <w:tcBorders>
                          <w:top w:val="single" w:sz="4" w:space="0" w:color="auto"/>
                          <w:left w:val="nil"/>
                          <w:bottom w:val="nil"/>
                          <w:right w:val="nil"/>
                        </w:tcBorders>
                      </w:tcPr>
                      <w:p w:rsidR="00E87F3A" w:rsidRDefault="00E87F3A" w:rsidP="00C34AA2">
                        <w:pPr>
                          <w:ind w:right="-9"/>
                          <w:rPr>
                            <w:lang w:val="el-GR"/>
                          </w:rPr>
                        </w:pPr>
                      </w:p>
                    </w:tc>
                  </w:tr>
                  <w:tr w:rsidR="00E87F3A" w:rsidRPr="002D7931" w:rsidTr="00C34AA2">
                    <w:tc>
                      <w:tcPr>
                        <w:tcW w:w="6946" w:type="dxa"/>
                        <w:gridSpan w:val="2"/>
                        <w:tcBorders>
                          <w:top w:val="nil"/>
                          <w:left w:val="nil"/>
                          <w:bottom w:val="nil"/>
                          <w:right w:val="nil"/>
                        </w:tcBorders>
                      </w:tcPr>
                      <w:p w:rsidR="00E87F3A" w:rsidRPr="00596021" w:rsidRDefault="00E87F3A" w:rsidP="00C34AA2">
                        <w:pPr>
                          <w:ind w:right="-9"/>
                          <w:rPr>
                            <w:lang w:val="el-GR"/>
                          </w:rPr>
                        </w:pPr>
                        <w:r w:rsidRPr="00596021">
                          <w:rPr>
                            <w:lang w:val="el-GR"/>
                          </w:rPr>
                          <w:t>5. Μερικό σύνολο εισοδήματος (</w:t>
                        </w:r>
                        <w:r>
                          <w:rPr>
                            <w:lang w:val="el-GR"/>
                          </w:rPr>
                          <w:t xml:space="preserve">αθροίστε </w:t>
                        </w:r>
                        <w:r w:rsidRPr="00596021">
                          <w:rPr>
                            <w:lang w:val="el-GR"/>
                          </w:rPr>
                          <w:t xml:space="preserve"> τα εισοδήματα από τους παραπάνω εργοδότες)</w:t>
                        </w:r>
                      </w:p>
                    </w:tc>
                    <w:tc>
                      <w:tcPr>
                        <w:tcW w:w="1701" w:type="dxa"/>
                        <w:tcBorders>
                          <w:top w:val="nil"/>
                          <w:left w:val="nil"/>
                          <w:right w:val="nil"/>
                        </w:tcBorders>
                      </w:tcPr>
                      <w:p w:rsidR="00E87F3A" w:rsidRDefault="00E87F3A" w:rsidP="00C34AA2">
                        <w:pPr>
                          <w:ind w:right="-9"/>
                          <w:rPr>
                            <w:lang w:val="el-GR"/>
                          </w:rPr>
                        </w:pPr>
                      </w:p>
                    </w:tc>
                  </w:tr>
                  <w:tr w:rsidR="00E87F3A" w:rsidRPr="002D7931" w:rsidTr="00C34AA2">
                    <w:tc>
                      <w:tcPr>
                        <w:tcW w:w="6946" w:type="dxa"/>
                        <w:gridSpan w:val="2"/>
                        <w:tcBorders>
                          <w:top w:val="nil"/>
                          <w:left w:val="nil"/>
                          <w:bottom w:val="nil"/>
                          <w:right w:val="nil"/>
                        </w:tcBorders>
                      </w:tcPr>
                      <w:p w:rsidR="00E87F3A" w:rsidRDefault="00E87F3A" w:rsidP="00C34AA2">
                        <w:pPr>
                          <w:ind w:right="-9"/>
                          <w:rPr>
                            <w:lang w:val="el-GR"/>
                          </w:rPr>
                        </w:pPr>
                        <w:r>
                          <w:rPr>
                            <w:lang w:val="el-GR"/>
                          </w:rPr>
                          <w:t>6. Ελάχιστα επιτρεπτά επαγγελματικά έξοδα υπαλλήλου και/ή αφορολόγητο εισόδημα</w:t>
                        </w:r>
                      </w:p>
                    </w:tc>
                    <w:tc>
                      <w:tcPr>
                        <w:tcW w:w="1701" w:type="dxa"/>
                        <w:tcBorders>
                          <w:left w:val="nil"/>
                          <w:right w:val="nil"/>
                        </w:tcBorders>
                      </w:tcPr>
                      <w:p w:rsidR="00E87F3A" w:rsidRDefault="00E87F3A" w:rsidP="00C34AA2">
                        <w:pPr>
                          <w:ind w:right="-9"/>
                          <w:rPr>
                            <w:lang w:val="el-GR"/>
                          </w:rPr>
                        </w:pPr>
                      </w:p>
                    </w:tc>
                  </w:tr>
                  <w:tr w:rsidR="00E87F3A" w:rsidRPr="002D7931" w:rsidTr="00C34AA2">
                    <w:tc>
                      <w:tcPr>
                        <w:tcW w:w="6946" w:type="dxa"/>
                        <w:gridSpan w:val="2"/>
                        <w:tcBorders>
                          <w:top w:val="nil"/>
                          <w:left w:val="nil"/>
                          <w:bottom w:val="nil"/>
                          <w:right w:val="nil"/>
                        </w:tcBorders>
                      </w:tcPr>
                      <w:p w:rsidR="00E87F3A" w:rsidRDefault="00E87F3A" w:rsidP="00C34AA2">
                        <w:pPr>
                          <w:ind w:right="-9"/>
                          <w:rPr>
                            <w:lang w:val="el-GR"/>
                          </w:rPr>
                        </w:pPr>
                        <w:r>
                          <w:rPr>
                            <w:lang w:val="el-GR"/>
                          </w:rPr>
                          <w:t>7. ΣΥΝΟΛΙΚΟ ΕΙΣΟΔΗΜΑ (Γραμμή 5 μείον την γραμμή 6)</w:t>
                        </w:r>
                      </w:p>
                    </w:tc>
                    <w:tc>
                      <w:tcPr>
                        <w:tcW w:w="1701" w:type="dxa"/>
                        <w:tcBorders>
                          <w:left w:val="nil"/>
                          <w:right w:val="nil"/>
                        </w:tcBorders>
                      </w:tcPr>
                      <w:p w:rsidR="00E87F3A" w:rsidRDefault="00E87F3A" w:rsidP="00C34AA2">
                        <w:pPr>
                          <w:ind w:right="-9"/>
                          <w:rPr>
                            <w:lang w:val="el-GR"/>
                          </w:rPr>
                        </w:pPr>
                      </w:p>
                    </w:tc>
                  </w:tr>
                  <w:tr w:rsidR="00E87F3A" w:rsidRPr="002D7931" w:rsidTr="00C34AA2">
                    <w:tc>
                      <w:tcPr>
                        <w:tcW w:w="8647" w:type="dxa"/>
                        <w:gridSpan w:val="3"/>
                        <w:tcBorders>
                          <w:top w:val="nil"/>
                          <w:left w:val="nil"/>
                          <w:bottom w:val="nil"/>
                          <w:right w:val="nil"/>
                        </w:tcBorders>
                      </w:tcPr>
                      <w:p w:rsidR="00E87F3A" w:rsidRDefault="00E87F3A" w:rsidP="00C34AA2">
                        <w:pPr>
                          <w:ind w:right="-9"/>
                          <w:rPr>
                            <w:lang w:val="el-GR"/>
                          </w:rPr>
                        </w:pPr>
                      </w:p>
                    </w:tc>
                  </w:tr>
                  <w:tr w:rsidR="00E87F3A" w:rsidRPr="002D7931" w:rsidTr="00C34AA2">
                    <w:tc>
                      <w:tcPr>
                        <w:tcW w:w="8647" w:type="dxa"/>
                        <w:gridSpan w:val="3"/>
                        <w:tcBorders>
                          <w:top w:val="nil"/>
                          <w:left w:val="nil"/>
                          <w:bottom w:val="nil"/>
                          <w:right w:val="nil"/>
                        </w:tcBorders>
                      </w:tcPr>
                      <w:p w:rsidR="00E87F3A" w:rsidRDefault="00E87F3A" w:rsidP="00C34AA2">
                        <w:pPr>
                          <w:ind w:right="-9"/>
                          <w:rPr>
                            <w:lang w:val="el-GR"/>
                          </w:rPr>
                        </w:pPr>
                        <w:r>
                          <w:rPr>
                            <w:b/>
                            <w:lang w:val="el-GR"/>
                          </w:rPr>
                          <w:t>ΚΑΘΑΡΑ</w:t>
                        </w:r>
                        <w:r w:rsidRPr="00CE5AD0">
                          <w:rPr>
                            <w:b/>
                            <w:lang w:val="el-GR"/>
                          </w:rPr>
                          <w:t xml:space="preserve"> </w:t>
                        </w:r>
                        <w:r>
                          <w:rPr>
                            <w:b/>
                            <w:lang w:val="el-GR"/>
                          </w:rPr>
                          <w:t xml:space="preserve">ΚΕΡΔΗ: </w:t>
                        </w:r>
                        <w:r w:rsidRPr="009826B1">
                          <w:rPr>
                            <w:sz w:val="20"/>
                            <w:szCs w:val="20"/>
                            <w:lang w:val="el-GR"/>
                          </w:rPr>
                          <w:t>(Αν υπάρχει καθαρή ζημία, το 0 πρέπει να μπει στην κατάλληλη σειρά)</w:t>
                        </w:r>
                      </w:p>
                    </w:tc>
                  </w:tr>
                  <w:tr w:rsidR="00E87F3A" w:rsidRPr="002D7931" w:rsidTr="00C34AA2">
                    <w:tc>
                      <w:tcPr>
                        <w:tcW w:w="6946" w:type="dxa"/>
                        <w:gridSpan w:val="2"/>
                        <w:tcBorders>
                          <w:top w:val="nil"/>
                          <w:left w:val="nil"/>
                          <w:bottom w:val="nil"/>
                          <w:right w:val="nil"/>
                        </w:tcBorders>
                      </w:tcPr>
                      <w:p w:rsidR="00E87F3A" w:rsidRPr="00CE5AD0" w:rsidRDefault="00E87F3A" w:rsidP="00C34AA2">
                        <w:pPr>
                          <w:ind w:right="-9"/>
                          <w:rPr>
                            <w:lang w:val="el-GR"/>
                          </w:rPr>
                        </w:pPr>
                        <w:r>
                          <w:rPr>
                            <w:lang w:val="el-GR"/>
                          </w:rPr>
                          <w:t xml:space="preserve">8. </w:t>
                        </w:r>
                        <w:r w:rsidRPr="00CE5AD0">
                          <w:rPr>
                            <w:lang w:val="el-GR"/>
                          </w:rPr>
                          <w:t>Κέρδη από</w:t>
                        </w:r>
                        <w:r>
                          <w:rPr>
                            <w:lang w:val="el-GR"/>
                          </w:rPr>
                          <w:t xml:space="preserve"> επιχειρήσεις, επάγγελμα, αγρόκτημα ως μοναδικός ιδιοκτήτης (επισυνάψτε το έντυπο Γ/Ζ)</w:t>
                        </w:r>
                      </w:p>
                    </w:tc>
                    <w:tc>
                      <w:tcPr>
                        <w:tcW w:w="1701" w:type="dxa"/>
                        <w:tcBorders>
                          <w:top w:val="nil"/>
                          <w:left w:val="nil"/>
                          <w:right w:val="nil"/>
                        </w:tcBorders>
                      </w:tcPr>
                      <w:p w:rsidR="00E87F3A" w:rsidRPr="00CE5AD0" w:rsidRDefault="00E87F3A" w:rsidP="00C34AA2">
                        <w:pPr>
                          <w:ind w:right="-9"/>
                          <w:rPr>
                            <w:b/>
                            <w:lang w:val="el-GR"/>
                          </w:rPr>
                        </w:pPr>
                      </w:p>
                    </w:tc>
                  </w:tr>
                  <w:tr w:rsidR="00E87F3A" w:rsidRPr="002D7931" w:rsidTr="00C34AA2">
                    <w:tc>
                      <w:tcPr>
                        <w:tcW w:w="6946" w:type="dxa"/>
                        <w:gridSpan w:val="2"/>
                        <w:tcBorders>
                          <w:top w:val="nil"/>
                          <w:left w:val="nil"/>
                          <w:bottom w:val="nil"/>
                          <w:right w:val="nil"/>
                        </w:tcBorders>
                      </w:tcPr>
                      <w:p w:rsidR="00E87F3A" w:rsidRDefault="00E87F3A" w:rsidP="00C34AA2">
                        <w:pPr>
                          <w:ind w:right="-9"/>
                          <w:rPr>
                            <w:lang w:val="el-GR"/>
                          </w:rPr>
                        </w:pPr>
                        <w:r>
                          <w:rPr>
                            <w:lang w:val="el-GR"/>
                          </w:rPr>
                          <w:t>9. Κέρδη από επιχειρήσεις, επάγγελμα, αγρόκτημα ως συνεταίρος (έντυπο Κ-1)</w:t>
                        </w:r>
                      </w:p>
                    </w:tc>
                    <w:tc>
                      <w:tcPr>
                        <w:tcW w:w="1701" w:type="dxa"/>
                        <w:tcBorders>
                          <w:left w:val="nil"/>
                          <w:right w:val="nil"/>
                        </w:tcBorders>
                      </w:tcPr>
                      <w:p w:rsidR="00E87F3A" w:rsidRPr="00CE5AD0" w:rsidRDefault="00E87F3A" w:rsidP="00C34AA2">
                        <w:pPr>
                          <w:ind w:right="-9"/>
                          <w:rPr>
                            <w:b/>
                            <w:lang w:val="el-GR"/>
                          </w:rPr>
                        </w:pPr>
                      </w:p>
                    </w:tc>
                  </w:tr>
                  <w:tr w:rsidR="00E87F3A" w:rsidRPr="002D7931" w:rsidTr="00C34AA2">
                    <w:tc>
                      <w:tcPr>
                        <w:tcW w:w="6946" w:type="dxa"/>
                        <w:gridSpan w:val="2"/>
                        <w:tcBorders>
                          <w:top w:val="nil"/>
                          <w:left w:val="nil"/>
                          <w:bottom w:val="nil"/>
                          <w:right w:val="nil"/>
                        </w:tcBorders>
                      </w:tcPr>
                      <w:p w:rsidR="00E87F3A" w:rsidRDefault="00E87F3A" w:rsidP="00C34AA2">
                        <w:pPr>
                          <w:ind w:right="-9"/>
                          <w:rPr>
                            <w:lang w:val="el-GR"/>
                          </w:rPr>
                        </w:pPr>
                        <w:r>
                          <w:rPr>
                            <w:lang w:val="el-GR"/>
                          </w:rPr>
                          <w:t>10. Κέρδη από δικαιώματα, πατέντες, τέλη, αμοιβές, κ.τ.λ.</w:t>
                        </w:r>
                      </w:p>
                    </w:tc>
                    <w:tc>
                      <w:tcPr>
                        <w:tcW w:w="1701" w:type="dxa"/>
                        <w:tcBorders>
                          <w:left w:val="nil"/>
                          <w:right w:val="nil"/>
                        </w:tcBorders>
                      </w:tcPr>
                      <w:p w:rsidR="00E87F3A" w:rsidRPr="00CE5AD0" w:rsidRDefault="00E87F3A" w:rsidP="00C34AA2">
                        <w:pPr>
                          <w:ind w:right="-9"/>
                          <w:rPr>
                            <w:b/>
                            <w:lang w:val="el-GR"/>
                          </w:rPr>
                        </w:pPr>
                      </w:p>
                    </w:tc>
                  </w:tr>
                  <w:tr w:rsidR="00E87F3A" w:rsidRPr="002D7931" w:rsidTr="00C34AA2">
                    <w:tc>
                      <w:tcPr>
                        <w:tcW w:w="6946" w:type="dxa"/>
                        <w:gridSpan w:val="2"/>
                        <w:tcBorders>
                          <w:top w:val="nil"/>
                          <w:left w:val="nil"/>
                          <w:bottom w:val="nil"/>
                          <w:right w:val="nil"/>
                        </w:tcBorders>
                      </w:tcPr>
                      <w:p w:rsidR="00E87F3A" w:rsidRDefault="00E87F3A" w:rsidP="00C34AA2">
                        <w:pPr>
                          <w:ind w:right="-9"/>
                          <w:rPr>
                            <w:lang w:val="el-GR"/>
                          </w:rPr>
                        </w:pPr>
                        <w:r>
                          <w:rPr>
                            <w:lang w:val="el-GR"/>
                          </w:rPr>
                          <w:t xml:space="preserve">11. </w:t>
                        </w:r>
                        <w:r w:rsidRPr="00006ED1">
                          <w:rPr>
                            <w:lang w:val="el-GR"/>
                          </w:rPr>
                          <w:t>ΣΥΝΟΛΙΚΑ ΚΕΡΔΗ</w:t>
                        </w:r>
                        <w:r>
                          <w:rPr>
                            <w:lang w:val="el-GR"/>
                          </w:rPr>
                          <w:t xml:space="preserve"> </w:t>
                        </w:r>
                        <w:r w:rsidRPr="00006ED1">
                          <w:rPr>
                            <w:sz w:val="20"/>
                            <w:szCs w:val="20"/>
                            <w:lang w:val="el-GR"/>
                          </w:rPr>
                          <w:t xml:space="preserve">(Προσθέστε τις γραμμές από το 8 </w:t>
                        </w:r>
                        <w:r>
                          <w:rPr>
                            <w:sz w:val="20"/>
                            <w:szCs w:val="20"/>
                            <w:lang w:val="el-GR"/>
                          </w:rPr>
                          <w:t>ως και</w:t>
                        </w:r>
                        <w:r w:rsidRPr="00006ED1">
                          <w:rPr>
                            <w:sz w:val="20"/>
                            <w:szCs w:val="20"/>
                            <w:lang w:val="el-GR"/>
                          </w:rPr>
                          <w:t xml:space="preserve"> 10)</w:t>
                        </w:r>
                      </w:p>
                    </w:tc>
                    <w:tc>
                      <w:tcPr>
                        <w:tcW w:w="1701" w:type="dxa"/>
                        <w:tcBorders>
                          <w:left w:val="nil"/>
                          <w:right w:val="nil"/>
                        </w:tcBorders>
                      </w:tcPr>
                      <w:p w:rsidR="00E87F3A" w:rsidRPr="00CE5AD0" w:rsidRDefault="00E87F3A" w:rsidP="00C34AA2">
                        <w:pPr>
                          <w:ind w:right="-9"/>
                          <w:rPr>
                            <w:b/>
                            <w:lang w:val="el-GR"/>
                          </w:rPr>
                        </w:pPr>
                      </w:p>
                    </w:tc>
                  </w:tr>
                  <w:tr w:rsidR="00E87F3A" w:rsidRPr="002D7931" w:rsidTr="00C34AA2">
                    <w:tc>
                      <w:tcPr>
                        <w:tcW w:w="8647" w:type="dxa"/>
                        <w:gridSpan w:val="3"/>
                        <w:tcBorders>
                          <w:top w:val="nil"/>
                          <w:left w:val="nil"/>
                          <w:bottom w:val="nil"/>
                          <w:right w:val="nil"/>
                        </w:tcBorders>
                      </w:tcPr>
                      <w:p w:rsidR="00E87F3A" w:rsidRPr="00CE5AD0" w:rsidRDefault="00E87F3A" w:rsidP="00C34AA2">
                        <w:pPr>
                          <w:ind w:right="-9"/>
                          <w:rPr>
                            <w:b/>
                            <w:lang w:val="el-GR"/>
                          </w:rPr>
                        </w:pPr>
                      </w:p>
                    </w:tc>
                  </w:tr>
                  <w:tr w:rsidR="00E87F3A" w:rsidTr="00C34AA2">
                    <w:tc>
                      <w:tcPr>
                        <w:tcW w:w="8647" w:type="dxa"/>
                        <w:gridSpan w:val="3"/>
                        <w:tcBorders>
                          <w:top w:val="nil"/>
                          <w:left w:val="nil"/>
                          <w:bottom w:val="nil"/>
                          <w:right w:val="nil"/>
                        </w:tcBorders>
                      </w:tcPr>
                      <w:p w:rsidR="00E87F3A" w:rsidRPr="00CE5AD0" w:rsidRDefault="00E87F3A" w:rsidP="00C34AA2">
                        <w:pPr>
                          <w:ind w:right="-9"/>
                          <w:rPr>
                            <w:b/>
                            <w:lang w:val="el-GR"/>
                          </w:rPr>
                        </w:pPr>
                        <w:r w:rsidRPr="00006ED1">
                          <w:rPr>
                            <w:b/>
                            <w:lang w:val="el-GR"/>
                          </w:rPr>
                          <w:t>ΣΥΝΟΛΙΚΟ ΦΟΡΟΛΟΓΙΣΙΜΟ ΕΙΣΟΔΗΜΑ:</w:t>
                        </w:r>
                      </w:p>
                    </w:tc>
                  </w:tr>
                  <w:tr w:rsidR="00E87F3A" w:rsidRPr="002D7931" w:rsidTr="00C34AA2">
                    <w:tc>
                      <w:tcPr>
                        <w:tcW w:w="6946" w:type="dxa"/>
                        <w:gridSpan w:val="2"/>
                        <w:tcBorders>
                          <w:top w:val="nil"/>
                          <w:left w:val="nil"/>
                          <w:bottom w:val="nil"/>
                          <w:right w:val="nil"/>
                        </w:tcBorders>
                      </w:tcPr>
                      <w:p w:rsidR="00E87F3A" w:rsidRDefault="00E87F3A" w:rsidP="00C34AA2">
                        <w:pPr>
                          <w:ind w:right="-9"/>
                          <w:rPr>
                            <w:lang w:val="el-GR"/>
                          </w:rPr>
                        </w:pPr>
                        <w:r>
                          <w:rPr>
                            <w:lang w:val="el-GR"/>
                          </w:rPr>
                          <w:t>12. Συνολικό εισόδημα και καθαρά κέρδη (σειρές 7 ως και 11)</w:t>
                        </w:r>
                      </w:p>
                    </w:tc>
                    <w:tc>
                      <w:tcPr>
                        <w:tcW w:w="1701" w:type="dxa"/>
                        <w:tcBorders>
                          <w:left w:val="nil"/>
                          <w:right w:val="nil"/>
                        </w:tcBorders>
                      </w:tcPr>
                      <w:p w:rsidR="00E87F3A" w:rsidRPr="00CE5AD0" w:rsidRDefault="00E87F3A" w:rsidP="00C34AA2">
                        <w:pPr>
                          <w:ind w:right="-9"/>
                          <w:rPr>
                            <w:b/>
                            <w:lang w:val="el-GR"/>
                          </w:rPr>
                        </w:pPr>
                      </w:p>
                    </w:tc>
                  </w:tr>
                </w:tbl>
                <w:p w:rsidR="00E87F3A" w:rsidRDefault="00E87F3A" w:rsidP="00C34AA2">
                  <w:pPr>
                    <w:ind w:left="-142" w:right="-9"/>
                    <w:rPr>
                      <w:lang w:val="el-GR"/>
                    </w:rPr>
                  </w:pPr>
                </w:p>
                <w:p w:rsidR="00E87F3A" w:rsidRDefault="00E87F3A" w:rsidP="00C34AA2">
                  <w:pPr>
                    <w:ind w:right="-9"/>
                    <w:rPr>
                      <w:lang w:val="el-GR"/>
                    </w:rPr>
                  </w:pPr>
                  <w:r>
                    <w:rPr>
                      <w:lang w:val="el-GR"/>
                    </w:rPr>
                    <w:t>Δηλώνω λαμβάνοντας υπόψη τις ποινές που προβλέπει η νομοθεσία, αυτή η δήλωση έχει εξεταστεί από εμένα και είναι εξ όσων μπορώ να γνωρίζω αληθινή, ορθή και πλήρης.</w:t>
                  </w:r>
                </w:p>
                <w:p w:rsidR="00E87F3A" w:rsidRDefault="00E87F3A" w:rsidP="00C34AA2">
                  <w:pPr>
                    <w:ind w:left="-142" w:right="-9"/>
                    <w:rPr>
                      <w:lang w:val="el-GR"/>
                    </w:rPr>
                  </w:pPr>
                </w:p>
                <w:p w:rsidR="00E87F3A" w:rsidRDefault="00E87F3A" w:rsidP="00C34AA2">
                  <w:pPr>
                    <w:ind w:right="-9"/>
                    <w:rPr>
                      <w:lang w:val="el-GR"/>
                    </w:rPr>
                  </w:pPr>
                  <w:r>
                    <w:rPr>
                      <w:lang w:val="el-GR"/>
                    </w:rPr>
                    <w:t>13. _______________________________________________    14. _____________________________________</w:t>
                  </w:r>
                </w:p>
                <w:p w:rsidR="00E87F3A" w:rsidRPr="00804712" w:rsidRDefault="00E87F3A" w:rsidP="00C34AA2">
                  <w:pPr>
                    <w:ind w:left="-142" w:right="-9"/>
                    <w:rPr>
                      <w:lang w:val="el-GR"/>
                    </w:rPr>
                  </w:pPr>
                  <w:r>
                    <w:rPr>
                      <w:lang w:val="el-GR"/>
                    </w:rPr>
                    <w:tab/>
                  </w:r>
                  <w:r>
                    <w:rPr>
                      <w:lang w:val="el-GR"/>
                    </w:rPr>
                    <w:tab/>
                    <w:t>Υπογραφή φορολογούμενου</w:t>
                  </w:r>
                  <w:r>
                    <w:rPr>
                      <w:lang w:val="el-GR"/>
                    </w:rPr>
                    <w:tab/>
                  </w:r>
                  <w:r>
                    <w:rPr>
                      <w:lang w:val="el-GR"/>
                    </w:rPr>
                    <w:tab/>
                  </w:r>
                  <w:r>
                    <w:rPr>
                      <w:lang w:val="el-GR"/>
                    </w:rPr>
                    <w:tab/>
                    <w:t>Ημερομηνία</w:t>
                  </w:r>
                </w:p>
              </w:txbxContent>
            </v:textbox>
          </v:shape>
        </w:pict>
      </w:r>
    </w:p>
    <w:p w:rsidR="00C34AA2" w:rsidRPr="009826B1" w:rsidRDefault="00C34AA2" w:rsidP="00C34AA2">
      <w:pPr>
        <w:rPr>
          <w:lang w:val="el-GR"/>
        </w:rPr>
      </w:pPr>
    </w:p>
    <w:p w:rsidR="00C34AA2" w:rsidRPr="009826B1" w:rsidRDefault="00C34AA2" w:rsidP="00C34AA2">
      <w:pPr>
        <w:rPr>
          <w:lang w:val="el-GR"/>
        </w:rPr>
      </w:pPr>
    </w:p>
    <w:p w:rsidR="00C34AA2" w:rsidRPr="007B310C" w:rsidRDefault="00C34AA2" w:rsidP="00C34AA2">
      <w:pPr>
        <w:rPr>
          <w:b/>
          <w:lang w:val="el-GR"/>
        </w:rPr>
      </w:pPr>
      <w:r w:rsidRPr="007B310C">
        <w:rPr>
          <w:b/>
          <w:lang w:val="el-GR"/>
        </w:rPr>
        <w:t>Οδηγίες</w:t>
      </w:r>
      <w:r>
        <w:rPr>
          <w:b/>
          <w:lang w:val="el-GR"/>
        </w:rPr>
        <w:t xml:space="preserve">: </w:t>
      </w:r>
      <w:r w:rsidRPr="007B310C">
        <w:rPr>
          <w:b/>
          <w:lang w:val="el-GR"/>
        </w:rPr>
        <w:t xml:space="preserve"> </w:t>
      </w:r>
      <w:r>
        <w:rPr>
          <w:b/>
          <w:lang w:val="el-GR"/>
        </w:rPr>
        <w:t xml:space="preserve">Οδηγίες για Μαγείρεμα </w:t>
      </w:r>
      <w:r w:rsidRPr="007B310C">
        <w:rPr>
          <w:b/>
          <w:lang w:val="el-GR"/>
        </w:rPr>
        <w:t>Μείγματος</w:t>
      </w:r>
      <w:r>
        <w:rPr>
          <w:b/>
          <w:lang w:val="el-GR"/>
        </w:rPr>
        <w:t xml:space="preserve"> </w:t>
      </w:r>
      <w:r w:rsidRPr="007B310C">
        <w:rPr>
          <w:b/>
          <w:lang w:val="el-GR"/>
        </w:rPr>
        <w:t>Γέμισης</w:t>
      </w:r>
    </w:p>
    <w:p w:rsidR="00C34AA2" w:rsidRPr="00A31ED8" w:rsidRDefault="00C34AA2" w:rsidP="00C34AA2">
      <w:pPr>
        <w:rPr>
          <w:lang w:val="el-GR"/>
        </w:rPr>
      </w:pPr>
    </w:p>
    <w:p w:rsidR="00C34AA2" w:rsidRPr="00A31ED8" w:rsidRDefault="00C34AA2" w:rsidP="00C34AA2">
      <w:pPr>
        <w:rPr>
          <w:lang w:val="el-GR"/>
        </w:rPr>
      </w:pPr>
    </w:p>
    <w:p w:rsidR="00C34AA2" w:rsidRPr="00A31ED8" w:rsidRDefault="00C34AA2" w:rsidP="00C34AA2">
      <w:pPr>
        <w:rPr>
          <w:lang w:val="el-GR"/>
        </w:rPr>
      </w:pPr>
    </w:p>
    <w:p w:rsidR="00C34AA2" w:rsidRDefault="00C34AA2" w:rsidP="00C34AA2">
      <w:pPr>
        <w:ind w:left="426" w:hanging="426"/>
        <w:rPr>
          <w:lang w:val="el-GR"/>
        </w:rPr>
      </w:pPr>
      <w:r>
        <w:rPr>
          <w:lang w:val="el-GR"/>
        </w:rPr>
        <w:t>19.  Σύμφωνα με τις οδηγίες, για να γίνει η γέμιση ποιο στεγνή, τι μπορείτε να κάνετε;  ____________________________________________________________________________________________</w:t>
      </w:r>
    </w:p>
    <w:p w:rsidR="00C34AA2" w:rsidRDefault="00C34AA2" w:rsidP="00C34AA2">
      <w:pPr>
        <w:rPr>
          <w:lang w:val="el-GR"/>
        </w:rPr>
      </w:pPr>
    </w:p>
    <w:p w:rsidR="00C34AA2" w:rsidRDefault="00C34AA2" w:rsidP="00C34AA2">
      <w:pPr>
        <w:ind w:left="426" w:hanging="426"/>
        <w:rPr>
          <w:lang w:val="el-GR"/>
        </w:rPr>
      </w:pPr>
      <w:r>
        <w:rPr>
          <w:lang w:val="el-GR"/>
        </w:rPr>
        <w:t>20.  Στη μέθοδο ετοιμασίας σε κατσαρόλα, πόσο πρέπει να βράσετε την γέμιση ακόμα αφότου προσθέσετε τα ψίχουλα ψωμιού;  ____________________________________________________________________________________________</w:t>
      </w:r>
    </w:p>
    <w:p w:rsidR="00C34AA2" w:rsidRDefault="00C34AA2" w:rsidP="00C34AA2">
      <w:pPr>
        <w:rPr>
          <w:lang w:val="el-GR"/>
        </w:rPr>
      </w:pPr>
    </w:p>
    <w:p w:rsidR="00C34AA2" w:rsidRDefault="00C34AA2" w:rsidP="00C34AA2">
      <w:pPr>
        <w:rPr>
          <w:lang w:val="el-GR"/>
        </w:rPr>
      </w:pPr>
      <w:r>
        <w:rPr>
          <w:lang w:val="el-GR"/>
        </w:rPr>
        <w:br w:type="page"/>
      </w:r>
    </w:p>
    <w:tbl>
      <w:tblPr>
        <w:tblStyle w:val="TableGrid"/>
        <w:tblpPr w:leftFromText="180" w:rightFromText="180" w:horzAnchor="margin" w:tblpY="455"/>
        <w:tblW w:w="0" w:type="auto"/>
        <w:tblBorders>
          <w:insideH w:val="none" w:sz="0" w:space="0" w:color="auto"/>
          <w:insideV w:val="none" w:sz="0" w:space="0" w:color="auto"/>
        </w:tblBorders>
        <w:tblLook w:val="04A0" w:firstRow="1" w:lastRow="0" w:firstColumn="1" w:lastColumn="0" w:noHBand="0" w:noVBand="1"/>
      </w:tblPr>
      <w:tblGrid>
        <w:gridCol w:w="4261"/>
        <w:gridCol w:w="4261"/>
      </w:tblGrid>
      <w:tr w:rsidR="00FB7A4E" w:rsidTr="00463489">
        <w:tc>
          <w:tcPr>
            <w:tcW w:w="4261" w:type="dxa"/>
          </w:tcPr>
          <w:p w:rsidR="00FB7A4E" w:rsidRPr="00DC4CA8" w:rsidRDefault="00FB7A4E" w:rsidP="00463489">
            <w:pPr>
              <w:rPr>
                <w:lang w:val="el-GR"/>
              </w:rPr>
            </w:pPr>
            <w:r w:rsidRPr="00DC4CA8">
              <w:rPr>
                <w:lang w:val="el-GR"/>
              </w:rPr>
              <w:t>ΟΔΗΓΙΕΣ</w:t>
            </w:r>
          </w:p>
          <w:p w:rsidR="00FB7A4E" w:rsidRPr="00DC4CA8" w:rsidRDefault="00FB7A4E" w:rsidP="00463489"/>
        </w:tc>
        <w:tc>
          <w:tcPr>
            <w:tcW w:w="4261" w:type="dxa"/>
          </w:tcPr>
          <w:p w:rsidR="00FB7A4E" w:rsidRPr="00DC4CA8" w:rsidRDefault="00FB7A4E" w:rsidP="00463489"/>
        </w:tc>
      </w:tr>
      <w:tr w:rsidR="00FB7A4E" w:rsidTr="00463489">
        <w:tc>
          <w:tcPr>
            <w:tcW w:w="4261" w:type="dxa"/>
          </w:tcPr>
          <w:p w:rsidR="00FB7A4E" w:rsidRPr="00DC4CA8" w:rsidRDefault="00FB7A4E" w:rsidP="00463489">
            <w:r w:rsidRPr="00DC4CA8">
              <w:rPr>
                <w:lang w:val="el-GR"/>
              </w:rPr>
              <w:t>1 πακέτο Μείγμα Γέμισης</w:t>
            </w:r>
          </w:p>
        </w:tc>
        <w:tc>
          <w:tcPr>
            <w:tcW w:w="4261" w:type="dxa"/>
          </w:tcPr>
          <w:p w:rsidR="00FB7A4E" w:rsidRPr="00DC4CA8" w:rsidRDefault="00FB7A4E" w:rsidP="00463489">
            <w:r w:rsidRPr="00DC4CA8">
              <w:rPr>
                <w:lang w:val="el-GR"/>
              </w:rPr>
              <w:t>2. Ανακατεύετε με ψίχουλα ψωμιού.</w:t>
            </w:r>
          </w:p>
        </w:tc>
      </w:tr>
      <w:tr w:rsidR="00FB7A4E" w:rsidTr="00463489">
        <w:tc>
          <w:tcPr>
            <w:tcW w:w="4261" w:type="dxa"/>
          </w:tcPr>
          <w:p w:rsidR="00FB7A4E" w:rsidRPr="00DC4CA8" w:rsidRDefault="00FB7A4E" w:rsidP="00463489">
            <w:pPr>
              <w:tabs>
                <w:tab w:val="left" w:pos="1362"/>
              </w:tabs>
            </w:pPr>
          </w:p>
        </w:tc>
        <w:tc>
          <w:tcPr>
            <w:tcW w:w="4261" w:type="dxa"/>
          </w:tcPr>
          <w:p w:rsidR="00FB7A4E" w:rsidRPr="00DC4CA8" w:rsidRDefault="00FB7A4E" w:rsidP="00463489">
            <w:pPr>
              <w:tabs>
                <w:tab w:val="left" w:pos="1362"/>
              </w:tabs>
            </w:pPr>
            <w:r w:rsidRPr="00DC4CA8">
              <w:rPr>
                <w:lang w:val="el-GR"/>
              </w:rPr>
              <w:t xml:space="preserve">     Σκεπάστε, απομακρύνετε από την</w:t>
            </w:r>
          </w:p>
        </w:tc>
      </w:tr>
      <w:tr w:rsidR="00FB7A4E" w:rsidRPr="002D7931" w:rsidTr="00463489">
        <w:tc>
          <w:tcPr>
            <w:tcW w:w="4261" w:type="dxa"/>
          </w:tcPr>
          <w:p w:rsidR="00FB7A4E" w:rsidRPr="00DC4CA8" w:rsidRDefault="00FB7A4E" w:rsidP="00463489">
            <w:pPr>
              <w:rPr>
                <w:lang w:val="el-GR"/>
              </w:rPr>
            </w:pPr>
            <w:r w:rsidRPr="00DC4CA8">
              <w:rPr>
                <w:lang w:val="el-GR"/>
              </w:rPr>
              <w:t xml:space="preserve">1 </w:t>
            </w:r>
            <w:r w:rsidRPr="00DC4CA8">
              <w:rPr>
                <w:vertAlign w:val="superscript"/>
                <w:lang w:val="el-GR"/>
              </w:rPr>
              <w:t>2/3</w:t>
            </w:r>
            <w:r w:rsidRPr="00DC4CA8">
              <w:rPr>
                <w:lang w:val="el-GR"/>
              </w:rPr>
              <w:t xml:space="preserve"> κούπες νερό*</w:t>
            </w:r>
          </w:p>
        </w:tc>
        <w:tc>
          <w:tcPr>
            <w:tcW w:w="4261" w:type="dxa"/>
          </w:tcPr>
          <w:p w:rsidR="00FB7A4E" w:rsidRDefault="00FB7A4E" w:rsidP="00463489">
            <w:pPr>
              <w:rPr>
                <w:lang w:val="el-GR"/>
              </w:rPr>
            </w:pPr>
            <w:r w:rsidRPr="00DC4CA8">
              <w:rPr>
                <w:lang w:val="el-GR"/>
              </w:rPr>
              <w:t xml:space="preserve">     φωτιά και αφήστε το για 5 λεπτά.</w:t>
            </w:r>
            <w:r>
              <w:rPr>
                <w:lang w:val="el-GR"/>
              </w:rPr>
              <w:t xml:space="preserve">  </w:t>
            </w:r>
          </w:p>
          <w:p w:rsidR="00FB7A4E" w:rsidRPr="00DC4CA8" w:rsidRDefault="00FB7A4E" w:rsidP="00463489">
            <w:pPr>
              <w:rPr>
                <w:lang w:val="el-GR"/>
              </w:rPr>
            </w:pPr>
            <w:r>
              <w:rPr>
                <w:lang w:val="el-GR"/>
              </w:rPr>
              <w:t xml:space="preserve">     Λιώστε το μίγμα με ένα πιρούνι.</w:t>
            </w:r>
          </w:p>
        </w:tc>
      </w:tr>
      <w:tr w:rsidR="00FB7A4E" w:rsidRPr="00FC5ED8" w:rsidTr="00463489">
        <w:tc>
          <w:tcPr>
            <w:tcW w:w="4261" w:type="dxa"/>
          </w:tcPr>
          <w:p w:rsidR="00FB7A4E" w:rsidRPr="00DC4CA8" w:rsidRDefault="00FB7A4E" w:rsidP="00463489">
            <w:pPr>
              <w:rPr>
                <w:lang w:val="el-GR"/>
              </w:rPr>
            </w:pPr>
            <w:r w:rsidRPr="00DC4CA8">
              <w:rPr>
                <w:vertAlign w:val="superscript"/>
                <w:lang w:val="el-GR"/>
              </w:rPr>
              <w:t xml:space="preserve">1/4 </w:t>
            </w:r>
            <w:r w:rsidRPr="00DC4CA8">
              <w:rPr>
                <w:lang w:val="el-GR"/>
              </w:rPr>
              <w:t xml:space="preserve"> της κούπας (μισή συσκευασία) βούτυρο ή μαργαρίνη</w:t>
            </w:r>
          </w:p>
        </w:tc>
        <w:tc>
          <w:tcPr>
            <w:tcW w:w="4261" w:type="dxa"/>
          </w:tcPr>
          <w:p w:rsidR="00FB7A4E" w:rsidRDefault="00FB7A4E" w:rsidP="00463489">
            <w:pPr>
              <w:rPr>
                <w:lang w:val="el-GR"/>
              </w:rPr>
            </w:pPr>
          </w:p>
          <w:p w:rsidR="00FB7A4E" w:rsidRPr="00DC4CA8" w:rsidRDefault="00FB7A4E" w:rsidP="00463489">
            <w:pPr>
              <w:rPr>
                <w:lang w:val="el-GR"/>
              </w:rPr>
            </w:pPr>
            <w:r w:rsidRPr="00DC4CA8">
              <w:rPr>
                <w:lang w:val="el-GR"/>
              </w:rPr>
              <w:t>ΣΤΟΝ ΦΟΥΡΝΟ ΜΙΚΡΟΚΥΜΑΤΩΝ</w:t>
            </w:r>
          </w:p>
        </w:tc>
      </w:tr>
      <w:tr w:rsidR="00FB7A4E" w:rsidRPr="00462587" w:rsidTr="00463489">
        <w:tc>
          <w:tcPr>
            <w:tcW w:w="4261" w:type="dxa"/>
          </w:tcPr>
          <w:p w:rsidR="00FB7A4E" w:rsidRPr="00DC4CA8" w:rsidRDefault="00FB7A4E" w:rsidP="00463489">
            <w:pPr>
              <w:rPr>
                <w:lang w:val="el-GR"/>
              </w:rPr>
            </w:pPr>
          </w:p>
        </w:tc>
        <w:tc>
          <w:tcPr>
            <w:tcW w:w="4261" w:type="dxa"/>
            <w:vMerge w:val="restart"/>
          </w:tcPr>
          <w:p w:rsidR="00FB7A4E" w:rsidRPr="00DC4CA8" w:rsidRDefault="00FB7A4E" w:rsidP="00463489">
            <w:pPr>
              <w:rPr>
                <w:lang w:val="el-GR"/>
              </w:rPr>
            </w:pPr>
            <w:r w:rsidRPr="00DC4CA8">
              <w:rPr>
                <w:lang w:val="el-GR"/>
              </w:rPr>
              <w:t xml:space="preserve">1.Αναμιγνύεται το περιεχόμενο του πακέτου </w:t>
            </w:r>
            <w:r>
              <w:rPr>
                <w:lang w:val="el-GR"/>
              </w:rPr>
              <w:t xml:space="preserve">με τα </w:t>
            </w:r>
            <w:r w:rsidRPr="00DC4CA8">
              <w:rPr>
                <w:lang w:val="el-GR"/>
              </w:rPr>
              <w:t>λαχανικά</w:t>
            </w:r>
            <w:r>
              <w:rPr>
                <w:lang w:val="el-GR"/>
              </w:rPr>
              <w:t xml:space="preserve"> </w:t>
            </w:r>
            <w:r w:rsidRPr="00DC4CA8">
              <w:rPr>
                <w:lang w:val="el-GR"/>
              </w:rPr>
              <w:t>/</w:t>
            </w:r>
            <w:r>
              <w:rPr>
                <w:lang w:val="el-GR"/>
              </w:rPr>
              <w:t xml:space="preserve"> </w:t>
            </w:r>
            <w:r w:rsidRPr="00DC4CA8">
              <w:rPr>
                <w:lang w:val="el-GR"/>
              </w:rPr>
              <w:t>καρυ</w:t>
            </w:r>
            <w:r>
              <w:rPr>
                <w:lang w:val="el-GR"/>
              </w:rPr>
              <w:t>-</w:t>
            </w:r>
            <w:r w:rsidRPr="00DC4CA8">
              <w:rPr>
                <w:lang w:val="el-GR"/>
              </w:rPr>
              <w:t xml:space="preserve">κεύματα, </w:t>
            </w:r>
            <w:r>
              <w:rPr>
                <w:lang w:val="el-GR"/>
              </w:rPr>
              <w:t xml:space="preserve">το </w:t>
            </w:r>
            <w:r w:rsidRPr="00DC4CA8">
              <w:rPr>
                <w:lang w:val="el-GR"/>
              </w:rPr>
              <w:t>ζεστό νερό και</w:t>
            </w:r>
            <w:r>
              <w:rPr>
                <w:lang w:val="el-GR"/>
              </w:rPr>
              <w:t xml:space="preserve"> το βούτυρο, κόβε</w:t>
            </w:r>
            <w:r w:rsidRPr="00DC4CA8">
              <w:rPr>
                <w:lang w:val="el-GR"/>
              </w:rPr>
              <w:t>τε σε κομμάτια, και</w:t>
            </w:r>
            <w:r>
              <w:rPr>
                <w:lang w:val="el-GR"/>
              </w:rPr>
              <w:t xml:space="preserve"> το βάζε</w:t>
            </w:r>
            <w:r w:rsidRPr="00DC4CA8">
              <w:rPr>
                <w:lang w:val="el-GR"/>
              </w:rPr>
              <w:t>τε το σε ένα μπολ 1</w:t>
            </w:r>
            <w:r w:rsidRPr="00DC4CA8">
              <w:rPr>
                <w:vertAlign w:val="superscript"/>
                <w:lang w:val="el-GR"/>
              </w:rPr>
              <w:t xml:space="preserve">1/2  </w:t>
            </w:r>
            <w:r w:rsidRPr="00DC4CA8">
              <w:rPr>
                <w:lang w:val="el-GR"/>
              </w:rPr>
              <w:t xml:space="preserve">λίτρου κατάλληλο για φούρνο μικροκυμάτων. Ανακατέψτε με ψίχουλα ψωμιού. </w:t>
            </w:r>
            <w:r>
              <w:rPr>
                <w:lang w:val="el-GR"/>
              </w:rPr>
              <w:t xml:space="preserve"> </w:t>
            </w:r>
          </w:p>
        </w:tc>
      </w:tr>
      <w:tr w:rsidR="00FB7A4E" w:rsidRPr="002D7931" w:rsidTr="00463489">
        <w:trPr>
          <w:trHeight w:val="2064"/>
        </w:trPr>
        <w:tc>
          <w:tcPr>
            <w:tcW w:w="4261" w:type="dxa"/>
            <w:vMerge w:val="restart"/>
          </w:tcPr>
          <w:p w:rsidR="00FB7A4E" w:rsidRDefault="00FB7A4E" w:rsidP="00463489">
            <w:pPr>
              <w:rPr>
                <w:lang w:val="el-GR"/>
              </w:rPr>
            </w:pPr>
            <w:r w:rsidRPr="00DC4CA8">
              <w:rPr>
                <w:lang w:val="el-GR"/>
              </w:rPr>
              <w:t>* Για ποιο ζουμερή γέμιση, αυξήστε το νερό κατά 2 κουταλιές του τσαγιού: για  λιγότερο ζουμερή γέμιση, μειώστε το νερό κατά 2 κουταλιές του τσαγιού.</w:t>
            </w:r>
          </w:p>
          <w:p w:rsidR="00FB7A4E" w:rsidRDefault="00FB7A4E" w:rsidP="00463489">
            <w:pPr>
              <w:rPr>
                <w:lang w:val="el-GR"/>
              </w:rPr>
            </w:pPr>
          </w:p>
          <w:p w:rsidR="00FB7A4E" w:rsidRPr="00DC4CA8" w:rsidRDefault="00FB7A4E" w:rsidP="00463489">
            <w:pPr>
              <w:rPr>
                <w:lang w:val="el-GR"/>
              </w:rPr>
            </w:pPr>
            <w:r w:rsidRPr="00DC4CA8">
              <w:rPr>
                <w:lang w:val="el-GR"/>
              </w:rPr>
              <w:t>ΣΤΗΝ ΚΑΤΣΑΡΟΛΑ</w:t>
            </w:r>
            <w:r w:rsidRPr="00DC4CA8">
              <w:rPr>
                <w:lang w:val="el-GR"/>
              </w:rPr>
              <w:tab/>
            </w:r>
          </w:p>
          <w:p w:rsidR="00FB7A4E" w:rsidRPr="007B310C" w:rsidRDefault="00FB7A4E" w:rsidP="00463489">
            <w:pPr>
              <w:tabs>
                <w:tab w:val="left" w:pos="1008"/>
              </w:tabs>
              <w:rPr>
                <w:lang w:val="el-GR"/>
              </w:rPr>
            </w:pPr>
            <w:r w:rsidRPr="007B310C">
              <w:rPr>
                <w:lang w:val="el-GR"/>
              </w:rPr>
              <w:t>1.</w:t>
            </w:r>
            <w:r>
              <w:rPr>
                <w:lang w:val="el-GR"/>
              </w:rPr>
              <w:t xml:space="preserve"> </w:t>
            </w:r>
            <w:r w:rsidRPr="007B310C">
              <w:rPr>
                <w:lang w:val="el-GR"/>
              </w:rPr>
              <w:t xml:space="preserve">Αναμιγνύεται το περιεχόμενο του πακέτου </w:t>
            </w:r>
            <w:r>
              <w:rPr>
                <w:lang w:val="el-GR"/>
              </w:rPr>
              <w:t xml:space="preserve">με  τα </w:t>
            </w:r>
            <w:r w:rsidRPr="007B310C">
              <w:rPr>
                <w:lang w:val="el-GR"/>
              </w:rPr>
              <w:t>λαχανικών</w:t>
            </w:r>
            <w:r>
              <w:rPr>
                <w:lang w:val="el-GR"/>
              </w:rPr>
              <w:t xml:space="preserve"> </w:t>
            </w:r>
            <w:r w:rsidRPr="007B310C">
              <w:rPr>
                <w:lang w:val="el-GR"/>
              </w:rPr>
              <w:t>/</w:t>
            </w:r>
            <w:r>
              <w:rPr>
                <w:lang w:val="el-GR"/>
              </w:rPr>
              <w:t xml:space="preserve"> </w:t>
            </w:r>
            <w:r w:rsidRPr="007B310C">
              <w:rPr>
                <w:lang w:val="el-GR"/>
              </w:rPr>
              <w:t>καρυ</w:t>
            </w:r>
            <w:r>
              <w:rPr>
                <w:lang w:val="el-GR"/>
              </w:rPr>
              <w:t>-</w:t>
            </w:r>
            <w:r w:rsidRPr="007B310C">
              <w:rPr>
                <w:lang w:val="el-GR"/>
              </w:rPr>
              <w:t xml:space="preserve">κεύματα, </w:t>
            </w:r>
            <w:r>
              <w:rPr>
                <w:lang w:val="el-GR"/>
              </w:rPr>
              <w:t xml:space="preserve"> το </w:t>
            </w:r>
            <w:r w:rsidRPr="007B310C">
              <w:rPr>
                <w:lang w:val="el-GR"/>
              </w:rPr>
              <w:t xml:space="preserve">νερό και </w:t>
            </w:r>
            <w:r>
              <w:rPr>
                <w:lang w:val="el-GR"/>
              </w:rPr>
              <w:t xml:space="preserve">το </w:t>
            </w:r>
            <w:r w:rsidRPr="007B310C">
              <w:rPr>
                <w:lang w:val="el-GR"/>
              </w:rPr>
              <w:t>βούτυρο σε μια μέτρια κατσαρόλα . Αφήστε τα να βράσουν. Μειώστε την φωτιά: σκεπάστε και σιγοβράστε για 5 λεπτά</w:t>
            </w:r>
          </w:p>
          <w:p w:rsidR="00FB7A4E" w:rsidRPr="00DC4CA8" w:rsidRDefault="00FB7A4E" w:rsidP="00463489">
            <w:pPr>
              <w:rPr>
                <w:lang w:val="el-GR"/>
              </w:rPr>
            </w:pPr>
            <w:r w:rsidRPr="007B310C">
              <w:rPr>
                <w:lang w:val="el-GR"/>
              </w:rPr>
              <w:tab/>
            </w:r>
          </w:p>
        </w:tc>
        <w:tc>
          <w:tcPr>
            <w:tcW w:w="4261" w:type="dxa"/>
            <w:vMerge/>
          </w:tcPr>
          <w:p w:rsidR="00FB7A4E" w:rsidRPr="00DC4CA8" w:rsidRDefault="00FB7A4E" w:rsidP="00463489">
            <w:pPr>
              <w:rPr>
                <w:lang w:val="el-GR"/>
              </w:rPr>
            </w:pPr>
          </w:p>
        </w:tc>
      </w:tr>
      <w:tr w:rsidR="00FB7A4E" w:rsidRPr="002D7931" w:rsidTr="00463489">
        <w:tc>
          <w:tcPr>
            <w:tcW w:w="4261" w:type="dxa"/>
            <w:vMerge/>
          </w:tcPr>
          <w:p w:rsidR="00FB7A4E" w:rsidRPr="00DC4CA8" w:rsidRDefault="00FB7A4E" w:rsidP="00463489">
            <w:pPr>
              <w:rPr>
                <w:lang w:val="el-GR"/>
              </w:rPr>
            </w:pPr>
          </w:p>
        </w:tc>
        <w:tc>
          <w:tcPr>
            <w:tcW w:w="4261" w:type="dxa"/>
          </w:tcPr>
          <w:p w:rsidR="00FB7A4E" w:rsidRPr="00DC4CA8" w:rsidRDefault="00FB7A4E" w:rsidP="00463489">
            <w:pPr>
              <w:rPr>
                <w:lang w:val="el-GR"/>
              </w:rPr>
            </w:pPr>
            <w:r w:rsidRPr="00DC4CA8">
              <w:rPr>
                <w:lang w:val="el-GR"/>
              </w:rPr>
              <w:t xml:space="preserve">2. Σκεπάστε και ζεστάνετε σε δυνατή φωτιά για 5 με 6 λεπτά.** </w:t>
            </w:r>
            <w:r>
              <w:rPr>
                <w:lang w:val="el-GR"/>
              </w:rPr>
              <w:t xml:space="preserve">  Λιώστε το μίγμα με ένα πιρούνι</w:t>
            </w:r>
            <w:r w:rsidRPr="00DC4CA8">
              <w:rPr>
                <w:lang w:val="el-GR"/>
              </w:rPr>
              <w:t xml:space="preserve"> .</w:t>
            </w:r>
          </w:p>
        </w:tc>
      </w:tr>
      <w:tr w:rsidR="00FB7A4E" w:rsidRPr="002D7931" w:rsidTr="00463489">
        <w:trPr>
          <w:trHeight w:val="1215"/>
        </w:trPr>
        <w:tc>
          <w:tcPr>
            <w:tcW w:w="4261" w:type="dxa"/>
            <w:vMerge/>
          </w:tcPr>
          <w:p w:rsidR="00FB7A4E" w:rsidRPr="007B310C" w:rsidRDefault="00FB7A4E" w:rsidP="00463489">
            <w:pPr>
              <w:rPr>
                <w:lang w:val="el-GR"/>
              </w:rPr>
            </w:pPr>
          </w:p>
        </w:tc>
        <w:tc>
          <w:tcPr>
            <w:tcW w:w="4261" w:type="dxa"/>
          </w:tcPr>
          <w:p w:rsidR="00FB7A4E" w:rsidRDefault="00FB7A4E" w:rsidP="00463489">
            <w:pPr>
              <w:rPr>
                <w:lang w:val="el-GR"/>
              </w:rPr>
            </w:pPr>
          </w:p>
          <w:p w:rsidR="00FB7A4E" w:rsidRPr="00DC4CA8" w:rsidRDefault="00FB7A4E" w:rsidP="00463489">
            <w:pPr>
              <w:rPr>
                <w:lang w:val="el-GR"/>
              </w:rPr>
            </w:pPr>
            <w:r w:rsidRPr="00DC4CA8">
              <w:rPr>
                <w:lang w:val="el-GR"/>
              </w:rPr>
              <w:t xml:space="preserve">** Οι φούρνοι διαφέρουν μεταξύ τους. Ο χρόνος </w:t>
            </w:r>
            <w:r>
              <w:rPr>
                <w:lang w:val="el-GR"/>
              </w:rPr>
              <w:t>για το ζέσταμα ορίζεται κατά</w:t>
            </w:r>
            <w:r w:rsidRPr="00DC4CA8">
              <w:rPr>
                <w:lang w:val="el-GR"/>
              </w:rPr>
              <w:t xml:space="preserve"> προσέγγιση  </w:t>
            </w:r>
          </w:p>
        </w:tc>
      </w:tr>
    </w:tbl>
    <w:p w:rsidR="00FB7A4E" w:rsidRPr="007B310C" w:rsidRDefault="00FB7A4E" w:rsidP="00FB7A4E">
      <w:pPr>
        <w:rPr>
          <w:b/>
          <w:lang w:val="el-GR"/>
        </w:rPr>
      </w:pPr>
      <w:r w:rsidRPr="007B310C">
        <w:rPr>
          <w:b/>
          <w:lang w:val="el-GR"/>
        </w:rPr>
        <w:t>Οδηγίες</w:t>
      </w:r>
      <w:r>
        <w:rPr>
          <w:b/>
          <w:lang w:val="el-GR"/>
        </w:rPr>
        <w:t xml:space="preserve">: </w:t>
      </w:r>
      <w:r w:rsidRPr="007B310C">
        <w:rPr>
          <w:b/>
          <w:lang w:val="el-GR"/>
        </w:rPr>
        <w:t xml:space="preserve"> </w:t>
      </w:r>
      <w:r>
        <w:rPr>
          <w:b/>
          <w:lang w:val="el-GR"/>
        </w:rPr>
        <w:t xml:space="preserve">Οδηγίες για Μαγείρεμα </w:t>
      </w:r>
      <w:r w:rsidRPr="007B310C">
        <w:rPr>
          <w:b/>
          <w:lang w:val="el-GR"/>
        </w:rPr>
        <w:t>Μείγματος</w:t>
      </w:r>
      <w:r>
        <w:rPr>
          <w:b/>
          <w:lang w:val="el-GR"/>
        </w:rPr>
        <w:t xml:space="preserve"> </w:t>
      </w:r>
      <w:r w:rsidRPr="007B310C">
        <w:rPr>
          <w:b/>
          <w:lang w:val="el-GR"/>
        </w:rPr>
        <w:t>Γέμισης</w:t>
      </w:r>
    </w:p>
    <w:p w:rsidR="00FB7A4E" w:rsidRPr="00A31ED8" w:rsidRDefault="00FB7A4E" w:rsidP="00FB7A4E">
      <w:pPr>
        <w:rPr>
          <w:lang w:val="el-GR"/>
        </w:rPr>
      </w:pPr>
    </w:p>
    <w:p w:rsidR="00FB7A4E" w:rsidRPr="00A31ED8" w:rsidRDefault="00FB7A4E" w:rsidP="00FB7A4E">
      <w:pPr>
        <w:rPr>
          <w:lang w:val="el-GR"/>
        </w:rPr>
      </w:pPr>
    </w:p>
    <w:p w:rsidR="00FB7A4E" w:rsidRPr="00A31ED8" w:rsidRDefault="00FB7A4E" w:rsidP="00FB7A4E">
      <w:pPr>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p>
    <w:p w:rsidR="00FB7A4E" w:rsidRDefault="00FB7A4E" w:rsidP="00FB7A4E">
      <w:pPr>
        <w:ind w:left="426" w:hanging="426"/>
        <w:rPr>
          <w:lang w:val="el-GR"/>
        </w:rPr>
      </w:pPr>
      <w:r>
        <w:rPr>
          <w:lang w:val="el-GR"/>
        </w:rPr>
        <w:t>19.  Σύμφωνα με τις οδηγίες, για να γίνει η γέμιση ποιο στεγνή, τι μπορείτε να κάνετε;  ____________________________________________________________________________________________</w:t>
      </w:r>
    </w:p>
    <w:p w:rsidR="00FB7A4E" w:rsidRDefault="00FB7A4E" w:rsidP="00FB7A4E">
      <w:pPr>
        <w:rPr>
          <w:lang w:val="el-GR"/>
        </w:rPr>
      </w:pPr>
    </w:p>
    <w:p w:rsidR="00FB7A4E" w:rsidRDefault="00FB7A4E" w:rsidP="00FB7A4E">
      <w:pPr>
        <w:ind w:left="426" w:hanging="426"/>
        <w:rPr>
          <w:lang w:val="el-GR"/>
        </w:rPr>
      </w:pPr>
      <w:r>
        <w:rPr>
          <w:lang w:val="el-GR"/>
        </w:rPr>
        <w:t>20.  Στη μέθοδο ετοιμασίας σε κατσαρόλα, πόσο πρέπει να βράσετε την γέμιση ακόμα αφότου προσθέσετε τα ψίχουλα ψωμιού;  ____________________________________________________________________________________________</w:t>
      </w:r>
    </w:p>
    <w:p w:rsidR="00C34AA2" w:rsidRDefault="00C34AA2" w:rsidP="00C34AA2">
      <w:pPr>
        <w:rPr>
          <w:b/>
          <w:lang w:val="el-GR"/>
        </w:rPr>
      </w:pPr>
    </w:p>
    <w:p w:rsidR="00C34AA2" w:rsidRDefault="00FB7A4E" w:rsidP="00C34AA2">
      <w:pPr>
        <w:rPr>
          <w:b/>
          <w:lang w:val="el-GR"/>
        </w:rPr>
      </w:pPr>
      <w:r>
        <w:rPr>
          <w:b/>
          <w:lang w:val="el-GR"/>
        </w:rPr>
        <w:br w:type="page"/>
      </w:r>
    </w:p>
    <w:p w:rsidR="00C34AA2" w:rsidRDefault="00C34AA2" w:rsidP="00C34AA2">
      <w:pPr>
        <w:rPr>
          <w:b/>
          <w:lang w:val="el-GR"/>
        </w:rPr>
      </w:pPr>
      <w:r>
        <w:rPr>
          <w:b/>
          <w:lang w:val="el-GR"/>
        </w:rPr>
        <w:t xml:space="preserve">Διάγραμμα: Λίστα </w:t>
      </w:r>
      <w:r w:rsidRPr="007B310C">
        <w:rPr>
          <w:b/>
          <w:lang w:val="el-GR"/>
        </w:rPr>
        <w:t>Αντιμετώπιση</w:t>
      </w:r>
      <w:r>
        <w:rPr>
          <w:b/>
          <w:lang w:val="el-GR"/>
        </w:rPr>
        <w:t>ς</w:t>
      </w:r>
      <w:r w:rsidRPr="007B310C">
        <w:rPr>
          <w:b/>
          <w:lang w:val="el-GR"/>
        </w:rPr>
        <w:t xml:space="preserve"> Προβλημάτων Πλυντηρίου Ρούχων</w:t>
      </w:r>
    </w:p>
    <w:p w:rsidR="00C34AA2" w:rsidRDefault="00C34AA2" w:rsidP="00C34AA2">
      <w:pPr>
        <w:rPr>
          <w:b/>
          <w:lang w:val="el-GR"/>
        </w:rPr>
      </w:pPr>
    </w:p>
    <w:tbl>
      <w:tblPr>
        <w:tblStyle w:val="TableGrid"/>
        <w:tblW w:w="9781" w:type="dxa"/>
        <w:tblInd w:w="-459" w:type="dxa"/>
        <w:tblLayout w:type="fixed"/>
        <w:tblLook w:val="04A0" w:firstRow="1" w:lastRow="0" w:firstColumn="1" w:lastColumn="0" w:noHBand="0" w:noVBand="1"/>
      </w:tblPr>
      <w:tblGrid>
        <w:gridCol w:w="1843"/>
        <w:gridCol w:w="3046"/>
        <w:gridCol w:w="1207"/>
        <w:gridCol w:w="141"/>
        <w:gridCol w:w="3544"/>
      </w:tblGrid>
      <w:tr w:rsidR="00C34AA2" w:rsidRPr="002D7931" w:rsidTr="00C34AA2">
        <w:tc>
          <w:tcPr>
            <w:tcW w:w="9781" w:type="dxa"/>
            <w:gridSpan w:val="5"/>
            <w:tcBorders>
              <w:bottom w:val="nil"/>
            </w:tcBorders>
          </w:tcPr>
          <w:p w:rsidR="00C34AA2" w:rsidRDefault="00C34AA2" w:rsidP="00C34AA2">
            <w:pPr>
              <w:rPr>
                <w:lang w:val="el-GR"/>
              </w:rPr>
            </w:pPr>
            <w:r>
              <w:rPr>
                <w:lang w:val="el-GR"/>
              </w:rPr>
              <w:t xml:space="preserve">Ελέγξτε  αυτά τα σημεία </w:t>
            </w:r>
            <w:r w:rsidRPr="006337E1">
              <w:rPr>
                <w:b/>
                <w:lang w:val="el-GR"/>
              </w:rPr>
              <w:t>ΠΡΙΝ</w:t>
            </w:r>
            <w:r>
              <w:rPr>
                <w:lang w:val="el-GR"/>
              </w:rPr>
              <w:t xml:space="preserve"> πάρετε τηλέφωνο για </w:t>
            </w:r>
            <w:r>
              <w:rPr>
                <w:lang w:val="en-US"/>
              </w:rPr>
              <w:t>service</w:t>
            </w:r>
          </w:p>
        </w:tc>
      </w:tr>
      <w:tr w:rsidR="00C34AA2" w:rsidTr="00C34AA2">
        <w:tc>
          <w:tcPr>
            <w:tcW w:w="9781" w:type="dxa"/>
            <w:gridSpan w:val="5"/>
            <w:tcBorders>
              <w:top w:val="nil"/>
              <w:bottom w:val="single" w:sz="4" w:space="0" w:color="auto"/>
            </w:tcBorders>
          </w:tcPr>
          <w:p w:rsidR="00C34AA2" w:rsidRPr="006337E1" w:rsidRDefault="00C34AA2" w:rsidP="00C34AA2">
            <w:pPr>
              <w:rPr>
                <w:b/>
                <w:lang w:val="el-GR"/>
              </w:rPr>
            </w:pPr>
            <w:r w:rsidRPr="006337E1">
              <w:rPr>
                <w:b/>
                <w:lang w:val="el-GR"/>
              </w:rPr>
              <w:t>ΑΝ ΤΟ ΠΛΥΝΤΗΡΙΟ ΣΑΣ</w:t>
            </w:r>
          </w:p>
        </w:tc>
      </w:tr>
      <w:tr w:rsidR="00C34AA2" w:rsidRPr="002D7931" w:rsidTr="00C34AA2">
        <w:tc>
          <w:tcPr>
            <w:tcW w:w="1843" w:type="dxa"/>
            <w:tcBorders>
              <w:right w:val="nil"/>
            </w:tcBorders>
          </w:tcPr>
          <w:p w:rsidR="00C34AA2" w:rsidRPr="006337E1" w:rsidRDefault="00C34AA2" w:rsidP="00C34AA2">
            <w:pPr>
              <w:rPr>
                <w:sz w:val="22"/>
                <w:szCs w:val="22"/>
                <w:lang w:val="el-GR"/>
              </w:rPr>
            </w:pPr>
            <w:r>
              <w:rPr>
                <w:sz w:val="22"/>
                <w:szCs w:val="22"/>
                <w:lang w:val="el-GR"/>
              </w:rPr>
              <w:t>Δεν Αναδεύει ή Γεμίζει με Ν</w:t>
            </w:r>
            <w:r w:rsidRPr="006337E1">
              <w:rPr>
                <w:sz w:val="22"/>
                <w:szCs w:val="22"/>
                <w:lang w:val="el-GR"/>
              </w:rPr>
              <w:t>ερό</w:t>
            </w:r>
          </w:p>
        </w:tc>
        <w:tc>
          <w:tcPr>
            <w:tcW w:w="3046" w:type="dxa"/>
            <w:tcBorders>
              <w:left w:val="nil"/>
              <w:right w:val="nil"/>
            </w:tcBorders>
          </w:tcPr>
          <w:p w:rsidR="00C34AA2" w:rsidRPr="006337E1" w:rsidRDefault="00C34AA2" w:rsidP="00C34AA2">
            <w:pPr>
              <w:rPr>
                <w:sz w:val="22"/>
                <w:szCs w:val="22"/>
                <w:lang w:val="el-GR"/>
              </w:rPr>
            </w:pPr>
            <w:r w:rsidRPr="006337E1">
              <w:rPr>
                <w:sz w:val="22"/>
                <w:szCs w:val="22"/>
                <w:lang w:val="el-GR"/>
              </w:rPr>
              <w:t>Δ</w:t>
            </w:r>
            <w:r>
              <w:rPr>
                <w:sz w:val="22"/>
                <w:szCs w:val="22"/>
                <w:lang w:val="el-GR"/>
              </w:rPr>
              <w:t>εν Περιστρέφεται ο Κάδος ή δεν Α</w:t>
            </w:r>
            <w:r w:rsidRPr="006337E1">
              <w:rPr>
                <w:sz w:val="22"/>
                <w:szCs w:val="22"/>
                <w:lang w:val="el-GR"/>
              </w:rPr>
              <w:t>ποστραγγίζει</w:t>
            </w:r>
          </w:p>
        </w:tc>
        <w:tc>
          <w:tcPr>
            <w:tcW w:w="1207" w:type="dxa"/>
            <w:tcBorders>
              <w:left w:val="nil"/>
              <w:right w:val="nil"/>
            </w:tcBorders>
            <w:vAlign w:val="center"/>
          </w:tcPr>
          <w:p w:rsidR="00C34AA2" w:rsidRPr="006337E1" w:rsidRDefault="00C34AA2" w:rsidP="00C34AA2">
            <w:pPr>
              <w:jc w:val="center"/>
              <w:rPr>
                <w:sz w:val="22"/>
                <w:szCs w:val="22"/>
                <w:lang w:val="el-GR"/>
              </w:rPr>
            </w:pPr>
            <w:r w:rsidRPr="006337E1">
              <w:rPr>
                <w:sz w:val="22"/>
                <w:szCs w:val="22"/>
                <w:lang w:val="el-GR"/>
              </w:rPr>
              <w:t>Σταματάει</w:t>
            </w:r>
          </w:p>
        </w:tc>
        <w:tc>
          <w:tcPr>
            <w:tcW w:w="3685" w:type="dxa"/>
            <w:gridSpan w:val="2"/>
            <w:tcBorders>
              <w:left w:val="nil"/>
            </w:tcBorders>
          </w:tcPr>
          <w:p w:rsidR="00C34AA2" w:rsidRPr="006337E1" w:rsidRDefault="00C34AA2" w:rsidP="00C34AA2">
            <w:pPr>
              <w:jc w:val="center"/>
              <w:rPr>
                <w:sz w:val="22"/>
                <w:szCs w:val="22"/>
                <w:lang w:val="el-GR"/>
              </w:rPr>
            </w:pPr>
            <w:r w:rsidRPr="006337E1">
              <w:rPr>
                <w:sz w:val="22"/>
                <w:szCs w:val="22"/>
                <w:lang w:val="el-GR"/>
              </w:rPr>
              <w:t>Πιθανό αίτιο –</w:t>
            </w:r>
          </w:p>
          <w:p w:rsidR="00C34AA2" w:rsidRPr="006337E1" w:rsidRDefault="00C34AA2" w:rsidP="00C34AA2">
            <w:pPr>
              <w:jc w:val="center"/>
              <w:rPr>
                <w:sz w:val="22"/>
                <w:szCs w:val="22"/>
                <w:lang w:val="el-GR"/>
              </w:rPr>
            </w:pPr>
            <w:r w:rsidRPr="006337E1">
              <w:rPr>
                <w:sz w:val="22"/>
                <w:szCs w:val="22"/>
                <w:lang w:val="el-GR"/>
              </w:rPr>
              <w:t xml:space="preserve">• </w:t>
            </w:r>
            <w:r>
              <w:rPr>
                <w:sz w:val="22"/>
                <w:szCs w:val="22"/>
                <w:lang w:val="el-GR"/>
              </w:rPr>
              <w:t xml:space="preserve">Κάντε το παρακάτω </w:t>
            </w:r>
            <w:r w:rsidRPr="006337E1">
              <w:rPr>
                <w:sz w:val="22"/>
                <w:szCs w:val="22"/>
                <w:lang w:val="el-GR"/>
              </w:rPr>
              <w:t>για να</w:t>
            </w:r>
            <w:r>
              <w:rPr>
                <w:sz w:val="22"/>
                <w:szCs w:val="22"/>
                <w:lang w:val="el-GR"/>
              </w:rPr>
              <w:t xml:space="preserve"> το</w:t>
            </w:r>
            <w:r w:rsidRPr="006337E1">
              <w:rPr>
                <w:sz w:val="22"/>
                <w:szCs w:val="22"/>
                <w:lang w:val="el-GR"/>
              </w:rPr>
              <w:t xml:space="preserve"> διορθώσετε</w:t>
            </w:r>
          </w:p>
        </w:tc>
      </w:tr>
      <w:tr w:rsidR="00C34AA2" w:rsidRPr="002D7931" w:rsidTr="00C34AA2">
        <w:tc>
          <w:tcPr>
            <w:tcW w:w="1843" w:type="dxa"/>
            <w:tcBorders>
              <w:right w:val="nil"/>
            </w:tcBorders>
            <w:vAlign w:val="center"/>
          </w:tcPr>
          <w:p w:rsidR="00C34AA2" w:rsidRDefault="00C34AA2" w:rsidP="00C34AA2">
            <w:pPr>
              <w:jc w:val="center"/>
              <w:rPr>
                <w:lang w:val="el-GR"/>
              </w:rPr>
            </w:pPr>
            <w:r>
              <w:rPr>
                <w:lang w:val="el-GR"/>
              </w:rPr>
              <w:t>•</w:t>
            </w:r>
          </w:p>
        </w:tc>
        <w:tc>
          <w:tcPr>
            <w:tcW w:w="3046" w:type="dxa"/>
            <w:tcBorders>
              <w:left w:val="nil"/>
              <w:right w:val="nil"/>
            </w:tcBorders>
            <w:vAlign w:val="center"/>
          </w:tcPr>
          <w:p w:rsidR="00C34AA2" w:rsidRDefault="00C34AA2" w:rsidP="00C34AA2">
            <w:pPr>
              <w:jc w:val="center"/>
              <w:rPr>
                <w:lang w:val="el-GR"/>
              </w:rPr>
            </w:pPr>
            <w:r>
              <w:rPr>
                <w:lang w:val="el-GR"/>
              </w:rPr>
              <w:t>•</w:t>
            </w:r>
          </w:p>
        </w:tc>
        <w:tc>
          <w:tcPr>
            <w:tcW w:w="1348" w:type="dxa"/>
            <w:gridSpan w:val="2"/>
            <w:tcBorders>
              <w:left w:val="nil"/>
              <w:right w:val="nil"/>
            </w:tcBorders>
            <w:vAlign w:val="center"/>
          </w:tcPr>
          <w:p w:rsidR="00C34AA2" w:rsidRDefault="00C34AA2" w:rsidP="00C34AA2">
            <w:pPr>
              <w:jc w:val="center"/>
              <w:rPr>
                <w:lang w:val="el-GR"/>
              </w:rPr>
            </w:pPr>
            <w:r>
              <w:rPr>
                <w:lang w:val="el-GR"/>
              </w:rPr>
              <w:t>•</w:t>
            </w:r>
          </w:p>
        </w:tc>
        <w:tc>
          <w:tcPr>
            <w:tcW w:w="3544" w:type="dxa"/>
            <w:tcBorders>
              <w:left w:val="nil"/>
            </w:tcBorders>
          </w:tcPr>
          <w:p w:rsidR="00C34AA2" w:rsidRPr="006337E1" w:rsidRDefault="00C34AA2" w:rsidP="00C34AA2">
            <w:pPr>
              <w:rPr>
                <w:sz w:val="20"/>
                <w:szCs w:val="20"/>
                <w:lang w:val="el-GR"/>
              </w:rPr>
            </w:pPr>
            <w:r w:rsidRPr="006337E1">
              <w:rPr>
                <w:sz w:val="20"/>
                <w:szCs w:val="20"/>
                <w:lang w:val="el-GR"/>
              </w:rPr>
              <w:t>Αντικαταστήστε την ηλεκτρική ασφάλεια. Εκκινήστε ξανά από τον διακόπτη ασφαλείας.</w:t>
            </w:r>
          </w:p>
        </w:tc>
      </w:tr>
      <w:tr w:rsidR="00C34AA2" w:rsidRPr="002D7931" w:rsidTr="00C34AA2">
        <w:tc>
          <w:tcPr>
            <w:tcW w:w="1843" w:type="dxa"/>
            <w:tcBorders>
              <w:right w:val="nil"/>
            </w:tcBorders>
            <w:vAlign w:val="center"/>
          </w:tcPr>
          <w:p w:rsidR="00C34AA2" w:rsidRDefault="00C34AA2" w:rsidP="00C34AA2">
            <w:pPr>
              <w:jc w:val="center"/>
              <w:rPr>
                <w:lang w:val="el-GR"/>
              </w:rPr>
            </w:pPr>
            <w:r>
              <w:rPr>
                <w:lang w:val="el-GR"/>
              </w:rPr>
              <w:t>•</w:t>
            </w:r>
          </w:p>
        </w:tc>
        <w:tc>
          <w:tcPr>
            <w:tcW w:w="3046" w:type="dxa"/>
            <w:tcBorders>
              <w:left w:val="nil"/>
              <w:right w:val="nil"/>
            </w:tcBorders>
            <w:vAlign w:val="center"/>
          </w:tcPr>
          <w:p w:rsidR="00C34AA2" w:rsidRDefault="00C34AA2" w:rsidP="00C34AA2">
            <w:pPr>
              <w:jc w:val="center"/>
              <w:rPr>
                <w:lang w:val="el-GR"/>
              </w:rPr>
            </w:pPr>
            <w:r>
              <w:rPr>
                <w:lang w:val="el-GR"/>
              </w:rPr>
              <w:t>•</w:t>
            </w:r>
          </w:p>
        </w:tc>
        <w:tc>
          <w:tcPr>
            <w:tcW w:w="1348" w:type="dxa"/>
            <w:gridSpan w:val="2"/>
            <w:tcBorders>
              <w:left w:val="nil"/>
              <w:right w:val="nil"/>
            </w:tcBorders>
            <w:vAlign w:val="center"/>
          </w:tcPr>
          <w:p w:rsidR="00C34AA2" w:rsidRDefault="00C34AA2" w:rsidP="00C34AA2">
            <w:pPr>
              <w:jc w:val="center"/>
              <w:rPr>
                <w:lang w:val="el-GR"/>
              </w:rPr>
            </w:pPr>
            <w:r>
              <w:rPr>
                <w:lang w:val="el-GR"/>
              </w:rPr>
              <w:t>•</w:t>
            </w:r>
          </w:p>
        </w:tc>
        <w:tc>
          <w:tcPr>
            <w:tcW w:w="3544" w:type="dxa"/>
            <w:tcBorders>
              <w:left w:val="nil"/>
            </w:tcBorders>
          </w:tcPr>
          <w:p w:rsidR="00C34AA2" w:rsidRPr="006337E1" w:rsidRDefault="00C34AA2" w:rsidP="00C34AA2">
            <w:pPr>
              <w:rPr>
                <w:sz w:val="20"/>
                <w:szCs w:val="20"/>
                <w:lang w:val="el-GR"/>
              </w:rPr>
            </w:pPr>
            <w:r w:rsidRPr="006337E1">
              <w:rPr>
                <w:sz w:val="20"/>
                <w:szCs w:val="20"/>
                <w:lang w:val="el-GR"/>
              </w:rPr>
              <w:t>Γυρίστε τον Διακόπτη Χειρισμού πέρα από την ένδειξη ‘</w:t>
            </w:r>
            <w:r w:rsidRPr="006337E1">
              <w:rPr>
                <w:sz w:val="20"/>
                <w:szCs w:val="20"/>
                <w:lang w:val="en-US"/>
              </w:rPr>
              <w:t>OFF</w:t>
            </w:r>
            <w:r w:rsidRPr="006337E1">
              <w:rPr>
                <w:sz w:val="20"/>
                <w:szCs w:val="20"/>
                <w:lang w:val="el-GR"/>
              </w:rPr>
              <w:t>’ και τραβήξτε προς τα έξω</w:t>
            </w:r>
          </w:p>
        </w:tc>
      </w:tr>
      <w:tr w:rsidR="00C34AA2" w:rsidRPr="002D7931" w:rsidTr="00C34AA2">
        <w:tc>
          <w:tcPr>
            <w:tcW w:w="1843" w:type="dxa"/>
            <w:tcBorders>
              <w:right w:val="nil"/>
            </w:tcBorders>
            <w:vAlign w:val="center"/>
          </w:tcPr>
          <w:p w:rsidR="00C34AA2" w:rsidRDefault="00C34AA2" w:rsidP="00C34AA2">
            <w:pPr>
              <w:jc w:val="center"/>
              <w:rPr>
                <w:lang w:val="el-GR"/>
              </w:rPr>
            </w:pPr>
            <w:r>
              <w:rPr>
                <w:lang w:val="el-GR"/>
              </w:rPr>
              <w:t>•</w:t>
            </w:r>
          </w:p>
        </w:tc>
        <w:tc>
          <w:tcPr>
            <w:tcW w:w="3046" w:type="dxa"/>
            <w:tcBorders>
              <w:left w:val="nil"/>
              <w:right w:val="nil"/>
            </w:tcBorders>
            <w:vAlign w:val="center"/>
          </w:tcPr>
          <w:p w:rsidR="00C34AA2" w:rsidRDefault="00C34AA2" w:rsidP="00C34AA2">
            <w:pPr>
              <w:jc w:val="center"/>
              <w:rPr>
                <w:lang w:val="el-GR"/>
              </w:rPr>
            </w:pPr>
            <w:r>
              <w:rPr>
                <w:lang w:val="el-GR"/>
              </w:rPr>
              <w:t>•</w:t>
            </w:r>
          </w:p>
        </w:tc>
        <w:tc>
          <w:tcPr>
            <w:tcW w:w="1348" w:type="dxa"/>
            <w:gridSpan w:val="2"/>
            <w:tcBorders>
              <w:left w:val="nil"/>
              <w:right w:val="nil"/>
            </w:tcBorders>
            <w:vAlign w:val="center"/>
          </w:tcPr>
          <w:p w:rsidR="00C34AA2" w:rsidRDefault="00C34AA2" w:rsidP="00C34AA2">
            <w:pPr>
              <w:jc w:val="center"/>
              <w:rPr>
                <w:lang w:val="el-GR"/>
              </w:rPr>
            </w:pPr>
          </w:p>
        </w:tc>
        <w:tc>
          <w:tcPr>
            <w:tcW w:w="3544" w:type="dxa"/>
            <w:tcBorders>
              <w:left w:val="nil"/>
            </w:tcBorders>
          </w:tcPr>
          <w:p w:rsidR="00C34AA2" w:rsidRPr="006337E1" w:rsidRDefault="00C34AA2" w:rsidP="00C34AA2">
            <w:pPr>
              <w:rPr>
                <w:sz w:val="20"/>
                <w:szCs w:val="20"/>
                <w:lang w:val="el-GR"/>
              </w:rPr>
            </w:pPr>
            <w:r>
              <w:rPr>
                <w:sz w:val="20"/>
                <w:szCs w:val="20"/>
                <w:lang w:val="el-GR"/>
              </w:rPr>
              <w:t xml:space="preserve">Ισιώστε τους σωλήνες. Αποκατα-στήστε </w:t>
            </w:r>
            <w:r w:rsidRPr="006337E1">
              <w:rPr>
                <w:sz w:val="20"/>
                <w:szCs w:val="20"/>
                <w:lang w:val="el-GR"/>
              </w:rPr>
              <w:t xml:space="preserve"> </w:t>
            </w:r>
            <w:r>
              <w:rPr>
                <w:sz w:val="20"/>
                <w:szCs w:val="20"/>
                <w:lang w:val="el-GR"/>
              </w:rPr>
              <w:t xml:space="preserve">τυχόν </w:t>
            </w:r>
            <w:r w:rsidRPr="006337E1">
              <w:rPr>
                <w:sz w:val="20"/>
                <w:szCs w:val="20"/>
                <w:lang w:val="el-GR"/>
              </w:rPr>
              <w:t xml:space="preserve"> τσακισμένους σωλήνες</w:t>
            </w:r>
          </w:p>
        </w:tc>
      </w:tr>
      <w:tr w:rsidR="00C34AA2" w:rsidRPr="002D7931" w:rsidTr="00C34AA2">
        <w:tc>
          <w:tcPr>
            <w:tcW w:w="1843" w:type="dxa"/>
            <w:tcBorders>
              <w:right w:val="nil"/>
            </w:tcBorders>
            <w:vAlign w:val="center"/>
          </w:tcPr>
          <w:p w:rsidR="00C34AA2" w:rsidRDefault="00C34AA2" w:rsidP="00C34AA2">
            <w:pPr>
              <w:jc w:val="center"/>
              <w:rPr>
                <w:lang w:val="el-GR"/>
              </w:rPr>
            </w:pPr>
          </w:p>
        </w:tc>
        <w:tc>
          <w:tcPr>
            <w:tcW w:w="3046" w:type="dxa"/>
            <w:tcBorders>
              <w:left w:val="nil"/>
              <w:right w:val="nil"/>
            </w:tcBorders>
            <w:vAlign w:val="center"/>
          </w:tcPr>
          <w:p w:rsidR="00C34AA2" w:rsidRDefault="00C34AA2" w:rsidP="00C34AA2">
            <w:pPr>
              <w:jc w:val="center"/>
              <w:rPr>
                <w:lang w:val="el-GR"/>
              </w:rPr>
            </w:pPr>
            <w:r>
              <w:rPr>
                <w:lang w:val="el-GR"/>
              </w:rPr>
              <w:t>•</w:t>
            </w:r>
          </w:p>
        </w:tc>
        <w:tc>
          <w:tcPr>
            <w:tcW w:w="1348" w:type="dxa"/>
            <w:gridSpan w:val="2"/>
            <w:tcBorders>
              <w:left w:val="nil"/>
              <w:right w:val="nil"/>
            </w:tcBorders>
            <w:vAlign w:val="center"/>
          </w:tcPr>
          <w:p w:rsidR="00C34AA2" w:rsidRDefault="00C34AA2" w:rsidP="00C34AA2">
            <w:pPr>
              <w:jc w:val="center"/>
              <w:rPr>
                <w:lang w:val="el-GR"/>
              </w:rPr>
            </w:pPr>
          </w:p>
        </w:tc>
        <w:tc>
          <w:tcPr>
            <w:tcW w:w="3544" w:type="dxa"/>
            <w:tcBorders>
              <w:left w:val="nil"/>
            </w:tcBorders>
          </w:tcPr>
          <w:p w:rsidR="00C34AA2" w:rsidRPr="006337E1" w:rsidRDefault="00C34AA2" w:rsidP="00C34AA2">
            <w:pPr>
              <w:rPr>
                <w:sz w:val="20"/>
                <w:szCs w:val="20"/>
                <w:lang w:val="el-GR"/>
              </w:rPr>
            </w:pPr>
            <w:r w:rsidRPr="006337E1">
              <w:rPr>
                <w:sz w:val="20"/>
                <w:szCs w:val="20"/>
                <w:lang w:val="el-GR"/>
              </w:rPr>
              <w:t>Ανισομ</w:t>
            </w:r>
            <w:r>
              <w:rPr>
                <w:sz w:val="20"/>
                <w:szCs w:val="20"/>
                <w:lang w:val="el-GR"/>
              </w:rPr>
              <w:t>ερή κατανομή βάρους. Γυρίστε τους διακόπτες</w:t>
            </w:r>
            <w:r w:rsidRPr="006337E1">
              <w:rPr>
                <w:sz w:val="20"/>
                <w:szCs w:val="20"/>
                <w:lang w:val="el-GR"/>
              </w:rPr>
              <w:t xml:space="preserve"> στην ένδειξη’</w:t>
            </w:r>
            <w:r w:rsidRPr="006337E1">
              <w:rPr>
                <w:sz w:val="20"/>
                <w:szCs w:val="20"/>
                <w:lang w:val="en-US"/>
              </w:rPr>
              <w:t>OFF</w:t>
            </w:r>
            <w:r w:rsidRPr="006337E1">
              <w:rPr>
                <w:sz w:val="20"/>
                <w:szCs w:val="20"/>
                <w:lang w:val="el-GR"/>
              </w:rPr>
              <w:t>’ . Κατανείματε τα ρούχα ισομερώς.  Εκκινήστε ξανά από τον διακόπτη Ελέγχου</w:t>
            </w:r>
          </w:p>
        </w:tc>
      </w:tr>
      <w:tr w:rsidR="00C34AA2" w:rsidRPr="002D7931" w:rsidTr="00C34AA2">
        <w:tc>
          <w:tcPr>
            <w:tcW w:w="1843" w:type="dxa"/>
            <w:tcBorders>
              <w:right w:val="nil"/>
            </w:tcBorders>
            <w:vAlign w:val="center"/>
          </w:tcPr>
          <w:p w:rsidR="00C34AA2" w:rsidRDefault="00C34AA2" w:rsidP="00C34AA2">
            <w:pPr>
              <w:jc w:val="center"/>
              <w:rPr>
                <w:lang w:val="el-GR"/>
              </w:rPr>
            </w:pPr>
          </w:p>
        </w:tc>
        <w:tc>
          <w:tcPr>
            <w:tcW w:w="3046" w:type="dxa"/>
            <w:tcBorders>
              <w:left w:val="nil"/>
              <w:right w:val="nil"/>
            </w:tcBorders>
            <w:vAlign w:val="center"/>
          </w:tcPr>
          <w:p w:rsidR="00C34AA2" w:rsidRDefault="00C34AA2" w:rsidP="00C34AA2">
            <w:pPr>
              <w:jc w:val="center"/>
              <w:rPr>
                <w:lang w:val="el-GR"/>
              </w:rPr>
            </w:pPr>
            <w:r>
              <w:rPr>
                <w:lang w:val="el-GR"/>
              </w:rPr>
              <w:t>•</w:t>
            </w:r>
          </w:p>
        </w:tc>
        <w:tc>
          <w:tcPr>
            <w:tcW w:w="1348" w:type="dxa"/>
            <w:gridSpan w:val="2"/>
            <w:tcBorders>
              <w:left w:val="nil"/>
              <w:right w:val="nil"/>
            </w:tcBorders>
            <w:vAlign w:val="center"/>
          </w:tcPr>
          <w:p w:rsidR="00C34AA2" w:rsidRDefault="00C34AA2" w:rsidP="00C34AA2">
            <w:pPr>
              <w:jc w:val="center"/>
              <w:rPr>
                <w:lang w:val="el-GR"/>
              </w:rPr>
            </w:pPr>
          </w:p>
        </w:tc>
        <w:tc>
          <w:tcPr>
            <w:tcW w:w="3544" w:type="dxa"/>
            <w:tcBorders>
              <w:left w:val="nil"/>
            </w:tcBorders>
          </w:tcPr>
          <w:p w:rsidR="00C34AA2" w:rsidRPr="006337E1" w:rsidRDefault="00C34AA2" w:rsidP="00C34AA2">
            <w:pPr>
              <w:rPr>
                <w:sz w:val="20"/>
                <w:szCs w:val="20"/>
                <w:lang w:val="el-GR"/>
              </w:rPr>
            </w:pPr>
            <w:r w:rsidRPr="006337E1">
              <w:rPr>
                <w:sz w:val="20"/>
                <w:szCs w:val="20"/>
                <w:lang w:val="el-GR"/>
              </w:rPr>
              <w:t>Παύση σαπουνάδας—λόγο υπερβολικής  σαπουνάδας. Πλύνετε ξανά χωρίς απορρυπαντικό.  Χρησιμο</w:t>
            </w:r>
            <w:r>
              <w:rPr>
                <w:sz w:val="20"/>
                <w:szCs w:val="20"/>
                <w:lang w:val="el-GR"/>
              </w:rPr>
              <w:t>-</w:t>
            </w:r>
            <w:r w:rsidRPr="006337E1">
              <w:rPr>
                <w:sz w:val="20"/>
                <w:szCs w:val="20"/>
                <w:lang w:val="el-GR"/>
              </w:rPr>
              <w:t xml:space="preserve">ποιείστε την σωστή ποσότητα </w:t>
            </w:r>
            <w:r>
              <w:rPr>
                <w:sz w:val="20"/>
                <w:szCs w:val="20"/>
                <w:lang w:val="el-GR"/>
              </w:rPr>
              <w:t>από-</w:t>
            </w:r>
            <w:r w:rsidRPr="006337E1">
              <w:rPr>
                <w:sz w:val="20"/>
                <w:szCs w:val="20"/>
                <w:lang w:val="el-GR"/>
              </w:rPr>
              <w:t xml:space="preserve">ρρυπαντικού </w:t>
            </w:r>
            <w:r>
              <w:rPr>
                <w:sz w:val="20"/>
                <w:szCs w:val="20"/>
                <w:lang w:val="el-GR"/>
              </w:rPr>
              <w:t>που παράγει περιορισμέ-νη σαπουνάδα</w:t>
            </w:r>
            <w:r w:rsidRPr="006337E1">
              <w:rPr>
                <w:sz w:val="20"/>
                <w:szCs w:val="20"/>
                <w:lang w:val="el-GR"/>
              </w:rPr>
              <w:t>.</w:t>
            </w:r>
          </w:p>
        </w:tc>
      </w:tr>
      <w:tr w:rsidR="00C34AA2" w:rsidRPr="00FA6C27" w:rsidTr="00C34AA2">
        <w:tc>
          <w:tcPr>
            <w:tcW w:w="1843" w:type="dxa"/>
            <w:tcBorders>
              <w:right w:val="nil"/>
            </w:tcBorders>
            <w:vAlign w:val="center"/>
          </w:tcPr>
          <w:p w:rsidR="00C34AA2" w:rsidRDefault="00C34AA2" w:rsidP="00C34AA2">
            <w:pPr>
              <w:jc w:val="center"/>
              <w:rPr>
                <w:lang w:val="el-GR"/>
              </w:rPr>
            </w:pPr>
            <w:r>
              <w:rPr>
                <w:lang w:val="el-GR"/>
              </w:rPr>
              <w:t>•</w:t>
            </w:r>
          </w:p>
        </w:tc>
        <w:tc>
          <w:tcPr>
            <w:tcW w:w="3046" w:type="dxa"/>
            <w:tcBorders>
              <w:left w:val="nil"/>
              <w:right w:val="nil"/>
            </w:tcBorders>
            <w:vAlign w:val="center"/>
          </w:tcPr>
          <w:p w:rsidR="00C34AA2" w:rsidRDefault="00C34AA2" w:rsidP="00C34AA2">
            <w:pPr>
              <w:jc w:val="center"/>
              <w:rPr>
                <w:lang w:val="el-GR"/>
              </w:rPr>
            </w:pPr>
          </w:p>
        </w:tc>
        <w:tc>
          <w:tcPr>
            <w:tcW w:w="1348" w:type="dxa"/>
            <w:gridSpan w:val="2"/>
            <w:tcBorders>
              <w:left w:val="nil"/>
              <w:right w:val="nil"/>
            </w:tcBorders>
            <w:vAlign w:val="center"/>
          </w:tcPr>
          <w:p w:rsidR="00C34AA2" w:rsidRDefault="00C34AA2" w:rsidP="00C34AA2">
            <w:pPr>
              <w:jc w:val="center"/>
              <w:rPr>
                <w:lang w:val="el-GR"/>
              </w:rPr>
            </w:pPr>
          </w:p>
        </w:tc>
        <w:tc>
          <w:tcPr>
            <w:tcW w:w="3544" w:type="dxa"/>
            <w:tcBorders>
              <w:left w:val="nil"/>
            </w:tcBorders>
          </w:tcPr>
          <w:p w:rsidR="00C34AA2" w:rsidRPr="006337E1" w:rsidRDefault="00C34AA2" w:rsidP="00C34AA2">
            <w:pPr>
              <w:rPr>
                <w:sz w:val="20"/>
                <w:szCs w:val="20"/>
                <w:lang w:val="el-GR"/>
              </w:rPr>
            </w:pPr>
            <w:r w:rsidRPr="006337E1">
              <w:rPr>
                <w:sz w:val="20"/>
                <w:szCs w:val="20"/>
                <w:lang w:val="el-GR"/>
              </w:rPr>
              <w:t xml:space="preserve">Βουλωμένα φίλτρα νερού. Αποσυνδέστε τους σωλήνες τροφοδοσίας από την </w:t>
            </w:r>
            <w:r>
              <w:rPr>
                <w:sz w:val="20"/>
                <w:szCs w:val="20"/>
                <w:lang w:val="el-GR"/>
              </w:rPr>
              <w:t>βρύση</w:t>
            </w:r>
            <w:r w:rsidRPr="006337E1">
              <w:rPr>
                <w:sz w:val="20"/>
                <w:szCs w:val="20"/>
                <w:lang w:val="el-GR"/>
              </w:rPr>
              <w:t xml:space="preserve">. Καθαρίστε τα φίλτρα και επανασυνδέστε τους σωλήνες </w:t>
            </w:r>
          </w:p>
        </w:tc>
      </w:tr>
    </w:tbl>
    <w:p w:rsidR="00C34AA2" w:rsidRDefault="00C34AA2" w:rsidP="00C34AA2">
      <w:pPr>
        <w:rPr>
          <w:lang w:val="el-GR"/>
        </w:rPr>
      </w:pPr>
    </w:p>
    <w:p w:rsidR="00C34AA2" w:rsidRDefault="00C34AA2" w:rsidP="00C34AA2">
      <w:pPr>
        <w:rPr>
          <w:lang w:val="el-GR"/>
        </w:rPr>
      </w:pPr>
    </w:p>
    <w:p w:rsidR="00C34AA2" w:rsidRDefault="00C34AA2" w:rsidP="00C34AA2">
      <w:pPr>
        <w:rPr>
          <w:lang w:val="el-GR"/>
        </w:rPr>
      </w:pPr>
    </w:p>
    <w:p w:rsidR="00C34AA2" w:rsidRDefault="00C34AA2" w:rsidP="00C34AA2">
      <w:pPr>
        <w:ind w:left="426" w:hanging="426"/>
        <w:rPr>
          <w:lang w:val="el-GR"/>
        </w:rPr>
      </w:pPr>
      <w:r>
        <w:rPr>
          <w:lang w:val="el-GR"/>
        </w:rPr>
        <w:t>21.  Τεντώνοντας τους σωλήνες, ή αποκαθιστώντας τσακισμένα σημεία στους σωλήνες, ποια 2 προβλήματα λύνει κανείς;  ____________________________________________________________________________________________</w:t>
      </w:r>
    </w:p>
    <w:p w:rsidR="00C34AA2" w:rsidRDefault="00C34AA2" w:rsidP="00C34AA2">
      <w:pPr>
        <w:rPr>
          <w:lang w:val="el-GR"/>
        </w:rPr>
      </w:pPr>
    </w:p>
    <w:p w:rsidR="00C34AA2" w:rsidRDefault="00C34AA2" w:rsidP="00C34AA2">
      <w:pPr>
        <w:ind w:left="426" w:hanging="426"/>
        <w:rPr>
          <w:lang w:val="el-GR"/>
        </w:rPr>
      </w:pPr>
      <w:r>
        <w:rPr>
          <w:lang w:val="el-GR"/>
        </w:rPr>
        <w:t>22.  Το πλυντήριό σας δεν γεμίζει νερό ούτε αναδεύει. Παρόλα αυτά, οι λειτουργίες περιστροφής και αποστράγγισης του πλυντηρίου λειτουργούν κανονικά. Ποιο είναι το πιθανό πρόβλημα;  ____________________________________________________________________________________________</w:t>
      </w:r>
    </w:p>
    <w:p w:rsidR="00C34AA2" w:rsidRDefault="00C34AA2" w:rsidP="00C34AA2">
      <w:pPr>
        <w:rPr>
          <w:lang w:val="el-GR"/>
        </w:rPr>
      </w:pPr>
    </w:p>
    <w:p w:rsidR="00C34AA2" w:rsidRDefault="00C34AA2" w:rsidP="00C34AA2">
      <w:pPr>
        <w:rPr>
          <w:lang w:val="el-GR"/>
        </w:rPr>
      </w:pPr>
      <w:r>
        <w:rPr>
          <w:lang w:val="el-GR"/>
        </w:rPr>
        <w:br w:type="page"/>
      </w:r>
    </w:p>
    <w:p w:rsidR="00C34AA2" w:rsidRDefault="00C34AA2" w:rsidP="00C34AA2">
      <w:pPr>
        <w:rPr>
          <w:b/>
          <w:lang w:val="el-GR"/>
        </w:rPr>
      </w:pPr>
      <w:r w:rsidRPr="0056799E">
        <w:rPr>
          <w:b/>
          <w:lang w:val="el-GR"/>
        </w:rPr>
        <w:t>Διάγ</w:t>
      </w:r>
      <w:r>
        <w:rPr>
          <w:b/>
          <w:lang w:val="el-GR"/>
        </w:rPr>
        <w:t xml:space="preserve">ραμμα: Πλάνο Αποζημίωσης </w:t>
      </w:r>
      <w:r w:rsidRPr="0056799E">
        <w:rPr>
          <w:b/>
          <w:lang w:val="el-GR"/>
        </w:rPr>
        <w:t xml:space="preserve">Προνομίων </w:t>
      </w:r>
      <w:r>
        <w:rPr>
          <w:b/>
          <w:lang w:val="el-GR"/>
        </w:rPr>
        <w:t>Ασφαλιστής Κάλυψης Υγείας</w:t>
      </w:r>
    </w:p>
    <w:p w:rsidR="00C34AA2" w:rsidRDefault="00C34AA2" w:rsidP="00C34AA2">
      <w:pPr>
        <w:rPr>
          <w:b/>
          <w:lang w:val="el-GR"/>
        </w:rPr>
      </w:pPr>
    </w:p>
    <w:p w:rsidR="00C34AA2" w:rsidRDefault="00C34AA2" w:rsidP="00C34AA2">
      <w:pPr>
        <w:rPr>
          <w:sz w:val="22"/>
          <w:szCs w:val="22"/>
          <w:lang w:val="el-GR"/>
        </w:rPr>
      </w:pPr>
    </w:p>
    <w:p w:rsidR="00C34AA2" w:rsidRDefault="00C34AA2" w:rsidP="00C34AA2">
      <w:pPr>
        <w:rPr>
          <w:sz w:val="22"/>
          <w:szCs w:val="22"/>
          <w:lang w:val="el-GR"/>
        </w:rPr>
      </w:pPr>
    </w:p>
    <w:p w:rsidR="00C34AA2" w:rsidRDefault="00C34AA2" w:rsidP="00C34AA2">
      <w:pPr>
        <w:rPr>
          <w:sz w:val="22"/>
          <w:szCs w:val="22"/>
          <w:lang w:val="el-GR"/>
        </w:rPr>
      </w:pPr>
    </w:p>
    <w:p w:rsidR="00C34AA2" w:rsidRDefault="00C34AA2" w:rsidP="00C34AA2">
      <w:pPr>
        <w:rPr>
          <w:sz w:val="22"/>
          <w:szCs w:val="22"/>
          <w:lang w:val="el-GR"/>
        </w:rPr>
      </w:pPr>
    </w:p>
    <w:p w:rsidR="00C34AA2" w:rsidRDefault="00C34AA2" w:rsidP="00C34AA2">
      <w:pPr>
        <w:rPr>
          <w:sz w:val="22"/>
          <w:szCs w:val="22"/>
          <w:lang w:val="el-GR"/>
        </w:rPr>
      </w:pPr>
      <w:r w:rsidRPr="0056799E">
        <w:rPr>
          <w:sz w:val="22"/>
          <w:szCs w:val="22"/>
          <w:lang w:val="el-GR"/>
        </w:rPr>
        <w:t>ΑΣΦΑΛΕΙΑ ΝΟΣΟΚΟΜΙΑΚΗΣ ΠΕΡΙΘΑΛΨΗΣ (ΜΕΡΟΣ Α) ΚΑΛΥΨΗ ΥΠΗΡΕΣΙΩΝ ΓΙΑ</w:t>
      </w:r>
      <w:r>
        <w:rPr>
          <w:sz w:val="22"/>
          <w:szCs w:val="22"/>
          <w:lang w:val="el-GR"/>
        </w:rPr>
        <w:t xml:space="preserve"> ΤΟ 2012</w:t>
      </w:r>
    </w:p>
    <w:p w:rsidR="00C34AA2" w:rsidRDefault="00C34AA2" w:rsidP="00C34AA2">
      <w:pPr>
        <w:rPr>
          <w:sz w:val="22"/>
          <w:szCs w:val="22"/>
          <w:lang w:val="el-GR"/>
        </w:rPr>
      </w:pPr>
    </w:p>
    <w:tbl>
      <w:tblPr>
        <w:tblStyle w:val="TableGrid"/>
        <w:tblW w:w="9782" w:type="dxa"/>
        <w:tblInd w:w="-31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36"/>
        <w:gridCol w:w="1985"/>
        <w:gridCol w:w="2835"/>
        <w:gridCol w:w="2126"/>
      </w:tblGrid>
      <w:tr w:rsidR="00C34AA2" w:rsidTr="00C34AA2">
        <w:tc>
          <w:tcPr>
            <w:tcW w:w="2836" w:type="dxa"/>
          </w:tcPr>
          <w:p w:rsidR="00C34AA2" w:rsidRPr="0056799E" w:rsidRDefault="00C34AA2" w:rsidP="00C34AA2">
            <w:pPr>
              <w:rPr>
                <w:lang w:val="el-GR"/>
              </w:rPr>
            </w:pPr>
            <w:r w:rsidRPr="0056799E">
              <w:rPr>
                <w:lang w:val="el-GR"/>
              </w:rPr>
              <w:t xml:space="preserve">Υπηρεσίες </w:t>
            </w:r>
          </w:p>
        </w:tc>
        <w:tc>
          <w:tcPr>
            <w:tcW w:w="1985" w:type="dxa"/>
          </w:tcPr>
          <w:p w:rsidR="00C34AA2" w:rsidRPr="0056799E" w:rsidRDefault="00C34AA2" w:rsidP="00C34AA2">
            <w:pPr>
              <w:rPr>
                <w:lang w:val="el-GR"/>
              </w:rPr>
            </w:pPr>
            <w:r w:rsidRPr="0056799E">
              <w:rPr>
                <w:lang w:val="el-GR"/>
              </w:rPr>
              <w:t>Προνόμι</w:t>
            </w:r>
            <w:r>
              <w:rPr>
                <w:lang w:val="el-GR"/>
              </w:rPr>
              <w:t>ο</w:t>
            </w:r>
          </w:p>
        </w:tc>
        <w:tc>
          <w:tcPr>
            <w:tcW w:w="2835" w:type="dxa"/>
          </w:tcPr>
          <w:p w:rsidR="00C34AA2" w:rsidRPr="0056799E" w:rsidRDefault="00C34AA2" w:rsidP="00C34AA2">
            <w:pPr>
              <w:rPr>
                <w:lang w:val="el-GR"/>
              </w:rPr>
            </w:pPr>
            <w:r>
              <w:rPr>
                <w:lang w:val="el-GR"/>
              </w:rPr>
              <w:t xml:space="preserve">Η Ασφάλεια Πληρώνει </w:t>
            </w:r>
          </w:p>
        </w:tc>
        <w:tc>
          <w:tcPr>
            <w:tcW w:w="2126" w:type="dxa"/>
          </w:tcPr>
          <w:p w:rsidR="00C34AA2" w:rsidRPr="0056799E" w:rsidRDefault="00C34AA2" w:rsidP="00C34AA2">
            <w:pPr>
              <w:rPr>
                <w:lang w:val="el-GR"/>
              </w:rPr>
            </w:pPr>
            <w:r>
              <w:rPr>
                <w:lang w:val="el-GR"/>
              </w:rPr>
              <w:t>Εσείς Πληρώνετε</w:t>
            </w:r>
          </w:p>
        </w:tc>
      </w:tr>
      <w:tr w:rsidR="00C34AA2" w:rsidTr="00C34AA2">
        <w:trPr>
          <w:trHeight w:val="519"/>
        </w:trPr>
        <w:tc>
          <w:tcPr>
            <w:tcW w:w="2836" w:type="dxa"/>
            <w:vMerge w:val="restart"/>
          </w:tcPr>
          <w:p w:rsidR="00C34AA2" w:rsidRDefault="00C34AA2" w:rsidP="00C34AA2">
            <w:pPr>
              <w:jc w:val="center"/>
              <w:rPr>
                <w:sz w:val="22"/>
                <w:szCs w:val="22"/>
                <w:lang w:val="el-GR"/>
              </w:rPr>
            </w:pPr>
            <w:r w:rsidRPr="00B37731">
              <w:rPr>
                <w:sz w:val="22"/>
                <w:szCs w:val="22"/>
                <w:lang w:val="el-GR"/>
              </w:rPr>
              <w:t>ΝΟΣΗΛΙΑ ΣΕ ΝΟΣΟΚΟΜΕΙΟ</w:t>
            </w:r>
          </w:p>
          <w:p w:rsidR="00C34AA2" w:rsidRPr="00B37731" w:rsidRDefault="00C34AA2" w:rsidP="00C34AA2">
            <w:pPr>
              <w:jc w:val="center"/>
              <w:rPr>
                <w:sz w:val="22"/>
                <w:szCs w:val="22"/>
                <w:lang w:val="el-GR"/>
              </w:rPr>
            </w:pPr>
          </w:p>
          <w:p w:rsidR="00C34AA2" w:rsidRPr="00AD6E7E" w:rsidRDefault="00C34AA2" w:rsidP="00C34AA2">
            <w:pPr>
              <w:rPr>
                <w:sz w:val="20"/>
                <w:szCs w:val="20"/>
                <w:lang w:val="el-GR"/>
              </w:rPr>
            </w:pPr>
            <w:r w:rsidRPr="00AD6E7E">
              <w:rPr>
                <w:sz w:val="20"/>
                <w:szCs w:val="20"/>
                <w:lang w:val="el-GR"/>
              </w:rPr>
              <w:t>Ημι-ιδιωτικό δωμάτιο και διαμονή, γενική περίθαλψη και άλλες νοσοκομειακές υπηρεσίες και προμήθειες</w:t>
            </w:r>
            <w:r>
              <w:rPr>
                <w:sz w:val="20"/>
                <w:szCs w:val="20"/>
                <w:lang w:val="el-GR"/>
              </w:rPr>
              <w:t>(Ασφαλιστική κάλυψη υγείας με βάση την περίοδο προνομίων: βλέπε σελ. 3)</w:t>
            </w:r>
          </w:p>
        </w:tc>
        <w:tc>
          <w:tcPr>
            <w:tcW w:w="1985" w:type="dxa"/>
            <w:vAlign w:val="center"/>
          </w:tcPr>
          <w:p w:rsidR="00C34AA2" w:rsidRPr="00AD6E7E" w:rsidRDefault="00C34AA2" w:rsidP="00C34AA2">
            <w:pPr>
              <w:jc w:val="center"/>
              <w:rPr>
                <w:sz w:val="20"/>
                <w:szCs w:val="20"/>
                <w:lang w:val="el-GR"/>
              </w:rPr>
            </w:pPr>
            <w:r w:rsidRPr="00AD6E7E">
              <w:rPr>
                <w:sz w:val="20"/>
                <w:szCs w:val="20"/>
                <w:lang w:val="el-GR"/>
              </w:rPr>
              <w:t>Πρώτες 60 μέρες</w:t>
            </w:r>
          </w:p>
        </w:tc>
        <w:tc>
          <w:tcPr>
            <w:tcW w:w="2835" w:type="dxa"/>
            <w:vAlign w:val="center"/>
          </w:tcPr>
          <w:p w:rsidR="00C34AA2" w:rsidRPr="00AD6E7E" w:rsidRDefault="00C34AA2" w:rsidP="00C34AA2">
            <w:pPr>
              <w:jc w:val="center"/>
              <w:rPr>
                <w:sz w:val="20"/>
                <w:szCs w:val="20"/>
                <w:lang w:val="el-GR"/>
              </w:rPr>
            </w:pPr>
            <w:r>
              <w:rPr>
                <w:sz w:val="20"/>
                <w:szCs w:val="20"/>
                <w:lang w:val="el-GR"/>
              </w:rPr>
              <w:t>Όλα εκτός από 760</w:t>
            </w:r>
            <w:r w:rsidRPr="00AD6E7E">
              <w:rPr>
                <w:sz w:val="20"/>
                <w:szCs w:val="20"/>
                <w:lang w:val="el-GR"/>
              </w:rPr>
              <w:t>€</w:t>
            </w:r>
          </w:p>
        </w:tc>
        <w:tc>
          <w:tcPr>
            <w:tcW w:w="2126" w:type="dxa"/>
            <w:vAlign w:val="center"/>
          </w:tcPr>
          <w:p w:rsidR="00C34AA2" w:rsidRPr="00AD6E7E" w:rsidRDefault="00C34AA2" w:rsidP="00C34AA2">
            <w:pPr>
              <w:jc w:val="center"/>
              <w:rPr>
                <w:sz w:val="20"/>
                <w:szCs w:val="20"/>
                <w:lang w:val="el-GR"/>
              </w:rPr>
            </w:pPr>
            <w:r>
              <w:rPr>
                <w:sz w:val="20"/>
                <w:szCs w:val="20"/>
                <w:lang w:val="el-GR"/>
              </w:rPr>
              <w:t>760</w:t>
            </w:r>
            <w:r w:rsidRPr="00AD6E7E">
              <w:rPr>
                <w:sz w:val="20"/>
                <w:szCs w:val="20"/>
                <w:lang w:val="el-GR"/>
              </w:rPr>
              <w:t>€</w:t>
            </w:r>
          </w:p>
        </w:tc>
      </w:tr>
      <w:tr w:rsidR="00C34AA2" w:rsidTr="00C34AA2">
        <w:trPr>
          <w:trHeight w:val="682"/>
        </w:trPr>
        <w:tc>
          <w:tcPr>
            <w:tcW w:w="2836" w:type="dxa"/>
            <w:vMerge/>
          </w:tcPr>
          <w:p w:rsidR="00C34AA2" w:rsidRPr="0056799E" w:rsidRDefault="00C34AA2" w:rsidP="00C34AA2">
            <w:pPr>
              <w:rPr>
                <w:lang w:val="el-GR"/>
              </w:rPr>
            </w:pPr>
          </w:p>
        </w:tc>
        <w:tc>
          <w:tcPr>
            <w:tcW w:w="1985" w:type="dxa"/>
            <w:vAlign w:val="center"/>
          </w:tcPr>
          <w:p w:rsidR="00C34AA2" w:rsidRPr="00AD6E7E" w:rsidRDefault="00C34AA2" w:rsidP="00C34AA2">
            <w:pPr>
              <w:jc w:val="center"/>
              <w:rPr>
                <w:sz w:val="20"/>
                <w:szCs w:val="20"/>
                <w:lang w:val="el-GR"/>
              </w:rPr>
            </w:pPr>
            <w:r>
              <w:rPr>
                <w:sz w:val="20"/>
                <w:szCs w:val="20"/>
                <w:lang w:val="el-GR"/>
              </w:rPr>
              <w:t>61</w:t>
            </w:r>
            <w:r w:rsidRPr="00AD6E7E">
              <w:rPr>
                <w:sz w:val="20"/>
                <w:szCs w:val="20"/>
                <w:vertAlign w:val="superscript"/>
                <w:lang w:val="el-GR"/>
              </w:rPr>
              <w:t>η</w:t>
            </w:r>
            <w:r>
              <w:rPr>
                <w:sz w:val="20"/>
                <w:szCs w:val="20"/>
                <w:lang w:val="el-GR"/>
              </w:rPr>
              <w:t xml:space="preserve"> μέχρι 90</w:t>
            </w:r>
            <w:r w:rsidRPr="00AD6E7E">
              <w:rPr>
                <w:sz w:val="20"/>
                <w:szCs w:val="20"/>
                <w:vertAlign w:val="superscript"/>
                <w:lang w:val="el-GR"/>
              </w:rPr>
              <w:t>η</w:t>
            </w:r>
            <w:r>
              <w:rPr>
                <w:sz w:val="20"/>
                <w:szCs w:val="20"/>
                <w:lang w:val="el-GR"/>
              </w:rPr>
              <w:t xml:space="preserve"> μέρα</w:t>
            </w:r>
          </w:p>
        </w:tc>
        <w:tc>
          <w:tcPr>
            <w:tcW w:w="2835" w:type="dxa"/>
            <w:vAlign w:val="center"/>
          </w:tcPr>
          <w:p w:rsidR="00C34AA2" w:rsidRPr="00AD6E7E" w:rsidRDefault="00C34AA2" w:rsidP="00C34AA2">
            <w:pPr>
              <w:jc w:val="center"/>
              <w:rPr>
                <w:sz w:val="20"/>
                <w:szCs w:val="20"/>
                <w:lang w:val="el-GR"/>
              </w:rPr>
            </w:pPr>
            <w:r>
              <w:rPr>
                <w:sz w:val="20"/>
                <w:szCs w:val="20"/>
                <w:lang w:val="el-GR"/>
              </w:rPr>
              <w:t>Όλα εκτός από 190</w:t>
            </w:r>
            <w:r w:rsidRPr="00AD6E7E">
              <w:rPr>
                <w:sz w:val="20"/>
                <w:szCs w:val="20"/>
                <w:lang w:val="el-GR"/>
              </w:rPr>
              <w:t>€</w:t>
            </w:r>
            <w:r>
              <w:rPr>
                <w:sz w:val="20"/>
                <w:szCs w:val="20"/>
                <w:lang w:val="el-GR"/>
              </w:rPr>
              <w:t xml:space="preserve"> την μέρα</w:t>
            </w:r>
          </w:p>
        </w:tc>
        <w:tc>
          <w:tcPr>
            <w:tcW w:w="2126" w:type="dxa"/>
            <w:vAlign w:val="center"/>
          </w:tcPr>
          <w:p w:rsidR="00C34AA2" w:rsidRPr="00AD6E7E" w:rsidRDefault="00C34AA2" w:rsidP="00C34AA2">
            <w:pPr>
              <w:jc w:val="center"/>
              <w:rPr>
                <w:sz w:val="20"/>
                <w:szCs w:val="20"/>
                <w:lang w:val="el-GR"/>
              </w:rPr>
            </w:pPr>
            <w:r>
              <w:rPr>
                <w:sz w:val="20"/>
                <w:szCs w:val="20"/>
                <w:lang w:val="el-GR"/>
              </w:rPr>
              <w:t>190</w:t>
            </w:r>
            <w:r w:rsidRPr="00AD6E7E">
              <w:rPr>
                <w:sz w:val="20"/>
                <w:szCs w:val="20"/>
                <w:lang w:val="el-GR"/>
              </w:rPr>
              <w:t>€</w:t>
            </w:r>
            <w:r>
              <w:rPr>
                <w:sz w:val="20"/>
                <w:szCs w:val="20"/>
                <w:lang w:val="el-GR"/>
              </w:rPr>
              <w:t xml:space="preserve"> την μέρα</w:t>
            </w:r>
          </w:p>
        </w:tc>
      </w:tr>
      <w:tr w:rsidR="00C34AA2" w:rsidTr="00C34AA2">
        <w:trPr>
          <w:trHeight w:val="541"/>
        </w:trPr>
        <w:tc>
          <w:tcPr>
            <w:tcW w:w="2836" w:type="dxa"/>
            <w:vMerge/>
          </w:tcPr>
          <w:p w:rsidR="00C34AA2" w:rsidRPr="0056799E" w:rsidRDefault="00C34AA2" w:rsidP="00C34AA2">
            <w:pPr>
              <w:rPr>
                <w:lang w:val="el-GR"/>
              </w:rPr>
            </w:pPr>
          </w:p>
        </w:tc>
        <w:tc>
          <w:tcPr>
            <w:tcW w:w="1985" w:type="dxa"/>
            <w:vAlign w:val="center"/>
          </w:tcPr>
          <w:p w:rsidR="00C34AA2" w:rsidRPr="00AD6E7E" w:rsidRDefault="00C34AA2" w:rsidP="00C34AA2">
            <w:pPr>
              <w:jc w:val="center"/>
              <w:rPr>
                <w:sz w:val="20"/>
                <w:szCs w:val="20"/>
                <w:lang w:val="el-GR"/>
              </w:rPr>
            </w:pPr>
            <w:r>
              <w:rPr>
                <w:sz w:val="20"/>
                <w:szCs w:val="20"/>
                <w:lang w:val="el-GR"/>
              </w:rPr>
              <w:t>91</w:t>
            </w:r>
            <w:r w:rsidRPr="00AD6E7E">
              <w:rPr>
                <w:sz w:val="20"/>
                <w:szCs w:val="20"/>
                <w:vertAlign w:val="superscript"/>
                <w:lang w:val="el-GR"/>
              </w:rPr>
              <w:t>η</w:t>
            </w:r>
            <w:r>
              <w:rPr>
                <w:sz w:val="20"/>
                <w:szCs w:val="20"/>
                <w:lang w:val="el-GR"/>
              </w:rPr>
              <w:t xml:space="preserve"> μέχρι 150</w:t>
            </w:r>
            <w:r w:rsidRPr="00AD6E7E">
              <w:rPr>
                <w:sz w:val="20"/>
                <w:szCs w:val="20"/>
                <w:vertAlign w:val="superscript"/>
                <w:lang w:val="el-GR"/>
              </w:rPr>
              <w:t>η</w:t>
            </w:r>
            <w:r>
              <w:rPr>
                <w:sz w:val="20"/>
                <w:szCs w:val="20"/>
                <w:lang w:val="el-GR"/>
              </w:rPr>
              <w:t xml:space="preserve"> μέρα</w:t>
            </w:r>
          </w:p>
        </w:tc>
        <w:tc>
          <w:tcPr>
            <w:tcW w:w="2835" w:type="dxa"/>
            <w:vAlign w:val="center"/>
          </w:tcPr>
          <w:p w:rsidR="00C34AA2" w:rsidRPr="00AD6E7E" w:rsidRDefault="00C34AA2" w:rsidP="00C34AA2">
            <w:pPr>
              <w:jc w:val="center"/>
              <w:rPr>
                <w:sz w:val="20"/>
                <w:szCs w:val="20"/>
                <w:lang w:val="el-GR"/>
              </w:rPr>
            </w:pPr>
            <w:r>
              <w:rPr>
                <w:sz w:val="20"/>
                <w:szCs w:val="20"/>
                <w:lang w:val="el-GR"/>
              </w:rPr>
              <w:t>Όλα εκτός από 380</w:t>
            </w:r>
            <w:r w:rsidRPr="00AD6E7E">
              <w:rPr>
                <w:sz w:val="20"/>
                <w:szCs w:val="20"/>
                <w:lang w:val="el-GR"/>
              </w:rPr>
              <w:t>€</w:t>
            </w:r>
            <w:r>
              <w:rPr>
                <w:sz w:val="20"/>
                <w:szCs w:val="20"/>
                <w:lang w:val="el-GR"/>
              </w:rPr>
              <w:t xml:space="preserve"> την μέρα</w:t>
            </w:r>
          </w:p>
        </w:tc>
        <w:tc>
          <w:tcPr>
            <w:tcW w:w="2126" w:type="dxa"/>
            <w:vAlign w:val="center"/>
          </w:tcPr>
          <w:p w:rsidR="00C34AA2" w:rsidRPr="00AD6E7E" w:rsidRDefault="00C34AA2" w:rsidP="00C34AA2">
            <w:pPr>
              <w:jc w:val="center"/>
              <w:rPr>
                <w:sz w:val="20"/>
                <w:szCs w:val="20"/>
                <w:lang w:val="el-GR"/>
              </w:rPr>
            </w:pPr>
            <w:r>
              <w:rPr>
                <w:sz w:val="20"/>
                <w:szCs w:val="20"/>
                <w:lang w:val="el-GR"/>
              </w:rPr>
              <w:t>380</w:t>
            </w:r>
            <w:r w:rsidRPr="00AD6E7E">
              <w:rPr>
                <w:sz w:val="20"/>
                <w:szCs w:val="20"/>
                <w:lang w:val="el-GR"/>
              </w:rPr>
              <w:t>€</w:t>
            </w:r>
            <w:r>
              <w:rPr>
                <w:sz w:val="20"/>
                <w:szCs w:val="20"/>
                <w:lang w:val="el-GR"/>
              </w:rPr>
              <w:t xml:space="preserve"> την μέρα</w:t>
            </w:r>
          </w:p>
        </w:tc>
      </w:tr>
      <w:tr w:rsidR="00C34AA2" w:rsidTr="00C34AA2">
        <w:trPr>
          <w:trHeight w:val="54"/>
        </w:trPr>
        <w:tc>
          <w:tcPr>
            <w:tcW w:w="2836" w:type="dxa"/>
            <w:vMerge/>
          </w:tcPr>
          <w:p w:rsidR="00C34AA2" w:rsidRPr="0056799E" w:rsidRDefault="00C34AA2" w:rsidP="00C34AA2">
            <w:pPr>
              <w:rPr>
                <w:lang w:val="el-GR"/>
              </w:rPr>
            </w:pPr>
          </w:p>
        </w:tc>
        <w:tc>
          <w:tcPr>
            <w:tcW w:w="1985" w:type="dxa"/>
            <w:vAlign w:val="center"/>
          </w:tcPr>
          <w:p w:rsidR="00C34AA2" w:rsidRPr="00AD6E7E" w:rsidRDefault="00C34AA2" w:rsidP="00C34AA2">
            <w:pPr>
              <w:jc w:val="center"/>
              <w:rPr>
                <w:sz w:val="20"/>
                <w:szCs w:val="20"/>
                <w:lang w:val="el-GR"/>
              </w:rPr>
            </w:pPr>
            <w:r>
              <w:rPr>
                <w:sz w:val="20"/>
                <w:szCs w:val="20"/>
                <w:lang w:val="el-GR"/>
              </w:rPr>
              <w:t>Πέρα από 150 μέρες</w:t>
            </w:r>
          </w:p>
        </w:tc>
        <w:tc>
          <w:tcPr>
            <w:tcW w:w="2835" w:type="dxa"/>
            <w:vAlign w:val="center"/>
          </w:tcPr>
          <w:p w:rsidR="00C34AA2" w:rsidRPr="00AD6E7E" w:rsidRDefault="00C34AA2" w:rsidP="00C34AA2">
            <w:pPr>
              <w:jc w:val="center"/>
              <w:rPr>
                <w:sz w:val="20"/>
                <w:szCs w:val="20"/>
                <w:lang w:val="el-GR"/>
              </w:rPr>
            </w:pPr>
            <w:r>
              <w:rPr>
                <w:sz w:val="20"/>
                <w:szCs w:val="20"/>
                <w:lang w:val="el-GR"/>
              </w:rPr>
              <w:t>Τίποτα</w:t>
            </w:r>
          </w:p>
        </w:tc>
        <w:tc>
          <w:tcPr>
            <w:tcW w:w="2126" w:type="dxa"/>
            <w:vAlign w:val="center"/>
          </w:tcPr>
          <w:p w:rsidR="00C34AA2" w:rsidRPr="00AD6E7E" w:rsidRDefault="00C34AA2" w:rsidP="00C34AA2">
            <w:pPr>
              <w:jc w:val="center"/>
              <w:rPr>
                <w:sz w:val="20"/>
                <w:szCs w:val="20"/>
                <w:lang w:val="el-GR"/>
              </w:rPr>
            </w:pPr>
            <w:r>
              <w:rPr>
                <w:sz w:val="20"/>
                <w:szCs w:val="20"/>
                <w:lang w:val="el-GR"/>
              </w:rPr>
              <w:t>Όλο το κόστος</w:t>
            </w:r>
          </w:p>
        </w:tc>
      </w:tr>
      <w:tr w:rsidR="00C34AA2" w:rsidTr="00C34AA2">
        <w:trPr>
          <w:trHeight w:val="862"/>
        </w:trPr>
        <w:tc>
          <w:tcPr>
            <w:tcW w:w="2836" w:type="dxa"/>
            <w:vMerge w:val="restart"/>
          </w:tcPr>
          <w:p w:rsidR="00C34AA2" w:rsidRDefault="00C34AA2" w:rsidP="00C34AA2">
            <w:pPr>
              <w:jc w:val="center"/>
              <w:rPr>
                <w:sz w:val="22"/>
                <w:szCs w:val="22"/>
                <w:lang w:val="el-GR"/>
              </w:rPr>
            </w:pPr>
            <w:r w:rsidRPr="00B37731">
              <w:rPr>
                <w:sz w:val="22"/>
                <w:szCs w:val="22"/>
                <w:lang w:val="el-GR"/>
              </w:rPr>
              <w:t>ΕΙΔΙΚΕΥΜΕΝΗ ΝΟΣΗΛΕΥΤΙΚΗ ΦΡΟΝΤΙΔΑ</w:t>
            </w:r>
          </w:p>
          <w:p w:rsidR="00C34AA2" w:rsidRDefault="00C34AA2" w:rsidP="00C34AA2">
            <w:pPr>
              <w:jc w:val="center"/>
              <w:rPr>
                <w:sz w:val="22"/>
                <w:szCs w:val="22"/>
                <w:lang w:val="el-GR"/>
              </w:rPr>
            </w:pPr>
          </w:p>
          <w:p w:rsidR="00C34AA2" w:rsidRDefault="00C34AA2" w:rsidP="00C34AA2">
            <w:pPr>
              <w:rPr>
                <w:sz w:val="20"/>
                <w:szCs w:val="20"/>
                <w:lang w:val="el-GR"/>
              </w:rPr>
            </w:pPr>
            <w:r>
              <w:rPr>
                <w:sz w:val="20"/>
                <w:szCs w:val="20"/>
                <w:lang w:val="el-GR"/>
              </w:rPr>
              <w:t>Ημι-ιδιωτική</w:t>
            </w:r>
            <w:r w:rsidRPr="00AD6E7E">
              <w:rPr>
                <w:sz w:val="20"/>
                <w:szCs w:val="20"/>
                <w:lang w:val="el-GR"/>
              </w:rPr>
              <w:t xml:space="preserve"> διαμονή</w:t>
            </w:r>
            <w:r>
              <w:rPr>
                <w:sz w:val="20"/>
                <w:szCs w:val="20"/>
                <w:lang w:val="el-GR"/>
              </w:rPr>
              <w:t xml:space="preserve"> και διατροφή</w:t>
            </w:r>
            <w:r w:rsidRPr="00AD6E7E">
              <w:rPr>
                <w:sz w:val="20"/>
                <w:szCs w:val="20"/>
                <w:lang w:val="el-GR"/>
              </w:rPr>
              <w:t xml:space="preserve">, </w:t>
            </w:r>
            <w:r>
              <w:rPr>
                <w:sz w:val="20"/>
                <w:szCs w:val="20"/>
                <w:lang w:val="el-GR"/>
              </w:rPr>
              <w:t xml:space="preserve">ειδικευμένη </w:t>
            </w:r>
            <w:r w:rsidRPr="00AD6E7E">
              <w:rPr>
                <w:sz w:val="20"/>
                <w:szCs w:val="20"/>
                <w:lang w:val="el-GR"/>
              </w:rPr>
              <w:t xml:space="preserve"> περίθαλψη</w:t>
            </w:r>
            <w:r>
              <w:rPr>
                <w:sz w:val="20"/>
                <w:szCs w:val="20"/>
                <w:lang w:val="el-GR"/>
              </w:rPr>
              <w:t xml:space="preserve"> και υπηρεσίες αποκατάστασης καθώς και άλλες υπηρεσίες και προμήθειες.**</w:t>
            </w:r>
          </w:p>
          <w:p w:rsidR="00C34AA2" w:rsidRPr="00B37731" w:rsidRDefault="00C34AA2" w:rsidP="00C34AA2">
            <w:pPr>
              <w:rPr>
                <w:sz w:val="22"/>
                <w:szCs w:val="22"/>
                <w:lang w:val="el-GR"/>
              </w:rPr>
            </w:pPr>
            <w:r>
              <w:rPr>
                <w:sz w:val="20"/>
                <w:szCs w:val="20"/>
                <w:lang w:val="el-GR"/>
              </w:rPr>
              <w:t>(Ασφαλιστική κάλυψη υγείας με βάση την περίοδο προνομίων: βλέπε σελ. 3)</w:t>
            </w:r>
          </w:p>
        </w:tc>
        <w:tc>
          <w:tcPr>
            <w:tcW w:w="1985" w:type="dxa"/>
            <w:vAlign w:val="center"/>
          </w:tcPr>
          <w:p w:rsidR="00C34AA2" w:rsidRPr="00AD6E7E" w:rsidRDefault="00C34AA2" w:rsidP="00C34AA2">
            <w:pPr>
              <w:jc w:val="center"/>
              <w:rPr>
                <w:sz w:val="20"/>
                <w:szCs w:val="20"/>
                <w:lang w:val="el-GR"/>
              </w:rPr>
            </w:pPr>
            <w:r>
              <w:rPr>
                <w:sz w:val="20"/>
                <w:szCs w:val="20"/>
                <w:lang w:val="el-GR"/>
              </w:rPr>
              <w:t>Πρώτες 20 μέρες</w:t>
            </w:r>
          </w:p>
        </w:tc>
        <w:tc>
          <w:tcPr>
            <w:tcW w:w="2835" w:type="dxa"/>
            <w:vAlign w:val="center"/>
          </w:tcPr>
          <w:p w:rsidR="00C34AA2" w:rsidRPr="00AD6E7E" w:rsidRDefault="00C34AA2" w:rsidP="00C34AA2">
            <w:pPr>
              <w:jc w:val="center"/>
              <w:rPr>
                <w:sz w:val="20"/>
                <w:szCs w:val="20"/>
                <w:lang w:val="el-GR"/>
              </w:rPr>
            </w:pPr>
            <w:r>
              <w:rPr>
                <w:sz w:val="20"/>
                <w:szCs w:val="20"/>
                <w:lang w:val="el-GR"/>
              </w:rPr>
              <w:t>100% του εγκριμένου ποσού</w:t>
            </w:r>
          </w:p>
        </w:tc>
        <w:tc>
          <w:tcPr>
            <w:tcW w:w="2126" w:type="dxa"/>
            <w:vAlign w:val="center"/>
          </w:tcPr>
          <w:p w:rsidR="00C34AA2" w:rsidRPr="00AD6E7E" w:rsidRDefault="00C34AA2" w:rsidP="00C34AA2">
            <w:pPr>
              <w:jc w:val="center"/>
              <w:rPr>
                <w:sz w:val="20"/>
                <w:szCs w:val="20"/>
                <w:lang w:val="el-GR"/>
              </w:rPr>
            </w:pPr>
            <w:r>
              <w:rPr>
                <w:sz w:val="20"/>
                <w:szCs w:val="20"/>
                <w:lang w:val="el-GR"/>
              </w:rPr>
              <w:t>Τίποτα</w:t>
            </w:r>
          </w:p>
        </w:tc>
      </w:tr>
      <w:tr w:rsidR="00C34AA2" w:rsidTr="00C34AA2">
        <w:trPr>
          <w:trHeight w:val="860"/>
        </w:trPr>
        <w:tc>
          <w:tcPr>
            <w:tcW w:w="2836" w:type="dxa"/>
            <w:vMerge/>
          </w:tcPr>
          <w:p w:rsidR="00C34AA2" w:rsidRPr="0056799E" w:rsidRDefault="00C34AA2" w:rsidP="00C34AA2">
            <w:pPr>
              <w:rPr>
                <w:lang w:val="el-GR"/>
              </w:rPr>
            </w:pPr>
          </w:p>
        </w:tc>
        <w:tc>
          <w:tcPr>
            <w:tcW w:w="1985" w:type="dxa"/>
            <w:vAlign w:val="center"/>
          </w:tcPr>
          <w:p w:rsidR="00C34AA2" w:rsidRPr="00AD6E7E" w:rsidRDefault="00C34AA2" w:rsidP="00C34AA2">
            <w:pPr>
              <w:jc w:val="center"/>
              <w:rPr>
                <w:sz w:val="20"/>
                <w:szCs w:val="20"/>
                <w:lang w:val="el-GR"/>
              </w:rPr>
            </w:pPr>
            <w:r>
              <w:rPr>
                <w:sz w:val="20"/>
                <w:szCs w:val="20"/>
                <w:lang w:val="el-GR"/>
              </w:rPr>
              <w:t>Επιπλέον 80</w:t>
            </w:r>
            <w:r>
              <w:rPr>
                <w:sz w:val="20"/>
                <w:szCs w:val="20"/>
                <w:vertAlign w:val="superscript"/>
                <w:lang w:val="el-GR"/>
              </w:rPr>
              <w:t xml:space="preserve"> </w:t>
            </w:r>
            <w:r>
              <w:rPr>
                <w:sz w:val="20"/>
                <w:szCs w:val="20"/>
                <w:lang w:val="el-GR"/>
              </w:rPr>
              <w:t>μέρες</w:t>
            </w:r>
          </w:p>
        </w:tc>
        <w:tc>
          <w:tcPr>
            <w:tcW w:w="2835" w:type="dxa"/>
            <w:vAlign w:val="center"/>
          </w:tcPr>
          <w:p w:rsidR="00C34AA2" w:rsidRPr="00AD6E7E" w:rsidRDefault="00C34AA2" w:rsidP="00C34AA2">
            <w:pPr>
              <w:jc w:val="center"/>
              <w:rPr>
                <w:sz w:val="20"/>
                <w:szCs w:val="20"/>
                <w:lang w:val="el-GR"/>
              </w:rPr>
            </w:pPr>
            <w:r>
              <w:rPr>
                <w:sz w:val="20"/>
                <w:szCs w:val="20"/>
                <w:lang w:val="el-GR"/>
              </w:rPr>
              <w:t>Όλα εκτός από 95</w:t>
            </w:r>
            <w:r w:rsidRPr="00AD6E7E">
              <w:rPr>
                <w:sz w:val="20"/>
                <w:szCs w:val="20"/>
                <w:lang w:val="el-GR"/>
              </w:rPr>
              <w:t>€</w:t>
            </w:r>
            <w:r>
              <w:rPr>
                <w:sz w:val="20"/>
                <w:szCs w:val="20"/>
                <w:lang w:val="el-GR"/>
              </w:rPr>
              <w:t xml:space="preserve"> την ημέρα</w:t>
            </w:r>
          </w:p>
        </w:tc>
        <w:tc>
          <w:tcPr>
            <w:tcW w:w="2126" w:type="dxa"/>
            <w:vAlign w:val="center"/>
          </w:tcPr>
          <w:p w:rsidR="00C34AA2" w:rsidRPr="00AD6E7E" w:rsidRDefault="00C34AA2" w:rsidP="00C34AA2">
            <w:pPr>
              <w:jc w:val="center"/>
              <w:rPr>
                <w:sz w:val="20"/>
                <w:szCs w:val="20"/>
                <w:lang w:val="el-GR"/>
              </w:rPr>
            </w:pPr>
            <w:r>
              <w:rPr>
                <w:sz w:val="20"/>
                <w:szCs w:val="20"/>
                <w:lang w:val="el-GR"/>
              </w:rPr>
              <w:t>Μέχρι 95</w:t>
            </w:r>
            <w:r w:rsidRPr="00AD6E7E">
              <w:rPr>
                <w:sz w:val="20"/>
                <w:szCs w:val="20"/>
                <w:lang w:val="el-GR"/>
              </w:rPr>
              <w:t>€</w:t>
            </w:r>
            <w:r>
              <w:rPr>
                <w:sz w:val="20"/>
                <w:szCs w:val="20"/>
                <w:lang w:val="el-GR"/>
              </w:rPr>
              <w:t xml:space="preserve"> την ημέρα</w:t>
            </w:r>
          </w:p>
        </w:tc>
      </w:tr>
      <w:tr w:rsidR="00C34AA2" w:rsidTr="00C34AA2">
        <w:tc>
          <w:tcPr>
            <w:tcW w:w="2836" w:type="dxa"/>
            <w:vMerge/>
          </w:tcPr>
          <w:p w:rsidR="00C34AA2" w:rsidRPr="0056799E" w:rsidRDefault="00C34AA2" w:rsidP="00C34AA2">
            <w:pPr>
              <w:rPr>
                <w:lang w:val="el-GR"/>
              </w:rPr>
            </w:pPr>
          </w:p>
        </w:tc>
        <w:tc>
          <w:tcPr>
            <w:tcW w:w="1985" w:type="dxa"/>
            <w:vAlign w:val="center"/>
          </w:tcPr>
          <w:p w:rsidR="00C34AA2" w:rsidRPr="00AD6E7E" w:rsidRDefault="00C34AA2" w:rsidP="00C34AA2">
            <w:pPr>
              <w:jc w:val="center"/>
              <w:rPr>
                <w:sz w:val="20"/>
                <w:szCs w:val="20"/>
                <w:lang w:val="el-GR"/>
              </w:rPr>
            </w:pPr>
            <w:r>
              <w:rPr>
                <w:sz w:val="20"/>
                <w:szCs w:val="20"/>
                <w:lang w:val="el-GR"/>
              </w:rPr>
              <w:t>Πέρα από 100 μέρες</w:t>
            </w:r>
          </w:p>
        </w:tc>
        <w:tc>
          <w:tcPr>
            <w:tcW w:w="2835" w:type="dxa"/>
            <w:vAlign w:val="center"/>
          </w:tcPr>
          <w:p w:rsidR="00C34AA2" w:rsidRPr="00AD6E7E" w:rsidRDefault="00C34AA2" w:rsidP="00C34AA2">
            <w:pPr>
              <w:jc w:val="center"/>
              <w:rPr>
                <w:sz w:val="20"/>
                <w:szCs w:val="20"/>
                <w:lang w:val="el-GR"/>
              </w:rPr>
            </w:pPr>
            <w:r>
              <w:rPr>
                <w:sz w:val="20"/>
                <w:szCs w:val="20"/>
                <w:lang w:val="el-GR"/>
              </w:rPr>
              <w:t>Τίποτα</w:t>
            </w:r>
          </w:p>
        </w:tc>
        <w:tc>
          <w:tcPr>
            <w:tcW w:w="2126" w:type="dxa"/>
            <w:vAlign w:val="center"/>
          </w:tcPr>
          <w:p w:rsidR="00C34AA2" w:rsidRPr="00AD6E7E" w:rsidRDefault="00C34AA2" w:rsidP="00C34AA2">
            <w:pPr>
              <w:jc w:val="center"/>
              <w:rPr>
                <w:sz w:val="20"/>
                <w:szCs w:val="20"/>
                <w:lang w:val="el-GR"/>
              </w:rPr>
            </w:pPr>
            <w:r>
              <w:rPr>
                <w:sz w:val="20"/>
                <w:szCs w:val="20"/>
                <w:lang w:val="el-GR"/>
              </w:rPr>
              <w:t>Όλο το κόστος</w:t>
            </w:r>
          </w:p>
        </w:tc>
      </w:tr>
    </w:tbl>
    <w:p w:rsidR="00C34AA2" w:rsidRDefault="00C34AA2" w:rsidP="00C34AA2">
      <w:pPr>
        <w:rPr>
          <w:sz w:val="22"/>
          <w:szCs w:val="22"/>
          <w:lang w:val="el-GR"/>
        </w:rPr>
      </w:pPr>
    </w:p>
    <w:p w:rsidR="00C34AA2" w:rsidRDefault="00C34AA2" w:rsidP="00C34AA2">
      <w:pPr>
        <w:rPr>
          <w:sz w:val="22"/>
          <w:szCs w:val="22"/>
          <w:lang w:val="el-GR"/>
        </w:rPr>
      </w:pPr>
    </w:p>
    <w:p w:rsidR="00C34AA2" w:rsidRDefault="00C34AA2" w:rsidP="00C34AA2">
      <w:pPr>
        <w:rPr>
          <w:sz w:val="22"/>
          <w:szCs w:val="22"/>
          <w:lang w:val="el-GR"/>
        </w:rPr>
      </w:pPr>
    </w:p>
    <w:p w:rsidR="00C34AA2" w:rsidRDefault="00C34AA2" w:rsidP="00C34AA2">
      <w:pPr>
        <w:ind w:left="426" w:hanging="426"/>
        <w:rPr>
          <w:sz w:val="22"/>
          <w:szCs w:val="22"/>
          <w:lang w:val="el-GR"/>
        </w:rPr>
      </w:pPr>
      <w:r>
        <w:rPr>
          <w:sz w:val="22"/>
          <w:szCs w:val="22"/>
          <w:lang w:val="el-GR"/>
        </w:rPr>
        <w:t>23.   Ποιο είναι το ποσό που εκπίπτει όταν κανείς πληρώνει για την παροχή    ενδονοσοκομειακών υπηρεσιών κατά τις 30 πρώτες ημέρες;  ____________________________________________________________________________________________________</w:t>
      </w:r>
    </w:p>
    <w:p w:rsidR="00C34AA2" w:rsidRDefault="00C34AA2" w:rsidP="00C34AA2">
      <w:pPr>
        <w:rPr>
          <w:sz w:val="22"/>
          <w:szCs w:val="22"/>
          <w:lang w:val="el-GR"/>
        </w:rPr>
      </w:pPr>
    </w:p>
    <w:p w:rsidR="00C34AA2" w:rsidRDefault="00C34AA2" w:rsidP="00C34AA2">
      <w:pPr>
        <w:rPr>
          <w:sz w:val="22"/>
          <w:szCs w:val="22"/>
          <w:lang w:val="el-GR"/>
        </w:rPr>
      </w:pPr>
    </w:p>
    <w:p w:rsidR="00C34AA2" w:rsidRDefault="00C34AA2" w:rsidP="00C34AA2">
      <w:pPr>
        <w:ind w:left="426" w:hanging="426"/>
        <w:rPr>
          <w:sz w:val="22"/>
          <w:szCs w:val="22"/>
          <w:lang w:val="el-GR"/>
        </w:rPr>
      </w:pPr>
      <w:r>
        <w:rPr>
          <w:sz w:val="22"/>
          <w:szCs w:val="22"/>
          <w:lang w:val="el-GR"/>
        </w:rPr>
        <w:t>24.   Ο κ</w:t>
      </w:r>
      <w:r w:rsidRPr="00CB2CD5">
        <w:rPr>
          <w:sz w:val="22"/>
          <w:szCs w:val="22"/>
          <w:vertAlign w:val="subscript"/>
          <w:lang w:val="el-GR"/>
        </w:rPr>
        <w:t>ος</w:t>
      </w:r>
      <w:r>
        <w:rPr>
          <w:sz w:val="22"/>
          <w:szCs w:val="22"/>
          <w:lang w:val="el-GR"/>
        </w:rPr>
        <w:t xml:space="preserve"> Παπαδόπουλος εισήχθη σε γηροκομείο την 1 Ιανουαρίου του 2012. Τι ποσό  κάλυψε η Ασφαλιστική Κάλυψη Υγείας (Μέρος Α)για την φροντίδα του τον Ιούλιο του 2012; ____________________________________________________________________________________________________</w:t>
      </w:r>
    </w:p>
    <w:p w:rsidR="00C34AA2" w:rsidRDefault="00C34AA2" w:rsidP="00C34AA2">
      <w:pPr>
        <w:rPr>
          <w:sz w:val="22"/>
          <w:szCs w:val="22"/>
          <w:lang w:val="el-GR"/>
        </w:rPr>
      </w:pPr>
      <w:r>
        <w:rPr>
          <w:sz w:val="22"/>
          <w:szCs w:val="22"/>
          <w:lang w:val="el-GR"/>
        </w:rPr>
        <w:br w:type="page"/>
      </w:r>
    </w:p>
    <w:p w:rsidR="00C34AA2" w:rsidRDefault="00C34AA2" w:rsidP="00C34AA2">
      <w:pPr>
        <w:rPr>
          <w:b/>
          <w:sz w:val="22"/>
          <w:szCs w:val="22"/>
          <w:lang w:val="el-GR"/>
        </w:rPr>
      </w:pPr>
      <w:r w:rsidRPr="00317C1E">
        <w:rPr>
          <w:b/>
          <w:sz w:val="22"/>
          <w:szCs w:val="22"/>
          <w:lang w:val="el-GR"/>
        </w:rPr>
        <w:t>Διάγραμμα: Διατροφικές Πληροφορίες για Δημητριακά</w:t>
      </w:r>
    </w:p>
    <w:p w:rsidR="00C34AA2" w:rsidRDefault="00C34AA2" w:rsidP="00C34AA2">
      <w:pPr>
        <w:rPr>
          <w:b/>
          <w:sz w:val="22"/>
          <w:szCs w:val="22"/>
          <w:lang w:val="el-GR"/>
        </w:rPr>
      </w:pPr>
    </w:p>
    <w:p w:rsidR="00C34AA2" w:rsidRDefault="00C34AA2" w:rsidP="00C34AA2">
      <w:pPr>
        <w:rPr>
          <w:b/>
          <w:sz w:val="22"/>
          <w:szCs w:val="22"/>
          <w:lang w:val="el-GR"/>
        </w:rPr>
      </w:pPr>
    </w:p>
    <w:p w:rsidR="00C34AA2" w:rsidRDefault="00C34AA2" w:rsidP="00C34AA2">
      <w:pPr>
        <w:rPr>
          <w:b/>
          <w:sz w:val="22"/>
          <w:szCs w:val="22"/>
          <w:lang w:val="el-GR"/>
        </w:rPr>
      </w:pPr>
    </w:p>
    <w:tbl>
      <w:tblPr>
        <w:tblStyle w:val="TableGrid"/>
        <w:tblW w:w="0" w:type="auto"/>
        <w:tblInd w:w="1919" w:type="dxa"/>
        <w:tblLayout w:type="fixed"/>
        <w:tblLook w:val="04A0" w:firstRow="1" w:lastRow="0" w:firstColumn="1" w:lastColumn="0" w:noHBand="0" w:noVBand="1"/>
      </w:tblPr>
      <w:tblGrid>
        <w:gridCol w:w="1843"/>
        <w:gridCol w:w="457"/>
        <w:gridCol w:w="284"/>
        <w:gridCol w:w="141"/>
        <w:gridCol w:w="110"/>
        <w:gridCol w:w="142"/>
        <w:gridCol w:w="142"/>
        <w:gridCol w:w="457"/>
        <w:gridCol w:w="1244"/>
      </w:tblGrid>
      <w:tr w:rsidR="00C34AA2" w:rsidTr="00C34AA2">
        <w:tc>
          <w:tcPr>
            <w:tcW w:w="4820" w:type="dxa"/>
            <w:gridSpan w:val="9"/>
            <w:tcBorders>
              <w:bottom w:val="nil"/>
            </w:tcBorders>
          </w:tcPr>
          <w:p w:rsidR="00C34AA2" w:rsidRPr="00317C1E" w:rsidRDefault="00C34AA2" w:rsidP="00C34AA2">
            <w:pPr>
              <w:jc w:val="center"/>
              <w:rPr>
                <w:b/>
                <w:sz w:val="40"/>
                <w:szCs w:val="40"/>
                <w:lang w:val="el-GR"/>
              </w:rPr>
            </w:pPr>
            <w:r w:rsidRPr="00317C1E">
              <w:rPr>
                <w:b/>
                <w:sz w:val="40"/>
                <w:szCs w:val="40"/>
                <w:lang w:val="el-GR"/>
              </w:rPr>
              <w:t xml:space="preserve">Διατροφικά </w:t>
            </w:r>
            <w:r>
              <w:rPr>
                <w:b/>
                <w:sz w:val="40"/>
                <w:szCs w:val="40"/>
                <w:lang w:val="el-GR"/>
              </w:rPr>
              <w:t>Στοιχεία</w:t>
            </w:r>
          </w:p>
        </w:tc>
      </w:tr>
      <w:tr w:rsidR="00C34AA2" w:rsidTr="00C34AA2">
        <w:tc>
          <w:tcPr>
            <w:tcW w:w="1843" w:type="dxa"/>
            <w:tcBorders>
              <w:top w:val="nil"/>
              <w:bottom w:val="nil"/>
              <w:right w:val="nil"/>
            </w:tcBorders>
          </w:tcPr>
          <w:p w:rsidR="00C34AA2" w:rsidRDefault="00C34AA2" w:rsidP="00C34AA2">
            <w:pPr>
              <w:rPr>
                <w:b/>
                <w:sz w:val="22"/>
                <w:szCs w:val="22"/>
                <w:lang w:val="el-GR"/>
              </w:rPr>
            </w:pPr>
            <w:r>
              <w:rPr>
                <w:sz w:val="22"/>
                <w:szCs w:val="22"/>
                <w:lang w:val="el-GR"/>
              </w:rPr>
              <w:t>Μέγεθος Μερίδας</w:t>
            </w:r>
          </w:p>
        </w:tc>
        <w:tc>
          <w:tcPr>
            <w:tcW w:w="2977" w:type="dxa"/>
            <w:gridSpan w:val="8"/>
            <w:tcBorders>
              <w:top w:val="nil"/>
              <w:left w:val="nil"/>
              <w:bottom w:val="nil"/>
            </w:tcBorders>
          </w:tcPr>
          <w:p w:rsidR="00C34AA2" w:rsidRDefault="00C34AA2" w:rsidP="00C34AA2">
            <w:pPr>
              <w:rPr>
                <w:b/>
                <w:sz w:val="22"/>
                <w:szCs w:val="22"/>
                <w:lang w:val="el-GR"/>
              </w:rPr>
            </w:pPr>
            <w:r w:rsidRPr="0061533C">
              <w:rPr>
                <w:sz w:val="22"/>
                <w:szCs w:val="22"/>
                <w:lang w:val="el-GR"/>
              </w:rPr>
              <w:t>¾</w:t>
            </w:r>
            <w:r w:rsidRPr="00317C1E">
              <w:rPr>
                <w:sz w:val="22"/>
                <w:szCs w:val="22"/>
                <w:vertAlign w:val="superscript"/>
                <w:lang w:val="el-GR"/>
              </w:rPr>
              <w:t xml:space="preserve"> </w:t>
            </w:r>
            <w:r>
              <w:rPr>
                <w:sz w:val="22"/>
                <w:szCs w:val="22"/>
                <w:lang w:val="el-GR"/>
              </w:rPr>
              <w:t>της Κ</w:t>
            </w:r>
            <w:r w:rsidRPr="00317C1E">
              <w:rPr>
                <w:sz w:val="22"/>
                <w:szCs w:val="22"/>
                <w:lang w:val="el-GR"/>
              </w:rPr>
              <w:t>ούπας</w:t>
            </w:r>
            <w:r>
              <w:rPr>
                <w:sz w:val="22"/>
                <w:szCs w:val="22"/>
                <w:lang w:val="el-GR"/>
              </w:rPr>
              <w:t xml:space="preserve"> (29γρ/1.1 </w:t>
            </w:r>
            <w:r>
              <w:rPr>
                <w:sz w:val="22"/>
                <w:szCs w:val="22"/>
                <w:lang w:val="en-US"/>
              </w:rPr>
              <w:t>oz)</w:t>
            </w:r>
          </w:p>
        </w:tc>
      </w:tr>
      <w:tr w:rsidR="00C34AA2" w:rsidTr="00C34AA2">
        <w:tc>
          <w:tcPr>
            <w:tcW w:w="2977" w:type="dxa"/>
            <w:gridSpan w:val="6"/>
            <w:tcBorders>
              <w:top w:val="nil"/>
              <w:bottom w:val="single" w:sz="4" w:space="0" w:color="auto"/>
              <w:right w:val="nil"/>
            </w:tcBorders>
          </w:tcPr>
          <w:p w:rsidR="00C34AA2" w:rsidRPr="00317C1E" w:rsidRDefault="00C34AA2" w:rsidP="00C34AA2">
            <w:pPr>
              <w:rPr>
                <w:sz w:val="22"/>
                <w:szCs w:val="22"/>
                <w:lang w:val="el-GR"/>
              </w:rPr>
            </w:pPr>
            <w:r>
              <w:rPr>
                <w:sz w:val="22"/>
                <w:szCs w:val="22"/>
                <w:lang w:val="el-GR"/>
              </w:rPr>
              <w:t>Μερίδες ανά Σ</w:t>
            </w:r>
            <w:r w:rsidRPr="00317C1E">
              <w:rPr>
                <w:sz w:val="22"/>
                <w:szCs w:val="22"/>
                <w:lang w:val="el-GR"/>
              </w:rPr>
              <w:t>υσκευασία</w:t>
            </w:r>
          </w:p>
        </w:tc>
        <w:tc>
          <w:tcPr>
            <w:tcW w:w="1843" w:type="dxa"/>
            <w:gridSpan w:val="3"/>
            <w:tcBorders>
              <w:top w:val="nil"/>
              <w:left w:val="nil"/>
              <w:bottom w:val="single" w:sz="4" w:space="0" w:color="auto"/>
            </w:tcBorders>
          </w:tcPr>
          <w:p w:rsidR="00C34AA2" w:rsidRPr="00317C1E" w:rsidRDefault="00C34AA2" w:rsidP="00C34AA2">
            <w:pPr>
              <w:rPr>
                <w:sz w:val="22"/>
                <w:szCs w:val="22"/>
                <w:lang w:val="el-GR"/>
              </w:rPr>
            </w:pPr>
            <w:r>
              <w:rPr>
                <w:sz w:val="22"/>
                <w:szCs w:val="22"/>
                <w:lang w:val="el-GR"/>
              </w:rPr>
              <w:t>Περίπου 17</w:t>
            </w:r>
          </w:p>
        </w:tc>
      </w:tr>
      <w:tr w:rsidR="00C34AA2" w:rsidTr="00C34AA2">
        <w:tc>
          <w:tcPr>
            <w:tcW w:w="2584" w:type="dxa"/>
            <w:gridSpan w:val="3"/>
            <w:shd w:val="solid" w:color="auto" w:fill="auto"/>
          </w:tcPr>
          <w:p w:rsidR="00C34AA2" w:rsidRPr="00317C1E" w:rsidRDefault="00C34AA2" w:rsidP="00C34AA2">
            <w:pPr>
              <w:rPr>
                <w:sz w:val="22"/>
                <w:szCs w:val="22"/>
                <w:lang w:val="el-GR"/>
              </w:rPr>
            </w:pPr>
          </w:p>
        </w:tc>
        <w:tc>
          <w:tcPr>
            <w:tcW w:w="992" w:type="dxa"/>
            <w:gridSpan w:val="5"/>
            <w:shd w:val="solid" w:color="auto" w:fill="auto"/>
          </w:tcPr>
          <w:p w:rsidR="00C34AA2" w:rsidRPr="00317C1E" w:rsidRDefault="00C34AA2" w:rsidP="00C34AA2">
            <w:pPr>
              <w:rPr>
                <w:sz w:val="22"/>
                <w:szCs w:val="22"/>
                <w:lang w:val="el-GR"/>
              </w:rPr>
            </w:pPr>
          </w:p>
        </w:tc>
        <w:tc>
          <w:tcPr>
            <w:tcW w:w="1244" w:type="dxa"/>
            <w:shd w:val="solid" w:color="auto" w:fill="auto"/>
          </w:tcPr>
          <w:p w:rsidR="00C34AA2" w:rsidRPr="00301489" w:rsidRDefault="00C34AA2" w:rsidP="00C34AA2">
            <w:pPr>
              <w:rPr>
                <w:rFonts w:ascii="Times New Roman" w:hAnsi="Times New Roman" w:cs="Times New Roman"/>
                <w:sz w:val="16"/>
                <w:szCs w:val="16"/>
                <w:lang w:val="el-GR"/>
              </w:rPr>
            </w:pPr>
          </w:p>
        </w:tc>
      </w:tr>
      <w:tr w:rsidR="00C34AA2" w:rsidRPr="002D7931" w:rsidTr="00C34AA2">
        <w:tc>
          <w:tcPr>
            <w:tcW w:w="2300" w:type="dxa"/>
            <w:gridSpan w:val="2"/>
            <w:tcBorders>
              <w:bottom w:val="single" w:sz="18" w:space="0" w:color="auto"/>
            </w:tcBorders>
            <w:vAlign w:val="bottom"/>
          </w:tcPr>
          <w:p w:rsidR="00C34AA2" w:rsidRPr="00301489" w:rsidRDefault="00C34AA2" w:rsidP="00C34AA2">
            <w:pPr>
              <w:jc w:val="center"/>
              <w:rPr>
                <w:rFonts w:ascii="Times New Roman" w:hAnsi="Times New Roman" w:cs="Times New Roman"/>
                <w:b/>
                <w:sz w:val="16"/>
                <w:szCs w:val="16"/>
                <w:lang w:val="el-GR"/>
              </w:rPr>
            </w:pPr>
            <w:r w:rsidRPr="00301489">
              <w:rPr>
                <w:rFonts w:ascii="Times New Roman" w:hAnsi="Times New Roman" w:cs="Times New Roman"/>
                <w:b/>
                <w:sz w:val="16"/>
                <w:szCs w:val="16"/>
                <w:lang w:val="el-GR"/>
              </w:rPr>
              <w:t>Ποσότητα ανά μερίδα</w:t>
            </w:r>
          </w:p>
        </w:tc>
        <w:tc>
          <w:tcPr>
            <w:tcW w:w="1276" w:type="dxa"/>
            <w:gridSpan w:val="6"/>
            <w:tcBorders>
              <w:bottom w:val="single" w:sz="18" w:space="0" w:color="auto"/>
            </w:tcBorders>
            <w:vAlign w:val="bottom"/>
          </w:tcPr>
          <w:p w:rsidR="00C34AA2" w:rsidRPr="00301489" w:rsidRDefault="00C34AA2" w:rsidP="00C34AA2">
            <w:pPr>
              <w:jc w:val="center"/>
              <w:rPr>
                <w:rFonts w:ascii="Times New Roman" w:hAnsi="Times New Roman" w:cs="Times New Roman"/>
                <w:b/>
                <w:sz w:val="16"/>
                <w:szCs w:val="16"/>
                <w:lang w:val="el-GR"/>
              </w:rPr>
            </w:pPr>
            <w:r w:rsidRPr="00301489">
              <w:rPr>
                <w:rFonts w:ascii="Times New Roman" w:hAnsi="Times New Roman" w:cs="Times New Roman"/>
                <w:b/>
                <w:sz w:val="16"/>
                <w:szCs w:val="16"/>
                <w:lang w:val="el-GR"/>
              </w:rPr>
              <w:t>Δημητριακά</w:t>
            </w:r>
          </w:p>
        </w:tc>
        <w:tc>
          <w:tcPr>
            <w:tcW w:w="1244" w:type="dxa"/>
            <w:tcBorders>
              <w:bottom w:val="single" w:sz="18" w:space="0" w:color="auto"/>
            </w:tcBorders>
          </w:tcPr>
          <w:p w:rsidR="00C34AA2" w:rsidRPr="00301489" w:rsidRDefault="00C34AA2" w:rsidP="00C34AA2">
            <w:pPr>
              <w:rPr>
                <w:rFonts w:ascii="Times New Roman" w:hAnsi="Times New Roman" w:cs="Times New Roman"/>
                <w:b/>
                <w:sz w:val="16"/>
                <w:szCs w:val="16"/>
                <w:lang w:val="el-GR"/>
              </w:rPr>
            </w:pPr>
            <w:r w:rsidRPr="00301489">
              <w:rPr>
                <w:rFonts w:ascii="Times New Roman" w:hAnsi="Times New Roman" w:cs="Times New Roman"/>
                <w:b/>
                <w:sz w:val="16"/>
                <w:szCs w:val="16"/>
                <w:lang w:val="el-GR"/>
              </w:rPr>
              <w:t>Δημητριακά με ½ κούπα άπαχου γάλακτος με βιταμίνη Α&amp;</w:t>
            </w:r>
            <w:r w:rsidRPr="00301489">
              <w:rPr>
                <w:rFonts w:ascii="Times New Roman" w:hAnsi="Times New Roman" w:cs="Times New Roman"/>
                <w:b/>
                <w:sz w:val="16"/>
                <w:szCs w:val="16"/>
                <w:lang w:val="en-US"/>
              </w:rPr>
              <w:t>D</w:t>
            </w:r>
          </w:p>
        </w:tc>
      </w:tr>
      <w:tr w:rsidR="00C34AA2" w:rsidTr="00C34AA2">
        <w:tc>
          <w:tcPr>
            <w:tcW w:w="2300" w:type="dxa"/>
            <w:gridSpan w:val="2"/>
            <w:tcBorders>
              <w:top w:val="single" w:sz="18" w:space="0" w:color="auto"/>
              <w:bottom w:val="nil"/>
              <w:right w:val="nil"/>
            </w:tcBorders>
          </w:tcPr>
          <w:p w:rsidR="00C34AA2" w:rsidRPr="0061533C" w:rsidRDefault="00C34AA2" w:rsidP="00C34AA2">
            <w:pPr>
              <w:rPr>
                <w:b/>
                <w:sz w:val="22"/>
                <w:szCs w:val="22"/>
                <w:lang w:val="el-GR"/>
              </w:rPr>
            </w:pPr>
            <w:r w:rsidRPr="0061533C">
              <w:rPr>
                <w:b/>
                <w:sz w:val="22"/>
                <w:szCs w:val="22"/>
                <w:lang w:val="el-GR"/>
              </w:rPr>
              <w:t xml:space="preserve">Θερμίδες </w:t>
            </w:r>
          </w:p>
        </w:tc>
        <w:tc>
          <w:tcPr>
            <w:tcW w:w="1276" w:type="dxa"/>
            <w:gridSpan w:val="6"/>
            <w:tcBorders>
              <w:top w:val="single" w:sz="18" w:space="0" w:color="auto"/>
              <w:left w:val="nil"/>
              <w:bottom w:val="nil"/>
              <w:right w:val="nil"/>
            </w:tcBorders>
            <w:vAlign w:val="center"/>
          </w:tcPr>
          <w:p w:rsidR="00C34AA2" w:rsidRPr="00317C1E" w:rsidRDefault="00C34AA2" w:rsidP="00C34AA2">
            <w:pPr>
              <w:jc w:val="center"/>
              <w:rPr>
                <w:sz w:val="22"/>
                <w:szCs w:val="22"/>
                <w:lang w:val="el-GR"/>
              </w:rPr>
            </w:pPr>
            <w:r>
              <w:rPr>
                <w:sz w:val="22"/>
                <w:szCs w:val="22"/>
                <w:lang w:val="el-GR"/>
              </w:rPr>
              <w:t>90</w:t>
            </w:r>
          </w:p>
        </w:tc>
        <w:tc>
          <w:tcPr>
            <w:tcW w:w="1244" w:type="dxa"/>
            <w:tcBorders>
              <w:top w:val="single" w:sz="18" w:space="0" w:color="auto"/>
              <w:left w:val="nil"/>
              <w:bottom w:val="nil"/>
            </w:tcBorders>
          </w:tcPr>
          <w:p w:rsidR="00C34AA2" w:rsidRPr="00317C1E" w:rsidRDefault="00C34AA2" w:rsidP="00C34AA2">
            <w:pPr>
              <w:jc w:val="center"/>
              <w:rPr>
                <w:sz w:val="22"/>
                <w:szCs w:val="22"/>
                <w:lang w:val="el-GR"/>
              </w:rPr>
            </w:pPr>
            <w:r>
              <w:rPr>
                <w:sz w:val="22"/>
                <w:szCs w:val="22"/>
                <w:lang w:val="el-GR"/>
              </w:rPr>
              <w:t>130</w:t>
            </w:r>
          </w:p>
        </w:tc>
      </w:tr>
      <w:tr w:rsidR="00C34AA2" w:rsidTr="00C34AA2">
        <w:tc>
          <w:tcPr>
            <w:tcW w:w="2300" w:type="dxa"/>
            <w:gridSpan w:val="2"/>
            <w:tcBorders>
              <w:top w:val="nil"/>
              <w:bottom w:val="single" w:sz="36" w:space="0" w:color="auto"/>
              <w:right w:val="nil"/>
            </w:tcBorders>
          </w:tcPr>
          <w:p w:rsidR="00C34AA2" w:rsidRPr="00317C1E" w:rsidRDefault="00C34AA2" w:rsidP="00C34AA2">
            <w:pPr>
              <w:rPr>
                <w:sz w:val="22"/>
                <w:szCs w:val="22"/>
                <w:lang w:val="el-GR"/>
              </w:rPr>
            </w:pPr>
            <w:r>
              <w:rPr>
                <w:sz w:val="22"/>
                <w:szCs w:val="22"/>
                <w:lang w:val="el-GR"/>
              </w:rPr>
              <w:t>Θερμίδες από λίπη</w:t>
            </w:r>
          </w:p>
        </w:tc>
        <w:tc>
          <w:tcPr>
            <w:tcW w:w="1276" w:type="dxa"/>
            <w:gridSpan w:val="6"/>
            <w:tcBorders>
              <w:top w:val="nil"/>
              <w:left w:val="nil"/>
              <w:bottom w:val="single" w:sz="36" w:space="0" w:color="auto"/>
              <w:right w:val="nil"/>
            </w:tcBorders>
          </w:tcPr>
          <w:p w:rsidR="00C34AA2" w:rsidRPr="00317C1E" w:rsidRDefault="00C34AA2" w:rsidP="00C34AA2">
            <w:pPr>
              <w:jc w:val="center"/>
              <w:rPr>
                <w:sz w:val="22"/>
                <w:szCs w:val="22"/>
                <w:lang w:val="el-GR"/>
              </w:rPr>
            </w:pPr>
            <w:r>
              <w:rPr>
                <w:sz w:val="22"/>
                <w:szCs w:val="22"/>
                <w:lang w:val="el-GR"/>
              </w:rPr>
              <w:t>5</w:t>
            </w:r>
          </w:p>
        </w:tc>
        <w:tc>
          <w:tcPr>
            <w:tcW w:w="1244" w:type="dxa"/>
            <w:tcBorders>
              <w:top w:val="nil"/>
              <w:left w:val="nil"/>
              <w:bottom w:val="single" w:sz="36" w:space="0" w:color="auto"/>
            </w:tcBorders>
          </w:tcPr>
          <w:p w:rsidR="00C34AA2" w:rsidRPr="00317C1E" w:rsidRDefault="00C34AA2" w:rsidP="00C34AA2">
            <w:pPr>
              <w:jc w:val="center"/>
              <w:rPr>
                <w:sz w:val="22"/>
                <w:szCs w:val="22"/>
                <w:lang w:val="el-GR"/>
              </w:rPr>
            </w:pPr>
            <w:r>
              <w:rPr>
                <w:sz w:val="22"/>
                <w:szCs w:val="22"/>
                <w:lang w:val="el-GR"/>
              </w:rPr>
              <w:t>5</w:t>
            </w:r>
          </w:p>
        </w:tc>
      </w:tr>
      <w:tr w:rsidR="00C34AA2" w:rsidTr="00C34AA2">
        <w:tc>
          <w:tcPr>
            <w:tcW w:w="4820" w:type="dxa"/>
            <w:gridSpan w:val="9"/>
            <w:tcBorders>
              <w:top w:val="single" w:sz="36" w:space="0" w:color="auto"/>
              <w:bottom w:val="single" w:sz="2" w:space="0" w:color="auto"/>
            </w:tcBorders>
          </w:tcPr>
          <w:p w:rsidR="00C34AA2" w:rsidRPr="0061533C" w:rsidRDefault="00C34AA2" w:rsidP="00C34AA2">
            <w:pPr>
              <w:jc w:val="right"/>
              <w:rPr>
                <w:b/>
                <w:sz w:val="16"/>
                <w:szCs w:val="16"/>
                <w:lang w:val="el-GR"/>
              </w:rPr>
            </w:pPr>
            <w:r w:rsidRPr="0061533C">
              <w:rPr>
                <w:b/>
                <w:sz w:val="16"/>
                <w:szCs w:val="16"/>
                <w:lang w:val="el-GR"/>
              </w:rPr>
              <w:t>% αναγκαίας ημερήσιας κατανάλωσης</w:t>
            </w:r>
          </w:p>
        </w:tc>
      </w:tr>
      <w:tr w:rsidR="00C34AA2" w:rsidTr="00C34AA2">
        <w:tc>
          <w:tcPr>
            <w:tcW w:w="2300" w:type="dxa"/>
            <w:gridSpan w:val="2"/>
            <w:tcBorders>
              <w:top w:val="single" w:sz="2" w:space="0" w:color="auto"/>
              <w:bottom w:val="single" w:sz="2" w:space="0" w:color="auto"/>
              <w:right w:val="nil"/>
            </w:tcBorders>
          </w:tcPr>
          <w:p w:rsidR="00C34AA2" w:rsidRPr="00301489" w:rsidRDefault="00C34AA2" w:rsidP="00C34AA2">
            <w:pPr>
              <w:rPr>
                <w:sz w:val="18"/>
                <w:szCs w:val="18"/>
                <w:lang w:val="el-GR"/>
              </w:rPr>
            </w:pPr>
            <w:r w:rsidRPr="00301489">
              <w:rPr>
                <w:b/>
                <w:sz w:val="18"/>
                <w:szCs w:val="18"/>
                <w:lang w:val="el-GR"/>
              </w:rPr>
              <w:t xml:space="preserve">Συνολικά λίπη </w:t>
            </w:r>
            <w:r w:rsidRPr="00301489">
              <w:rPr>
                <w:sz w:val="18"/>
                <w:szCs w:val="18"/>
                <w:lang w:val="el-GR"/>
              </w:rPr>
              <w:t>0.5 γρ*</w:t>
            </w:r>
          </w:p>
        </w:tc>
        <w:tc>
          <w:tcPr>
            <w:tcW w:w="1276" w:type="dxa"/>
            <w:gridSpan w:val="6"/>
            <w:tcBorders>
              <w:top w:val="single" w:sz="2" w:space="0" w:color="auto"/>
              <w:left w:val="nil"/>
              <w:bottom w:val="single" w:sz="2" w:space="0" w:color="auto"/>
              <w:right w:val="nil"/>
            </w:tcBorders>
          </w:tcPr>
          <w:p w:rsidR="00C34AA2" w:rsidRPr="00EB5A3B" w:rsidRDefault="00C34AA2" w:rsidP="00C34AA2">
            <w:pPr>
              <w:jc w:val="center"/>
              <w:rPr>
                <w:b/>
                <w:sz w:val="22"/>
                <w:szCs w:val="22"/>
                <w:lang w:val="el-GR"/>
              </w:rPr>
            </w:pPr>
            <w:r w:rsidRPr="00EB5A3B">
              <w:rPr>
                <w:b/>
                <w:sz w:val="22"/>
                <w:szCs w:val="22"/>
                <w:lang w:val="el-GR"/>
              </w:rPr>
              <w:t>1%</w:t>
            </w:r>
          </w:p>
        </w:tc>
        <w:tc>
          <w:tcPr>
            <w:tcW w:w="1244" w:type="dxa"/>
            <w:tcBorders>
              <w:top w:val="single" w:sz="2" w:space="0" w:color="auto"/>
              <w:left w:val="nil"/>
              <w:bottom w:val="single" w:sz="2" w:space="0" w:color="auto"/>
            </w:tcBorders>
          </w:tcPr>
          <w:p w:rsidR="00C34AA2" w:rsidRPr="00EB5A3B" w:rsidRDefault="00C34AA2" w:rsidP="00C34AA2">
            <w:pPr>
              <w:jc w:val="center"/>
              <w:rPr>
                <w:b/>
                <w:sz w:val="22"/>
                <w:szCs w:val="22"/>
                <w:lang w:val="el-GR"/>
              </w:rPr>
            </w:pPr>
            <w:r w:rsidRPr="00EB5A3B">
              <w:rPr>
                <w:b/>
                <w:sz w:val="22"/>
                <w:szCs w:val="22"/>
                <w:lang w:val="el-GR"/>
              </w:rPr>
              <w:t>1%</w:t>
            </w:r>
          </w:p>
        </w:tc>
      </w:tr>
      <w:tr w:rsidR="00C34AA2" w:rsidTr="00C34AA2">
        <w:tc>
          <w:tcPr>
            <w:tcW w:w="2300" w:type="dxa"/>
            <w:gridSpan w:val="2"/>
            <w:tcBorders>
              <w:top w:val="single" w:sz="2" w:space="0" w:color="auto"/>
              <w:right w:val="nil"/>
            </w:tcBorders>
          </w:tcPr>
          <w:p w:rsidR="00C34AA2" w:rsidRPr="00301489" w:rsidRDefault="00C34AA2" w:rsidP="00C34AA2">
            <w:pPr>
              <w:rPr>
                <w:sz w:val="18"/>
                <w:szCs w:val="18"/>
                <w:lang w:val="el-GR"/>
              </w:rPr>
            </w:pPr>
            <w:r w:rsidRPr="00301489">
              <w:rPr>
                <w:sz w:val="18"/>
                <w:szCs w:val="18"/>
                <w:lang w:val="el-GR"/>
              </w:rPr>
              <w:t xml:space="preserve">  Κορεσμένα Λίπη</w:t>
            </w:r>
          </w:p>
        </w:tc>
        <w:tc>
          <w:tcPr>
            <w:tcW w:w="1276" w:type="dxa"/>
            <w:gridSpan w:val="6"/>
            <w:tcBorders>
              <w:top w:val="single" w:sz="2" w:space="0" w:color="auto"/>
              <w:left w:val="nil"/>
              <w:right w:val="nil"/>
            </w:tcBorders>
          </w:tcPr>
          <w:p w:rsidR="00C34AA2" w:rsidRPr="00EB5A3B" w:rsidRDefault="00C34AA2" w:rsidP="00C34AA2">
            <w:pPr>
              <w:jc w:val="center"/>
              <w:rPr>
                <w:b/>
                <w:sz w:val="22"/>
                <w:szCs w:val="22"/>
                <w:lang w:val="el-GR"/>
              </w:rPr>
            </w:pPr>
            <w:r w:rsidRPr="00EB5A3B">
              <w:rPr>
                <w:b/>
                <w:sz w:val="22"/>
                <w:szCs w:val="22"/>
                <w:lang w:val="el-GR"/>
              </w:rPr>
              <w:t>0%</w:t>
            </w:r>
          </w:p>
        </w:tc>
        <w:tc>
          <w:tcPr>
            <w:tcW w:w="1244" w:type="dxa"/>
            <w:tcBorders>
              <w:top w:val="single" w:sz="2" w:space="0" w:color="auto"/>
              <w:left w:val="nil"/>
            </w:tcBorders>
          </w:tcPr>
          <w:p w:rsidR="00C34AA2" w:rsidRPr="00EB5A3B" w:rsidRDefault="00C34AA2" w:rsidP="00C34AA2">
            <w:pPr>
              <w:jc w:val="center"/>
              <w:rPr>
                <w:b/>
                <w:sz w:val="22"/>
                <w:szCs w:val="22"/>
                <w:lang w:val="el-GR"/>
              </w:rPr>
            </w:pPr>
            <w:r w:rsidRPr="00EB5A3B">
              <w:rPr>
                <w:b/>
                <w:sz w:val="22"/>
                <w:szCs w:val="22"/>
                <w:lang w:val="el-GR"/>
              </w:rPr>
              <w:t>0%</w:t>
            </w:r>
          </w:p>
        </w:tc>
      </w:tr>
      <w:tr w:rsidR="00C34AA2" w:rsidTr="00C34AA2">
        <w:tc>
          <w:tcPr>
            <w:tcW w:w="2300" w:type="dxa"/>
            <w:gridSpan w:val="2"/>
            <w:tcBorders>
              <w:top w:val="single" w:sz="2" w:space="0" w:color="auto"/>
              <w:right w:val="nil"/>
            </w:tcBorders>
          </w:tcPr>
          <w:p w:rsidR="00C34AA2" w:rsidRPr="00301489" w:rsidRDefault="00C34AA2" w:rsidP="00C34AA2">
            <w:pPr>
              <w:rPr>
                <w:sz w:val="18"/>
                <w:szCs w:val="18"/>
                <w:lang w:val="el-GR"/>
              </w:rPr>
            </w:pPr>
            <w:r w:rsidRPr="00301489">
              <w:rPr>
                <w:sz w:val="18"/>
                <w:szCs w:val="18"/>
                <w:lang w:val="el-GR"/>
              </w:rPr>
              <w:t xml:space="preserve">  Πολυακόρεστα Λίπη 0γρ</w:t>
            </w:r>
          </w:p>
        </w:tc>
        <w:tc>
          <w:tcPr>
            <w:tcW w:w="1276" w:type="dxa"/>
            <w:gridSpan w:val="6"/>
            <w:tcBorders>
              <w:top w:val="single" w:sz="2" w:space="0" w:color="auto"/>
              <w:left w:val="nil"/>
              <w:right w:val="nil"/>
            </w:tcBorders>
          </w:tcPr>
          <w:p w:rsidR="00C34AA2" w:rsidRPr="00EB5A3B" w:rsidRDefault="00C34AA2" w:rsidP="00C34AA2">
            <w:pPr>
              <w:jc w:val="center"/>
              <w:rPr>
                <w:b/>
                <w:sz w:val="22"/>
                <w:szCs w:val="22"/>
                <w:lang w:val="el-GR"/>
              </w:rPr>
            </w:pPr>
          </w:p>
        </w:tc>
        <w:tc>
          <w:tcPr>
            <w:tcW w:w="1244" w:type="dxa"/>
            <w:tcBorders>
              <w:top w:val="single" w:sz="2" w:space="0" w:color="auto"/>
              <w:left w:val="nil"/>
            </w:tcBorders>
          </w:tcPr>
          <w:p w:rsidR="00C34AA2" w:rsidRPr="00EB5A3B" w:rsidRDefault="00C34AA2" w:rsidP="00C34AA2">
            <w:pPr>
              <w:jc w:val="center"/>
              <w:rPr>
                <w:b/>
                <w:sz w:val="22"/>
                <w:szCs w:val="22"/>
                <w:lang w:val="el-GR"/>
              </w:rPr>
            </w:pPr>
          </w:p>
        </w:tc>
      </w:tr>
      <w:tr w:rsidR="00C34AA2" w:rsidTr="00C34AA2">
        <w:tc>
          <w:tcPr>
            <w:tcW w:w="2300" w:type="dxa"/>
            <w:gridSpan w:val="2"/>
            <w:tcBorders>
              <w:top w:val="single" w:sz="2" w:space="0" w:color="auto"/>
              <w:right w:val="nil"/>
            </w:tcBorders>
          </w:tcPr>
          <w:p w:rsidR="00C34AA2" w:rsidRPr="00301489" w:rsidRDefault="00C34AA2" w:rsidP="00C34AA2">
            <w:pPr>
              <w:rPr>
                <w:sz w:val="18"/>
                <w:szCs w:val="18"/>
                <w:lang w:val="el-GR"/>
              </w:rPr>
            </w:pPr>
            <w:r w:rsidRPr="00301489">
              <w:rPr>
                <w:sz w:val="18"/>
                <w:szCs w:val="18"/>
                <w:lang w:val="el-GR"/>
              </w:rPr>
              <w:t xml:space="preserve">  Μονοακόρεστα Λίπη 0γρ</w:t>
            </w:r>
          </w:p>
        </w:tc>
        <w:tc>
          <w:tcPr>
            <w:tcW w:w="1276" w:type="dxa"/>
            <w:gridSpan w:val="6"/>
            <w:tcBorders>
              <w:top w:val="single" w:sz="2" w:space="0" w:color="auto"/>
              <w:left w:val="nil"/>
              <w:right w:val="nil"/>
            </w:tcBorders>
          </w:tcPr>
          <w:p w:rsidR="00C34AA2" w:rsidRPr="00EB5A3B" w:rsidRDefault="00C34AA2" w:rsidP="00C34AA2">
            <w:pPr>
              <w:jc w:val="center"/>
              <w:rPr>
                <w:b/>
                <w:sz w:val="22"/>
                <w:szCs w:val="22"/>
                <w:lang w:val="el-GR"/>
              </w:rPr>
            </w:pPr>
          </w:p>
        </w:tc>
        <w:tc>
          <w:tcPr>
            <w:tcW w:w="1244" w:type="dxa"/>
            <w:tcBorders>
              <w:top w:val="single" w:sz="2" w:space="0" w:color="auto"/>
              <w:left w:val="nil"/>
            </w:tcBorders>
          </w:tcPr>
          <w:p w:rsidR="00C34AA2" w:rsidRPr="00EB5A3B" w:rsidRDefault="00C34AA2" w:rsidP="00C34AA2">
            <w:pPr>
              <w:jc w:val="center"/>
              <w:rPr>
                <w:b/>
                <w:sz w:val="22"/>
                <w:szCs w:val="22"/>
                <w:lang w:val="el-GR"/>
              </w:rPr>
            </w:pPr>
          </w:p>
        </w:tc>
      </w:tr>
      <w:tr w:rsidR="00C34AA2" w:rsidTr="00C34AA2">
        <w:tc>
          <w:tcPr>
            <w:tcW w:w="2300" w:type="dxa"/>
            <w:gridSpan w:val="2"/>
            <w:tcBorders>
              <w:top w:val="single" w:sz="2" w:space="0" w:color="auto"/>
              <w:right w:val="nil"/>
            </w:tcBorders>
          </w:tcPr>
          <w:p w:rsidR="00C34AA2" w:rsidRPr="00301489" w:rsidRDefault="00C34AA2" w:rsidP="00C34AA2">
            <w:pPr>
              <w:rPr>
                <w:sz w:val="18"/>
                <w:szCs w:val="18"/>
                <w:lang w:val="el-GR"/>
              </w:rPr>
            </w:pPr>
            <w:r w:rsidRPr="00301489">
              <w:rPr>
                <w:b/>
                <w:sz w:val="18"/>
                <w:szCs w:val="18"/>
                <w:lang w:val="el-GR"/>
              </w:rPr>
              <w:t>Χοληστερόλη</w:t>
            </w:r>
            <w:r w:rsidRPr="00301489">
              <w:rPr>
                <w:sz w:val="18"/>
                <w:szCs w:val="18"/>
                <w:lang w:val="el-GR"/>
              </w:rPr>
              <w:t xml:space="preserve"> 0μγρ</w:t>
            </w:r>
          </w:p>
        </w:tc>
        <w:tc>
          <w:tcPr>
            <w:tcW w:w="1276" w:type="dxa"/>
            <w:gridSpan w:val="6"/>
            <w:tcBorders>
              <w:top w:val="single" w:sz="2" w:space="0" w:color="auto"/>
              <w:left w:val="nil"/>
              <w:right w:val="nil"/>
            </w:tcBorders>
          </w:tcPr>
          <w:p w:rsidR="00C34AA2" w:rsidRPr="00EB5A3B" w:rsidRDefault="00C34AA2" w:rsidP="00C34AA2">
            <w:pPr>
              <w:jc w:val="center"/>
              <w:rPr>
                <w:b/>
                <w:sz w:val="22"/>
                <w:szCs w:val="22"/>
                <w:lang w:val="el-GR"/>
              </w:rPr>
            </w:pPr>
            <w:r w:rsidRPr="00EB5A3B">
              <w:rPr>
                <w:b/>
                <w:sz w:val="22"/>
                <w:szCs w:val="22"/>
                <w:lang w:val="el-GR"/>
              </w:rPr>
              <w:t>0%</w:t>
            </w:r>
          </w:p>
        </w:tc>
        <w:tc>
          <w:tcPr>
            <w:tcW w:w="1244" w:type="dxa"/>
            <w:tcBorders>
              <w:top w:val="single" w:sz="2" w:space="0" w:color="auto"/>
              <w:left w:val="nil"/>
            </w:tcBorders>
          </w:tcPr>
          <w:p w:rsidR="00C34AA2" w:rsidRPr="00EB5A3B" w:rsidRDefault="00C34AA2" w:rsidP="00C34AA2">
            <w:pPr>
              <w:jc w:val="center"/>
              <w:rPr>
                <w:b/>
                <w:sz w:val="22"/>
                <w:szCs w:val="22"/>
                <w:lang w:val="el-GR"/>
              </w:rPr>
            </w:pPr>
            <w:r w:rsidRPr="00EB5A3B">
              <w:rPr>
                <w:b/>
                <w:sz w:val="22"/>
                <w:szCs w:val="22"/>
                <w:lang w:val="el-GR"/>
              </w:rPr>
              <w:t>0%</w:t>
            </w:r>
          </w:p>
        </w:tc>
      </w:tr>
      <w:tr w:rsidR="00C34AA2" w:rsidTr="00C34AA2">
        <w:tc>
          <w:tcPr>
            <w:tcW w:w="2300" w:type="dxa"/>
            <w:gridSpan w:val="2"/>
            <w:tcBorders>
              <w:top w:val="single" w:sz="2" w:space="0" w:color="auto"/>
              <w:right w:val="nil"/>
            </w:tcBorders>
          </w:tcPr>
          <w:p w:rsidR="00C34AA2" w:rsidRPr="00301489" w:rsidRDefault="00C34AA2" w:rsidP="00C34AA2">
            <w:pPr>
              <w:rPr>
                <w:sz w:val="18"/>
                <w:szCs w:val="18"/>
                <w:lang w:val="el-GR"/>
              </w:rPr>
            </w:pPr>
            <w:r w:rsidRPr="00301489">
              <w:rPr>
                <w:b/>
                <w:sz w:val="18"/>
                <w:szCs w:val="18"/>
                <w:lang w:val="el-GR"/>
              </w:rPr>
              <w:t>Νάτριο</w:t>
            </w:r>
            <w:r w:rsidRPr="00301489">
              <w:rPr>
                <w:sz w:val="18"/>
                <w:szCs w:val="18"/>
                <w:lang w:val="el-GR"/>
              </w:rPr>
              <w:t xml:space="preserve"> 230μγρ</w:t>
            </w:r>
          </w:p>
        </w:tc>
        <w:tc>
          <w:tcPr>
            <w:tcW w:w="1276" w:type="dxa"/>
            <w:gridSpan w:val="6"/>
            <w:tcBorders>
              <w:top w:val="single" w:sz="2" w:space="0" w:color="auto"/>
              <w:left w:val="nil"/>
              <w:right w:val="nil"/>
            </w:tcBorders>
          </w:tcPr>
          <w:p w:rsidR="00C34AA2" w:rsidRPr="00EB5A3B" w:rsidRDefault="00C34AA2" w:rsidP="00C34AA2">
            <w:pPr>
              <w:jc w:val="center"/>
              <w:rPr>
                <w:b/>
                <w:sz w:val="22"/>
                <w:szCs w:val="22"/>
                <w:lang w:val="el-GR"/>
              </w:rPr>
            </w:pPr>
            <w:r w:rsidRPr="00EB5A3B">
              <w:rPr>
                <w:b/>
                <w:sz w:val="22"/>
                <w:szCs w:val="22"/>
                <w:lang w:val="el-GR"/>
              </w:rPr>
              <w:t>10%</w:t>
            </w:r>
          </w:p>
        </w:tc>
        <w:tc>
          <w:tcPr>
            <w:tcW w:w="1244" w:type="dxa"/>
            <w:tcBorders>
              <w:top w:val="single" w:sz="2" w:space="0" w:color="auto"/>
              <w:left w:val="nil"/>
            </w:tcBorders>
          </w:tcPr>
          <w:p w:rsidR="00C34AA2" w:rsidRPr="00EB5A3B" w:rsidRDefault="00C34AA2" w:rsidP="00C34AA2">
            <w:pPr>
              <w:jc w:val="center"/>
              <w:rPr>
                <w:b/>
                <w:sz w:val="22"/>
                <w:szCs w:val="22"/>
                <w:lang w:val="el-GR"/>
              </w:rPr>
            </w:pPr>
            <w:r w:rsidRPr="00EB5A3B">
              <w:rPr>
                <w:b/>
                <w:sz w:val="22"/>
                <w:szCs w:val="22"/>
                <w:lang w:val="el-GR"/>
              </w:rPr>
              <w:t>12%</w:t>
            </w:r>
          </w:p>
        </w:tc>
      </w:tr>
      <w:tr w:rsidR="00C34AA2" w:rsidTr="00C34AA2">
        <w:tc>
          <w:tcPr>
            <w:tcW w:w="2300" w:type="dxa"/>
            <w:gridSpan w:val="2"/>
            <w:tcBorders>
              <w:top w:val="single" w:sz="2" w:space="0" w:color="auto"/>
              <w:right w:val="nil"/>
            </w:tcBorders>
          </w:tcPr>
          <w:p w:rsidR="00C34AA2" w:rsidRPr="00301489" w:rsidRDefault="00C34AA2" w:rsidP="00C34AA2">
            <w:pPr>
              <w:rPr>
                <w:sz w:val="18"/>
                <w:szCs w:val="18"/>
                <w:lang w:val="el-GR"/>
              </w:rPr>
            </w:pPr>
            <w:r w:rsidRPr="00301489">
              <w:rPr>
                <w:b/>
                <w:sz w:val="18"/>
                <w:szCs w:val="18"/>
                <w:lang w:val="el-GR"/>
              </w:rPr>
              <w:t>Κάλιο</w:t>
            </w:r>
            <w:r w:rsidRPr="00301489">
              <w:rPr>
                <w:sz w:val="18"/>
                <w:szCs w:val="18"/>
                <w:lang w:val="el-GR"/>
              </w:rPr>
              <w:t xml:space="preserve">  170 μγρ</w:t>
            </w:r>
          </w:p>
        </w:tc>
        <w:tc>
          <w:tcPr>
            <w:tcW w:w="1276" w:type="dxa"/>
            <w:gridSpan w:val="6"/>
            <w:tcBorders>
              <w:top w:val="single" w:sz="2" w:space="0" w:color="auto"/>
              <w:left w:val="nil"/>
              <w:right w:val="nil"/>
            </w:tcBorders>
          </w:tcPr>
          <w:p w:rsidR="00C34AA2" w:rsidRPr="00EB5A3B" w:rsidRDefault="00C34AA2" w:rsidP="00C34AA2">
            <w:pPr>
              <w:jc w:val="center"/>
              <w:rPr>
                <w:b/>
                <w:sz w:val="22"/>
                <w:szCs w:val="22"/>
                <w:lang w:val="el-GR"/>
              </w:rPr>
            </w:pPr>
            <w:r w:rsidRPr="00EB5A3B">
              <w:rPr>
                <w:b/>
                <w:sz w:val="22"/>
                <w:szCs w:val="22"/>
                <w:lang w:val="el-GR"/>
              </w:rPr>
              <w:t>5%</w:t>
            </w:r>
          </w:p>
        </w:tc>
        <w:tc>
          <w:tcPr>
            <w:tcW w:w="1244" w:type="dxa"/>
            <w:tcBorders>
              <w:top w:val="single" w:sz="2" w:space="0" w:color="auto"/>
              <w:left w:val="nil"/>
            </w:tcBorders>
          </w:tcPr>
          <w:p w:rsidR="00C34AA2" w:rsidRPr="00EB5A3B" w:rsidRDefault="00C34AA2" w:rsidP="00C34AA2">
            <w:pPr>
              <w:jc w:val="center"/>
              <w:rPr>
                <w:b/>
                <w:sz w:val="22"/>
                <w:szCs w:val="22"/>
                <w:lang w:val="el-GR"/>
              </w:rPr>
            </w:pPr>
            <w:r w:rsidRPr="00EB5A3B">
              <w:rPr>
                <w:b/>
                <w:sz w:val="22"/>
                <w:szCs w:val="22"/>
                <w:lang w:val="el-GR"/>
              </w:rPr>
              <w:t>11%</w:t>
            </w:r>
          </w:p>
        </w:tc>
      </w:tr>
      <w:tr w:rsidR="00C34AA2" w:rsidTr="00C34AA2">
        <w:tc>
          <w:tcPr>
            <w:tcW w:w="2300" w:type="dxa"/>
            <w:gridSpan w:val="2"/>
            <w:tcBorders>
              <w:top w:val="single" w:sz="2" w:space="0" w:color="auto"/>
              <w:right w:val="nil"/>
            </w:tcBorders>
          </w:tcPr>
          <w:p w:rsidR="00C34AA2" w:rsidRPr="00301489" w:rsidRDefault="00C34AA2" w:rsidP="00C34AA2">
            <w:pPr>
              <w:rPr>
                <w:b/>
                <w:sz w:val="18"/>
                <w:szCs w:val="18"/>
                <w:lang w:val="el-GR"/>
              </w:rPr>
            </w:pPr>
            <w:r w:rsidRPr="00301489">
              <w:rPr>
                <w:b/>
                <w:sz w:val="18"/>
                <w:szCs w:val="18"/>
                <w:lang w:val="el-GR"/>
              </w:rPr>
              <w:t>Συνολικοί</w:t>
            </w:r>
          </w:p>
          <w:p w:rsidR="00C34AA2" w:rsidRPr="00301489" w:rsidRDefault="00C34AA2" w:rsidP="00C34AA2">
            <w:pPr>
              <w:rPr>
                <w:sz w:val="18"/>
                <w:szCs w:val="18"/>
                <w:lang w:val="el-GR"/>
              </w:rPr>
            </w:pPr>
            <w:r w:rsidRPr="00301489">
              <w:rPr>
                <w:b/>
                <w:sz w:val="18"/>
                <w:szCs w:val="18"/>
                <w:lang w:val="el-GR"/>
              </w:rPr>
              <w:t>Υδατάνθρακες</w:t>
            </w:r>
            <w:r w:rsidRPr="00301489">
              <w:rPr>
                <w:sz w:val="18"/>
                <w:szCs w:val="18"/>
                <w:lang w:val="el-GR"/>
              </w:rPr>
              <w:t xml:space="preserve"> 24γρ</w:t>
            </w:r>
          </w:p>
        </w:tc>
        <w:tc>
          <w:tcPr>
            <w:tcW w:w="1276" w:type="dxa"/>
            <w:gridSpan w:val="6"/>
            <w:tcBorders>
              <w:top w:val="single" w:sz="2" w:space="0" w:color="auto"/>
              <w:left w:val="nil"/>
              <w:right w:val="nil"/>
            </w:tcBorders>
          </w:tcPr>
          <w:p w:rsidR="00C34AA2" w:rsidRPr="00EB5A3B" w:rsidRDefault="00C34AA2" w:rsidP="00C34AA2">
            <w:pPr>
              <w:jc w:val="center"/>
              <w:rPr>
                <w:b/>
                <w:sz w:val="22"/>
                <w:szCs w:val="22"/>
                <w:lang w:val="el-GR"/>
              </w:rPr>
            </w:pPr>
          </w:p>
          <w:p w:rsidR="00C34AA2" w:rsidRPr="00EB5A3B" w:rsidRDefault="00C34AA2" w:rsidP="00C34AA2">
            <w:pPr>
              <w:jc w:val="center"/>
              <w:rPr>
                <w:b/>
                <w:sz w:val="22"/>
                <w:szCs w:val="22"/>
                <w:lang w:val="el-GR"/>
              </w:rPr>
            </w:pPr>
            <w:r w:rsidRPr="00EB5A3B">
              <w:rPr>
                <w:b/>
                <w:sz w:val="22"/>
                <w:szCs w:val="22"/>
                <w:lang w:val="el-GR"/>
              </w:rPr>
              <w:t>8%</w:t>
            </w:r>
          </w:p>
        </w:tc>
        <w:tc>
          <w:tcPr>
            <w:tcW w:w="1244" w:type="dxa"/>
            <w:tcBorders>
              <w:top w:val="single" w:sz="2" w:space="0" w:color="auto"/>
              <w:left w:val="nil"/>
            </w:tcBorders>
          </w:tcPr>
          <w:p w:rsidR="00C34AA2" w:rsidRPr="00EB5A3B" w:rsidRDefault="00C34AA2" w:rsidP="00C34AA2">
            <w:pPr>
              <w:jc w:val="center"/>
              <w:rPr>
                <w:b/>
                <w:sz w:val="22"/>
                <w:szCs w:val="22"/>
                <w:lang w:val="el-GR"/>
              </w:rPr>
            </w:pPr>
          </w:p>
          <w:p w:rsidR="00C34AA2" w:rsidRPr="00EB5A3B" w:rsidRDefault="00C34AA2" w:rsidP="00C34AA2">
            <w:pPr>
              <w:jc w:val="center"/>
              <w:rPr>
                <w:b/>
                <w:sz w:val="22"/>
                <w:szCs w:val="22"/>
                <w:lang w:val="el-GR"/>
              </w:rPr>
            </w:pPr>
            <w:r w:rsidRPr="00EB5A3B">
              <w:rPr>
                <w:b/>
                <w:sz w:val="22"/>
                <w:szCs w:val="22"/>
                <w:lang w:val="el-GR"/>
              </w:rPr>
              <w:t>10%</w:t>
            </w:r>
          </w:p>
        </w:tc>
      </w:tr>
      <w:tr w:rsidR="00C34AA2" w:rsidTr="00C34AA2">
        <w:tc>
          <w:tcPr>
            <w:tcW w:w="2300" w:type="dxa"/>
            <w:gridSpan w:val="2"/>
            <w:tcBorders>
              <w:top w:val="single" w:sz="2" w:space="0" w:color="auto"/>
              <w:right w:val="nil"/>
            </w:tcBorders>
          </w:tcPr>
          <w:p w:rsidR="00C34AA2" w:rsidRPr="00301489" w:rsidRDefault="00C34AA2" w:rsidP="00C34AA2">
            <w:pPr>
              <w:rPr>
                <w:sz w:val="18"/>
                <w:szCs w:val="18"/>
                <w:lang w:val="el-GR"/>
              </w:rPr>
            </w:pPr>
            <w:r w:rsidRPr="00301489">
              <w:rPr>
                <w:sz w:val="18"/>
                <w:szCs w:val="18"/>
                <w:lang w:val="el-GR"/>
              </w:rPr>
              <w:t xml:space="preserve">  Φυτικές ίνες 5γρ</w:t>
            </w:r>
          </w:p>
        </w:tc>
        <w:tc>
          <w:tcPr>
            <w:tcW w:w="1276" w:type="dxa"/>
            <w:gridSpan w:val="6"/>
            <w:tcBorders>
              <w:top w:val="single" w:sz="2" w:space="0" w:color="auto"/>
              <w:left w:val="nil"/>
              <w:right w:val="nil"/>
            </w:tcBorders>
          </w:tcPr>
          <w:p w:rsidR="00C34AA2" w:rsidRPr="00EB5A3B" w:rsidRDefault="00C34AA2" w:rsidP="00C34AA2">
            <w:pPr>
              <w:jc w:val="center"/>
              <w:rPr>
                <w:b/>
                <w:sz w:val="22"/>
                <w:szCs w:val="22"/>
                <w:lang w:val="el-GR"/>
              </w:rPr>
            </w:pPr>
            <w:r w:rsidRPr="00EB5A3B">
              <w:rPr>
                <w:b/>
                <w:sz w:val="22"/>
                <w:szCs w:val="22"/>
                <w:lang w:val="el-GR"/>
              </w:rPr>
              <w:t>20%</w:t>
            </w:r>
          </w:p>
        </w:tc>
        <w:tc>
          <w:tcPr>
            <w:tcW w:w="1244" w:type="dxa"/>
            <w:tcBorders>
              <w:top w:val="single" w:sz="2" w:space="0" w:color="auto"/>
              <w:left w:val="nil"/>
            </w:tcBorders>
          </w:tcPr>
          <w:p w:rsidR="00C34AA2" w:rsidRPr="00EB5A3B" w:rsidRDefault="00C34AA2" w:rsidP="00C34AA2">
            <w:pPr>
              <w:jc w:val="center"/>
              <w:rPr>
                <w:b/>
                <w:sz w:val="22"/>
                <w:szCs w:val="22"/>
                <w:lang w:val="el-GR"/>
              </w:rPr>
            </w:pPr>
            <w:r w:rsidRPr="00EB5A3B">
              <w:rPr>
                <w:b/>
                <w:sz w:val="22"/>
                <w:szCs w:val="22"/>
                <w:lang w:val="el-GR"/>
              </w:rPr>
              <w:t>20%</w:t>
            </w:r>
          </w:p>
        </w:tc>
      </w:tr>
      <w:tr w:rsidR="00C34AA2" w:rsidTr="00C34AA2">
        <w:tc>
          <w:tcPr>
            <w:tcW w:w="2725" w:type="dxa"/>
            <w:gridSpan w:val="4"/>
            <w:tcBorders>
              <w:top w:val="single" w:sz="2" w:space="0" w:color="auto"/>
              <w:right w:val="nil"/>
            </w:tcBorders>
          </w:tcPr>
          <w:p w:rsidR="00C34AA2" w:rsidRPr="00301489" w:rsidRDefault="00C34AA2" w:rsidP="00C34AA2">
            <w:pPr>
              <w:rPr>
                <w:sz w:val="18"/>
                <w:szCs w:val="18"/>
                <w:lang w:val="el-GR"/>
              </w:rPr>
            </w:pPr>
            <w:r w:rsidRPr="00301489">
              <w:rPr>
                <w:sz w:val="18"/>
                <w:szCs w:val="18"/>
                <w:lang w:val="el-GR"/>
              </w:rPr>
              <w:t xml:space="preserve">  Διαλυτές φυτικές ίνες 0γρ</w:t>
            </w:r>
          </w:p>
        </w:tc>
        <w:tc>
          <w:tcPr>
            <w:tcW w:w="851" w:type="dxa"/>
            <w:gridSpan w:val="4"/>
            <w:tcBorders>
              <w:top w:val="single" w:sz="2" w:space="0" w:color="auto"/>
              <w:left w:val="nil"/>
              <w:right w:val="nil"/>
            </w:tcBorders>
          </w:tcPr>
          <w:p w:rsidR="00C34AA2" w:rsidRPr="00317C1E" w:rsidRDefault="00C34AA2" w:rsidP="00C34AA2">
            <w:pPr>
              <w:rPr>
                <w:sz w:val="22"/>
                <w:szCs w:val="22"/>
                <w:lang w:val="el-GR"/>
              </w:rPr>
            </w:pPr>
          </w:p>
        </w:tc>
        <w:tc>
          <w:tcPr>
            <w:tcW w:w="1244" w:type="dxa"/>
            <w:tcBorders>
              <w:top w:val="single" w:sz="2" w:space="0" w:color="auto"/>
              <w:left w:val="nil"/>
            </w:tcBorders>
          </w:tcPr>
          <w:p w:rsidR="00C34AA2" w:rsidRPr="00317C1E" w:rsidRDefault="00C34AA2" w:rsidP="00C34AA2">
            <w:pPr>
              <w:rPr>
                <w:sz w:val="22"/>
                <w:szCs w:val="22"/>
                <w:lang w:val="el-GR"/>
              </w:rPr>
            </w:pPr>
          </w:p>
        </w:tc>
      </w:tr>
      <w:tr w:rsidR="00C34AA2" w:rsidTr="00C34AA2">
        <w:tc>
          <w:tcPr>
            <w:tcW w:w="3119" w:type="dxa"/>
            <w:gridSpan w:val="7"/>
            <w:tcBorders>
              <w:top w:val="single" w:sz="2" w:space="0" w:color="auto"/>
              <w:right w:val="nil"/>
            </w:tcBorders>
          </w:tcPr>
          <w:p w:rsidR="00C34AA2" w:rsidRPr="00301489" w:rsidRDefault="00C34AA2" w:rsidP="00C34AA2">
            <w:pPr>
              <w:rPr>
                <w:sz w:val="18"/>
                <w:szCs w:val="18"/>
                <w:lang w:val="el-GR"/>
              </w:rPr>
            </w:pPr>
            <w:r w:rsidRPr="00301489">
              <w:rPr>
                <w:sz w:val="18"/>
                <w:szCs w:val="18"/>
                <w:lang w:val="el-GR"/>
              </w:rPr>
              <w:t xml:space="preserve">  Αδιάλυτες φυτικές ίνες 5γρ</w:t>
            </w:r>
          </w:p>
        </w:tc>
        <w:tc>
          <w:tcPr>
            <w:tcW w:w="457" w:type="dxa"/>
            <w:tcBorders>
              <w:top w:val="single" w:sz="2" w:space="0" w:color="auto"/>
              <w:left w:val="nil"/>
              <w:right w:val="nil"/>
            </w:tcBorders>
          </w:tcPr>
          <w:p w:rsidR="00C34AA2" w:rsidRPr="00317C1E" w:rsidRDefault="00C34AA2" w:rsidP="00C34AA2">
            <w:pPr>
              <w:rPr>
                <w:sz w:val="22"/>
                <w:szCs w:val="22"/>
                <w:lang w:val="el-GR"/>
              </w:rPr>
            </w:pPr>
          </w:p>
        </w:tc>
        <w:tc>
          <w:tcPr>
            <w:tcW w:w="1244" w:type="dxa"/>
            <w:tcBorders>
              <w:top w:val="single" w:sz="2" w:space="0" w:color="auto"/>
              <w:left w:val="nil"/>
            </w:tcBorders>
          </w:tcPr>
          <w:p w:rsidR="00C34AA2" w:rsidRPr="00317C1E" w:rsidRDefault="00C34AA2" w:rsidP="00C34AA2">
            <w:pPr>
              <w:rPr>
                <w:sz w:val="22"/>
                <w:szCs w:val="22"/>
                <w:lang w:val="el-GR"/>
              </w:rPr>
            </w:pPr>
          </w:p>
        </w:tc>
      </w:tr>
      <w:tr w:rsidR="00C34AA2" w:rsidTr="00C34AA2">
        <w:tc>
          <w:tcPr>
            <w:tcW w:w="2835" w:type="dxa"/>
            <w:gridSpan w:val="5"/>
            <w:tcBorders>
              <w:top w:val="single" w:sz="2" w:space="0" w:color="auto"/>
              <w:right w:val="nil"/>
            </w:tcBorders>
          </w:tcPr>
          <w:p w:rsidR="00C34AA2" w:rsidRPr="00301489" w:rsidRDefault="00C34AA2" w:rsidP="00C34AA2">
            <w:pPr>
              <w:rPr>
                <w:sz w:val="18"/>
                <w:szCs w:val="18"/>
                <w:lang w:val="el-GR"/>
              </w:rPr>
            </w:pPr>
            <w:r w:rsidRPr="00301489">
              <w:rPr>
                <w:sz w:val="18"/>
                <w:szCs w:val="18"/>
                <w:lang w:val="el-GR"/>
              </w:rPr>
              <w:t xml:space="preserve"> Ζάχαρα 5γρ</w:t>
            </w:r>
          </w:p>
        </w:tc>
        <w:tc>
          <w:tcPr>
            <w:tcW w:w="741" w:type="dxa"/>
            <w:gridSpan w:val="3"/>
            <w:tcBorders>
              <w:top w:val="single" w:sz="2" w:space="0" w:color="auto"/>
              <w:left w:val="nil"/>
              <w:right w:val="nil"/>
            </w:tcBorders>
          </w:tcPr>
          <w:p w:rsidR="00C34AA2" w:rsidRPr="00317C1E" w:rsidRDefault="00C34AA2" w:rsidP="00C34AA2">
            <w:pPr>
              <w:rPr>
                <w:sz w:val="22"/>
                <w:szCs w:val="22"/>
                <w:lang w:val="el-GR"/>
              </w:rPr>
            </w:pPr>
          </w:p>
        </w:tc>
        <w:tc>
          <w:tcPr>
            <w:tcW w:w="1244" w:type="dxa"/>
            <w:tcBorders>
              <w:top w:val="single" w:sz="2" w:space="0" w:color="auto"/>
              <w:left w:val="nil"/>
            </w:tcBorders>
          </w:tcPr>
          <w:p w:rsidR="00C34AA2" w:rsidRPr="00317C1E" w:rsidRDefault="00C34AA2" w:rsidP="00C34AA2">
            <w:pPr>
              <w:rPr>
                <w:sz w:val="22"/>
                <w:szCs w:val="22"/>
                <w:lang w:val="el-GR"/>
              </w:rPr>
            </w:pPr>
          </w:p>
        </w:tc>
      </w:tr>
      <w:tr w:rsidR="00C34AA2" w:rsidTr="00C34AA2">
        <w:tc>
          <w:tcPr>
            <w:tcW w:w="2835" w:type="dxa"/>
            <w:gridSpan w:val="5"/>
            <w:tcBorders>
              <w:top w:val="single" w:sz="2" w:space="0" w:color="auto"/>
              <w:right w:val="nil"/>
            </w:tcBorders>
          </w:tcPr>
          <w:p w:rsidR="00C34AA2" w:rsidRPr="00301489" w:rsidRDefault="00C34AA2" w:rsidP="00C34AA2">
            <w:pPr>
              <w:rPr>
                <w:sz w:val="18"/>
                <w:szCs w:val="18"/>
                <w:lang w:val="el-GR"/>
              </w:rPr>
            </w:pPr>
            <w:r w:rsidRPr="00301489">
              <w:rPr>
                <w:sz w:val="18"/>
                <w:szCs w:val="18"/>
                <w:lang w:val="el-GR"/>
              </w:rPr>
              <w:t xml:space="preserve"> Άλλοι υδατάνθρακες 14γρ</w:t>
            </w:r>
          </w:p>
        </w:tc>
        <w:tc>
          <w:tcPr>
            <w:tcW w:w="741" w:type="dxa"/>
            <w:gridSpan w:val="3"/>
            <w:tcBorders>
              <w:top w:val="single" w:sz="2" w:space="0" w:color="auto"/>
              <w:left w:val="nil"/>
              <w:right w:val="nil"/>
            </w:tcBorders>
          </w:tcPr>
          <w:p w:rsidR="00C34AA2" w:rsidRPr="00317C1E" w:rsidRDefault="00C34AA2" w:rsidP="00C34AA2">
            <w:pPr>
              <w:rPr>
                <w:sz w:val="22"/>
                <w:szCs w:val="22"/>
                <w:lang w:val="el-GR"/>
              </w:rPr>
            </w:pPr>
          </w:p>
        </w:tc>
        <w:tc>
          <w:tcPr>
            <w:tcW w:w="1244" w:type="dxa"/>
            <w:tcBorders>
              <w:top w:val="single" w:sz="2" w:space="0" w:color="auto"/>
              <w:left w:val="nil"/>
            </w:tcBorders>
          </w:tcPr>
          <w:p w:rsidR="00C34AA2" w:rsidRPr="00317C1E" w:rsidRDefault="00C34AA2" w:rsidP="00C34AA2">
            <w:pPr>
              <w:rPr>
                <w:sz w:val="22"/>
                <w:szCs w:val="22"/>
                <w:lang w:val="el-GR"/>
              </w:rPr>
            </w:pPr>
          </w:p>
        </w:tc>
      </w:tr>
      <w:tr w:rsidR="00C34AA2" w:rsidTr="00C34AA2">
        <w:tc>
          <w:tcPr>
            <w:tcW w:w="2835" w:type="dxa"/>
            <w:gridSpan w:val="5"/>
            <w:tcBorders>
              <w:top w:val="single" w:sz="2" w:space="0" w:color="auto"/>
              <w:right w:val="nil"/>
            </w:tcBorders>
          </w:tcPr>
          <w:p w:rsidR="00C34AA2" w:rsidRPr="00301489" w:rsidRDefault="00C34AA2" w:rsidP="00C34AA2">
            <w:pPr>
              <w:rPr>
                <w:sz w:val="18"/>
                <w:szCs w:val="18"/>
                <w:lang w:val="el-GR"/>
              </w:rPr>
            </w:pPr>
            <w:r w:rsidRPr="00301489">
              <w:rPr>
                <w:b/>
                <w:sz w:val="18"/>
                <w:szCs w:val="18"/>
                <w:lang w:val="el-GR"/>
              </w:rPr>
              <w:t>Πρωτεΐνη</w:t>
            </w:r>
            <w:r w:rsidRPr="00301489">
              <w:rPr>
                <w:sz w:val="18"/>
                <w:szCs w:val="18"/>
                <w:lang w:val="el-GR"/>
              </w:rPr>
              <w:t xml:space="preserve"> 3γρ</w:t>
            </w:r>
          </w:p>
        </w:tc>
        <w:tc>
          <w:tcPr>
            <w:tcW w:w="741" w:type="dxa"/>
            <w:gridSpan w:val="3"/>
            <w:tcBorders>
              <w:top w:val="single" w:sz="2" w:space="0" w:color="auto"/>
              <w:left w:val="nil"/>
              <w:right w:val="nil"/>
            </w:tcBorders>
          </w:tcPr>
          <w:p w:rsidR="00C34AA2" w:rsidRPr="00317C1E" w:rsidRDefault="00C34AA2" w:rsidP="00C34AA2">
            <w:pPr>
              <w:rPr>
                <w:sz w:val="22"/>
                <w:szCs w:val="22"/>
                <w:lang w:val="el-GR"/>
              </w:rPr>
            </w:pPr>
          </w:p>
        </w:tc>
        <w:tc>
          <w:tcPr>
            <w:tcW w:w="1244" w:type="dxa"/>
            <w:tcBorders>
              <w:top w:val="single" w:sz="2" w:space="0" w:color="auto"/>
              <w:left w:val="nil"/>
            </w:tcBorders>
          </w:tcPr>
          <w:p w:rsidR="00C34AA2" w:rsidRPr="00317C1E" w:rsidRDefault="00C34AA2" w:rsidP="00C34AA2">
            <w:pPr>
              <w:rPr>
                <w:sz w:val="22"/>
                <w:szCs w:val="22"/>
                <w:lang w:val="el-GR"/>
              </w:rPr>
            </w:pPr>
          </w:p>
        </w:tc>
      </w:tr>
    </w:tbl>
    <w:p w:rsidR="00C34AA2" w:rsidRDefault="00C34AA2" w:rsidP="00C34AA2">
      <w:pPr>
        <w:rPr>
          <w:b/>
          <w:sz w:val="22"/>
          <w:szCs w:val="22"/>
          <w:lang w:val="el-GR"/>
        </w:rPr>
      </w:pPr>
    </w:p>
    <w:p w:rsidR="00C34AA2" w:rsidRDefault="00C34AA2" w:rsidP="00C34AA2">
      <w:pPr>
        <w:rPr>
          <w:b/>
          <w:sz w:val="22"/>
          <w:szCs w:val="22"/>
          <w:lang w:val="el-GR"/>
        </w:rPr>
      </w:pPr>
    </w:p>
    <w:p w:rsidR="00C34AA2" w:rsidRDefault="00C34AA2" w:rsidP="00C34AA2">
      <w:pPr>
        <w:rPr>
          <w:b/>
          <w:sz w:val="22"/>
          <w:szCs w:val="22"/>
          <w:lang w:val="el-GR"/>
        </w:rPr>
      </w:pPr>
    </w:p>
    <w:p w:rsidR="00C34AA2" w:rsidRDefault="00C34AA2" w:rsidP="00C34AA2">
      <w:pPr>
        <w:ind w:left="426" w:hanging="426"/>
        <w:rPr>
          <w:sz w:val="22"/>
          <w:szCs w:val="22"/>
          <w:lang w:val="el-GR"/>
        </w:rPr>
      </w:pPr>
      <w:r w:rsidRPr="00EB5A3B">
        <w:rPr>
          <w:sz w:val="22"/>
          <w:szCs w:val="22"/>
          <w:lang w:val="el-GR"/>
        </w:rPr>
        <w:t>25.</w:t>
      </w:r>
      <w:r>
        <w:rPr>
          <w:b/>
          <w:sz w:val="22"/>
          <w:szCs w:val="22"/>
          <w:lang w:val="el-GR"/>
        </w:rPr>
        <w:t xml:space="preserve">  </w:t>
      </w:r>
      <w:r>
        <w:rPr>
          <w:sz w:val="22"/>
          <w:szCs w:val="22"/>
          <w:lang w:val="el-GR"/>
        </w:rPr>
        <w:t>Τι ποσοστό από την Αναγκαία Ημερήσια Κατανάλωση νατρίου λαμβάνετε από μία μερίδα δημητριακών και ½ κούπας άπαχου γάλακτος;  ____________________________________________________________________________________________________</w:t>
      </w:r>
    </w:p>
    <w:p w:rsidR="00C34AA2" w:rsidRDefault="00C34AA2" w:rsidP="00C34AA2">
      <w:pPr>
        <w:rPr>
          <w:sz w:val="22"/>
          <w:szCs w:val="22"/>
          <w:lang w:val="el-GR"/>
        </w:rPr>
      </w:pPr>
    </w:p>
    <w:p w:rsidR="00C34AA2" w:rsidRDefault="00C34AA2" w:rsidP="00C34AA2">
      <w:pPr>
        <w:rPr>
          <w:sz w:val="22"/>
          <w:szCs w:val="22"/>
          <w:lang w:val="el-GR"/>
        </w:rPr>
      </w:pPr>
    </w:p>
    <w:p w:rsidR="00C34AA2" w:rsidRDefault="00C34AA2" w:rsidP="00C34AA2">
      <w:pPr>
        <w:ind w:left="426" w:hanging="426"/>
        <w:rPr>
          <w:sz w:val="22"/>
          <w:szCs w:val="22"/>
          <w:lang w:val="el-GR"/>
        </w:rPr>
      </w:pPr>
      <w:r>
        <w:rPr>
          <w:sz w:val="22"/>
          <w:szCs w:val="22"/>
          <w:lang w:val="el-GR"/>
        </w:rPr>
        <w:t>26.  Πόσες θερμίδες προστίθενται σε μια μερίδα δημητριακών αν τα καταναλώσετε με μισή κούπα άπαχου γάλατος;  ____________________________________________________________________________________________________</w:t>
      </w:r>
    </w:p>
    <w:p w:rsidR="00C34AA2" w:rsidRDefault="00C34AA2" w:rsidP="00C34AA2">
      <w:pPr>
        <w:rPr>
          <w:sz w:val="22"/>
          <w:szCs w:val="22"/>
          <w:lang w:val="el-GR"/>
        </w:rPr>
      </w:pPr>
    </w:p>
    <w:p w:rsidR="00C34AA2" w:rsidRDefault="00C34AA2" w:rsidP="00C34AA2">
      <w:pPr>
        <w:rPr>
          <w:sz w:val="22"/>
          <w:szCs w:val="22"/>
          <w:lang w:val="el-GR"/>
        </w:rPr>
      </w:pPr>
      <w:r>
        <w:rPr>
          <w:sz w:val="22"/>
          <w:szCs w:val="22"/>
          <w:lang w:val="el-GR"/>
        </w:rPr>
        <w:br w:type="page"/>
      </w:r>
    </w:p>
    <w:p w:rsidR="00C34AA2" w:rsidRDefault="00C34AA2" w:rsidP="00C34AA2">
      <w:pPr>
        <w:rPr>
          <w:b/>
          <w:sz w:val="22"/>
          <w:szCs w:val="22"/>
          <w:lang w:val="el-GR"/>
        </w:rPr>
      </w:pPr>
      <w:r w:rsidRPr="00EB5A3B">
        <w:rPr>
          <w:b/>
          <w:sz w:val="22"/>
          <w:szCs w:val="22"/>
          <w:lang w:val="el-GR"/>
        </w:rPr>
        <w:t xml:space="preserve">Διάγραμμα: </w:t>
      </w:r>
      <w:r>
        <w:rPr>
          <w:b/>
          <w:sz w:val="22"/>
          <w:szCs w:val="22"/>
          <w:lang w:val="el-GR"/>
        </w:rPr>
        <w:t>Χρονικές Περίοδοι Έκπτωσης Τηλεφωνικών Κ</w:t>
      </w:r>
      <w:r w:rsidRPr="00EB5A3B">
        <w:rPr>
          <w:b/>
          <w:sz w:val="22"/>
          <w:szCs w:val="22"/>
          <w:lang w:val="el-GR"/>
        </w:rPr>
        <w:t>λήσεων</w:t>
      </w:r>
    </w:p>
    <w:p w:rsidR="00C34AA2" w:rsidRDefault="00C34AA2" w:rsidP="00C34AA2">
      <w:pPr>
        <w:rPr>
          <w:b/>
          <w:sz w:val="22"/>
          <w:szCs w:val="22"/>
          <w:lang w:val="el-GR"/>
        </w:rPr>
      </w:pPr>
    </w:p>
    <w:tbl>
      <w:tblPr>
        <w:tblStyle w:val="TableGrid"/>
        <w:tblpPr w:leftFromText="180" w:rightFromText="180" w:horzAnchor="margin" w:tblpXSpec="center" w:tblpY="1229"/>
        <w:tblW w:w="0" w:type="auto"/>
        <w:tblLook w:val="04A0" w:firstRow="1" w:lastRow="0" w:firstColumn="1" w:lastColumn="0" w:noHBand="0" w:noVBand="1"/>
      </w:tblPr>
      <w:tblGrid>
        <w:gridCol w:w="959"/>
        <w:gridCol w:w="2551"/>
        <w:gridCol w:w="851"/>
      </w:tblGrid>
      <w:tr w:rsidR="00C34AA2" w:rsidTr="00C34AA2">
        <w:tc>
          <w:tcPr>
            <w:tcW w:w="4361" w:type="dxa"/>
            <w:gridSpan w:val="3"/>
          </w:tcPr>
          <w:p w:rsidR="00C34AA2" w:rsidRPr="00830CE5" w:rsidRDefault="00C34AA2" w:rsidP="00C34AA2">
            <w:pPr>
              <w:rPr>
                <w:b/>
                <w:sz w:val="22"/>
                <w:szCs w:val="22"/>
                <w:lang w:val="el-GR"/>
              </w:rPr>
            </w:pPr>
            <w:r>
              <w:rPr>
                <w:b/>
                <w:sz w:val="22"/>
                <w:szCs w:val="22"/>
                <w:lang w:val="el-GR"/>
              </w:rPr>
              <w:t xml:space="preserve">Χρονική </w:t>
            </w:r>
            <w:r w:rsidRPr="00830CE5">
              <w:rPr>
                <w:b/>
                <w:sz w:val="22"/>
                <w:szCs w:val="22"/>
                <w:lang w:val="el-GR"/>
              </w:rPr>
              <w:t>Περίοδος Έκπτωσης</w:t>
            </w:r>
          </w:p>
        </w:tc>
      </w:tr>
      <w:tr w:rsidR="00C34AA2" w:rsidTr="00C34AA2">
        <w:tc>
          <w:tcPr>
            <w:tcW w:w="4361" w:type="dxa"/>
            <w:gridSpan w:val="3"/>
          </w:tcPr>
          <w:p w:rsidR="00C34AA2" w:rsidRPr="00830CE5" w:rsidRDefault="00C34AA2" w:rsidP="00C34AA2">
            <w:pPr>
              <w:jc w:val="center"/>
              <w:rPr>
                <w:b/>
                <w:sz w:val="22"/>
                <w:szCs w:val="22"/>
                <w:lang w:val="el-GR"/>
              </w:rPr>
            </w:pPr>
            <w:r>
              <w:rPr>
                <w:b/>
                <w:sz w:val="22"/>
                <w:szCs w:val="22"/>
                <w:lang w:val="el-GR"/>
              </w:rPr>
              <w:t xml:space="preserve">                   </w:t>
            </w:r>
            <w:r w:rsidRPr="00830CE5">
              <w:rPr>
                <w:b/>
                <w:sz w:val="22"/>
                <w:szCs w:val="22"/>
                <w:lang w:val="el-GR"/>
              </w:rPr>
              <w:t xml:space="preserve">Δ  </w:t>
            </w:r>
            <w:r>
              <w:rPr>
                <w:b/>
                <w:sz w:val="22"/>
                <w:szCs w:val="22"/>
                <w:lang w:val="el-GR"/>
              </w:rPr>
              <w:t xml:space="preserve"> </w:t>
            </w:r>
            <w:r w:rsidRPr="00830CE5">
              <w:rPr>
                <w:b/>
                <w:sz w:val="22"/>
                <w:szCs w:val="22"/>
                <w:lang w:val="el-GR"/>
              </w:rPr>
              <w:t xml:space="preserve">    </w:t>
            </w:r>
            <w:r>
              <w:rPr>
                <w:b/>
                <w:sz w:val="22"/>
                <w:szCs w:val="22"/>
                <w:lang w:val="el-GR"/>
              </w:rPr>
              <w:t xml:space="preserve"> </w:t>
            </w:r>
            <w:r w:rsidRPr="00830CE5">
              <w:rPr>
                <w:b/>
                <w:sz w:val="22"/>
                <w:szCs w:val="22"/>
                <w:lang w:val="el-GR"/>
              </w:rPr>
              <w:t xml:space="preserve">Τ </w:t>
            </w:r>
            <w:r>
              <w:rPr>
                <w:b/>
                <w:sz w:val="22"/>
                <w:szCs w:val="22"/>
                <w:lang w:val="el-GR"/>
              </w:rPr>
              <w:t xml:space="preserve">       Τ        Π        Π      Σ     </w:t>
            </w:r>
            <w:r w:rsidRPr="00830CE5">
              <w:rPr>
                <w:b/>
                <w:sz w:val="22"/>
                <w:szCs w:val="22"/>
                <w:lang w:val="el-GR"/>
              </w:rPr>
              <w:t xml:space="preserve">Κ      </w:t>
            </w:r>
          </w:p>
        </w:tc>
      </w:tr>
      <w:tr w:rsidR="00C34AA2" w:rsidTr="00C34AA2">
        <w:tc>
          <w:tcPr>
            <w:tcW w:w="959" w:type="dxa"/>
          </w:tcPr>
          <w:p w:rsidR="00C34AA2" w:rsidRPr="00830CE5" w:rsidRDefault="00C34AA2" w:rsidP="00C34AA2">
            <w:pPr>
              <w:jc w:val="center"/>
              <w:rPr>
                <w:b/>
                <w:sz w:val="22"/>
                <w:szCs w:val="22"/>
                <w:lang w:val="el-GR"/>
              </w:rPr>
            </w:pPr>
            <w:r w:rsidRPr="00830CE5">
              <w:rPr>
                <w:b/>
                <w:sz w:val="22"/>
                <w:szCs w:val="22"/>
                <w:lang w:val="el-GR"/>
              </w:rPr>
              <w:t>8 Π.Μ. μέχρι</w:t>
            </w:r>
          </w:p>
          <w:p w:rsidR="00C34AA2" w:rsidRPr="00830CE5" w:rsidRDefault="00C34AA2" w:rsidP="00C34AA2">
            <w:pPr>
              <w:jc w:val="center"/>
              <w:rPr>
                <w:b/>
                <w:sz w:val="22"/>
                <w:szCs w:val="22"/>
                <w:lang w:val="el-GR"/>
              </w:rPr>
            </w:pPr>
            <w:r w:rsidRPr="00830CE5">
              <w:rPr>
                <w:b/>
                <w:sz w:val="22"/>
                <w:szCs w:val="22"/>
                <w:lang w:val="el-GR"/>
              </w:rPr>
              <w:t>5 Μ.Μ.</w:t>
            </w:r>
          </w:p>
        </w:tc>
        <w:tc>
          <w:tcPr>
            <w:tcW w:w="2551" w:type="dxa"/>
            <w:vAlign w:val="center"/>
          </w:tcPr>
          <w:p w:rsidR="00C34AA2" w:rsidRPr="00CB2CD5" w:rsidRDefault="00C34AA2" w:rsidP="00C34AA2">
            <w:pPr>
              <w:jc w:val="center"/>
              <w:rPr>
                <w:sz w:val="18"/>
                <w:szCs w:val="18"/>
                <w:lang w:val="el-GR"/>
              </w:rPr>
            </w:pPr>
            <w:r w:rsidRPr="00CB2CD5">
              <w:rPr>
                <w:sz w:val="18"/>
                <w:szCs w:val="18"/>
                <w:lang w:val="el-GR"/>
              </w:rPr>
              <w:t>Καθημερινή</w:t>
            </w:r>
          </w:p>
        </w:tc>
        <w:tc>
          <w:tcPr>
            <w:tcW w:w="851" w:type="dxa"/>
            <w:vMerge w:val="restart"/>
            <w:tcBorders>
              <w:bottom w:val="nil"/>
            </w:tcBorders>
          </w:tcPr>
          <w:p w:rsidR="00C34AA2" w:rsidRDefault="00C34AA2" w:rsidP="00C34AA2">
            <w:pPr>
              <w:rPr>
                <w:sz w:val="22"/>
                <w:szCs w:val="22"/>
                <w:lang w:val="el-GR"/>
              </w:rPr>
            </w:pPr>
          </w:p>
        </w:tc>
      </w:tr>
      <w:tr w:rsidR="00C34AA2" w:rsidTr="00C34AA2">
        <w:tc>
          <w:tcPr>
            <w:tcW w:w="959" w:type="dxa"/>
          </w:tcPr>
          <w:p w:rsidR="00C34AA2" w:rsidRPr="00830CE5" w:rsidRDefault="00C34AA2" w:rsidP="00C34AA2">
            <w:pPr>
              <w:jc w:val="center"/>
              <w:rPr>
                <w:b/>
                <w:sz w:val="22"/>
                <w:szCs w:val="22"/>
                <w:lang w:val="el-GR"/>
              </w:rPr>
            </w:pPr>
            <w:r w:rsidRPr="00830CE5">
              <w:rPr>
                <w:b/>
                <w:sz w:val="22"/>
                <w:szCs w:val="22"/>
                <w:lang w:val="el-GR"/>
              </w:rPr>
              <w:t>5 Μ.Μ μέχρι</w:t>
            </w:r>
          </w:p>
          <w:p w:rsidR="00C34AA2" w:rsidRPr="00830CE5" w:rsidRDefault="00C34AA2" w:rsidP="00C34AA2">
            <w:pPr>
              <w:jc w:val="center"/>
              <w:rPr>
                <w:b/>
                <w:sz w:val="22"/>
                <w:szCs w:val="22"/>
                <w:lang w:val="el-GR"/>
              </w:rPr>
            </w:pPr>
            <w:r w:rsidRPr="00830CE5">
              <w:rPr>
                <w:b/>
                <w:sz w:val="22"/>
                <w:szCs w:val="22"/>
                <w:lang w:val="el-GR"/>
              </w:rPr>
              <w:t>10 Μ.Μ.</w:t>
            </w:r>
          </w:p>
        </w:tc>
        <w:tc>
          <w:tcPr>
            <w:tcW w:w="2551" w:type="dxa"/>
            <w:vAlign w:val="center"/>
          </w:tcPr>
          <w:p w:rsidR="00C34AA2" w:rsidRPr="00CB2CD5" w:rsidRDefault="00C34AA2" w:rsidP="00C34AA2">
            <w:pPr>
              <w:jc w:val="center"/>
              <w:rPr>
                <w:sz w:val="18"/>
                <w:szCs w:val="18"/>
                <w:lang w:val="el-GR"/>
              </w:rPr>
            </w:pPr>
            <w:r w:rsidRPr="00CB2CD5">
              <w:rPr>
                <w:sz w:val="18"/>
                <w:szCs w:val="18"/>
                <w:lang w:val="el-GR"/>
              </w:rPr>
              <w:t>Απόγευμα</w:t>
            </w:r>
          </w:p>
        </w:tc>
        <w:tc>
          <w:tcPr>
            <w:tcW w:w="851" w:type="dxa"/>
            <w:vMerge/>
            <w:tcBorders>
              <w:top w:val="nil"/>
              <w:bottom w:val="nil"/>
            </w:tcBorders>
          </w:tcPr>
          <w:p w:rsidR="00C34AA2" w:rsidRDefault="00C34AA2" w:rsidP="00C34AA2">
            <w:pPr>
              <w:rPr>
                <w:sz w:val="22"/>
                <w:szCs w:val="22"/>
                <w:lang w:val="el-GR"/>
              </w:rPr>
            </w:pPr>
          </w:p>
        </w:tc>
      </w:tr>
      <w:tr w:rsidR="00C34AA2" w:rsidTr="00C34AA2">
        <w:tc>
          <w:tcPr>
            <w:tcW w:w="959" w:type="dxa"/>
          </w:tcPr>
          <w:p w:rsidR="00C34AA2" w:rsidRPr="00830CE5" w:rsidRDefault="00C34AA2" w:rsidP="00C34AA2">
            <w:pPr>
              <w:jc w:val="center"/>
              <w:rPr>
                <w:b/>
                <w:sz w:val="22"/>
                <w:szCs w:val="22"/>
                <w:lang w:val="el-GR"/>
              </w:rPr>
            </w:pPr>
            <w:r w:rsidRPr="00830CE5">
              <w:rPr>
                <w:b/>
                <w:sz w:val="22"/>
                <w:szCs w:val="22"/>
                <w:lang w:val="el-GR"/>
              </w:rPr>
              <w:t>10 Μ.Μ.  μέχρι</w:t>
            </w:r>
          </w:p>
          <w:p w:rsidR="00C34AA2" w:rsidRPr="00830CE5" w:rsidRDefault="00C34AA2" w:rsidP="00C34AA2">
            <w:pPr>
              <w:jc w:val="center"/>
              <w:rPr>
                <w:b/>
                <w:sz w:val="22"/>
                <w:szCs w:val="22"/>
                <w:lang w:val="el-GR"/>
              </w:rPr>
            </w:pPr>
            <w:r w:rsidRPr="00830CE5">
              <w:rPr>
                <w:b/>
                <w:sz w:val="22"/>
                <w:szCs w:val="22"/>
                <w:lang w:val="el-GR"/>
              </w:rPr>
              <w:t xml:space="preserve">8 Π.Μ. </w:t>
            </w:r>
          </w:p>
        </w:tc>
        <w:tc>
          <w:tcPr>
            <w:tcW w:w="3402" w:type="dxa"/>
            <w:gridSpan w:val="2"/>
            <w:tcBorders>
              <w:top w:val="nil"/>
              <w:bottom w:val="nil"/>
            </w:tcBorders>
            <w:vAlign w:val="center"/>
          </w:tcPr>
          <w:p w:rsidR="00C34AA2" w:rsidRPr="00CB2CD5" w:rsidRDefault="00C34AA2" w:rsidP="00C34AA2">
            <w:pPr>
              <w:jc w:val="center"/>
              <w:rPr>
                <w:sz w:val="18"/>
                <w:szCs w:val="18"/>
                <w:lang w:val="el-GR"/>
              </w:rPr>
            </w:pPr>
            <w:r w:rsidRPr="00CB2CD5">
              <w:rPr>
                <w:sz w:val="18"/>
                <w:szCs w:val="18"/>
                <w:lang w:val="el-GR"/>
              </w:rPr>
              <w:t>Νύχτα και Σαββατοκύριακο</w:t>
            </w:r>
          </w:p>
        </w:tc>
      </w:tr>
      <w:tr w:rsidR="00C34AA2" w:rsidRPr="002D7931" w:rsidTr="00C34AA2">
        <w:trPr>
          <w:trHeight w:val="1268"/>
        </w:trPr>
        <w:tc>
          <w:tcPr>
            <w:tcW w:w="4361" w:type="dxa"/>
            <w:gridSpan w:val="3"/>
          </w:tcPr>
          <w:p w:rsidR="00C34AA2" w:rsidRPr="000C71D3" w:rsidRDefault="00C34AA2" w:rsidP="00C34AA2">
            <w:pPr>
              <w:rPr>
                <w:b/>
                <w:sz w:val="20"/>
                <w:szCs w:val="20"/>
                <w:lang w:val="el-GR"/>
              </w:rPr>
            </w:pPr>
            <w:r w:rsidRPr="000C71D3">
              <w:rPr>
                <w:b/>
                <w:sz w:val="20"/>
                <w:szCs w:val="20"/>
                <w:lang w:val="el-GR"/>
              </w:rPr>
              <w:t xml:space="preserve">Οι κλήσεις που εκτείνονται σε δύο </w:t>
            </w:r>
            <w:r>
              <w:rPr>
                <w:b/>
                <w:sz w:val="20"/>
                <w:szCs w:val="20"/>
                <w:lang w:val="el-GR"/>
              </w:rPr>
              <w:t xml:space="preserve">χρονικές </w:t>
            </w:r>
            <w:r w:rsidRPr="000C71D3">
              <w:rPr>
                <w:b/>
                <w:sz w:val="20"/>
                <w:szCs w:val="20"/>
                <w:lang w:val="el-GR"/>
              </w:rPr>
              <w:t xml:space="preserve">περιόδους θα χρεώνονται με βάση την </w:t>
            </w:r>
            <w:r>
              <w:rPr>
                <w:b/>
                <w:sz w:val="20"/>
                <w:szCs w:val="20"/>
                <w:lang w:val="el-GR"/>
              </w:rPr>
              <w:t xml:space="preserve">εκάστοτε ισχύουσα </w:t>
            </w:r>
            <w:r w:rsidRPr="000C71D3">
              <w:rPr>
                <w:b/>
                <w:sz w:val="20"/>
                <w:szCs w:val="20"/>
                <w:lang w:val="el-GR"/>
              </w:rPr>
              <w:t xml:space="preserve">χρέωση της περιόδου </w:t>
            </w:r>
            <w:r>
              <w:rPr>
                <w:b/>
                <w:sz w:val="20"/>
                <w:szCs w:val="20"/>
                <w:lang w:val="el-GR"/>
              </w:rPr>
              <w:t xml:space="preserve">για κάθε </w:t>
            </w:r>
            <w:r w:rsidRPr="000C71D3">
              <w:rPr>
                <w:b/>
                <w:sz w:val="20"/>
                <w:szCs w:val="20"/>
                <w:lang w:val="el-GR"/>
              </w:rPr>
              <w:t>λεπτό</w:t>
            </w:r>
            <w:r>
              <w:rPr>
                <w:b/>
                <w:sz w:val="20"/>
                <w:szCs w:val="20"/>
                <w:lang w:val="el-GR"/>
              </w:rPr>
              <w:t xml:space="preserve"> κλίσης</w:t>
            </w:r>
            <w:r w:rsidRPr="000C71D3">
              <w:rPr>
                <w:b/>
                <w:sz w:val="20"/>
                <w:szCs w:val="20"/>
                <w:lang w:val="el-GR"/>
              </w:rPr>
              <w:t>.</w:t>
            </w:r>
          </w:p>
        </w:tc>
      </w:tr>
    </w:tbl>
    <w:p w:rsidR="00C34AA2"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ind w:left="284" w:hanging="284"/>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Pr="000C71D3" w:rsidRDefault="00C34AA2" w:rsidP="00C34AA2">
      <w:pPr>
        <w:rPr>
          <w:sz w:val="22"/>
          <w:szCs w:val="22"/>
          <w:lang w:val="el-GR"/>
        </w:rPr>
      </w:pPr>
    </w:p>
    <w:p w:rsidR="00C34AA2" w:rsidRDefault="00C34AA2" w:rsidP="00C34AA2">
      <w:pPr>
        <w:ind w:left="426" w:hanging="426"/>
        <w:rPr>
          <w:sz w:val="22"/>
          <w:szCs w:val="22"/>
          <w:lang w:val="el-GR"/>
        </w:rPr>
      </w:pPr>
      <w:r>
        <w:rPr>
          <w:sz w:val="22"/>
          <w:szCs w:val="22"/>
          <w:lang w:val="el-GR"/>
        </w:rPr>
        <w:t>27.   Ο γιος και η κόρη σας ζουν εκτός νομού αλλά στην ίδια πόλη. Τηλεφωνείτε την κόρη σας στις 11.37 π.μ. το Σάββατο. Τηλεφωνείτε τον γιό σας στις 9.30 μμ. την Τετάρτη. Και οι δυο κλήσεις διαρκούν 5 λεπτά. Ποια κλήση είναι φθηνότερη; ____________________________________________________________________________________________________</w:t>
      </w:r>
    </w:p>
    <w:p w:rsidR="00C34AA2" w:rsidRDefault="00C34AA2" w:rsidP="00C34AA2">
      <w:pPr>
        <w:rPr>
          <w:sz w:val="22"/>
          <w:szCs w:val="22"/>
          <w:lang w:val="el-GR"/>
        </w:rPr>
      </w:pPr>
    </w:p>
    <w:p w:rsidR="00C34AA2" w:rsidRDefault="00C34AA2" w:rsidP="00C34AA2">
      <w:pPr>
        <w:rPr>
          <w:sz w:val="22"/>
          <w:szCs w:val="22"/>
          <w:lang w:val="el-GR"/>
        </w:rPr>
      </w:pPr>
    </w:p>
    <w:p w:rsidR="00C34AA2" w:rsidRPr="00BE4FC3" w:rsidRDefault="00C34AA2" w:rsidP="00C34AA2">
      <w:pPr>
        <w:ind w:left="426" w:hanging="426"/>
        <w:rPr>
          <w:lang w:val="el-GR"/>
        </w:rPr>
      </w:pPr>
      <w:r>
        <w:rPr>
          <w:sz w:val="22"/>
          <w:szCs w:val="22"/>
          <w:lang w:val="el-GR"/>
        </w:rPr>
        <w:t>28.   Αν το τηλεφώνημά σας αρχίζει στις 4.57 μμ. την Δευτέρα και διαρκεί 7 λεπτά, ποια είναι η χρέωση/ποιες είναι οι χρεώσεις που εφαρμόζονται στην κλήση σας;  ____________________________________________________________________________________________________</w:t>
      </w:r>
    </w:p>
    <w:p w:rsidR="00020E1F" w:rsidRDefault="00020E1F" w:rsidP="003D4AE6">
      <w:pPr>
        <w:rPr>
          <w:u w:val="single"/>
          <w:lang w:val="el-GR"/>
        </w:rPr>
      </w:pPr>
    </w:p>
    <w:p w:rsidR="00FB7A4E" w:rsidRDefault="00FB7A4E" w:rsidP="003D4AE6">
      <w:pPr>
        <w:rPr>
          <w:u w:val="single"/>
          <w:lang w:val="el-GR"/>
        </w:rPr>
      </w:pPr>
    </w:p>
    <w:p w:rsidR="00FB7A4E" w:rsidRDefault="00FB7A4E">
      <w:pPr>
        <w:rPr>
          <w:u w:val="single"/>
          <w:lang w:val="el-GR"/>
        </w:rPr>
      </w:pPr>
      <w:r>
        <w:rPr>
          <w:u w:val="single"/>
          <w:lang w:val="el-GR"/>
        </w:rPr>
        <w:br w:type="page"/>
      </w:r>
    </w:p>
    <w:p w:rsidR="000F00A6" w:rsidRDefault="000F00A6" w:rsidP="00DA7E68">
      <w:pPr>
        <w:pStyle w:val="Heading1"/>
      </w:pPr>
      <w:bookmarkStart w:id="239" w:name="_Toc521184294"/>
      <w:r>
        <w:t>Appendix VI</w:t>
      </w:r>
      <w:bookmarkEnd w:id="239"/>
    </w:p>
    <w:p w:rsidR="00FB7A4E" w:rsidRPr="000F00A6" w:rsidRDefault="000F00A6" w:rsidP="00C31CE0">
      <w:pPr>
        <w:pStyle w:val="Heading3"/>
      </w:pPr>
      <w:bookmarkStart w:id="240" w:name="_Toc521184295"/>
      <w:r w:rsidRPr="000F00A6">
        <w:t>Scoring Manual for the OTDL-G</w:t>
      </w:r>
      <w:bookmarkEnd w:id="240"/>
    </w:p>
    <w:tbl>
      <w:tblPr>
        <w:tblStyle w:val="TableGrid"/>
        <w:tblW w:w="0" w:type="auto"/>
        <w:tblLayout w:type="fixed"/>
        <w:tblLook w:val="04A0" w:firstRow="1" w:lastRow="0" w:firstColumn="1" w:lastColumn="0" w:noHBand="0" w:noVBand="1"/>
      </w:tblPr>
      <w:tblGrid>
        <w:gridCol w:w="675"/>
        <w:gridCol w:w="4678"/>
        <w:gridCol w:w="589"/>
        <w:gridCol w:w="1008"/>
        <w:gridCol w:w="1912"/>
      </w:tblGrid>
      <w:tr w:rsidR="000F00A6" w:rsidTr="000F00A6">
        <w:tc>
          <w:tcPr>
            <w:tcW w:w="675" w:type="dxa"/>
          </w:tcPr>
          <w:p w:rsidR="000F00A6" w:rsidRPr="00D3238B" w:rsidRDefault="000F00A6" w:rsidP="000F00A6">
            <w:pPr>
              <w:rPr>
                <w:b/>
              </w:rPr>
            </w:pPr>
            <w:r>
              <w:rPr>
                <w:b/>
              </w:rPr>
              <w:t>No</w:t>
            </w:r>
          </w:p>
        </w:tc>
        <w:tc>
          <w:tcPr>
            <w:tcW w:w="5267" w:type="dxa"/>
            <w:gridSpan w:val="2"/>
          </w:tcPr>
          <w:p w:rsidR="000F00A6" w:rsidRPr="00D3238B" w:rsidRDefault="000F00A6" w:rsidP="000F00A6">
            <w:pPr>
              <w:jc w:val="center"/>
              <w:rPr>
                <w:b/>
              </w:rPr>
            </w:pPr>
            <w:r w:rsidRPr="00D3238B">
              <w:rPr>
                <w:b/>
                <w:lang w:val="el-GR"/>
              </w:rPr>
              <w:t>Συμπεριφορά</w:t>
            </w:r>
          </w:p>
        </w:tc>
        <w:tc>
          <w:tcPr>
            <w:tcW w:w="1008" w:type="dxa"/>
          </w:tcPr>
          <w:p w:rsidR="000F00A6" w:rsidRPr="00D3238B" w:rsidRDefault="000F00A6" w:rsidP="000F00A6">
            <w:pPr>
              <w:jc w:val="center"/>
              <w:rPr>
                <w:b/>
              </w:rPr>
            </w:pPr>
            <w:r w:rsidRPr="00D3238B">
              <w:rPr>
                <w:b/>
              </w:rPr>
              <w:t>Πόντοι</w:t>
            </w:r>
          </w:p>
        </w:tc>
        <w:tc>
          <w:tcPr>
            <w:tcW w:w="1912" w:type="dxa"/>
          </w:tcPr>
          <w:p w:rsidR="000F00A6" w:rsidRPr="00D3238B" w:rsidRDefault="000F00A6" w:rsidP="000F00A6">
            <w:pPr>
              <w:jc w:val="center"/>
              <w:rPr>
                <w:b/>
              </w:rPr>
            </w:pPr>
            <w:r w:rsidRPr="00D3238B">
              <w:rPr>
                <w:b/>
              </w:rPr>
              <w:t>Σχόλια</w:t>
            </w:r>
          </w:p>
        </w:tc>
      </w:tr>
      <w:tr w:rsidR="000F00A6" w:rsidRPr="002D7931" w:rsidTr="000F00A6">
        <w:trPr>
          <w:trHeight w:val="547"/>
        </w:trPr>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w:t>
            </w:r>
            <w:r w:rsidRPr="00A41757">
              <w:rPr>
                <w:rFonts w:ascii="Times New Roman" w:hAnsi="Times New Roman" w:cs="Times New Roman"/>
                <w:sz w:val="20"/>
                <w:szCs w:val="20"/>
              </w:rPr>
              <w:t>1</w:t>
            </w:r>
          </w:p>
        </w:tc>
        <w:tc>
          <w:tcPr>
            <w:tcW w:w="4678" w:type="dxa"/>
          </w:tcPr>
          <w:p w:rsidR="000F00A6" w:rsidRPr="000F00A6" w:rsidRDefault="000F00A6" w:rsidP="000F00A6">
            <w:pPr>
              <w:rPr>
                <w:rFonts w:ascii="Times New Roman" w:hAnsi="Times New Roman" w:cs="Times New Roman"/>
                <w:sz w:val="20"/>
                <w:szCs w:val="20"/>
                <w:lang w:val="el-GR"/>
              </w:rPr>
            </w:pPr>
            <w:r>
              <w:rPr>
                <w:rFonts w:ascii="Times New Roman" w:hAnsi="Times New Roman" w:cs="Times New Roman"/>
                <w:sz w:val="20"/>
                <w:szCs w:val="20"/>
                <w:lang w:val="el-GR"/>
              </w:rPr>
              <w:t xml:space="preserve">Ο ΣΥΜΜΕΤΕΧΟΝΤΑΣ </w:t>
            </w:r>
            <w:r w:rsidRPr="00A41757">
              <w:rPr>
                <w:rFonts w:ascii="Times New Roman" w:hAnsi="Times New Roman" w:cs="Times New Roman"/>
                <w:sz w:val="20"/>
                <w:szCs w:val="20"/>
                <w:lang w:val="el-GR"/>
              </w:rPr>
              <w:t>ΒΡΙΣΚΕΙ/ΔΕΙΧΝΕΙ/ΕΞΕΤΑΖΕΙ ΤΟ ΚΟΥΤΙ MAALOX.</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55412B" w:rsidRDefault="000F00A6" w:rsidP="000F00A6">
            <w:pPr>
              <w:rPr>
                <w:rFonts w:ascii="Times New Roman" w:hAnsi="Times New Roman" w:cs="Times New Roman"/>
                <w:sz w:val="20"/>
                <w:szCs w:val="20"/>
                <w:lang w:val="el-GR"/>
              </w:rPr>
            </w:pPr>
            <w:r>
              <w:rPr>
                <w:rFonts w:ascii="Times New Roman" w:hAnsi="Times New Roman" w:cs="Times New Roman"/>
                <w:sz w:val="20"/>
                <w:szCs w:val="20"/>
                <w:lang w:val="el-GR"/>
              </w:rPr>
              <w:t>Αυτό το βήμα πρέπει να γίνει πρώτο.</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Β1α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Β2</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Ο ΣΥΜΜΕΤΕΧΟΝΤΑΣ ΛΕΕΙ «25 ΜΕΡΕΣ»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A41757" w:rsidRDefault="000F00A6" w:rsidP="000F00A6">
            <w:pPr>
              <w:rPr>
                <w:rFonts w:ascii="Times New Roman" w:hAnsi="Times New Roman" w:cs="Times New Roman"/>
                <w:sz w:val="20"/>
                <w:szCs w:val="20"/>
              </w:rPr>
            </w:pP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Β2α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Β3</w:t>
            </w:r>
          </w:p>
        </w:tc>
        <w:tc>
          <w:tcPr>
            <w:tcW w:w="4678" w:type="dxa"/>
          </w:tcPr>
          <w:p w:rsidR="000F00A6" w:rsidRPr="000F00A6" w:rsidRDefault="000F00A6" w:rsidP="000F00A6">
            <w:pPr>
              <w:rPr>
                <w:rFonts w:ascii="Times New Roman" w:hAnsi="Times New Roman" w:cs="Times New Roman"/>
                <w:sz w:val="20"/>
                <w:szCs w:val="20"/>
                <w:lang w:val="el-GR"/>
              </w:rPr>
            </w:pPr>
            <w:r w:rsidRPr="000F00A6">
              <w:rPr>
                <w:sz w:val="20"/>
                <w:szCs w:val="20"/>
                <w:lang w:val="el-GR"/>
              </w:rPr>
              <w:t xml:space="preserve">Ο ΣΥΜΜΕΤΕΧΟΝΤΑΣ ΒΡΙΣΚΕΙ/ΔΕΙΧΝΕΙ/ΕΞΕΤΑΖΕΙ ΤΟ ΚΟΥΤΙ </w:t>
            </w:r>
            <w:r w:rsidRPr="00F80CF1">
              <w:rPr>
                <w:sz w:val="20"/>
                <w:szCs w:val="20"/>
              </w:rPr>
              <w:t>DEPON</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0F00A6" w:rsidRDefault="000F00A6" w:rsidP="000F00A6">
            <w:pPr>
              <w:rPr>
                <w:rFonts w:ascii="Times New Roman" w:hAnsi="Times New Roman" w:cs="Times New Roman"/>
                <w:sz w:val="20"/>
                <w:szCs w:val="20"/>
                <w:lang w:val="el-GR"/>
              </w:rPr>
            </w:pPr>
            <w:r w:rsidRPr="000F00A6">
              <w:rPr>
                <w:rFonts w:ascii="Times New Roman" w:hAnsi="Times New Roman" w:cs="Times New Roman"/>
                <w:sz w:val="20"/>
                <w:szCs w:val="20"/>
                <w:lang w:val="el-GR"/>
              </w:rPr>
              <w:t>Για το Β3 και Β4, η σειρα με την οποία ο συμμετέχοντας βρίσκει τα φάρμακα δεν έχει σημασία</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Β3α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Β4</w:t>
            </w:r>
          </w:p>
        </w:tc>
        <w:tc>
          <w:tcPr>
            <w:tcW w:w="4678" w:type="dxa"/>
          </w:tcPr>
          <w:p w:rsidR="000F00A6" w:rsidRPr="000F00A6" w:rsidRDefault="000F00A6" w:rsidP="000F00A6">
            <w:pPr>
              <w:rPr>
                <w:rFonts w:ascii="Times New Roman" w:hAnsi="Times New Roman" w:cs="Times New Roman"/>
                <w:sz w:val="20"/>
                <w:szCs w:val="20"/>
                <w:lang w:val="el-GR"/>
              </w:rPr>
            </w:pPr>
            <w:r w:rsidRPr="000F00A6">
              <w:rPr>
                <w:sz w:val="20"/>
                <w:szCs w:val="20"/>
                <w:lang w:val="el-GR"/>
              </w:rPr>
              <w:t xml:space="preserve">Ο ΣΥΜΜΕΤΕΧΟΝΤΑΣ ΒΡΙΣΚΕΙ/ΔΕΙΧΝΕΙ/ΕΞΕΤΑΖΕΙ ΤΟ ΚΟΥΤΙ ΤΟ ΚΟΥΤΙ </w:t>
            </w:r>
            <w:r w:rsidRPr="00F80CF1">
              <w:rPr>
                <w:sz w:val="20"/>
                <w:szCs w:val="20"/>
              </w:rPr>
              <w:t>BRUFEN</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0F00A6" w:rsidRDefault="000F00A6" w:rsidP="000F00A6">
            <w:pPr>
              <w:rPr>
                <w:rFonts w:ascii="Times New Roman" w:hAnsi="Times New Roman" w:cs="Times New Roman"/>
                <w:sz w:val="20"/>
                <w:szCs w:val="20"/>
                <w:lang w:val="el-GR"/>
              </w:rPr>
            </w:pPr>
            <w:r w:rsidRPr="000F00A6">
              <w:rPr>
                <w:rFonts w:ascii="Times New Roman" w:hAnsi="Times New Roman" w:cs="Times New Roman"/>
                <w:sz w:val="20"/>
                <w:szCs w:val="20"/>
                <w:lang w:val="el-GR"/>
              </w:rPr>
              <w:t>Για το Β3 και Β4, η σειρα με την οποία ο συμμετέχοντας βρίσκει τα φάρμακα δεν έχει σημασία</w:t>
            </w:r>
          </w:p>
        </w:tc>
      </w:tr>
      <w:tr w:rsidR="000F00A6" w:rsidRPr="00A41757" w:rsidTr="000F00A6">
        <w:tc>
          <w:tcPr>
            <w:tcW w:w="675" w:type="dxa"/>
          </w:tcPr>
          <w:p w:rsidR="000F00A6" w:rsidRPr="00AF6104" w:rsidRDefault="000F00A6" w:rsidP="000F00A6">
            <w:pPr>
              <w:rPr>
                <w:rFonts w:ascii="Times New Roman" w:hAnsi="Times New Roman" w:cs="Times New Roman"/>
                <w:sz w:val="20"/>
                <w:szCs w:val="20"/>
                <w:lang w:val="el-GR"/>
              </w:rPr>
            </w:pPr>
            <w:r>
              <w:rPr>
                <w:rFonts w:ascii="Times New Roman" w:hAnsi="Times New Roman" w:cs="Times New Roman"/>
                <w:sz w:val="20"/>
                <w:szCs w:val="20"/>
              </w:rPr>
              <w:t>B4</w:t>
            </w:r>
            <w:r>
              <w:rPr>
                <w:rFonts w:ascii="Times New Roman" w:hAnsi="Times New Roman" w:cs="Times New Roman"/>
                <w:sz w:val="20"/>
                <w:szCs w:val="20"/>
                <w:lang w:val="el-GR"/>
              </w:rPr>
              <w:t>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Β5</w:t>
            </w:r>
          </w:p>
        </w:tc>
        <w:tc>
          <w:tcPr>
            <w:tcW w:w="4678" w:type="dxa"/>
          </w:tcPr>
          <w:p w:rsidR="000F00A6" w:rsidRPr="000F00A6" w:rsidRDefault="000F00A6" w:rsidP="000F00A6">
            <w:pPr>
              <w:rPr>
                <w:sz w:val="20"/>
                <w:szCs w:val="20"/>
                <w:lang w:val="el-GR"/>
              </w:rPr>
            </w:pPr>
            <w:r w:rsidRPr="000F00A6">
              <w:rPr>
                <w:sz w:val="20"/>
                <w:szCs w:val="20"/>
                <w:lang w:val="el-GR"/>
              </w:rPr>
              <w:t xml:space="preserve">Ο ΣΥΜΜΕΤΕΧΟΝΤΑΣ ΛΕΕΙ « Το </w:t>
            </w:r>
            <w:r w:rsidRPr="00F80CF1">
              <w:rPr>
                <w:sz w:val="20"/>
                <w:szCs w:val="20"/>
              </w:rPr>
              <w:t>Depon</w:t>
            </w:r>
            <w:r w:rsidRPr="000F00A6">
              <w:rPr>
                <w:sz w:val="20"/>
                <w:szCs w:val="20"/>
                <w:lang w:val="el-GR"/>
              </w:rPr>
              <w:t xml:space="preserve"> και το </w:t>
            </w:r>
            <w:r w:rsidRPr="00F80CF1">
              <w:rPr>
                <w:sz w:val="20"/>
                <w:szCs w:val="20"/>
              </w:rPr>
              <w:t>Brufen</w:t>
            </w:r>
            <w:r w:rsidRPr="000F00A6">
              <w:rPr>
                <w:sz w:val="20"/>
                <w:szCs w:val="20"/>
                <w:lang w:val="el-GR"/>
              </w:rPr>
              <w:t xml:space="preserve"> μπορούν να προκαλέσουν υπνηλία»</w:t>
            </w:r>
          </w:p>
          <w:p w:rsidR="000F00A6" w:rsidRPr="000F00A6" w:rsidRDefault="000F00A6" w:rsidP="000F00A6">
            <w:pPr>
              <w:rPr>
                <w:sz w:val="20"/>
                <w:szCs w:val="20"/>
                <w:lang w:val="el-GR"/>
              </w:rPr>
            </w:pPr>
          </w:p>
          <w:p w:rsidR="000F00A6" w:rsidRPr="000F00A6" w:rsidRDefault="000F00A6" w:rsidP="000F00A6">
            <w:pPr>
              <w:rPr>
                <w:sz w:val="20"/>
                <w:szCs w:val="20"/>
                <w:lang w:val="el-GR"/>
              </w:rPr>
            </w:pPr>
            <w:r w:rsidRPr="000F00A6">
              <w:rPr>
                <w:sz w:val="20"/>
                <w:szCs w:val="20"/>
                <w:lang w:val="el-GR"/>
              </w:rPr>
              <w:t xml:space="preserve">Ο ερευνητής διαπίστωσε ότι είπε μόνο </w:t>
            </w:r>
            <w:r>
              <w:rPr>
                <w:sz w:val="20"/>
                <w:szCs w:val="20"/>
                <w:lang w:val="en-US"/>
              </w:rPr>
              <w:t>DEPON</w:t>
            </w:r>
          </w:p>
          <w:p w:rsidR="000F00A6" w:rsidRPr="000F00A6" w:rsidRDefault="000F00A6" w:rsidP="000F00A6">
            <w:pPr>
              <w:rPr>
                <w:sz w:val="20"/>
                <w:szCs w:val="20"/>
                <w:lang w:val="el-GR"/>
              </w:rPr>
            </w:pPr>
            <w:r w:rsidRPr="000F00A6">
              <w:rPr>
                <w:sz w:val="20"/>
                <w:szCs w:val="20"/>
                <w:lang w:val="el-GR"/>
              </w:rPr>
              <w:t xml:space="preserve">Ο ερευνητής διαπίστωσε ότι είπε μόνο </w:t>
            </w:r>
            <w:r>
              <w:rPr>
                <w:sz w:val="20"/>
                <w:szCs w:val="20"/>
                <w:lang w:val="en-US"/>
              </w:rPr>
              <w:t>BRUFEN</w:t>
            </w:r>
          </w:p>
          <w:p w:rsidR="000F00A6" w:rsidRPr="000F00A6" w:rsidRDefault="000F00A6" w:rsidP="000F00A6">
            <w:pPr>
              <w:rPr>
                <w:sz w:val="20"/>
                <w:szCs w:val="20"/>
                <w:lang w:val="el-GR"/>
              </w:rPr>
            </w:pPr>
            <w:r w:rsidRPr="000F00A6">
              <w:rPr>
                <w:sz w:val="20"/>
                <w:szCs w:val="20"/>
                <w:lang w:val="el-GR"/>
              </w:rPr>
              <w:t xml:space="preserve">Ο ερευνητής διαπίστωσε ότι </w:t>
            </w:r>
            <w:r>
              <w:rPr>
                <w:sz w:val="20"/>
                <w:szCs w:val="20"/>
              </w:rPr>
              <w:t>DEN</w:t>
            </w:r>
            <w:r w:rsidRPr="000F00A6">
              <w:rPr>
                <w:sz w:val="20"/>
                <w:szCs w:val="20"/>
                <w:lang w:val="el-GR"/>
              </w:rPr>
              <w:t xml:space="preserve"> είπε </w:t>
            </w:r>
            <w:r>
              <w:rPr>
                <w:sz w:val="20"/>
                <w:szCs w:val="20"/>
                <w:lang w:val="el-GR"/>
              </w:rPr>
              <w:t xml:space="preserve">ούτε </w:t>
            </w:r>
            <w:r>
              <w:rPr>
                <w:sz w:val="20"/>
                <w:szCs w:val="20"/>
                <w:lang w:val="en-US"/>
              </w:rPr>
              <w:t>DEPON</w:t>
            </w:r>
            <w:r w:rsidRPr="000F00A6">
              <w:rPr>
                <w:sz w:val="20"/>
                <w:szCs w:val="20"/>
                <w:lang w:val="el-GR"/>
              </w:rPr>
              <w:t xml:space="preserve"> ούτε </w:t>
            </w:r>
            <w:r>
              <w:rPr>
                <w:sz w:val="20"/>
                <w:szCs w:val="20"/>
                <w:lang w:val="en-US"/>
              </w:rPr>
              <w:t>BRUFEN</w:t>
            </w:r>
            <w:r w:rsidRPr="000F00A6">
              <w:rPr>
                <w:sz w:val="20"/>
                <w:szCs w:val="20"/>
                <w:lang w:val="el-GR"/>
              </w:rPr>
              <w:t>.</w:t>
            </w:r>
          </w:p>
          <w:p w:rsidR="000F00A6" w:rsidRPr="000F00A6" w:rsidRDefault="000F00A6" w:rsidP="000F00A6">
            <w:pPr>
              <w:rPr>
                <w:sz w:val="20"/>
                <w:szCs w:val="20"/>
                <w:lang w:val="el-GR"/>
              </w:rPr>
            </w:pPr>
          </w:p>
          <w:p w:rsidR="000F00A6" w:rsidRPr="000F00A6" w:rsidRDefault="000F00A6" w:rsidP="000F00A6">
            <w:pPr>
              <w:rPr>
                <w:sz w:val="20"/>
                <w:szCs w:val="20"/>
                <w:lang w:val="el-GR"/>
              </w:rPr>
            </w:pPr>
          </w:p>
          <w:p w:rsidR="000F00A6" w:rsidRPr="000F00A6" w:rsidRDefault="000F00A6" w:rsidP="000F00A6">
            <w:pPr>
              <w:rPr>
                <w:rFonts w:ascii="Times New Roman" w:hAnsi="Times New Roman" w:cs="Times New Roman"/>
                <w:sz w:val="20"/>
                <w:szCs w:val="20"/>
                <w:lang w:val="el-GR"/>
              </w:rPr>
            </w:pP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0F00A6" w:rsidRDefault="000F00A6" w:rsidP="000F00A6">
            <w:pPr>
              <w:rPr>
                <w:rFonts w:ascii="Times New Roman" w:hAnsi="Times New Roman" w:cs="Times New Roman"/>
                <w:sz w:val="20"/>
                <w:szCs w:val="20"/>
                <w:lang w:val="el-GR"/>
              </w:rPr>
            </w:pPr>
            <w:r w:rsidRPr="000F00A6">
              <w:rPr>
                <w:rFonts w:ascii="Times New Roman" w:hAnsi="Times New Roman" w:cs="Times New Roman"/>
                <w:sz w:val="20"/>
                <w:szCs w:val="20"/>
                <w:lang w:val="el-GR"/>
              </w:rPr>
              <w:t>Για να πάρει πόντους, ο συμμετέχοντας πρέπει να πει και τα δυο ονόματα των φαρμάκων.</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Β5α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B6</w:t>
            </w:r>
          </w:p>
        </w:tc>
        <w:tc>
          <w:tcPr>
            <w:tcW w:w="4678" w:type="dxa"/>
          </w:tcPr>
          <w:p w:rsidR="000F00A6" w:rsidRPr="000F00A6" w:rsidRDefault="000F00A6" w:rsidP="000F00A6">
            <w:pPr>
              <w:rPr>
                <w:rFonts w:ascii="Times New Roman" w:hAnsi="Times New Roman" w:cs="Times New Roman"/>
                <w:sz w:val="20"/>
                <w:szCs w:val="20"/>
                <w:lang w:val="el-GR"/>
              </w:rPr>
            </w:pPr>
            <w:r w:rsidRPr="000F00A6">
              <w:rPr>
                <w:sz w:val="20"/>
                <w:szCs w:val="20"/>
                <w:lang w:val="el-GR"/>
              </w:rPr>
              <w:t>Ο ΣΥΜΜΕΤΕΧΟΝΤΑΣ ΛΕΕΙ «Ως 8 χάπια»</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A41757" w:rsidRDefault="000F00A6" w:rsidP="000F00A6">
            <w:pPr>
              <w:rPr>
                <w:rFonts w:ascii="Times New Roman" w:hAnsi="Times New Roman" w:cs="Times New Roman"/>
                <w:sz w:val="20"/>
                <w:szCs w:val="20"/>
              </w:rPr>
            </w:pPr>
          </w:p>
        </w:tc>
      </w:tr>
      <w:tr w:rsidR="000F00A6" w:rsidRPr="00A41757" w:rsidTr="000F00A6">
        <w:tc>
          <w:tcPr>
            <w:tcW w:w="675" w:type="dxa"/>
          </w:tcPr>
          <w:p w:rsidR="000F00A6" w:rsidRPr="007F5979" w:rsidRDefault="000F00A6" w:rsidP="000F00A6">
            <w:pPr>
              <w:rPr>
                <w:rFonts w:ascii="Times New Roman" w:hAnsi="Times New Roman" w:cs="Times New Roman"/>
                <w:sz w:val="20"/>
                <w:szCs w:val="20"/>
                <w:lang w:val="el-GR"/>
              </w:rPr>
            </w:pPr>
            <w:r>
              <w:rPr>
                <w:rFonts w:ascii="Times New Roman" w:hAnsi="Times New Roman" w:cs="Times New Roman"/>
                <w:sz w:val="20"/>
                <w:szCs w:val="20"/>
              </w:rPr>
              <w:t>B6</w:t>
            </w:r>
            <w:r>
              <w:rPr>
                <w:rFonts w:ascii="Times New Roman" w:hAnsi="Times New Roman" w:cs="Times New Roman"/>
                <w:sz w:val="20"/>
                <w:szCs w:val="20"/>
                <w:lang w:val="el-GR"/>
              </w:rPr>
              <w:t>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Β7</w:t>
            </w:r>
          </w:p>
        </w:tc>
        <w:tc>
          <w:tcPr>
            <w:tcW w:w="4678" w:type="dxa"/>
          </w:tcPr>
          <w:p w:rsidR="000F00A6" w:rsidRPr="000F00A6" w:rsidRDefault="000F00A6" w:rsidP="000F00A6">
            <w:pPr>
              <w:rPr>
                <w:rFonts w:ascii="Times New Roman" w:hAnsi="Times New Roman" w:cs="Times New Roman"/>
                <w:sz w:val="20"/>
                <w:szCs w:val="20"/>
                <w:lang w:val="el-GR"/>
              </w:rPr>
            </w:pPr>
            <w:r w:rsidRPr="000F00A6">
              <w:rPr>
                <w:sz w:val="20"/>
                <w:szCs w:val="20"/>
                <w:lang w:val="el-GR"/>
              </w:rPr>
              <w:t>Ο ΣΥΜΜΕΤΕΧΟΝΤΑΣ ΛΕΕΙ «Σε διαστήματα 4 ωρών» Η «Κάθε 4 ώρες»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0F00A6" w:rsidRDefault="000F00A6" w:rsidP="000F00A6">
            <w:pPr>
              <w:rPr>
                <w:rFonts w:ascii="Times New Roman" w:hAnsi="Times New Roman" w:cs="Times New Roman"/>
                <w:sz w:val="20"/>
                <w:szCs w:val="20"/>
                <w:lang w:val="el-GR"/>
              </w:rPr>
            </w:pPr>
            <w:r w:rsidRPr="000F00A6">
              <w:rPr>
                <w:rFonts w:ascii="Times New Roman" w:hAnsi="Times New Roman" w:cs="Times New Roman"/>
                <w:sz w:val="20"/>
                <w:szCs w:val="20"/>
                <w:lang w:val="el-GR"/>
              </w:rPr>
              <w:t>Οι 4 ώρες είναι το κριτίριο</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Β7α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Β8</w:t>
            </w:r>
          </w:p>
        </w:tc>
        <w:tc>
          <w:tcPr>
            <w:tcW w:w="4678" w:type="dxa"/>
          </w:tcPr>
          <w:p w:rsidR="000F00A6" w:rsidRPr="00CE0713" w:rsidRDefault="000F00A6" w:rsidP="000F00A6">
            <w:pPr>
              <w:rPr>
                <w:rFonts w:ascii="Times New Roman" w:hAnsi="Times New Roman" w:cs="Times New Roman"/>
                <w:sz w:val="20"/>
                <w:szCs w:val="20"/>
                <w:lang w:val="el-GR"/>
              </w:rPr>
            </w:pPr>
            <w:r w:rsidRPr="00CE0713">
              <w:rPr>
                <w:sz w:val="20"/>
                <w:szCs w:val="20"/>
                <w:lang w:val="el-GR"/>
              </w:rPr>
              <w:t>Ο ΣΥΜΜΕΤΕΧΟΝΤΑΣ ΛΕΕΙ: «Πρέπει να επικοινωνήσει με τον γιατρό της άμεσα»</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A41757" w:rsidRDefault="000F00A6" w:rsidP="000F00A6">
            <w:pPr>
              <w:rPr>
                <w:rFonts w:ascii="Times New Roman" w:hAnsi="Times New Roman" w:cs="Times New Roman"/>
                <w:sz w:val="20"/>
                <w:szCs w:val="20"/>
              </w:rPr>
            </w:pP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Β8α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Β9</w:t>
            </w:r>
          </w:p>
        </w:tc>
        <w:tc>
          <w:tcPr>
            <w:tcW w:w="4678" w:type="dxa"/>
          </w:tcPr>
          <w:p w:rsidR="000F00A6" w:rsidRPr="00CE0713" w:rsidRDefault="000F00A6" w:rsidP="000F00A6">
            <w:pPr>
              <w:rPr>
                <w:rFonts w:ascii="Times New Roman" w:hAnsi="Times New Roman" w:cs="Times New Roman"/>
                <w:sz w:val="20"/>
                <w:szCs w:val="20"/>
                <w:lang w:val="el-GR"/>
              </w:rPr>
            </w:pPr>
            <w:r w:rsidRPr="00CE0713">
              <w:rPr>
                <w:sz w:val="20"/>
                <w:szCs w:val="20"/>
                <w:lang w:val="el-GR"/>
              </w:rPr>
              <w:t>Ο ΣΥΜΜΕΤΕΧΟΝΤΑΣ ΓΡΑΦΕΙ: «ΕΟΠΥΥ» ΣΤΟ ΠΛΑΙΣΙΟ «ΑΣΦΑΛΕΙΑ» ΤΗΣ ΦΟΡΜΑΣ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0D14C8" w:rsidRDefault="000F00A6" w:rsidP="000F00A6">
            <w:pPr>
              <w:jc w:val="center"/>
              <w:rPr>
                <w:rFonts w:ascii="Times New Roman" w:hAnsi="Times New Roman" w:cs="Times New Roman"/>
                <w:b/>
                <w:sz w:val="20"/>
                <w:szCs w:val="20"/>
              </w:rPr>
            </w:pPr>
            <w:r>
              <w:rPr>
                <w:rFonts w:ascii="Times New Roman" w:hAnsi="Times New Roman" w:cs="Times New Roman"/>
                <w:sz w:val="20"/>
                <w:szCs w:val="20"/>
              </w:rPr>
              <w:t>0</w:t>
            </w:r>
          </w:p>
        </w:tc>
        <w:tc>
          <w:tcPr>
            <w:tcW w:w="1912" w:type="dxa"/>
          </w:tcPr>
          <w:p w:rsidR="000F00A6" w:rsidRPr="00CE0713" w:rsidRDefault="000F00A6" w:rsidP="000F00A6">
            <w:pPr>
              <w:rPr>
                <w:rFonts w:ascii="Times New Roman" w:hAnsi="Times New Roman" w:cs="Times New Roman"/>
                <w:sz w:val="20"/>
                <w:szCs w:val="20"/>
                <w:lang w:val="el-GR"/>
              </w:rPr>
            </w:pPr>
            <w:r w:rsidRPr="00CE0713">
              <w:rPr>
                <w:rFonts w:ascii="Times New Roman" w:hAnsi="Times New Roman" w:cs="Times New Roman"/>
                <w:sz w:val="20"/>
                <w:szCs w:val="20"/>
                <w:lang w:val="el-GR"/>
              </w:rPr>
              <w:t>Ο συμμετέχοντας πρέπει να γράψει το όνομα της ασφάλειας ή τα αρχικά της.</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Β9α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Β10α</w:t>
            </w:r>
          </w:p>
        </w:tc>
        <w:tc>
          <w:tcPr>
            <w:tcW w:w="4678" w:type="dxa"/>
          </w:tcPr>
          <w:p w:rsidR="000F00A6" w:rsidRPr="00CE0713" w:rsidRDefault="000F00A6" w:rsidP="000F00A6">
            <w:pPr>
              <w:rPr>
                <w:rFonts w:ascii="Times New Roman" w:hAnsi="Times New Roman" w:cs="Times New Roman"/>
                <w:sz w:val="20"/>
                <w:szCs w:val="20"/>
                <w:lang w:val="el-GR"/>
              </w:rPr>
            </w:pPr>
            <w:r w:rsidRPr="00CE0713">
              <w:rPr>
                <w:sz w:val="20"/>
                <w:szCs w:val="20"/>
                <w:lang w:val="el-GR"/>
              </w:rPr>
              <w:t>Ο ΣΥΜΜΕΤΕΧΟΝΤΑΣ ΜΑΡΚΑΡΕΙ/ΤΣΕΚΑΡΕΙ  «Ναι» ΔΙΠΛΑ ΣΤΗΝ ΕΡΩΤΗΣΗ «ΕΙΧΑΤΕ ΠΟΤΕ ΕΠΙΠΛΟΚΕΣ ΑΝΑΙΣΘΗΣΙΑΣ»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CE0713" w:rsidRDefault="000F00A6" w:rsidP="000F00A6">
            <w:pPr>
              <w:rPr>
                <w:rFonts w:ascii="Times New Roman" w:hAnsi="Times New Roman" w:cs="Times New Roman"/>
                <w:sz w:val="20"/>
                <w:szCs w:val="20"/>
                <w:lang w:val="el-GR"/>
              </w:rPr>
            </w:pPr>
            <w:r w:rsidRPr="00CE0713">
              <w:rPr>
                <w:rFonts w:ascii="Times New Roman" w:hAnsi="Times New Roman" w:cs="Times New Roman"/>
                <w:sz w:val="20"/>
                <w:szCs w:val="20"/>
                <w:lang w:val="el-GR"/>
              </w:rPr>
              <w:t xml:space="preserve">Ο συμμετέχοντας μπορεί να πάρει πόντους ακόμα και αν δεν απαντήσει σωστά στο Β10β </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Β10β</w:t>
            </w:r>
          </w:p>
        </w:tc>
        <w:tc>
          <w:tcPr>
            <w:tcW w:w="4678" w:type="dxa"/>
          </w:tcPr>
          <w:p w:rsidR="000F00A6" w:rsidRPr="00CE0713" w:rsidRDefault="000F00A6" w:rsidP="000F00A6">
            <w:pPr>
              <w:rPr>
                <w:rFonts w:ascii="Times New Roman" w:hAnsi="Times New Roman" w:cs="Times New Roman"/>
                <w:sz w:val="20"/>
                <w:szCs w:val="20"/>
                <w:lang w:val="el-GR"/>
              </w:rPr>
            </w:pPr>
            <w:r w:rsidRPr="00CE0713">
              <w:rPr>
                <w:sz w:val="20"/>
                <w:szCs w:val="20"/>
                <w:lang w:val="el-GR"/>
              </w:rPr>
              <w:t>Ο ΣΥΜΜΕΤΕΧΟΝΤΑΣ ΓΡΑΦΕΙ «Ασταθής αρτηριακή πίεση» ΣΤΟ ΠΛΑΙΣΙΟ «ΠΑΡΑΚΑΛΩ ΠΕΡΙΓΡΑΨΤΕ»</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p w:rsidR="000F00A6" w:rsidRPr="00A41757" w:rsidRDefault="000F00A6" w:rsidP="000F00A6">
            <w:pPr>
              <w:jc w:val="center"/>
              <w:rPr>
                <w:rFonts w:ascii="Times New Roman" w:hAnsi="Times New Roman" w:cs="Times New Roman"/>
                <w:sz w:val="20"/>
                <w:szCs w:val="20"/>
              </w:rPr>
            </w:pPr>
          </w:p>
        </w:tc>
        <w:tc>
          <w:tcPr>
            <w:tcW w:w="1912" w:type="dxa"/>
          </w:tcPr>
          <w:p w:rsidR="000F00A6" w:rsidRPr="00CE0713" w:rsidRDefault="000F00A6" w:rsidP="000F00A6">
            <w:pPr>
              <w:rPr>
                <w:rFonts w:ascii="Times New Roman" w:hAnsi="Times New Roman" w:cs="Times New Roman"/>
                <w:b/>
                <w:sz w:val="20"/>
                <w:szCs w:val="20"/>
                <w:lang w:val="el-GR"/>
              </w:rPr>
            </w:pPr>
            <w:r w:rsidRPr="00CE0713">
              <w:rPr>
                <w:rFonts w:ascii="Times New Roman" w:hAnsi="Times New Roman" w:cs="Times New Roman"/>
                <w:sz w:val="20"/>
                <w:szCs w:val="20"/>
                <w:lang w:val="el-GR"/>
              </w:rPr>
              <w:t>Ο συμμετέχοντας μπορεί να πάρει πόντους ακόμα και αν δεν απαντήσει σωστά στο Β10α</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Β10γ</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Γ1</w:t>
            </w:r>
          </w:p>
        </w:tc>
        <w:tc>
          <w:tcPr>
            <w:tcW w:w="4678" w:type="dxa"/>
          </w:tcPr>
          <w:p w:rsidR="000F00A6" w:rsidRPr="00CE0713" w:rsidRDefault="000F00A6" w:rsidP="000F00A6">
            <w:pPr>
              <w:rPr>
                <w:rFonts w:ascii="Times New Roman" w:hAnsi="Times New Roman" w:cs="Times New Roman"/>
                <w:sz w:val="20"/>
                <w:szCs w:val="20"/>
                <w:lang w:val="el-GR"/>
              </w:rPr>
            </w:pPr>
            <w:r w:rsidRPr="00CE0713">
              <w:rPr>
                <w:sz w:val="20"/>
                <w:szCs w:val="20"/>
                <w:lang w:val="el-GR"/>
              </w:rPr>
              <w:t>Ο ΣΥΜΜΕΤΕΧΟΝΤΑΣ ΒΡΙΣΚΕΙ/ΔΕΙΧΝΕΙ/ΕΞΕΤΑΖΕΙ ΤΗΝ ΣΤΗΛΗ «ΚΑΤΟΙΚΙΕΣ»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CE0713" w:rsidRDefault="000F00A6" w:rsidP="000F00A6">
            <w:pPr>
              <w:rPr>
                <w:rFonts w:ascii="Times New Roman" w:hAnsi="Times New Roman" w:cs="Times New Roman"/>
                <w:sz w:val="20"/>
                <w:szCs w:val="20"/>
                <w:lang w:val="el-GR"/>
              </w:rPr>
            </w:pPr>
            <w:r w:rsidRPr="00CE0713">
              <w:rPr>
                <w:rFonts w:ascii="Times New Roman" w:hAnsi="Times New Roman" w:cs="Times New Roman"/>
                <w:sz w:val="20"/>
                <w:szCs w:val="20"/>
                <w:lang w:val="el-GR"/>
              </w:rPr>
              <w:t>Αυτό πρέπει να γίνει πρώτο</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Γ1α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Γ2</w:t>
            </w:r>
          </w:p>
        </w:tc>
        <w:tc>
          <w:tcPr>
            <w:tcW w:w="4678" w:type="dxa"/>
          </w:tcPr>
          <w:p w:rsidR="000F00A6" w:rsidRPr="00F80CF1" w:rsidRDefault="000F00A6" w:rsidP="000F00A6">
            <w:pPr>
              <w:spacing w:line="276" w:lineRule="auto"/>
              <w:rPr>
                <w:sz w:val="20"/>
                <w:szCs w:val="20"/>
              </w:rPr>
            </w:pPr>
            <w:r w:rsidRPr="00F80CF1">
              <w:rPr>
                <w:sz w:val="20"/>
                <w:szCs w:val="20"/>
              </w:rPr>
              <w:t>Ο ΣΥΜΜΕΤΕΧΟΝΤΑΣ  ΚΑΛΕΙ ΤΟ</w:t>
            </w:r>
          </w:p>
          <w:p w:rsidR="000F00A6" w:rsidRPr="00A41757" w:rsidRDefault="000F00A6" w:rsidP="000F00A6">
            <w:pPr>
              <w:rPr>
                <w:rFonts w:ascii="Times New Roman" w:hAnsi="Times New Roman" w:cs="Times New Roman"/>
                <w:sz w:val="20"/>
                <w:szCs w:val="20"/>
              </w:rPr>
            </w:pPr>
            <w:r w:rsidRPr="00F80CF1">
              <w:rPr>
                <w:sz w:val="20"/>
                <w:szCs w:val="20"/>
              </w:rPr>
              <w:t xml:space="preserve"> «2310-285692»</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CE0713" w:rsidRDefault="000F00A6" w:rsidP="000F00A6">
            <w:pPr>
              <w:rPr>
                <w:rFonts w:ascii="Times New Roman" w:hAnsi="Times New Roman" w:cs="Times New Roman"/>
                <w:sz w:val="20"/>
                <w:szCs w:val="20"/>
                <w:lang w:val="el-GR"/>
              </w:rPr>
            </w:pPr>
            <w:r w:rsidRPr="00CE0713">
              <w:rPr>
                <w:rFonts w:ascii="Times New Roman" w:hAnsi="Times New Roman" w:cs="Times New Roman"/>
                <w:sz w:val="20"/>
                <w:szCs w:val="20"/>
                <w:lang w:val="el-GR"/>
              </w:rPr>
              <w:t xml:space="preserve">Ο συμμετέχοντας πρέπει να </w:t>
            </w:r>
            <w:r w:rsidRPr="00CE0713">
              <w:rPr>
                <w:rFonts w:ascii="Times New Roman" w:hAnsi="Times New Roman" w:cs="Times New Roman"/>
                <w:b/>
                <w:sz w:val="20"/>
                <w:szCs w:val="20"/>
                <w:lang w:val="el-GR"/>
              </w:rPr>
              <w:t xml:space="preserve">καλέσει και να πεί </w:t>
            </w:r>
            <w:r w:rsidRPr="00CE0713">
              <w:rPr>
                <w:rFonts w:ascii="Times New Roman" w:hAnsi="Times New Roman" w:cs="Times New Roman"/>
                <w:sz w:val="20"/>
                <w:szCs w:val="20"/>
                <w:lang w:val="el-GR"/>
              </w:rPr>
              <w:t>αυτό το νούμερο; μόνο να πεί το νούμερο δεν είναι αρκετό</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Γ2α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Γ3</w:t>
            </w:r>
          </w:p>
        </w:tc>
        <w:tc>
          <w:tcPr>
            <w:tcW w:w="4678" w:type="dxa"/>
          </w:tcPr>
          <w:p w:rsidR="000F00A6" w:rsidRPr="00CE0713" w:rsidRDefault="000F00A6" w:rsidP="000F00A6">
            <w:pPr>
              <w:rPr>
                <w:rFonts w:ascii="Times New Roman" w:hAnsi="Times New Roman" w:cs="Times New Roman"/>
                <w:sz w:val="20"/>
                <w:szCs w:val="20"/>
                <w:lang w:val="el-GR"/>
              </w:rPr>
            </w:pPr>
            <w:r w:rsidRPr="00CE0713">
              <w:rPr>
                <w:sz w:val="20"/>
                <w:szCs w:val="20"/>
                <w:lang w:val="el-GR"/>
              </w:rPr>
              <w:t>Ο ΣΥΜΜΕΤΕΧΟΝΤΑΣ ΒΡΙΣΚΕΙ/ΔΕΙΧΝΕΙ/ΕΞΕΤΑΖΕΙ ΤΗΝ ΔΙΑΦΗΜΙΣΗ ΤΟΥ ΦΑΡΜΑΚΕΙΟΥ</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CE0713" w:rsidRDefault="000F00A6" w:rsidP="000F00A6">
            <w:pPr>
              <w:rPr>
                <w:rFonts w:ascii="Times New Roman" w:hAnsi="Times New Roman" w:cs="Times New Roman"/>
                <w:sz w:val="20"/>
                <w:szCs w:val="20"/>
                <w:lang w:val="el-GR"/>
              </w:rPr>
            </w:pPr>
            <w:r w:rsidRPr="00CE0713">
              <w:rPr>
                <w:rFonts w:ascii="Times New Roman" w:hAnsi="Times New Roman" w:cs="Times New Roman"/>
                <w:sz w:val="20"/>
                <w:szCs w:val="20"/>
                <w:lang w:val="el-GR"/>
              </w:rPr>
              <w:t>Αυτό το βήμα πρέπει να γίνει πρώτο</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Γ3α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Γ4</w:t>
            </w:r>
          </w:p>
        </w:tc>
        <w:tc>
          <w:tcPr>
            <w:tcW w:w="4678" w:type="dxa"/>
          </w:tcPr>
          <w:p w:rsidR="000F00A6" w:rsidRPr="00CE0713" w:rsidRDefault="000F00A6" w:rsidP="000F00A6">
            <w:pPr>
              <w:rPr>
                <w:rFonts w:ascii="Times New Roman" w:hAnsi="Times New Roman" w:cs="Times New Roman"/>
                <w:sz w:val="20"/>
                <w:szCs w:val="20"/>
                <w:lang w:val="el-GR"/>
              </w:rPr>
            </w:pPr>
            <w:r w:rsidRPr="00CE0713">
              <w:rPr>
                <w:sz w:val="20"/>
                <w:szCs w:val="20"/>
                <w:lang w:val="el-GR"/>
              </w:rPr>
              <w:t>Ο ΣΥΜΜΕΤΕΧΟΝΤΑΣ ΚΑΛΕΙ ΚΑΙ ΛΕΕΙ ΦΩΝΑΧΤΑ «2310-513541»</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A41757" w:rsidRDefault="000F00A6" w:rsidP="000F00A6">
            <w:pPr>
              <w:rPr>
                <w:rFonts w:ascii="Times New Roman" w:hAnsi="Times New Roman" w:cs="Times New Roman"/>
                <w:sz w:val="20"/>
                <w:szCs w:val="20"/>
              </w:rPr>
            </w:pP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Γ4α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Γ5</w:t>
            </w:r>
          </w:p>
        </w:tc>
        <w:tc>
          <w:tcPr>
            <w:tcW w:w="4678" w:type="dxa"/>
          </w:tcPr>
          <w:p w:rsidR="000F00A6" w:rsidRPr="00CE0713" w:rsidRDefault="000F00A6" w:rsidP="000F00A6">
            <w:pPr>
              <w:rPr>
                <w:sz w:val="20"/>
                <w:szCs w:val="20"/>
                <w:lang w:val="el-GR"/>
              </w:rPr>
            </w:pPr>
            <w:r w:rsidRPr="00CE0713">
              <w:rPr>
                <w:sz w:val="20"/>
                <w:szCs w:val="20"/>
                <w:lang w:val="el-GR"/>
              </w:rPr>
              <w:t xml:space="preserve">Ο ΣΥΜΜΕΤΕΧΟΝΤΑΣ ΒΡΙΣΚΕΙ/ΔΕΙΧΝΕΙ/ΕΞΕΤΑΖΕΙ </w:t>
            </w:r>
            <w:r>
              <w:rPr>
                <w:sz w:val="20"/>
                <w:szCs w:val="20"/>
                <w:lang w:val="en-US"/>
              </w:rPr>
              <w:t>THN</w:t>
            </w:r>
            <w:r w:rsidRPr="00CE0713">
              <w:rPr>
                <w:sz w:val="20"/>
                <w:szCs w:val="20"/>
                <w:lang w:val="el-GR"/>
              </w:rPr>
              <w:t xml:space="preserve"> ΣΩΣΤ</w:t>
            </w:r>
            <w:r>
              <w:rPr>
                <w:sz w:val="20"/>
                <w:szCs w:val="20"/>
                <w:lang w:val="en-US"/>
              </w:rPr>
              <w:t>H</w:t>
            </w:r>
            <w:r w:rsidRPr="00CE0713">
              <w:rPr>
                <w:sz w:val="20"/>
                <w:szCs w:val="20"/>
                <w:lang w:val="el-GR"/>
              </w:rPr>
              <w:t xml:space="preserve"> (Η Περίοδος ‘Εκπτωσης) ΣΤΗΛΗ ΧΡΕΩΣΗΣ ΣΤΟΝ ΠΙΝΑΚΑ</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p w:rsidR="000F00A6" w:rsidRDefault="000F00A6" w:rsidP="000F00A6">
            <w:pPr>
              <w:jc w:val="center"/>
              <w:rPr>
                <w:rFonts w:ascii="Times New Roman" w:hAnsi="Times New Roman" w:cs="Times New Roman"/>
                <w:sz w:val="20"/>
                <w:szCs w:val="20"/>
              </w:rPr>
            </w:pPr>
          </w:p>
        </w:tc>
        <w:tc>
          <w:tcPr>
            <w:tcW w:w="1912" w:type="dxa"/>
          </w:tcPr>
          <w:p w:rsidR="000F00A6" w:rsidRPr="00CE0713" w:rsidRDefault="000F00A6" w:rsidP="000F00A6">
            <w:pPr>
              <w:rPr>
                <w:rFonts w:ascii="Times New Roman" w:hAnsi="Times New Roman" w:cs="Times New Roman"/>
                <w:sz w:val="20"/>
                <w:szCs w:val="20"/>
                <w:lang w:val="el-GR"/>
              </w:rPr>
            </w:pPr>
            <w:r w:rsidRPr="00CE0713">
              <w:rPr>
                <w:rFonts w:ascii="Times New Roman" w:hAnsi="Times New Roman" w:cs="Times New Roman"/>
                <w:sz w:val="20"/>
                <w:szCs w:val="20"/>
                <w:lang w:val="el-GR"/>
              </w:rPr>
              <w:t>Αυτό το βήμα πρέπει να γίνει πρώτο</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Γ5α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Γ6</w:t>
            </w:r>
          </w:p>
        </w:tc>
        <w:tc>
          <w:tcPr>
            <w:tcW w:w="4678" w:type="dxa"/>
          </w:tcPr>
          <w:p w:rsidR="000F00A6" w:rsidRPr="00CE0713" w:rsidRDefault="000F00A6" w:rsidP="000F00A6">
            <w:pPr>
              <w:rPr>
                <w:sz w:val="20"/>
                <w:szCs w:val="20"/>
                <w:lang w:val="el-GR"/>
              </w:rPr>
            </w:pPr>
            <w:r w:rsidRPr="00CE0713">
              <w:rPr>
                <w:sz w:val="20"/>
                <w:szCs w:val="20"/>
                <w:lang w:val="el-GR"/>
              </w:rPr>
              <w:t>Ο ΣΥΜΜΕΤΕΧΟΝΤΑΣ ΛΕΕΙ «Περίοδος ‘Εκπτωσης »</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p w:rsidR="000F00A6" w:rsidRDefault="000F00A6" w:rsidP="000F00A6">
            <w:pPr>
              <w:jc w:val="center"/>
              <w:rPr>
                <w:rFonts w:ascii="Times New Roman" w:hAnsi="Times New Roman" w:cs="Times New Roman"/>
                <w:sz w:val="20"/>
                <w:szCs w:val="20"/>
              </w:rPr>
            </w:pPr>
          </w:p>
        </w:tc>
        <w:tc>
          <w:tcPr>
            <w:tcW w:w="1912" w:type="dxa"/>
          </w:tcPr>
          <w:p w:rsidR="000F00A6" w:rsidRPr="00CE0713" w:rsidRDefault="000F00A6" w:rsidP="000F00A6">
            <w:pPr>
              <w:rPr>
                <w:rFonts w:ascii="Times New Roman" w:hAnsi="Times New Roman" w:cs="Times New Roman"/>
                <w:sz w:val="20"/>
                <w:szCs w:val="20"/>
                <w:lang w:val="el-GR"/>
              </w:rPr>
            </w:pPr>
            <w:r w:rsidRPr="00CE0713">
              <w:rPr>
                <w:rFonts w:ascii="Times New Roman" w:hAnsi="Times New Roman" w:cs="Times New Roman"/>
                <w:sz w:val="20"/>
                <w:szCs w:val="20"/>
                <w:lang w:val="el-GR"/>
              </w:rPr>
              <w:t>Ο συμμετέχοντας πρέπει να πεί το όνομα της περιόδου έκπτωσης. Μόνο να το δείξει δεν αρκεί</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Γ6α</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2D7931"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Δ1α</w:t>
            </w:r>
          </w:p>
        </w:tc>
        <w:tc>
          <w:tcPr>
            <w:tcW w:w="4678" w:type="dxa"/>
          </w:tcPr>
          <w:p w:rsidR="000F00A6" w:rsidRPr="00CE0713" w:rsidRDefault="000F00A6" w:rsidP="000F00A6">
            <w:pPr>
              <w:rPr>
                <w:sz w:val="20"/>
                <w:szCs w:val="20"/>
                <w:lang w:val="el-GR"/>
              </w:rPr>
            </w:pPr>
            <w:r w:rsidRPr="00CE0713">
              <w:rPr>
                <w:sz w:val="20"/>
                <w:szCs w:val="20"/>
                <w:u w:val="single"/>
                <w:lang w:val="el-GR"/>
              </w:rPr>
              <w:t xml:space="preserve">3.15€ </w:t>
            </w:r>
            <w:r w:rsidRPr="00CE0713">
              <w:rPr>
                <w:b/>
                <w:sz w:val="20"/>
                <w:szCs w:val="20"/>
                <w:u w:val="single"/>
                <w:lang w:val="el-GR"/>
              </w:rPr>
              <w:t>ΜΕΤΡΗΜΕΝΑ</w:t>
            </w:r>
            <w:r w:rsidRPr="00CE0713">
              <w:rPr>
                <w:sz w:val="20"/>
                <w:szCs w:val="20"/>
                <w:u w:val="single"/>
                <w:lang w:val="el-GR"/>
              </w:rPr>
              <w:t xml:space="preserve"> ΩΣ:</w:t>
            </w:r>
          </w:p>
          <w:p w:rsidR="000F00A6" w:rsidRPr="00CE0713" w:rsidRDefault="000F00A6" w:rsidP="000F00A6">
            <w:pPr>
              <w:rPr>
                <w:sz w:val="20"/>
                <w:szCs w:val="20"/>
                <w:lang w:val="el-GR"/>
              </w:rPr>
            </w:pPr>
            <w:r w:rsidRPr="00CE0713">
              <w:rPr>
                <w:sz w:val="20"/>
                <w:szCs w:val="20"/>
                <w:lang w:val="el-GR"/>
              </w:rPr>
              <w:t>1</w:t>
            </w:r>
            <w:r>
              <w:rPr>
                <w:sz w:val="20"/>
                <w:szCs w:val="20"/>
                <w:lang w:val="en-US"/>
              </w:rPr>
              <w:t>x</w:t>
            </w:r>
            <w:r w:rsidRPr="00CE0713">
              <w:rPr>
                <w:sz w:val="20"/>
                <w:szCs w:val="20"/>
                <w:lang w:val="el-GR"/>
              </w:rPr>
              <w:t>2€ ΚΕΡΜΑ+1€ ΚΕΡΜΑ+10 ΣΕΝΤΣ+5 ΣΕΝΤΣ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4</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vMerge w:val="restart"/>
          </w:tcPr>
          <w:p w:rsidR="000F00A6" w:rsidRPr="000F00A6" w:rsidRDefault="000F00A6" w:rsidP="000F00A6">
            <w:pPr>
              <w:rPr>
                <w:rFonts w:ascii="Times New Roman" w:hAnsi="Times New Roman" w:cs="Times New Roman"/>
                <w:sz w:val="20"/>
                <w:szCs w:val="20"/>
                <w:lang w:val="el-GR"/>
              </w:rPr>
            </w:pPr>
            <w:r w:rsidRPr="00183D44">
              <w:rPr>
                <w:rFonts w:ascii="Times New Roman" w:hAnsi="Times New Roman" w:cs="Times New Roman"/>
                <w:sz w:val="20"/>
                <w:szCs w:val="20"/>
                <w:lang w:val="el-GR"/>
              </w:rPr>
              <w:t xml:space="preserve">Για τα Δ1α-Δ1ε, διάφοροι συνδιασμοί  μπορούν να οδηγήσουν σε μια σωστή απάντηση. </w:t>
            </w:r>
            <w:r w:rsidRPr="000F00A6">
              <w:rPr>
                <w:rFonts w:ascii="Times New Roman" w:hAnsi="Times New Roman" w:cs="Times New Roman"/>
                <w:sz w:val="20"/>
                <w:szCs w:val="20"/>
                <w:lang w:val="el-GR"/>
              </w:rPr>
              <w:t xml:space="preserve">Οπότε, </w:t>
            </w:r>
            <w:r w:rsidRPr="000F00A6">
              <w:rPr>
                <w:rFonts w:ascii="Times New Roman" w:hAnsi="Times New Roman" w:cs="Times New Roman"/>
                <w:b/>
                <w:sz w:val="20"/>
                <w:szCs w:val="20"/>
                <w:lang w:val="el-GR"/>
              </w:rPr>
              <w:t>μια</w:t>
            </w:r>
            <w:r w:rsidRPr="000F00A6">
              <w:rPr>
                <w:rFonts w:ascii="Times New Roman" w:hAnsi="Times New Roman" w:cs="Times New Roman"/>
                <w:sz w:val="20"/>
                <w:szCs w:val="20"/>
                <w:lang w:val="el-GR"/>
              </w:rPr>
              <w:t xml:space="preserve"> από αυτή</w:t>
            </w:r>
          </w:p>
          <w:p w:rsidR="000F00A6" w:rsidRPr="000F00A6" w:rsidRDefault="000F00A6" w:rsidP="000F00A6">
            <w:pPr>
              <w:rPr>
                <w:rFonts w:ascii="Times New Roman" w:hAnsi="Times New Roman" w:cs="Times New Roman"/>
                <w:sz w:val="20"/>
                <w:szCs w:val="20"/>
                <w:lang w:val="el-GR"/>
              </w:rPr>
            </w:pPr>
            <w:r w:rsidRPr="000F00A6">
              <w:rPr>
                <w:rFonts w:ascii="Times New Roman" w:hAnsi="Times New Roman" w:cs="Times New Roman"/>
                <w:sz w:val="20"/>
                <w:szCs w:val="20"/>
                <w:lang w:val="el-GR"/>
              </w:rPr>
              <w:t xml:space="preserve">Μπορεί να κωδικοποιηθεί σαν ΝΑΙ, και τα υπόλοιπα ως ΟΧΙ. </w:t>
            </w: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Δ1β</w:t>
            </w:r>
          </w:p>
        </w:tc>
        <w:tc>
          <w:tcPr>
            <w:tcW w:w="4678" w:type="dxa"/>
          </w:tcPr>
          <w:p w:rsidR="000F00A6" w:rsidRPr="00CE0713" w:rsidRDefault="000F00A6" w:rsidP="000F00A6">
            <w:pPr>
              <w:rPr>
                <w:sz w:val="20"/>
                <w:szCs w:val="20"/>
                <w:lang w:val="el-GR"/>
              </w:rPr>
            </w:pPr>
            <w:r w:rsidRPr="00CE0713">
              <w:rPr>
                <w:sz w:val="20"/>
                <w:szCs w:val="20"/>
                <w:u w:val="single"/>
                <w:lang w:val="el-GR"/>
              </w:rPr>
              <w:t xml:space="preserve">3.15€ </w:t>
            </w:r>
            <w:r w:rsidRPr="00CE0713">
              <w:rPr>
                <w:b/>
                <w:sz w:val="20"/>
                <w:szCs w:val="20"/>
                <w:u w:val="single"/>
                <w:lang w:val="el-GR"/>
              </w:rPr>
              <w:t>ΜΕΤΡΗΜΕΝΑ</w:t>
            </w:r>
            <w:r w:rsidRPr="00CE0713">
              <w:rPr>
                <w:sz w:val="20"/>
                <w:szCs w:val="20"/>
                <w:u w:val="single"/>
                <w:lang w:val="el-GR"/>
              </w:rPr>
              <w:t xml:space="preserve"> ΩΣ:</w:t>
            </w:r>
          </w:p>
          <w:p w:rsidR="000F00A6" w:rsidRPr="00CE0713" w:rsidRDefault="000F00A6" w:rsidP="000F00A6">
            <w:pPr>
              <w:rPr>
                <w:sz w:val="20"/>
                <w:szCs w:val="20"/>
                <w:lang w:val="el-GR"/>
              </w:rPr>
            </w:pPr>
            <w:r w:rsidRPr="00CE0713">
              <w:rPr>
                <w:sz w:val="20"/>
                <w:szCs w:val="20"/>
                <w:lang w:val="el-GR"/>
              </w:rPr>
              <w:t>1</w:t>
            </w:r>
            <w:r>
              <w:rPr>
                <w:sz w:val="20"/>
                <w:szCs w:val="20"/>
                <w:lang w:val="en-US"/>
              </w:rPr>
              <w:t>x</w:t>
            </w:r>
            <w:r w:rsidRPr="00CE0713">
              <w:rPr>
                <w:sz w:val="20"/>
                <w:szCs w:val="20"/>
                <w:lang w:val="el-GR"/>
              </w:rPr>
              <w:t>2€ ΚΕΡΜΑ+1€ ΚΕΡΜΑ+3</w:t>
            </w:r>
            <w:r>
              <w:rPr>
                <w:sz w:val="20"/>
                <w:szCs w:val="20"/>
                <w:lang w:val="en-US"/>
              </w:rPr>
              <w:t>x</w:t>
            </w:r>
            <w:r w:rsidRPr="00CE0713">
              <w:rPr>
                <w:sz w:val="20"/>
                <w:szCs w:val="20"/>
                <w:lang w:val="el-GR"/>
              </w:rPr>
              <w:t>5 ΣΕΝΤΣ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4</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vMerge/>
          </w:tcPr>
          <w:p w:rsidR="000F00A6" w:rsidRDefault="000F00A6" w:rsidP="000F00A6">
            <w:pPr>
              <w:rPr>
                <w:rFonts w:ascii="Times New Roman" w:hAnsi="Times New Roman" w:cs="Times New Roman"/>
                <w:sz w:val="20"/>
                <w:szCs w:val="20"/>
              </w:rPr>
            </w:pP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Δ1γ</w:t>
            </w:r>
          </w:p>
        </w:tc>
        <w:tc>
          <w:tcPr>
            <w:tcW w:w="4678" w:type="dxa"/>
          </w:tcPr>
          <w:p w:rsidR="000F00A6" w:rsidRPr="00CE0713" w:rsidRDefault="000F00A6" w:rsidP="000F00A6">
            <w:pPr>
              <w:rPr>
                <w:sz w:val="20"/>
                <w:szCs w:val="20"/>
                <w:lang w:val="el-GR"/>
              </w:rPr>
            </w:pPr>
            <w:r w:rsidRPr="00CE0713">
              <w:rPr>
                <w:sz w:val="20"/>
                <w:szCs w:val="20"/>
                <w:u w:val="single"/>
                <w:lang w:val="el-GR"/>
              </w:rPr>
              <w:t xml:space="preserve">3.15€ </w:t>
            </w:r>
            <w:r w:rsidRPr="00CE0713">
              <w:rPr>
                <w:b/>
                <w:sz w:val="20"/>
                <w:szCs w:val="20"/>
                <w:u w:val="single"/>
                <w:lang w:val="el-GR"/>
              </w:rPr>
              <w:t>ΜΕΤΡΗΜΕΝΑ</w:t>
            </w:r>
            <w:r w:rsidRPr="00CE0713">
              <w:rPr>
                <w:sz w:val="20"/>
                <w:szCs w:val="20"/>
                <w:u w:val="single"/>
                <w:lang w:val="el-GR"/>
              </w:rPr>
              <w:t xml:space="preserve"> ΩΣ:</w:t>
            </w:r>
          </w:p>
          <w:p w:rsidR="000F00A6" w:rsidRPr="00CE0713" w:rsidRDefault="000F00A6" w:rsidP="000F00A6">
            <w:pPr>
              <w:rPr>
                <w:sz w:val="20"/>
                <w:szCs w:val="20"/>
                <w:lang w:val="el-GR"/>
              </w:rPr>
            </w:pPr>
            <w:r w:rsidRPr="00CE0713">
              <w:rPr>
                <w:sz w:val="20"/>
                <w:szCs w:val="20"/>
                <w:lang w:val="el-GR"/>
              </w:rPr>
              <w:t>1</w:t>
            </w:r>
            <w:r>
              <w:rPr>
                <w:sz w:val="20"/>
                <w:szCs w:val="20"/>
                <w:lang w:val="en-US"/>
              </w:rPr>
              <w:t>x</w:t>
            </w:r>
            <w:r w:rsidRPr="00CE0713">
              <w:rPr>
                <w:sz w:val="20"/>
                <w:szCs w:val="20"/>
                <w:lang w:val="el-GR"/>
              </w:rPr>
              <w:t>2€ ΚΕΡΜΑ +5</w:t>
            </w:r>
            <w:r>
              <w:rPr>
                <w:sz w:val="20"/>
                <w:szCs w:val="20"/>
                <w:lang w:val="en-US"/>
              </w:rPr>
              <w:t>x</w:t>
            </w:r>
            <w:r w:rsidRPr="00CE0713">
              <w:rPr>
                <w:sz w:val="20"/>
                <w:szCs w:val="20"/>
                <w:lang w:val="el-GR"/>
              </w:rPr>
              <w:t>20 ΣΕΝΤΣ+10 ΣΕΝΤΣ+5 ΣΕΝΤΣ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4</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vMerge/>
          </w:tcPr>
          <w:p w:rsidR="000F00A6" w:rsidRDefault="000F00A6" w:rsidP="000F00A6">
            <w:pPr>
              <w:rPr>
                <w:rFonts w:ascii="Times New Roman" w:hAnsi="Times New Roman" w:cs="Times New Roman"/>
                <w:sz w:val="20"/>
                <w:szCs w:val="20"/>
              </w:rPr>
            </w:pP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Δ1δ</w:t>
            </w:r>
          </w:p>
        </w:tc>
        <w:tc>
          <w:tcPr>
            <w:tcW w:w="4678" w:type="dxa"/>
          </w:tcPr>
          <w:p w:rsidR="000F00A6" w:rsidRPr="00CE0713" w:rsidRDefault="000F00A6" w:rsidP="000F00A6">
            <w:pPr>
              <w:rPr>
                <w:sz w:val="20"/>
                <w:szCs w:val="20"/>
                <w:lang w:val="el-GR"/>
              </w:rPr>
            </w:pPr>
            <w:r w:rsidRPr="00CE0713">
              <w:rPr>
                <w:sz w:val="20"/>
                <w:szCs w:val="20"/>
                <w:u w:val="single"/>
                <w:lang w:val="el-GR"/>
              </w:rPr>
              <w:t xml:space="preserve">3.15€ </w:t>
            </w:r>
            <w:r w:rsidRPr="00CE0713">
              <w:rPr>
                <w:b/>
                <w:sz w:val="20"/>
                <w:szCs w:val="20"/>
                <w:u w:val="single"/>
                <w:lang w:val="el-GR"/>
              </w:rPr>
              <w:t>ΜΕΤΡΗΜΕΝΑ</w:t>
            </w:r>
            <w:r w:rsidRPr="00CE0713">
              <w:rPr>
                <w:sz w:val="20"/>
                <w:szCs w:val="20"/>
                <w:u w:val="single"/>
                <w:lang w:val="el-GR"/>
              </w:rPr>
              <w:t xml:space="preserve"> ΩΣ:</w:t>
            </w:r>
          </w:p>
          <w:p w:rsidR="000F00A6" w:rsidRPr="00CE0713" w:rsidRDefault="000F00A6" w:rsidP="000F00A6">
            <w:pPr>
              <w:rPr>
                <w:sz w:val="20"/>
                <w:szCs w:val="20"/>
                <w:lang w:val="el-GR"/>
              </w:rPr>
            </w:pPr>
            <w:r w:rsidRPr="00CE0713">
              <w:rPr>
                <w:sz w:val="20"/>
                <w:szCs w:val="20"/>
                <w:lang w:val="el-GR"/>
              </w:rPr>
              <w:t>1</w:t>
            </w:r>
            <w:r>
              <w:rPr>
                <w:sz w:val="20"/>
                <w:szCs w:val="20"/>
                <w:lang w:val="en-US"/>
              </w:rPr>
              <w:t>x</w:t>
            </w:r>
            <w:r w:rsidRPr="00CE0713">
              <w:rPr>
                <w:sz w:val="20"/>
                <w:szCs w:val="20"/>
                <w:lang w:val="el-GR"/>
              </w:rPr>
              <w:t>2€ ΚΕΡΜΑ +5</w:t>
            </w:r>
            <w:r>
              <w:rPr>
                <w:sz w:val="20"/>
                <w:szCs w:val="20"/>
                <w:lang w:val="en-US"/>
              </w:rPr>
              <w:t>x</w:t>
            </w:r>
            <w:r w:rsidRPr="00CE0713">
              <w:rPr>
                <w:sz w:val="20"/>
                <w:szCs w:val="20"/>
                <w:lang w:val="el-GR"/>
              </w:rPr>
              <w:t>20 ΣΕΝΤΣ+3</w:t>
            </w:r>
            <w:r>
              <w:rPr>
                <w:sz w:val="20"/>
                <w:szCs w:val="20"/>
                <w:lang w:val="en-US"/>
              </w:rPr>
              <w:t>x</w:t>
            </w:r>
            <w:r w:rsidRPr="00CE0713">
              <w:rPr>
                <w:sz w:val="20"/>
                <w:szCs w:val="20"/>
                <w:lang w:val="el-GR"/>
              </w:rPr>
              <w:t>5 ΣΕΝΤΣ</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4</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vMerge/>
          </w:tcPr>
          <w:p w:rsidR="000F00A6" w:rsidRDefault="000F00A6" w:rsidP="000F00A6">
            <w:pPr>
              <w:rPr>
                <w:rFonts w:ascii="Times New Roman" w:hAnsi="Times New Roman" w:cs="Times New Roman"/>
                <w:sz w:val="20"/>
                <w:szCs w:val="20"/>
              </w:rPr>
            </w:pPr>
          </w:p>
        </w:tc>
      </w:tr>
      <w:tr w:rsidR="000F00A6" w:rsidRPr="002D7931"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Δ1ε</w:t>
            </w:r>
          </w:p>
        </w:tc>
        <w:tc>
          <w:tcPr>
            <w:tcW w:w="4678" w:type="dxa"/>
          </w:tcPr>
          <w:p w:rsidR="000F00A6" w:rsidRPr="00F80CF1" w:rsidRDefault="000F00A6" w:rsidP="000F00A6">
            <w:pPr>
              <w:rPr>
                <w:sz w:val="20"/>
                <w:szCs w:val="20"/>
              </w:rPr>
            </w:pPr>
            <w:r>
              <w:rPr>
                <w:sz w:val="20"/>
                <w:szCs w:val="20"/>
              </w:rPr>
              <w:t>Δ1</w:t>
            </w:r>
            <w:r>
              <w:rPr>
                <w:sz w:val="20"/>
                <w:szCs w:val="20"/>
                <w:vertAlign w:val="subscript"/>
              </w:rPr>
              <w:t>ε</w:t>
            </w:r>
            <w:r w:rsidRPr="008A7CCA">
              <w:rPr>
                <w:b/>
                <w:sz w:val="20"/>
                <w:szCs w:val="20"/>
                <w:vertAlign w:val="subscript"/>
              </w:rPr>
              <w:t xml:space="preserve">. </w:t>
            </w:r>
            <w:r w:rsidRPr="008A7CCA">
              <w:rPr>
                <w:b/>
                <w:sz w:val="20"/>
                <w:szCs w:val="20"/>
                <w:u w:val="single"/>
              </w:rPr>
              <w:t>ΑΛΛΟ</w:t>
            </w:r>
            <w:r>
              <w:rPr>
                <w:sz w:val="20"/>
                <w:szCs w:val="20"/>
                <w:u w:val="single"/>
              </w:rPr>
              <w:t xml:space="preserve"> </w:t>
            </w:r>
            <w:r>
              <w:rPr>
                <w:sz w:val="20"/>
                <w:szCs w:val="20"/>
              </w:rPr>
              <w:t>(ΔΙΕΥΚΡΙΝΗΣΕ)</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4</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Pr="00CE0713" w:rsidRDefault="000F00A6" w:rsidP="000F00A6">
            <w:pPr>
              <w:rPr>
                <w:rFonts w:ascii="Times New Roman" w:hAnsi="Times New Roman" w:cs="Times New Roman"/>
                <w:sz w:val="20"/>
                <w:szCs w:val="20"/>
                <w:lang w:val="el-GR"/>
              </w:rPr>
            </w:pPr>
            <w:r w:rsidRPr="00CE0713">
              <w:rPr>
                <w:rFonts w:ascii="Times New Roman" w:hAnsi="Times New Roman" w:cs="Times New Roman"/>
                <w:sz w:val="20"/>
                <w:szCs w:val="20"/>
                <w:lang w:val="el-GR"/>
              </w:rPr>
              <w:t>Το 0 σε μία απάντηση επιτρέπει ένα 4 σε άλλη απάντηση. Οι πόντοι πρέπει να εκτιμηθούν σε όλες τις απαντήσεις. Λέγοντας 3.15 δεν είναι αρκετό. Τα ρέστα πρέπει να δωθούν με το χέρι</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Δ1ζ</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προτροπών</w:t>
            </w:r>
          </w:p>
        </w:tc>
      </w:tr>
      <w:tr w:rsidR="000F00A6" w:rsidRPr="00A41757" w:rsidTr="000F00A6">
        <w:tc>
          <w:tcPr>
            <w:tcW w:w="675"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Δ1η</w:t>
            </w:r>
          </w:p>
        </w:tc>
        <w:tc>
          <w:tcPr>
            <w:tcW w:w="4678" w:type="dxa"/>
          </w:tcPr>
          <w:p w:rsidR="000F00A6" w:rsidRPr="00A41757" w:rsidRDefault="000F00A6" w:rsidP="000F00A6">
            <w:pPr>
              <w:rPr>
                <w:rFonts w:ascii="Times New Roman" w:hAnsi="Times New Roman" w:cs="Times New Roman"/>
                <w:sz w:val="20"/>
                <w:szCs w:val="20"/>
              </w:rPr>
            </w:pPr>
            <w:r>
              <w:rPr>
                <w:sz w:val="20"/>
                <w:szCs w:val="20"/>
              </w:rPr>
              <w:t>ΧΡΗΣΗΜΟΠΟΙΉΘΗΚΕ ΠΡΌΧΕΙΡΟ</w:t>
            </w:r>
            <w:r w:rsidRPr="00F80CF1">
              <w:rPr>
                <w:sz w:val="20"/>
                <w:szCs w:val="20"/>
              </w:rPr>
              <w:t>;</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πρόχειρου</w:t>
            </w:r>
          </w:p>
        </w:tc>
      </w:tr>
      <w:tr w:rsidR="000F00A6" w:rsidRPr="002D7931"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Δ2</w:t>
            </w:r>
          </w:p>
        </w:tc>
        <w:tc>
          <w:tcPr>
            <w:tcW w:w="4678" w:type="dxa"/>
          </w:tcPr>
          <w:p w:rsidR="000F00A6" w:rsidRPr="00CE0713" w:rsidRDefault="000F00A6" w:rsidP="000F00A6">
            <w:pPr>
              <w:spacing w:line="276" w:lineRule="auto"/>
              <w:ind w:left="-108"/>
              <w:rPr>
                <w:sz w:val="20"/>
                <w:szCs w:val="20"/>
                <w:lang w:val="el-GR"/>
              </w:rPr>
            </w:pPr>
            <w:r w:rsidRPr="00CE0713">
              <w:rPr>
                <w:sz w:val="20"/>
                <w:szCs w:val="20"/>
                <w:lang w:val="el-GR"/>
              </w:rPr>
              <w:t xml:space="preserve">Ο ΣΥΜΜΕΤΕΧΟΝΤΑΣ ΓΡΑΦΕΙ 50 ΣΤΗΝ ΣΤΗΛΗ ΚΑΤΑΘΕΣΕΙΣ /ΠΙΣΤΩΣΕΙΣ </w:t>
            </w:r>
            <w:r w:rsidRPr="00CE0713">
              <w:rPr>
                <w:sz w:val="20"/>
                <w:szCs w:val="20"/>
                <w:u w:val="single"/>
                <w:lang w:val="el-GR"/>
              </w:rPr>
              <w:t>ΚΑΙ</w:t>
            </w:r>
            <w:r w:rsidRPr="00CE0713">
              <w:rPr>
                <w:sz w:val="20"/>
                <w:szCs w:val="20"/>
                <w:lang w:val="el-GR"/>
              </w:rPr>
              <w:t xml:space="preserve"> ΥΠΟΛΟΓΙΖΕΙ ΤΟ ΠΡΩΤΟ ΥΠΟΛΟΙΠΟ 781.50€* </w:t>
            </w:r>
          </w:p>
          <w:p w:rsidR="000F00A6" w:rsidRPr="00CE0713" w:rsidRDefault="000F00A6" w:rsidP="000F00A6">
            <w:pPr>
              <w:spacing w:line="276" w:lineRule="auto"/>
              <w:ind w:left="-108"/>
              <w:jc w:val="center"/>
              <w:rPr>
                <w:sz w:val="20"/>
                <w:szCs w:val="20"/>
                <w:u w:val="single"/>
                <w:lang w:val="el-GR"/>
              </w:rPr>
            </w:pPr>
            <w:r w:rsidRPr="00CE0713">
              <w:rPr>
                <w:sz w:val="20"/>
                <w:szCs w:val="20"/>
                <w:u w:val="single"/>
                <w:lang w:val="el-GR"/>
              </w:rPr>
              <w:t>Ή</w:t>
            </w:r>
          </w:p>
          <w:p w:rsidR="000F00A6" w:rsidRPr="00CE0713" w:rsidRDefault="000F00A6" w:rsidP="000F00A6">
            <w:pPr>
              <w:spacing w:line="276" w:lineRule="auto"/>
              <w:ind w:left="-108"/>
              <w:rPr>
                <w:sz w:val="20"/>
                <w:szCs w:val="20"/>
                <w:lang w:val="el-GR"/>
              </w:rPr>
            </w:pPr>
            <w:r w:rsidRPr="00CE0713">
              <w:rPr>
                <w:sz w:val="20"/>
                <w:szCs w:val="20"/>
                <w:u w:val="single"/>
                <w:lang w:val="el-GR"/>
              </w:rPr>
              <w:t xml:space="preserve"> </w:t>
            </w:r>
            <w:r w:rsidRPr="00CE0713">
              <w:rPr>
                <w:sz w:val="20"/>
                <w:szCs w:val="20"/>
                <w:lang w:val="el-GR"/>
              </w:rPr>
              <w:t xml:space="preserve">Ο ΣΥΜΜΕΤΕΧΟΝΤΑΣ ΓΡΑΦΕΙ 29.21€ ΣΤΗΝ ΣΤΗΛΗ ΑΝΑΛΗΨΕΙΣ /ΠΙΣΤΩΣΕΙΣ </w:t>
            </w:r>
            <w:r w:rsidRPr="00CE0713">
              <w:rPr>
                <w:sz w:val="20"/>
                <w:szCs w:val="20"/>
                <w:u w:val="single"/>
                <w:lang w:val="el-GR"/>
              </w:rPr>
              <w:t>ΚΑΙ</w:t>
            </w:r>
            <w:r w:rsidRPr="00CE0713">
              <w:rPr>
                <w:sz w:val="20"/>
                <w:szCs w:val="20"/>
                <w:lang w:val="el-GR"/>
              </w:rPr>
              <w:t xml:space="preserve"> ΥΠΟΛΟΓΙΖΕΙ ΤΟ ΠΡΩΤΟ ΥΠΟΛΟΙΠΟ 702.29€</w:t>
            </w:r>
          </w:p>
          <w:p w:rsidR="000F00A6" w:rsidRPr="00CE0713" w:rsidRDefault="000F00A6" w:rsidP="000F00A6">
            <w:pPr>
              <w:spacing w:line="276" w:lineRule="auto"/>
              <w:ind w:left="-108"/>
              <w:rPr>
                <w:sz w:val="20"/>
                <w:szCs w:val="20"/>
                <w:lang w:val="el-GR"/>
              </w:rPr>
            </w:pPr>
          </w:p>
          <w:p w:rsidR="000F00A6" w:rsidRPr="00CE0713" w:rsidRDefault="000F00A6" w:rsidP="000F00A6">
            <w:pPr>
              <w:spacing w:line="276" w:lineRule="auto"/>
              <w:ind w:left="-108"/>
              <w:rPr>
                <w:sz w:val="20"/>
                <w:szCs w:val="20"/>
                <w:lang w:val="el-GR"/>
              </w:rPr>
            </w:pPr>
            <w:r w:rsidRPr="00CE0713">
              <w:rPr>
                <w:sz w:val="20"/>
                <w:szCs w:val="20"/>
                <w:lang w:val="el-GR"/>
              </w:rPr>
              <w:t>ΟΧΙ, ΑΛΛΑ ΤΟ ΥΠΟΛΟΙΠΟ ΕΙΝΑΙ ΣΩΣΤΟ</w:t>
            </w:r>
          </w:p>
          <w:p w:rsidR="000F00A6" w:rsidRPr="00CE0713" w:rsidRDefault="000F00A6" w:rsidP="000F00A6">
            <w:pPr>
              <w:spacing w:line="276" w:lineRule="auto"/>
              <w:ind w:left="-108"/>
              <w:rPr>
                <w:sz w:val="20"/>
                <w:szCs w:val="20"/>
                <w:lang w:val="el-GR"/>
              </w:rPr>
            </w:pPr>
            <w:r w:rsidRPr="00CE0713">
              <w:rPr>
                <w:sz w:val="20"/>
                <w:szCs w:val="20"/>
                <w:lang w:val="el-GR"/>
              </w:rPr>
              <w:t>ΟΧΙ, ΑΛΛΑ ΤΟ ΠΟΣΟ ΣΤΗΝ ΣΤΗΛΗ ΠΙΣΤΩΣΗ ΚΑΙ ΧΡΕΩΣΗ ΕΙΝΑΙ ΣΩΣΤΟ</w:t>
            </w:r>
          </w:p>
          <w:p w:rsidR="000F00A6" w:rsidRPr="00CE0713" w:rsidRDefault="000F00A6" w:rsidP="000F00A6">
            <w:pPr>
              <w:spacing w:line="276" w:lineRule="auto"/>
              <w:ind w:left="-108"/>
              <w:rPr>
                <w:sz w:val="20"/>
                <w:szCs w:val="20"/>
                <w:lang w:val="el-GR"/>
              </w:rPr>
            </w:pPr>
            <w:r w:rsidRPr="00CE0713">
              <w:rPr>
                <w:sz w:val="20"/>
                <w:szCs w:val="20"/>
                <w:lang w:val="el-GR"/>
              </w:rPr>
              <w:t>ΟΧΙ, ΚΑΜΙΑ ΕΓΓΡΑΦΗ ΔΕΝ ΕΙΝΑΙ ΣΩΣΤΗ</w:t>
            </w:r>
          </w:p>
        </w:tc>
        <w:tc>
          <w:tcPr>
            <w:tcW w:w="589" w:type="dxa"/>
          </w:tcPr>
          <w:p w:rsidR="000F00A6" w:rsidRPr="00CE0713" w:rsidRDefault="000F00A6" w:rsidP="000F00A6">
            <w:pPr>
              <w:rPr>
                <w:rFonts w:ascii="Times New Roman" w:hAnsi="Times New Roman" w:cs="Times New Roman"/>
                <w:sz w:val="20"/>
                <w:szCs w:val="20"/>
                <w:lang w:val="el-GR"/>
              </w:rPr>
            </w:pPr>
          </w:p>
          <w:p w:rsidR="000F00A6" w:rsidRPr="00CE0713" w:rsidRDefault="000F00A6" w:rsidP="000F00A6">
            <w:pPr>
              <w:rPr>
                <w:rFonts w:ascii="Times New Roman" w:hAnsi="Times New Roman" w:cs="Times New Roman"/>
                <w:sz w:val="20"/>
                <w:szCs w:val="20"/>
                <w:lang w:val="el-GR"/>
              </w:rPr>
            </w:pPr>
          </w:p>
          <w:p w:rsidR="000F00A6" w:rsidRPr="00CE0713" w:rsidRDefault="000F00A6" w:rsidP="000F00A6">
            <w:pPr>
              <w:rPr>
                <w:rFonts w:ascii="Times New Roman" w:hAnsi="Times New Roman" w:cs="Times New Roman"/>
                <w:sz w:val="20"/>
                <w:szCs w:val="20"/>
                <w:lang w:val="el-GR"/>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tc>
        <w:tc>
          <w:tcPr>
            <w:tcW w:w="1008" w:type="dxa"/>
          </w:tcPr>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vMerge w:val="restart"/>
          </w:tcPr>
          <w:p w:rsidR="000F00A6" w:rsidRPr="00183D44" w:rsidRDefault="000F00A6" w:rsidP="000F00A6">
            <w:pPr>
              <w:rPr>
                <w:rFonts w:ascii="Times New Roman" w:hAnsi="Times New Roman" w:cs="Times New Roman"/>
                <w:sz w:val="20"/>
                <w:szCs w:val="20"/>
                <w:lang w:val="el-GR"/>
              </w:rPr>
            </w:pPr>
            <w:r w:rsidRPr="00183D44">
              <w:rPr>
                <w:rFonts w:ascii="Times New Roman" w:hAnsi="Times New Roman" w:cs="Times New Roman"/>
                <w:sz w:val="20"/>
                <w:szCs w:val="20"/>
                <w:lang w:val="el-GR"/>
              </w:rPr>
              <w:t>Παρόλο που τα Δ2/Δ3 είναι έτσι ώστε ο συμμενέχοντας να κάνει την κατάθεση πρώτα, και μετά την ανάληψη, η αντίθετη φορά είναι αποδεκτή. Οι πόντοι  θα δοθούν για τα σωστά νούμερα στις σωστές στήλες, και για τον σωστό υπολογισμό του υπολοίπου.</w:t>
            </w: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Δ2γ</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vMerge/>
          </w:tcPr>
          <w:p w:rsidR="000F00A6" w:rsidRPr="00A41757" w:rsidRDefault="000F00A6" w:rsidP="000F00A6">
            <w:pPr>
              <w:rPr>
                <w:rFonts w:ascii="Times New Roman" w:hAnsi="Times New Roman" w:cs="Times New Roman"/>
                <w:sz w:val="20"/>
                <w:szCs w:val="20"/>
              </w:rPr>
            </w:pP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Δ3</w:t>
            </w:r>
          </w:p>
        </w:tc>
        <w:tc>
          <w:tcPr>
            <w:tcW w:w="4678" w:type="dxa"/>
          </w:tcPr>
          <w:p w:rsidR="000F00A6" w:rsidRPr="00CE0713" w:rsidRDefault="000F00A6" w:rsidP="000F00A6">
            <w:pPr>
              <w:spacing w:line="276" w:lineRule="auto"/>
              <w:rPr>
                <w:sz w:val="20"/>
                <w:szCs w:val="20"/>
                <w:lang w:val="el-GR"/>
              </w:rPr>
            </w:pPr>
            <w:r w:rsidRPr="00CE0713">
              <w:rPr>
                <w:sz w:val="20"/>
                <w:szCs w:val="20"/>
                <w:lang w:val="el-GR"/>
              </w:rPr>
              <w:t xml:space="preserve">Ο ΣΥΜΜΕΤΕΧΟΝΤΑΣ ΓΡΑΦΕΙ 29.21€ ΣΤΗΝ ΣΤΗΛΗ ΑΝΑΛΗΨΕΙΣ /ΧΡΕΩΣΕΙΣ </w:t>
            </w:r>
            <w:r w:rsidRPr="00CE0713">
              <w:rPr>
                <w:sz w:val="20"/>
                <w:szCs w:val="20"/>
                <w:u w:val="single"/>
                <w:lang w:val="el-GR"/>
              </w:rPr>
              <w:t>ΚΑΙ</w:t>
            </w:r>
            <w:r w:rsidRPr="00CE0713">
              <w:rPr>
                <w:sz w:val="20"/>
                <w:szCs w:val="20"/>
                <w:lang w:val="el-GR"/>
              </w:rPr>
              <w:t xml:space="preserve"> ΥΠΟΛΟΓΙΖΕΙ ΤΟ ΤΕΛΙΚΟ ΥΠΟΛΟΙΠΟ 752.29€*</w:t>
            </w:r>
          </w:p>
          <w:p w:rsidR="000F00A6" w:rsidRPr="00CE0713" w:rsidRDefault="000F00A6" w:rsidP="000F00A6">
            <w:pPr>
              <w:spacing w:line="276" w:lineRule="auto"/>
              <w:ind w:left="-108"/>
              <w:jc w:val="center"/>
              <w:rPr>
                <w:sz w:val="20"/>
                <w:szCs w:val="20"/>
                <w:u w:val="single"/>
                <w:lang w:val="el-GR"/>
              </w:rPr>
            </w:pPr>
            <w:r w:rsidRPr="00CE0713">
              <w:rPr>
                <w:sz w:val="20"/>
                <w:szCs w:val="20"/>
                <w:u w:val="single"/>
                <w:lang w:val="el-GR"/>
              </w:rPr>
              <w:t>Ή</w:t>
            </w:r>
          </w:p>
          <w:p w:rsidR="000F00A6" w:rsidRPr="00183D44" w:rsidRDefault="000F00A6" w:rsidP="000F00A6">
            <w:pPr>
              <w:spacing w:line="276" w:lineRule="auto"/>
              <w:ind w:left="34"/>
              <w:rPr>
                <w:sz w:val="20"/>
                <w:szCs w:val="20"/>
                <w:lang w:val="el-GR"/>
              </w:rPr>
            </w:pPr>
            <w:r w:rsidRPr="00183D44">
              <w:rPr>
                <w:sz w:val="20"/>
                <w:szCs w:val="20"/>
                <w:lang w:val="el-GR"/>
              </w:rPr>
              <w:t xml:space="preserve">Ο ΣΥΜΜΕΤΕΧΟΝΤΑΣ ΓΡΑΦΕΙ 50€ ΣΤΗΝ ΣΤΗΛΗ  ΚΑΤΑΘΕΣΕΙΣ /ΠΙΣΤΩΣΕΙΣ </w:t>
            </w:r>
            <w:r w:rsidRPr="00183D44">
              <w:rPr>
                <w:sz w:val="20"/>
                <w:szCs w:val="20"/>
                <w:u w:val="single"/>
                <w:lang w:val="el-GR"/>
              </w:rPr>
              <w:t>ΚΑΙ</w:t>
            </w:r>
            <w:r w:rsidRPr="00183D44">
              <w:rPr>
                <w:sz w:val="20"/>
                <w:szCs w:val="20"/>
                <w:lang w:val="el-GR"/>
              </w:rPr>
              <w:t xml:space="preserve"> ΥΠΟΛΟΓΙΖΕΙ ΤΟ ΠΡΩΤΟ ΥΠΟΛΟΙΠΟ 752.29</w:t>
            </w:r>
          </w:p>
          <w:p w:rsidR="000F00A6" w:rsidRPr="00183D44" w:rsidRDefault="000F00A6" w:rsidP="000F00A6">
            <w:pPr>
              <w:spacing w:line="276" w:lineRule="auto"/>
              <w:rPr>
                <w:sz w:val="20"/>
                <w:szCs w:val="20"/>
                <w:lang w:val="el-GR"/>
              </w:rPr>
            </w:pPr>
          </w:p>
          <w:p w:rsidR="000F00A6" w:rsidRPr="00183D44" w:rsidRDefault="000F00A6" w:rsidP="000F00A6">
            <w:pPr>
              <w:spacing w:line="276" w:lineRule="auto"/>
              <w:ind w:left="-108"/>
              <w:rPr>
                <w:sz w:val="20"/>
                <w:szCs w:val="20"/>
                <w:lang w:val="el-GR"/>
              </w:rPr>
            </w:pPr>
            <w:r w:rsidRPr="00183D44">
              <w:rPr>
                <w:sz w:val="20"/>
                <w:szCs w:val="20"/>
                <w:lang w:val="el-GR"/>
              </w:rPr>
              <w:t>ΟΧΙ, ΑΛΛΑ ΤΟ ΥΠΟΛΟΙΠΟ ΕΙΝΑΙ ΣΩΣΤΟ</w:t>
            </w:r>
          </w:p>
          <w:p w:rsidR="000F00A6" w:rsidRPr="00183D44" w:rsidRDefault="000F00A6" w:rsidP="000F00A6">
            <w:pPr>
              <w:spacing w:line="276" w:lineRule="auto"/>
              <w:ind w:left="-108"/>
              <w:rPr>
                <w:sz w:val="20"/>
                <w:szCs w:val="20"/>
                <w:lang w:val="el-GR"/>
              </w:rPr>
            </w:pPr>
            <w:r w:rsidRPr="00183D44">
              <w:rPr>
                <w:sz w:val="20"/>
                <w:szCs w:val="20"/>
                <w:lang w:val="el-GR"/>
              </w:rPr>
              <w:t>ΟΧΙ, ΑΛΛΑ ΤΟ ΠΟΣΟ ΣΤΗΝ ΣΤΗΛΗ ΠΙΣΤΩΣΗ ΚΑΙ ΧΡΕΩΣΗ ΕΙΝΑΙ ΣΩΣΤΟ</w:t>
            </w:r>
          </w:p>
          <w:p w:rsidR="000F00A6" w:rsidRPr="00CE0713" w:rsidRDefault="000F00A6" w:rsidP="000F00A6">
            <w:pPr>
              <w:spacing w:line="276" w:lineRule="auto"/>
              <w:ind w:left="-108"/>
              <w:rPr>
                <w:sz w:val="20"/>
                <w:szCs w:val="20"/>
                <w:lang w:val="el-GR"/>
              </w:rPr>
            </w:pPr>
            <w:r w:rsidRPr="00CE0713">
              <w:rPr>
                <w:sz w:val="20"/>
                <w:szCs w:val="20"/>
                <w:lang w:val="el-GR"/>
              </w:rPr>
              <w:t>ΟΧΙ, ΚΑΜΙΑ ΕΓΓΡΑΦΗ ΔΕΝ ΕΙΝΑΙ ΣΩΣΤΗ</w:t>
            </w:r>
          </w:p>
          <w:p w:rsidR="000F00A6" w:rsidRPr="00CE0713" w:rsidRDefault="000F00A6" w:rsidP="000F00A6">
            <w:pPr>
              <w:rPr>
                <w:sz w:val="20"/>
                <w:szCs w:val="20"/>
                <w:lang w:val="el-GR"/>
              </w:rPr>
            </w:pPr>
          </w:p>
        </w:tc>
        <w:tc>
          <w:tcPr>
            <w:tcW w:w="589" w:type="dxa"/>
          </w:tcPr>
          <w:p w:rsidR="000F00A6" w:rsidRPr="00CE0713" w:rsidRDefault="000F00A6" w:rsidP="000F00A6">
            <w:pPr>
              <w:rPr>
                <w:rFonts w:ascii="Times New Roman" w:hAnsi="Times New Roman" w:cs="Times New Roman"/>
                <w:sz w:val="20"/>
                <w:szCs w:val="20"/>
                <w:lang w:val="el-GR"/>
              </w:rPr>
            </w:pPr>
          </w:p>
          <w:p w:rsidR="000F00A6" w:rsidRPr="00CE0713" w:rsidRDefault="000F00A6" w:rsidP="000F00A6">
            <w:pPr>
              <w:rPr>
                <w:rFonts w:ascii="Times New Roman" w:hAnsi="Times New Roman" w:cs="Times New Roman"/>
                <w:sz w:val="20"/>
                <w:szCs w:val="20"/>
                <w:lang w:val="el-GR"/>
              </w:rPr>
            </w:pPr>
          </w:p>
          <w:p w:rsidR="000F00A6" w:rsidRPr="00CE0713" w:rsidRDefault="000F00A6" w:rsidP="000F00A6">
            <w:pPr>
              <w:rPr>
                <w:rFonts w:ascii="Times New Roman" w:hAnsi="Times New Roman" w:cs="Times New Roman"/>
                <w:sz w:val="20"/>
                <w:szCs w:val="20"/>
                <w:lang w:val="el-GR"/>
              </w:rPr>
            </w:pPr>
          </w:p>
          <w:p w:rsidR="000F00A6" w:rsidRPr="00CE0713" w:rsidRDefault="000F00A6" w:rsidP="000F00A6">
            <w:pPr>
              <w:rPr>
                <w:rFonts w:ascii="Times New Roman" w:hAnsi="Times New Roman" w:cs="Times New Roman"/>
                <w:sz w:val="20"/>
                <w:szCs w:val="20"/>
                <w:lang w:val="el-GR"/>
              </w:rPr>
            </w:pPr>
          </w:p>
          <w:p w:rsidR="000F00A6" w:rsidRPr="00CE0713" w:rsidRDefault="000F00A6" w:rsidP="000F00A6">
            <w:pPr>
              <w:rPr>
                <w:rFonts w:ascii="Times New Roman" w:hAnsi="Times New Roman" w:cs="Times New Roman"/>
                <w:sz w:val="20"/>
                <w:szCs w:val="20"/>
                <w:lang w:val="el-GR"/>
              </w:rPr>
            </w:pPr>
          </w:p>
          <w:p w:rsidR="000F00A6" w:rsidRPr="00CE0713" w:rsidRDefault="000F00A6" w:rsidP="000F00A6">
            <w:pPr>
              <w:rPr>
                <w:rFonts w:ascii="Times New Roman" w:hAnsi="Times New Roman" w:cs="Times New Roman"/>
                <w:sz w:val="20"/>
                <w:szCs w:val="20"/>
                <w:lang w:val="el-GR"/>
              </w:rPr>
            </w:pPr>
          </w:p>
          <w:p w:rsidR="000F00A6" w:rsidRPr="00CE0713" w:rsidRDefault="000F00A6" w:rsidP="000F00A6">
            <w:pPr>
              <w:rPr>
                <w:rFonts w:ascii="Times New Roman" w:hAnsi="Times New Roman" w:cs="Times New Roman"/>
                <w:sz w:val="20"/>
                <w:szCs w:val="20"/>
                <w:lang w:val="el-GR"/>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tc>
        <w:tc>
          <w:tcPr>
            <w:tcW w:w="1008" w:type="dxa"/>
          </w:tcPr>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vMerge/>
          </w:tcPr>
          <w:p w:rsidR="000F00A6" w:rsidRDefault="000F00A6" w:rsidP="000F00A6">
            <w:pPr>
              <w:rPr>
                <w:rFonts w:ascii="Times New Roman" w:hAnsi="Times New Roman" w:cs="Times New Roman"/>
                <w:sz w:val="20"/>
                <w:szCs w:val="20"/>
              </w:rPr>
            </w:pP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Δ3γ</w:t>
            </w:r>
          </w:p>
        </w:tc>
        <w:tc>
          <w:tcPr>
            <w:tcW w:w="4678" w:type="dxa"/>
          </w:tcPr>
          <w:p w:rsidR="000F00A6" w:rsidRPr="00A41757" w:rsidRDefault="000F00A6" w:rsidP="000F00A6">
            <w:pPr>
              <w:rPr>
                <w:rFonts w:ascii="Times New Roman" w:hAnsi="Times New Roman" w:cs="Times New Roman"/>
                <w:sz w:val="20"/>
                <w:szCs w:val="20"/>
              </w:rPr>
            </w:pPr>
            <w:r w:rsidRPr="00F80CF1">
              <w:rPr>
                <w:sz w:val="20"/>
                <w:szCs w:val="20"/>
              </w:rPr>
              <w:t>ΔΩΘΗΚΕ ΠΡΟΤΡΟΠΗ;</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Pr="00A41757"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προτροπής</w:t>
            </w: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Δ3δ</w:t>
            </w:r>
          </w:p>
        </w:tc>
        <w:tc>
          <w:tcPr>
            <w:tcW w:w="4678" w:type="dxa"/>
          </w:tcPr>
          <w:p w:rsidR="000F00A6" w:rsidRPr="00F80CF1" w:rsidRDefault="000F00A6" w:rsidP="000F00A6">
            <w:pPr>
              <w:rPr>
                <w:sz w:val="20"/>
                <w:szCs w:val="20"/>
              </w:rPr>
            </w:pPr>
            <w:r>
              <w:rPr>
                <w:sz w:val="20"/>
                <w:szCs w:val="20"/>
              </w:rPr>
              <w:t>ΧΡΗΣΗΜΟΠΟΙΉΘΗΚΕ ΠΡΌΧΕΙΡΟ</w:t>
            </w:r>
            <w:r w:rsidRPr="00F80CF1">
              <w:rPr>
                <w:sz w:val="20"/>
                <w:szCs w:val="20"/>
              </w:rPr>
              <w:t>;</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tc>
        <w:tc>
          <w:tcPr>
            <w:tcW w:w="1912"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Δέστε κανόνες πρόχειρου</w:t>
            </w: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Δ4α</w:t>
            </w:r>
          </w:p>
        </w:tc>
        <w:tc>
          <w:tcPr>
            <w:tcW w:w="4678" w:type="dxa"/>
          </w:tcPr>
          <w:p w:rsidR="000F00A6" w:rsidRPr="000F00A6" w:rsidRDefault="000F00A6" w:rsidP="000F00A6">
            <w:pPr>
              <w:spacing w:line="276" w:lineRule="auto"/>
              <w:rPr>
                <w:sz w:val="20"/>
                <w:szCs w:val="20"/>
                <w:lang w:val="el-GR"/>
              </w:rPr>
            </w:pPr>
            <w:r w:rsidRPr="000F00A6">
              <w:rPr>
                <w:sz w:val="20"/>
                <w:szCs w:val="20"/>
                <w:lang w:val="el-GR"/>
              </w:rPr>
              <w:t xml:space="preserve">Ο ΣΥΜΜΕΤΕΧΟΝΤΑΣ ΓΡΑΦΕΙ ΚΑΙ ΤΑ 5 ΣΤΟΙΧΕΙΑ ΤΟΥ ΣΤΟ ΠΡΩΤΟ ΜΕΡΟΣ ΤΗΣ ΑΙΤΗΣΗΣ, </w:t>
            </w:r>
          </w:p>
          <w:p w:rsidR="000F00A6" w:rsidRPr="000F00A6" w:rsidRDefault="000F00A6" w:rsidP="000F00A6">
            <w:pPr>
              <w:spacing w:line="276" w:lineRule="auto"/>
              <w:rPr>
                <w:sz w:val="20"/>
                <w:szCs w:val="20"/>
                <w:lang w:val="el-GR"/>
              </w:rPr>
            </w:pPr>
            <w:r w:rsidRPr="000F00A6">
              <w:rPr>
                <w:sz w:val="20"/>
                <w:szCs w:val="20"/>
                <w:lang w:val="el-GR"/>
              </w:rPr>
              <w:t>Γράφει μερικά στοιχεία</w:t>
            </w:r>
          </w:p>
          <w:p w:rsidR="000F00A6" w:rsidRPr="000F00A6" w:rsidRDefault="000F00A6" w:rsidP="000F00A6">
            <w:pPr>
              <w:spacing w:line="276" w:lineRule="auto"/>
              <w:rPr>
                <w:sz w:val="20"/>
                <w:szCs w:val="20"/>
                <w:lang w:val="el-GR"/>
              </w:rPr>
            </w:pPr>
          </w:p>
          <w:p w:rsidR="000F00A6" w:rsidRPr="000F00A6" w:rsidRDefault="000F00A6" w:rsidP="000F00A6">
            <w:pPr>
              <w:spacing w:line="276" w:lineRule="auto"/>
              <w:rPr>
                <w:sz w:val="20"/>
                <w:szCs w:val="20"/>
                <w:lang w:val="el-GR"/>
              </w:rPr>
            </w:pPr>
            <w:r w:rsidRPr="000F00A6">
              <w:rPr>
                <w:sz w:val="20"/>
                <w:szCs w:val="20"/>
                <w:lang w:val="el-GR"/>
              </w:rPr>
              <w:t>ΔΕΝ ΓΡΆΦΕΙ ΚΑΝΈΝΑ ΣΤΟΙΧΕΊΟ</w:t>
            </w:r>
          </w:p>
        </w:tc>
        <w:tc>
          <w:tcPr>
            <w:tcW w:w="589" w:type="dxa"/>
          </w:tcPr>
          <w:p w:rsidR="000F00A6" w:rsidRPr="000F00A6" w:rsidRDefault="000F00A6" w:rsidP="000F00A6">
            <w:pPr>
              <w:rPr>
                <w:rFonts w:ascii="Times New Roman" w:hAnsi="Times New Roman" w:cs="Times New Roman"/>
                <w:sz w:val="20"/>
                <w:szCs w:val="20"/>
                <w:lang w:val="el-GR"/>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ΝΑΙ</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p w:rsidR="000F00A6" w:rsidRDefault="000F00A6" w:rsidP="000F00A6">
            <w:pPr>
              <w:rPr>
                <w:rFonts w:ascii="Times New Roman" w:hAnsi="Times New Roman" w:cs="Times New Roman"/>
                <w:sz w:val="20"/>
                <w:szCs w:val="20"/>
              </w:rPr>
            </w:pPr>
          </w:p>
        </w:tc>
        <w:tc>
          <w:tcPr>
            <w:tcW w:w="1008" w:type="dxa"/>
          </w:tcPr>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5</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Κάθε στοιχείο 1 πόντο</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Default="000F00A6" w:rsidP="000F00A6">
            <w:pPr>
              <w:rPr>
                <w:rFonts w:ascii="Times New Roman" w:hAnsi="Times New Roman" w:cs="Times New Roman"/>
                <w:sz w:val="20"/>
                <w:szCs w:val="20"/>
              </w:rPr>
            </w:pPr>
          </w:p>
        </w:tc>
      </w:tr>
      <w:tr w:rsidR="000F00A6" w:rsidRPr="002D7931"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Δ4β</w:t>
            </w:r>
          </w:p>
        </w:tc>
        <w:tc>
          <w:tcPr>
            <w:tcW w:w="4678" w:type="dxa"/>
          </w:tcPr>
          <w:p w:rsidR="000F00A6" w:rsidRPr="000F00A6" w:rsidRDefault="000F00A6" w:rsidP="000F00A6">
            <w:pPr>
              <w:spacing w:line="276" w:lineRule="auto"/>
              <w:rPr>
                <w:sz w:val="20"/>
                <w:szCs w:val="20"/>
                <w:lang w:val="el-GR"/>
              </w:rPr>
            </w:pPr>
            <w:r w:rsidRPr="000F00A6">
              <w:rPr>
                <w:sz w:val="20"/>
                <w:szCs w:val="20"/>
                <w:lang w:val="el-GR"/>
              </w:rPr>
              <w:t>Ο ΣΥΜΜΕΤΕΧΟΝΤΑΣ ΓΡΑΦΕΙ ΤΟΝ ΑΡΙΘΜΟ ΠΑΡΟΧΗΣ 220197936-040</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p w:rsidR="000F00A6" w:rsidRDefault="000F00A6" w:rsidP="000F00A6">
            <w:pPr>
              <w:jc w:val="center"/>
              <w:rPr>
                <w:rFonts w:ascii="Times New Roman" w:hAnsi="Times New Roman" w:cs="Times New Roman"/>
                <w:sz w:val="20"/>
                <w:szCs w:val="20"/>
              </w:rPr>
            </w:pPr>
          </w:p>
        </w:tc>
        <w:tc>
          <w:tcPr>
            <w:tcW w:w="1912" w:type="dxa"/>
          </w:tcPr>
          <w:p w:rsidR="000F00A6" w:rsidRPr="000F00A6" w:rsidRDefault="000F00A6" w:rsidP="000F00A6">
            <w:pPr>
              <w:rPr>
                <w:rFonts w:ascii="Times New Roman" w:hAnsi="Times New Roman" w:cs="Times New Roman"/>
                <w:sz w:val="20"/>
                <w:szCs w:val="20"/>
                <w:lang w:val="el-GR"/>
              </w:rPr>
            </w:pPr>
            <w:r w:rsidRPr="000F00A6">
              <w:rPr>
                <w:rFonts w:ascii="Times New Roman" w:hAnsi="Times New Roman" w:cs="Times New Roman"/>
                <w:sz w:val="20"/>
                <w:szCs w:val="20"/>
                <w:lang w:val="el-GR"/>
              </w:rPr>
              <w:t>Είναι αποδεκτό να τα γράψει χωρίς την παύλα</w:t>
            </w: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Δ4γ</w:t>
            </w:r>
          </w:p>
        </w:tc>
        <w:tc>
          <w:tcPr>
            <w:tcW w:w="4678" w:type="dxa"/>
          </w:tcPr>
          <w:p w:rsidR="000F00A6" w:rsidRPr="00183D44" w:rsidRDefault="000F00A6" w:rsidP="000F00A6">
            <w:pPr>
              <w:spacing w:line="276" w:lineRule="auto"/>
              <w:rPr>
                <w:sz w:val="20"/>
                <w:szCs w:val="20"/>
                <w:lang w:val="el-GR"/>
              </w:rPr>
            </w:pPr>
            <w:r w:rsidRPr="00183D44">
              <w:rPr>
                <w:sz w:val="20"/>
                <w:szCs w:val="20"/>
                <w:lang w:val="el-GR"/>
              </w:rPr>
              <w:t>Ο ΣΥΜΜΕΤΕΧΟΝΤΑΣ ΓΡΑΦΕΙ 200€ ΣΤΟ ΠΕΔΙΟ  «Και μέχρι του ποσού των …….»</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p w:rsidR="000F00A6" w:rsidRDefault="000F00A6" w:rsidP="000F00A6">
            <w:pPr>
              <w:jc w:val="center"/>
              <w:rPr>
                <w:rFonts w:ascii="Times New Roman" w:hAnsi="Times New Roman" w:cs="Times New Roman"/>
                <w:sz w:val="20"/>
                <w:szCs w:val="20"/>
              </w:rPr>
            </w:pPr>
          </w:p>
        </w:tc>
        <w:tc>
          <w:tcPr>
            <w:tcW w:w="1912" w:type="dxa"/>
          </w:tcPr>
          <w:p w:rsidR="000F00A6" w:rsidRDefault="000F00A6" w:rsidP="000F00A6">
            <w:pPr>
              <w:rPr>
                <w:rFonts w:ascii="Times New Roman" w:hAnsi="Times New Roman" w:cs="Times New Roman"/>
                <w:sz w:val="20"/>
                <w:szCs w:val="20"/>
              </w:rPr>
            </w:pPr>
          </w:p>
        </w:tc>
      </w:tr>
      <w:tr w:rsidR="000F00A6" w:rsidRPr="002D7931"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Δ4δ</w:t>
            </w:r>
          </w:p>
        </w:tc>
        <w:tc>
          <w:tcPr>
            <w:tcW w:w="4678" w:type="dxa"/>
          </w:tcPr>
          <w:p w:rsidR="000F00A6" w:rsidRPr="000F00A6" w:rsidRDefault="000F00A6" w:rsidP="000F00A6">
            <w:pPr>
              <w:spacing w:line="276" w:lineRule="auto"/>
              <w:rPr>
                <w:sz w:val="20"/>
                <w:szCs w:val="20"/>
                <w:lang w:val="el-GR"/>
              </w:rPr>
            </w:pPr>
            <w:r w:rsidRPr="000F00A6">
              <w:rPr>
                <w:sz w:val="20"/>
                <w:szCs w:val="20"/>
                <w:lang w:val="el-GR"/>
              </w:rPr>
              <w:t>Ο ΣΥΜΜΕΤΕΧΟΝΤΑΣ ΓΡΑΦΕΙ ΤΟΝ ΑΡΙΘΜΟ 358/919-23100</w:t>
            </w: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p w:rsidR="000F00A6" w:rsidRDefault="000F00A6" w:rsidP="000F00A6">
            <w:pPr>
              <w:jc w:val="center"/>
              <w:rPr>
                <w:rFonts w:ascii="Times New Roman" w:hAnsi="Times New Roman" w:cs="Times New Roman"/>
                <w:sz w:val="20"/>
                <w:szCs w:val="20"/>
              </w:rPr>
            </w:pPr>
          </w:p>
        </w:tc>
        <w:tc>
          <w:tcPr>
            <w:tcW w:w="1912" w:type="dxa"/>
          </w:tcPr>
          <w:p w:rsidR="000F00A6" w:rsidRPr="000F00A6" w:rsidRDefault="000F00A6" w:rsidP="000F00A6">
            <w:pPr>
              <w:rPr>
                <w:rFonts w:ascii="Times New Roman" w:hAnsi="Times New Roman" w:cs="Times New Roman"/>
                <w:sz w:val="20"/>
                <w:szCs w:val="20"/>
                <w:lang w:val="el-GR"/>
              </w:rPr>
            </w:pPr>
            <w:r w:rsidRPr="000F00A6">
              <w:rPr>
                <w:rFonts w:ascii="Times New Roman" w:hAnsi="Times New Roman" w:cs="Times New Roman"/>
                <w:sz w:val="20"/>
                <w:szCs w:val="20"/>
                <w:lang w:val="el-GR"/>
              </w:rPr>
              <w:t>Είναι αποδεκτό να τα γράψει χωρίς την παύλα ή την κάθετη</w:t>
            </w:r>
          </w:p>
        </w:tc>
      </w:tr>
      <w:tr w:rsidR="000F00A6" w:rsidRPr="00A41757"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Δ4ε</w:t>
            </w:r>
          </w:p>
        </w:tc>
        <w:tc>
          <w:tcPr>
            <w:tcW w:w="4678" w:type="dxa"/>
          </w:tcPr>
          <w:p w:rsidR="000F00A6" w:rsidRPr="000F00A6" w:rsidRDefault="000F00A6" w:rsidP="000F00A6">
            <w:pPr>
              <w:spacing w:line="276" w:lineRule="auto"/>
              <w:rPr>
                <w:sz w:val="20"/>
                <w:szCs w:val="20"/>
                <w:lang w:val="el-GR"/>
              </w:rPr>
            </w:pPr>
            <w:r w:rsidRPr="000F00A6">
              <w:rPr>
                <w:sz w:val="20"/>
                <w:szCs w:val="20"/>
                <w:lang w:val="el-GR"/>
              </w:rPr>
              <w:t xml:space="preserve">Ο ΣΥΜΜΕΤΕΧΟΝΤΑΣ ΓΡΑΦΕΙ ΤΗΝ ΗΜΕΡΟΜΗΝΙΑ </w:t>
            </w:r>
            <w:r w:rsidRPr="000F00A6">
              <w:rPr>
                <w:sz w:val="20"/>
                <w:szCs w:val="20"/>
                <w:u w:val="single"/>
                <w:lang w:val="el-GR"/>
              </w:rPr>
              <w:t xml:space="preserve">ΚΑΙ </w:t>
            </w:r>
            <w:r w:rsidRPr="000F00A6">
              <w:rPr>
                <w:sz w:val="20"/>
                <w:szCs w:val="20"/>
                <w:lang w:val="el-GR"/>
              </w:rPr>
              <w:t>ΥΠΟΓΡΑΦΕΙ</w:t>
            </w:r>
          </w:p>
          <w:p w:rsidR="000F00A6" w:rsidRPr="000F00A6" w:rsidRDefault="000F00A6" w:rsidP="000F00A6">
            <w:pPr>
              <w:spacing w:line="276" w:lineRule="auto"/>
              <w:rPr>
                <w:sz w:val="20"/>
                <w:szCs w:val="20"/>
                <w:lang w:val="el-GR"/>
              </w:rPr>
            </w:pPr>
            <w:r w:rsidRPr="000F00A6">
              <w:rPr>
                <w:sz w:val="20"/>
                <w:szCs w:val="20"/>
                <w:lang w:val="el-GR"/>
              </w:rPr>
              <w:t xml:space="preserve">Ο ΣΥΜΜΕΤΕΧΟΝΤΑΣ ΓΡΑΦΕΙ ΜΟΝΟ ΤΗΝ ΗΜΕΡΟΜΗΝΙΑ </w:t>
            </w:r>
          </w:p>
          <w:p w:rsidR="000F00A6" w:rsidRPr="000F00A6" w:rsidRDefault="000F00A6" w:rsidP="000F00A6">
            <w:pPr>
              <w:spacing w:line="276" w:lineRule="auto"/>
              <w:rPr>
                <w:sz w:val="20"/>
                <w:szCs w:val="20"/>
                <w:lang w:val="el-GR"/>
              </w:rPr>
            </w:pPr>
            <w:r w:rsidRPr="000F00A6">
              <w:rPr>
                <w:sz w:val="20"/>
                <w:szCs w:val="20"/>
                <w:lang w:val="el-GR"/>
              </w:rPr>
              <w:t>Ο ΣΥΜΜΕΤΕΧΟΝΤΑΣ ΜΟΝΟ ΥΠΟΓΡΑΦΕΙ</w:t>
            </w:r>
          </w:p>
          <w:p w:rsidR="000F00A6" w:rsidRPr="000F00A6" w:rsidRDefault="000F00A6" w:rsidP="000F00A6">
            <w:pPr>
              <w:spacing w:line="276" w:lineRule="auto"/>
              <w:rPr>
                <w:sz w:val="20"/>
                <w:szCs w:val="20"/>
                <w:lang w:val="el-GR"/>
              </w:rPr>
            </w:pPr>
            <w:r w:rsidRPr="000F00A6">
              <w:rPr>
                <w:sz w:val="20"/>
                <w:szCs w:val="20"/>
                <w:lang w:val="el-GR"/>
              </w:rPr>
              <w:t>Ο ΣΥΜΜΕΤΕΧΟΝΤΑΣ ΔΕΝ ΓΡΑΦΕΙ ΟΥΤΕ ΤΗΝ ΗΜΕΡΟΜΗΝΙΑ ΟΥΤΕ ΥΠΟΓΡΑΦΕΙ</w:t>
            </w:r>
          </w:p>
          <w:p w:rsidR="000F00A6" w:rsidRPr="000F00A6" w:rsidRDefault="000F00A6" w:rsidP="000F00A6">
            <w:pPr>
              <w:spacing w:line="276" w:lineRule="auto"/>
              <w:rPr>
                <w:sz w:val="20"/>
                <w:szCs w:val="20"/>
                <w:lang w:val="el-GR"/>
              </w:rPr>
            </w:pPr>
          </w:p>
          <w:p w:rsidR="000F00A6" w:rsidRPr="000F00A6" w:rsidRDefault="000F00A6" w:rsidP="000F00A6">
            <w:pPr>
              <w:spacing w:line="276" w:lineRule="auto"/>
              <w:rPr>
                <w:sz w:val="20"/>
                <w:szCs w:val="20"/>
                <w:lang w:val="el-GR"/>
              </w:rPr>
            </w:pPr>
          </w:p>
          <w:p w:rsidR="000F00A6" w:rsidRPr="000F00A6" w:rsidRDefault="000F00A6" w:rsidP="000F00A6">
            <w:pPr>
              <w:spacing w:line="276" w:lineRule="auto"/>
              <w:rPr>
                <w:sz w:val="20"/>
                <w:szCs w:val="20"/>
                <w:lang w:val="el-GR"/>
              </w:rPr>
            </w:pPr>
          </w:p>
        </w:tc>
        <w:tc>
          <w:tcPr>
            <w:tcW w:w="589" w:type="dxa"/>
          </w:tcPr>
          <w:p w:rsidR="000F00A6" w:rsidRPr="000F00A6" w:rsidRDefault="000F00A6" w:rsidP="000F00A6">
            <w:pPr>
              <w:rPr>
                <w:rFonts w:ascii="Times New Roman" w:hAnsi="Times New Roman" w:cs="Times New Roman"/>
                <w:sz w:val="20"/>
                <w:szCs w:val="20"/>
                <w:lang w:val="el-GR"/>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ΝΑΙ</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p w:rsidR="000F00A6" w:rsidRDefault="000F00A6" w:rsidP="000F00A6">
            <w:pPr>
              <w:rPr>
                <w:rFonts w:ascii="Times New Roman" w:hAnsi="Times New Roman" w:cs="Times New Roman"/>
                <w:sz w:val="20"/>
                <w:szCs w:val="20"/>
              </w:rPr>
            </w:pPr>
          </w:p>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ΟΧΙ</w:t>
            </w:r>
          </w:p>
        </w:tc>
        <w:tc>
          <w:tcPr>
            <w:tcW w:w="1008" w:type="dxa"/>
          </w:tcPr>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2</w:t>
            </w: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1</w:t>
            </w:r>
          </w:p>
          <w:p w:rsidR="000F00A6" w:rsidRDefault="000F00A6" w:rsidP="000F00A6">
            <w:pPr>
              <w:jc w:val="center"/>
              <w:rPr>
                <w:rFonts w:ascii="Times New Roman" w:hAnsi="Times New Roman" w:cs="Times New Roman"/>
                <w:sz w:val="20"/>
                <w:szCs w:val="20"/>
              </w:rPr>
            </w:pPr>
          </w:p>
          <w:p w:rsidR="000F00A6" w:rsidRDefault="000F00A6" w:rsidP="000F00A6">
            <w:pPr>
              <w:jc w:val="center"/>
              <w:rPr>
                <w:rFonts w:ascii="Times New Roman" w:hAnsi="Times New Roman" w:cs="Times New Roman"/>
                <w:sz w:val="20"/>
                <w:szCs w:val="20"/>
              </w:rPr>
            </w:pPr>
            <w:r>
              <w:rPr>
                <w:rFonts w:ascii="Times New Roman" w:hAnsi="Times New Roman" w:cs="Times New Roman"/>
                <w:sz w:val="20"/>
                <w:szCs w:val="20"/>
              </w:rPr>
              <w:t>0</w:t>
            </w:r>
          </w:p>
        </w:tc>
        <w:tc>
          <w:tcPr>
            <w:tcW w:w="1912" w:type="dxa"/>
          </w:tcPr>
          <w:p w:rsidR="000F00A6" w:rsidRDefault="000F00A6" w:rsidP="000F00A6">
            <w:pPr>
              <w:rPr>
                <w:rFonts w:ascii="Times New Roman" w:hAnsi="Times New Roman" w:cs="Times New Roman"/>
                <w:sz w:val="20"/>
                <w:szCs w:val="20"/>
              </w:rPr>
            </w:pPr>
          </w:p>
        </w:tc>
      </w:tr>
      <w:tr w:rsidR="000F00A6" w:rsidRPr="002D7931" w:rsidTr="000F00A6">
        <w:tc>
          <w:tcPr>
            <w:tcW w:w="675"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Δ3γ</w:t>
            </w:r>
          </w:p>
        </w:tc>
        <w:tc>
          <w:tcPr>
            <w:tcW w:w="4678" w:type="dxa"/>
          </w:tcPr>
          <w:p w:rsidR="000F00A6" w:rsidRDefault="000F00A6" w:rsidP="000F00A6">
            <w:pPr>
              <w:rPr>
                <w:sz w:val="20"/>
                <w:szCs w:val="20"/>
              </w:rPr>
            </w:pPr>
            <w:r w:rsidRPr="00F80CF1">
              <w:rPr>
                <w:sz w:val="20"/>
                <w:szCs w:val="20"/>
              </w:rPr>
              <w:t>ΔΩΘΗΚΕ ΠΡΟΤΡΟΠΗ;</w:t>
            </w:r>
          </w:p>
          <w:p w:rsidR="000F00A6" w:rsidRDefault="000F00A6" w:rsidP="000F00A6">
            <w:pPr>
              <w:rPr>
                <w:sz w:val="20"/>
                <w:szCs w:val="20"/>
              </w:rPr>
            </w:pPr>
          </w:p>
          <w:p w:rsidR="000F00A6" w:rsidRPr="00A41757" w:rsidRDefault="000F00A6" w:rsidP="000F00A6">
            <w:pPr>
              <w:rPr>
                <w:rFonts w:ascii="Times New Roman" w:hAnsi="Times New Roman" w:cs="Times New Roman"/>
                <w:sz w:val="20"/>
                <w:szCs w:val="20"/>
              </w:rPr>
            </w:pPr>
          </w:p>
        </w:tc>
        <w:tc>
          <w:tcPr>
            <w:tcW w:w="589" w:type="dxa"/>
          </w:tcPr>
          <w:p w:rsidR="000F00A6" w:rsidRDefault="000F00A6" w:rsidP="000F00A6">
            <w:pPr>
              <w:rPr>
                <w:rFonts w:ascii="Times New Roman" w:hAnsi="Times New Roman" w:cs="Times New Roman"/>
                <w:sz w:val="20"/>
                <w:szCs w:val="20"/>
              </w:rPr>
            </w:pPr>
            <w:r>
              <w:rPr>
                <w:rFonts w:ascii="Times New Roman" w:hAnsi="Times New Roman" w:cs="Times New Roman"/>
                <w:sz w:val="20"/>
                <w:szCs w:val="20"/>
              </w:rPr>
              <w:t>NAI</w:t>
            </w:r>
          </w:p>
          <w:p w:rsidR="000F00A6" w:rsidRPr="00A41757" w:rsidRDefault="000F00A6" w:rsidP="000F00A6">
            <w:pPr>
              <w:rPr>
                <w:rFonts w:ascii="Times New Roman" w:hAnsi="Times New Roman" w:cs="Times New Roman"/>
                <w:sz w:val="20"/>
                <w:szCs w:val="20"/>
              </w:rPr>
            </w:pPr>
            <w:r>
              <w:rPr>
                <w:rFonts w:ascii="Times New Roman" w:hAnsi="Times New Roman" w:cs="Times New Roman"/>
                <w:sz w:val="20"/>
                <w:szCs w:val="20"/>
              </w:rPr>
              <w:t>OXI</w:t>
            </w:r>
          </w:p>
        </w:tc>
        <w:tc>
          <w:tcPr>
            <w:tcW w:w="1008" w:type="dxa"/>
          </w:tcPr>
          <w:p w:rsidR="000F00A6" w:rsidRPr="000F00A6" w:rsidRDefault="000F00A6" w:rsidP="000F00A6">
            <w:pPr>
              <w:jc w:val="center"/>
              <w:rPr>
                <w:rFonts w:ascii="Times New Roman" w:hAnsi="Times New Roman" w:cs="Times New Roman"/>
                <w:sz w:val="20"/>
                <w:szCs w:val="20"/>
                <w:lang w:val="el-GR"/>
              </w:rPr>
            </w:pPr>
            <w:r w:rsidRPr="000F00A6">
              <w:rPr>
                <w:rFonts w:ascii="Times New Roman" w:hAnsi="Times New Roman" w:cs="Times New Roman"/>
                <w:sz w:val="20"/>
                <w:szCs w:val="20"/>
                <w:lang w:val="el-GR"/>
              </w:rPr>
              <w:t>7- Ένα πόντος για κάθε προτροπή</w:t>
            </w:r>
          </w:p>
        </w:tc>
        <w:tc>
          <w:tcPr>
            <w:tcW w:w="1912" w:type="dxa"/>
          </w:tcPr>
          <w:p w:rsidR="000F00A6" w:rsidRPr="000F00A6" w:rsidRDefault="000F00A6" w:rsidP="000F00A6">
            <w:pPr>
              <w:rPr>
                <w:rFonts w:ascii="Times New Roman" w:hAnsi="Times New Roman" w:cs="Times New Roman"/>
                <w:sz w:val="20"/>
                <w:szCs w:val="20"/>
                <w:lang w:val="el-GR"/>
              </w:rPr>
            </w:pPr>
          </w:p>
        </w:tc>
      </w:tr>
    </w:tbl>
    <w:p w:rsidR="000F00A6" w:rsidRPr="000F00A6" w:rsidRDefault="000F00A6" w:rsidP="000F00A6">
      <w:pPr>
        <w:rPr>
          <w:rFonts w:ascii="Times New Roman" w:hAnsi="Times New Roman" w:cs="Times New Roman"/>
          <w:sz w:val="20"/>
          <w:szCs w:val="20"/>
          <w:lang w:val="el-GR"/>
        </w:rPr>
      </w:pPr>
    </w:p>
    <w:p w:rsidR="000F00A6" w:rsidRDefault="000F00A6">
      <w:pPr>
        <w:rPr>
          <w:u w:val="single"/>
          <w:lang w:val="el-GR"/>
        </w:rPr>
      </w:pPr>
      <w:r>
        <w:rPr>
          <w:u w:val="single"/>
          <w:lang w:val="el-GR"/>
        </w:rPr>
        <w:br w:type="page"/>
      </w:r>
    </w:p>
    <w:p w:rsidR="000F00A6" w:rsidRPr="00CF7468" w:rsidRDefault="000F00A6" w:rsidP="00DA7E68">
      <w:pPr>
        <w:pStyle w:val="Heading1"/>
      </w:pPr>
      <w:bookmarkStart w:id="241" w:name="_Toc521184296"/>
      <w:r w:rsidRPr="00CF7468">
        <w:t>Appendix VII</w:t>
      </w:r>
      <w:bookmarkEnd w:id="241"/>
    </w:p>
    <w:p w:rsidR="000F00A6" w:rsidRPr="000F00A6" w:rsidRDefault="000F00A6" w:rsidP="00C31CE0">
      <w:pPr>
        <w:pStyle w:val="Heading3"/>
      </w:pPr>
      <w:bookmarkStart w:id="242" w:name="_Toc521184297"/>
      <w:r w:rsidRPr="000F00A6">
        <w:t xml:space="preserve">Scoring Manual for the </w:t>
      </w:r>
      <w:r>
        <w:t>EPT</w:t>
      </w:r>
      <w:r w:rsidRPr="000F00A6">
        <w:t>-G</w:t>
      </w:r>
      <w:bookmarkEnd w:id="24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3686"/>
        <w:gridCol w:w="3792"/>
      </w:tblGrid>
      <w:tr w:rsidR="00CE0713" w:rsidRPr="005B32FD" w:rsidTr="00372966">
        <w:tc>
          <w:tcPr>
            <w:tcW w:w="1384" w:type="dxa"/>
          </w:tcPr>
          <w:p w:rsidR="00CE0713" w:rsidRPr="005B32FD" w:rsidRDefault="00CE0713" w:rsidP="00372966">
            <w:pPr>
              <w:jc w:val="center"/>
              <w:rPr>
                <w:lang w:val="el-GR"/>
              </w:rPr>
            </w:pPr>
            <w:r w:rsidRPr="005B32FD">
              <w:rPr>
                <w:lang w:val="el-GR"/>
              </w:rPr>
              <w:t>Δοκιμή</w:t>
            </w:r>
          </w:p>
        </w:tc>
        <w:tc>
          <w:tcPr>
            <w:tcW w:w="3686" w:type="dxa"/>
          </w:tcPr>
          <w:p w:rsidR="00CE0713" w:rsidRPr="005B32FD" w:rsidRDefault="00CE0713" w:rsidP="00372966">
            <w:pPr>
              <w:jc w:val="center"/>
              <w:rPr>
                <w:lang w:val="el-GR"/>
              </w:rPr>
            </w:pPr>
            <w:r w:rsidRPr="005B32FD">
              <w:rPr>
                <w:lang w:val="el-GR"/>
              </w:rPr>
              <w:t>Σωστές απαντήσεις (1 πόντο)</w:t>
            </w:r>
          </w:p>
        </w:tc>
        <w:tc>
          <w:tcPr>
            <w:tcW w:w="3792" w:type="dxa"/>
          </w:tcPr>
          <w:p w:rsidR="00CE0713" w:rsidRPr="005B32FD" w:rsidRDefault="00CE0713" w:rsidP="00372966">
            <w:pPr>
              <w:jc w:val="center"/>
              <w:rPr>
                <w:lang w:val="el-GR"/>
              </w:rPr>
            </w:pPr>
            <w:r w:rsidRPr="005B32FD">
              <w:rPr>
                <w:lang w:val="el-GR"/>
              </w:rPr>
              <w:t>Λάθος απαντήσεις (0 πόντους)</w:t>
            </w:r>
          </w:p>
        </w:tc>
      </w:tr>
      <w:tr w:rsidR="00CE0713" w:rsidRPr="002D7931" w:rsidTr="00372966">
        <w:tc>
          <w:tcPr>
            <w:tcW w:w="1384" w:type="dxa"/>
          </w:tcPr>
          <w:p w:rsidR="00CE0713" w:rsidRPr="005B32FD" w:rsidRDefault="00CE0713" w:rsidP="00372966">
            <w:pPr>
              <w:jc w:val="center"/>
              <w:rPr>
                <w:lang w:val="el-GR"/>
              </w:rPr>
            </w:pPr>
            <w:r w:rsidRPr="005B32FD">
              <w:rPr>
                <w:lang w:val="el-GR"/>
              </w:rPr>
              <w:t>1</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Υγρό γυαλίσματος που επιδιορθώνει γρατσουνιές</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2</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Κερί γυαλίσματος</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3</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210-2165551</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4</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OTE</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5</w:t>
            </w:r>
          </w:p>
        </w:tc>
        <w:tc>
          <w:tcPr>
            <w:tcW w:w="3686" w:type="dxa"/>
          </w:tcPr>
          <w:p w:rsidR="00CE0713" w:rsidRPr="005B32FD" w:rsidRDefault="00CE0713" w:rsidP="00224991">
            <w:pPr>
              <w:pStyle w:val="ListParagraph"/>
              <w:numPr>
                <w:ilvl w:val="0"/>
                <w:numId w:val="16"/>
              </w:numPr>
              <w:spacing w:after="0" w:line="240" w:lineRule="auto"/>
              <w:rPr>
                <w:rFonts w:ascii="Times New Roman" w:hAnsi="Times New Roman"/>
                <w:sz w:val="20"/>
                <w:szCs w:val="20"/>
                <w:lang w:val="el-GR"/>
              </w:rPr>
            </w:pPr>
            <w:r w:rsidRPr="005B32FD">
              <w:rPr>
                <w:rFonts w:ascii="Times New Roman" w:hAnsi="Times New Roman"/>
                <w:sz w:val="20"/>
                <w:szCs w:val="20"/>
                <w:lang w:val="el-GR"/>
              </w:rPr>
              <w:t>Οδηγοί που στρίβουν αριστερά</w:t>
            </w:r>
          </w:p>
          <w:p w:rsidR="00CE0713" w:rsidRPr="005B32FD" w:rsidRDefault="00CE0713" w:rsidP="00224991">
            <w:pPr>
              <w:pStyle w:val="ListParagraph"/>
              <w:numPr>
                <w:ilvl w:val="0"/>
                <w:numId w:val="16"/>
              </w:numPr>
              <w:spacing w:after="0" w:line="240" w:lineRule="auto"/>
              <w:rPr>
                <w:rFonts w:ascii="Times New Roman" w:hAnsi="Times New Roman"/>
                <w:sz w:val="20"/>
                <w:szCs w:val="20"/>
                <w:lang w:val="el-GR"/>
              </w:rPr>
            </w:pPr>
            <w:r w:rsidRPr="005B32FD">
              <w:rPr>
                <w:rFonts w:ascii="Times New Roman" w:hAnsi="Times New Roman"/>
                <w:sz w:val="20"/>
                <w:szCs w:val="20"/>
                <w:lang w:val="el-GR"/>
              </w:rPr>
              <w:t>To 2</w:t>
            </w:r>
          </w:p>
          <w:p w:rsidR="00CE0713" w:rsidRPr="005B32FD" w:rsidRDefault="00CE0713" w:rsidP="00372966">
            <w:pPr>
              <w:pStyle w:val="ListParagraph"/>
              <w:ind w:left="360"/>
              <w:rPr>
                <w:rFonts w:ascii="Times New Roman" w:hAnsi="Times New Roman"/>
                <w:sz w:val="20"/>
                <w:szCs w:val="20"/>
                <w:lang w:val="el-GR"/>
              </w:rPr>
            </w:pP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Οδηγοί από αριστερά</w:t>
            </w:r>
          </w:p>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6</w:t>
            </w:r>
          </w:p>
        </w:tc>
        <w:tc>
          <w:tcPr>
            <w:tcW w:w="3686" w:type="dxa"/>
          </w:tcPr>
          <w:p w:rsidR="00CE0713" w:rsidRPr="005B32FD" w:rsidRDefault="00CE0713" w:rsidP="00224991">
            <w:pPr>
              <w:pStyle w:val="ListParagraph"/>
              <w:numPr>
                <w:ilvl w:val="0"/>
                <w:numId w:val="17"/>
              </w:numPr>
              <w:spacing w:after="0" w:line="240" w:lineRule="auto"/>
              <w:rPr>
                <w:rFonts w:ascii="Times New Roman" w:hAnsi="Times New Roman"/>
                <w:sz w:val="20"/>
                <w:szCs w:val="20"/>
                <w:lang w:val="el-GR"/>
              </w:rPr>
            </w:pPr>
            <w:r w:rsidRPr="005B32FD">
              <w:rPr>
                <w:rFonts w:ascii="Times New Roman" w:hAnsi="Times New Roman"/>
                <w:sz w:val="20"/>
                <w:szCs w:val="20"/>
                <w:lang w:val="el-GR"/>
              </w:rPr>
              <w:t>Αυτός που κάνει τζόκινγκ</w:t>
            </w:r>
          </w:p>
          <w:p w:rsidR="00CE0713" w:rsidRPr="005B32FD" w:rsidRDefault="00CE0713" w:rsidP="00224991">
            <w:pPr>
              <w:pStyle w:val="ListParagraph"/>
              <w:numPr>
                <w:ilvl w:val="0"/>
                <w:numId w:val="17"/>
              </w:numPr>
              <w:spacing w:after="0" w:line="240" w:lineRule="auto"/>
              <w:rPr>
                <w:rFonts w:ascii="Times New Roman" w:hAnsi="Times New Roman"/>
                <w:sz w:val="20"/>
                <w:szCs w:val="20"/>
                <w:lang w:val="el-GR"/>
              </w:rPr>
            </w:pPr>
            <w:r w:rsidRPr="005B32FD">
              <w:rPr>
                <w:rFonts w:ascii="Times New Roman" w:hAnsi="Times New Roman"/>
                <w:sz w:val="20"/>
                <w:szCs w:val="20"/>
                <w:lang w:val="el-GR"/>
              </w:rPr>
              <w:t>Ο πεζός</w:t>
            </w:r>
          </w:p>
          <w:p w:rsidR="00CE0713" w:rsidRPr="005B32FD" w:rsidRDefault="00CE0713" w:rsidP="00224991">
            <w:pPr>
              <w:pStyle w:val="ListParagraph"/>
              <w:numPr>
                <w:ilvl w:val="0"/>
                <w:numId w:val="17"/>
              </w:numPr>
              <w:spacing w:after="0" w:line="240" w:lineRule="auto"/>
              <w:rPr>
                <w:rFonts w:ascii="Times New Roman" w:hAnsi="Times New Roman"/>
                <w:sz w:val="20"/>
                <w:szCs w:val="20"/>
                <w:lang w:val="el-GR"/>
              </w:rPr>
            </w:pPr>
            <w:r w:rsidRPr="005B32FD">
              <w:rPr>
                <w:rFonts w:ascii="Times New Roman" w:hAnsi="Times New Roman"/>
                <w:sz w:val="20"/>
                <w:szCs w:val="20"/>
                <w:lang w:val="el-GR"/>
              </w:rPr>
              <w:t>Το 3</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7</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45 ευρώ</w:t>
            </w:r>
          </w:p>
        </w:tc>
        <w:tc>
          <w:tcPr>
            <w:tcW w:w="3792" w:type="dxa"/>
          </w:tcPr>
          <w:p w:rsidR="00CE0713" w:rsidRPr="005B32FD" w:rsidRDefault="00CE0713" w:rsidP="00372966">
            <w:pPr>
              <w:rPr>
                <w:rFonts w:ascii="Times New Roman" w:hAnsi="Times New Roman"/>
                <w:sz w:val="20"/>
                <w:szCs w:val="20"/>
                <w:lang w:val="el-GR"/>
              </w:rPr>
            </w:pPr>
          </w:p>
        </w:tc>
      </w:tr>
      <w:tr w:rsidR="00CE0713" w:rsidRPr="002D7931" w:rsidTr="00372966">
        <w:tc>
          <w:tcPr>
            <w:tcW w:w="1384" w:type="dxa"/>
          </w:tcPr>
          <w:p w:rsidR="00CE0713" w:rsidRPr="005B32FD" w:rsidRDefault="00CE0713" w:rsidP="00372966">
            <w:pPr>
              <w:jc w:val="center"/>
              <w:rPr>
                <w:lang w:val="el-GR"/>
              </w:rPr>
            </w:pPr>
            <w:r w:rsidRPr="005B32FD">
              <w:rPr>
                <w:lang w:val="el-GR"/>
              </w:rPr>
              <w:t>8</w:t>
            </w:r>
          </w:p>
        </w:tc>
        <w:tc>
          <w:tcPr>
            <w:tcW w:w="3686" w:type="dxa"/>
          </w:tcPr>
          <w:p w:rsidR="00CE0713" w:rsidRPr="005B32FD" w:rsidRDefault="00CE0713" w:rsidP="00224991">
            <w:pPr>
              <w:pStyle w:val="ListParagraph"/>
              <w:numPr>
                <w:ilvl w:val="0"/>
                <w:numId w:val="18"/>
              </w:numPr>
              <w:spacing w:after="0" w:line="240" w:lineRule="auto"/>
              <w:rPr>
                <w:rFonts w:ascii="Times New Roman" w:hAnsi="Times New Roman"/>
                <w:sz w:val="20"/>
                <w:szCs w:val="20"/>
                <w:lang w:val="el-GR"/>
              </w:rPr>
            </w:pPr>
            <w:r w:rsidRPr="005B32FD">
              <w:rPr>
                <w:rFonts w:ascii="Times New Roman" w:hAnsi="Times New Roman"/>
                <w:sz w:val="20"/>
                <w:szCs w:val="20"/>
                <w:lang w:val="el-GR"/>
              </w:rPr>
              <w:t>Τίποτα</w:t>
            </w:r>
          </w:p>
          <w:p w:rsidR="00CE0713" w:rsidRPr="005B32FD" w:rsidRDefault="00CE0713" w:rsidP="00224991">
            <w:pPr>
              <w:pStyle w:val="ListParagraph"/>
              <w:numPr>
                <w:ilvl w:val="0"/>
                <w:numId w:val="18"/>
              </w:numPr>
              <w:spacing w:after="0" w:line="240" w:lineRule="auto"/>
              <w:rPr>
                <w:rFonts w:ascii="Times New Roman" w:hAnsi="Times New Roman"/>
                <w:sz w:val="20"/>
                <w:szCs w:val="20"/>
                <w:lang w:val="el-GR"/>
              </w:rPr>
            </w:pPr>
            <w:r w:rsidRPr="005B32FD">
              <w:rPr>
                <w:rFonts w:ascii="Times New Roman" w:hAnsi="Times New Roman"/>
                <w:sz w:val="20"/>
                <w:szCs w:val="20"/>
                <w:lang w:val="el-GR"/>
              </w:rPr>
              <w:t>0</w:t>
            </w:r>
          </w:p>
          <w:p w:rsidR="00CE0713" w:rsidRPr="005B32FD" w:rsidRDefault="00CE0713" w:rsidP="00224991">
            <w:pPr>
              <w:pStyle w:val="ListParagraph"/>
              <w:numPr>
                <w:ilvl w:val="0"/>
                <w:numId w:val="18"/>
              </w:numPr>
              <w:spacing w:after="0" w:line="240" w:lineRule="auto"/>
              <w:rPr>
                <w:rFonts w:ascii="Times New Roman" w:hAnsi="Times New Roman"/>
                <w:sz w:val="20"/>
                <w:szCs w:val="20"/>
                <w:lang w:val="el-GR"/>
              </w:rPr>
            </w:pPr>
            <w:r w:rsidRPr="005B32FD">
              <w:rPr>
                <w:rFonts w:ascii="Times New Roman" w:hAnsi="Times New Roman"/>
                <w:sz w:val="20"/>
                <w:szCs w:val="20"/>
                <w:lang w:val="el-GR"/>
              </w:rPr>
              <w:t>η συνδρομή καλύπτει τον σύζυγο</w:t>
            </w:r>
          </w:p>
          <w:p w:rsidR="00CE0713" w:rsidRPr="005B32FD" w:rsidRDefault="00CE0713" w:rsidP="00224991">
            <w:pPr>
              <w:pStyle w:val="ListParagraph"/>
              <w:numPr>
                <w:ilvl w:val="0"/>
                <w:numId w:val="18"/>
              </w:numPr>
              <w:spacing w:after="0" w:line="240" w:lineRule="auto"/>
              <w:rPr>
                <w:rFonts w:ascii="Times New Roman" w:hAnsi="Times New Roman"/>
                <w:sz w:val="20"/>
                <w:szCs w:val="20"/>
                <w:lang w:val="el-GR"/>
              </w:rPr>
            </w:pPr>
            <w:r w:rsidRPr="005B32FD">
              <w:rPr>
                <w:rFonts w:ascii="Times New Roman" w:hAnsi="Times New Roman"/>
                <w:sz w:val="20"/>
                <w:szCs w:val="20"/>
                <w:lang w:val="el-GR"/>
              </w:rPr>
              <w:t xml:space="preserve">ο σύζυγος είναι δωρεάν με την συνδρομή σου </w:t>
            </w:r>
          </w:p>
        </w:tc>
        <w:tc>
          <w:tcPr>
            <w:tcW w:w="3792" w:type="dxa"/>
          </w:tcPr>
          <w:p w:rsidR="00CE0713" w:rsidRPr="005B32FD" w:rsidRDefault="00CE0713" w:rsidP="00372966">
            <w:pPr>
              <w:rPr>
                <w:rFonts w:ascii="Times New Roman" w:hAnsi="Times New Roman"/>
                <w:sz w:val="20"/>
                <w:szCs w:val="20"/>
                <w:lang w:val="el-GR"/>
              </w:rPr>
            </w:pPr>
          </w:p>
        </w:tc>
      </w:tr>
      <w:tr w:rsidR="00CE0713" w:rsidRPr="002D7931" w:rsidTr="00372966">
        <w:tc>
          <w:tcPr>
            <w:tcW w:w="1384" w:type="dxa"/>
          </w:tcPr>
          <w:p w:rsidR="00CE0713" w:rsidRPr="005B32FD" w:rsidRDefault="00CE0713" w:rsidP="00372966">
            <w:pPr>
              <w:jc w:val="center"/>
              <w:rPr>
                <w:lang w:val="el-GR"/>
              </w:rPr>
            </w:pPr>
            <w:r w:rsidRPr="005B32FD">
              <w:rPr>
                <w:lang w:val="el-GR"/>
              </w:rPr>
              <w:t>9</w:t>
            </w:r>
          </w:p>
        </w:tc>
        <w:tc>
          <w:tcPr>
            <w:tcW w:w="3686" w:type="dxa"/>
          </w:tcPr>
          <w:p w:rsidR="00CE0713" w:rsidRPr="005B32FD" w:rsidRDefault="00CE0713" w:rsidP="00224991">
            <w:pPr>
              <w:pStyle w:val="ListParagraph"/>
              <w:numPr>
                <w:ilvl w:val="0"/>
                <w:numId w:val="19"/>
              </w:numPr>
              <w:spacing w:after="0" w:line="240" w:lineRule="auto"/>
              <w:rPr>
                <w:rFonts w:ascii="Times New Roman" w:hAnsi="Times New Roman"/>
                <w:sz w:val="20"/>
                <w:szCs w:val="20"/>
                <w:lang w:val="el-GR"/>
              </w:rPr>
            </w:pPr>
            <w:r w:rsidRPr="005B32FD">
              <w:rPr>
                <w:rFonts w:ascii="Times New Roman" w:hAnsi="Times New Roman"/>
                <w:sz w:val="20"/>
                <w:szCs w:val="20"/>
                <w:lang w:val="el-GR"/>
              </w:rPr>
              <w:t>Γ</w:t>
            </w:r>
          </w:p>
          <w:p w:rsidR="00CE0713" w:rsidRPr="005B32FD" w:rsidRDefault="00CE0713" w:rsidP="00224991">
            <w:pPr>
              <w:pStyle w:val="ListParagraph"/>
              <w:numPr>
                <w:ilvl w:val="0"/>
                <w:numId w:val="19"/>
              </w:numPr>
              <w:spacing w:after="0" w:line="240" w:lineRule="auto"/>
              <w:rPr>
                <w:rFonts w:ascii="Times New Roman" w:hAnsi="Times New Roman"/>
                <w:sz w:val="20"/>
                <w:szCs w:val="20"/>
                <w:lang w:val="el-GR"/>
              </w:rPr>
            </w:pPr>
            <w:r w:rsidRPr="005B32FD">
              <w:rPr>
                <w:rFonts w:ascii="Times New Roman" w:hAnsi="Times New Roman"/>
                <w:sz w:val="20"/>
                <w:szCs w:val="20"/>
                <w:lang w:val="el-GR"/>
              </w:rPr>
              <w:t>Στην γραμμή Γ</w:t>
            </w:r>
          </w:p>
          <w:p w:rsidR="00CE0713" w:rsidRPr="005B32FD" w:rsidRDefault="00CE0713" w:rsidP="00224991">
            <w:pPr>
              <w:pStyle w:val="ListParagraph"/>
              <w:numPr>
                <w:ilvl w:val="0"/>
                <w:numId w:val="19"/>
              </w:numPr>
              <w:spacing w:after="0" w:line="240" w:lineRule="auto"/>
              <w:rPr>
                <w:rFonts w:ascii="Times New Roman" w:hAnsi="Times New Roman"/>
                <w:sz w:val="20"/>
                <w:szCs w:val="20"/>
                <w:lang w:val="el-GR"/>
              </w:rPr>
            </w:pPr>
            <w:r w:rsidRPr="005B32FD">
              <w:rPr>
                <w:rFonts w:ascii="Times New Roman" w:hAnsi="Times New Roman"/>
                <w:sz w:val="20"/>
                <w:szCs w:val="20"/>
                <w:lang w:val="el-GR"/>
              </w:rPr>
              <w:t>Νευρικό κλονισμό</w:t>
            </w:r>
            <w:r w:rsidRPr="005F50E6">
              <w:rPr>
                <w:rFonts w:ascii="Times New Roman" w:hAnsi="Times New Roman"/>
                <w:sz w:val="20"/>
                <w:szCs w:val="20"/>
                <w:lang w:val="el-GR"/>
              </w:rPr>
              <w:t xml:space="preserve"> </w:t>
            </w:r>
            <w:r w:rsidRPr="005B32FD">
              <w:rPr>
                <w:rFonts w:ascii="Times New Roman" w:hAnsi="Times New Roman"/>
                <w:sz w:val="20"/>
                <w:szCs w:val="20"/>
                <w:lang w:val="el-GR"/>
              </w:rPr>
              <w:t>/</w:t>
            </w:r>
            <w:r w:rsidRPr="005F50E6">
              <w:rPr>
                <w:rFonts w:ascii="Times New Roman" w:hAnsi="Times New Roman"/>
                <w:sz w:val="20"/>
                <w:szCs w:val="20"/>
                <w:lang w:val="el-GR"/>
              </w:rPr>
              <w:t xml:space="preserve"> </w:t>
            </w:r>
            <w:r w:rsidRPr="005B32FD">
              <w:rPr>
                <w:rFonts w:ascii="Times New Roman" w:hAnsi="Times New Roman"/>
                <w:sz w:val="20"/>
                <w:szCs w:val="20"/>
                <w:lang w:val="el-GR"/>
              </w:rPr>
              <w:t>κόπωση/</w:t>
            </w:r>
            <w:r w:rsidRPr="005F50E6">
              <w:rPr>
                <w:rFonts w:ascii="Times New Roman" w:hAnsi="Times New Roman"/>
                <w:sz w:val="20"/>
                <w:szCs w:val="20"/>
                <w:lang w:val="el-GR"/>
              </w:rPr>
              <w:t xml:space="preserve"> </w:t>
            </w:r>
            <w:r w:rsidRPr="005B32FD">
              <w:rPr>
                <w:rFonts w:ascii="Times New Roman" w:hAnsi="Times New Roman"/>
                <w:sz w:val="20"/>
                <w:szCs w:val="20"/>
                <w:lang w:val="el-GR"/>
              </w:rPr>
              <w:t>κατάθλιψη κτλ.</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10</w:t>
            </w:r>
          </w:p>
        </w:tc>
        <w:tc>
          <w:tcPr>
            <w:tcW w:w="3686" w:type="dxa"/>
          </w:tcPr>
          <w:p w:rsidR="00CE0713" w:rsidRPr="005B32FD" w:rsidRDefault="00CE0713" w:rsidP="00224991">
            <w:pPr>
              <w:pStyle w:val="ListParagraph"/>
              <w:numPr>
                <w:ilvl w:val="0"/>
                <w:numId w:val="20"/>
              </w:numPr>
              <w:spacing w:after="0" w:line="240" w:lineRule="auto"/>
              <w:rPr>
                <w:rFonts w:ascii="Times New Roman" w:hAnsi="Times New Roman"/>
                <w:sz w:val="20"/>
                <w:szCs w:val="20"/>
                <w:lang w:val="el-GR"/>
              </w:rPr>
            </w:pPr>
            <w:r w:rsidRPr="005B32FD">
              <w:rPr>
                <w:rFonts w:ascii="Times New Roman" w:hAnsi="Times New Roman"/>
                <w:sz w:val="20"/>
                <w:szCs w:val="20"/>
                <w:lang w:val="el-GR"/>
              </w:rPr>
              <w:t>Μ</w:t>
            </w:r>
          </w:p>
          <w:p w:rsidR="00CE0713" w:rsidRPr="005B32FD" w:rsidRDefault="00CE0713" w:rsidP="00224991">
            <w:pPr>
              <w:pStyle w:val="ListParagraph"/>
              <w:numPr>
                <w:ilvl w:val="0"/>
                <w:numId w:val="20"/>
              </w:numPr>
              <w:spacing w:after="0" w:line="240" w:lineRule="auto"/>
              <w:rPr>
                <w:rFonts w:ascii="Times New Roman" w:hAnsi="Times New Roman"/>
                <w:sz w:val="20"/>
                <w:szCs w:val="20"/>
                <w:lang w:val="el-GR"/>
              </w:rPr>
            </w:pPr>
            <w:r w:rsidRPr="005B32FD">
              <w:rPr>
                <w:rFonts w:ascii="Times New Roman" w:hAnsi="Times New Roman"/>
                <w:sz w:val="20"/>
                <w:szCs w:val="20"/>
                <w:lang w:val="el-GR"/>
              </w:rPr>
              <w:t>Στην γραμμή Μ</w:t>
            </w:r>
          </w:p>
          <w:p w:rsidR="00CE0713" w:rsidRPr="005B32FD" w:rsidRDefault="00CE0713" w:rsidP="00224991">
            <w:pPr>
              <w:pStyle w:val="ListParagraph"/>
              <w:numPr>
                <w:ilvl w:val="0"/>
                <w:numId w:val="20"/>
              </w:numPr>
              <w:spacing w:after="0" w:line="240" w:lineRule="auto"/>
              <w:rPr>
                <w:rFonts w:ascii="Times New Roman" w:hAnsi="Times New Roman"/>
                <w:sz w:val="20"/>
                <w:szCs w:val="20"/>
                <w:lang w:val="el-GR"/>
              </w:rPr>
            </w:pPr>
            <w:r w:rsidRPr="005B32FD">
              <w:rPr>
                <w:rFonts w:ascii="Times New Roman" w:hAnsi="Times New Roman"/>
                <w:sz w:val="20"/>
                <w:szCs w:val="20"/>
                <w:lang w:val="el-GR"/>
              </w:rPr>
              <w:t>Δυσπεψία ή προβλήματα κατάποσης</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11</w:t>
            </w:r>
          </w:p>
        </w:tc>
        <w:tc>
          <w:tcPr>
            <w:tcW w:w="3686" w:type="dxa"/>
          </w:tcPr>
          <w:p w:rsidR="00CE0713" w:rsidRPr="005B32FD" w:rsidRDefault="00CE0713" w:rsidP="00224991">
            <w:pPr>
              <w:pStyle w:val="ListParagraph"/>
              <w:numPr>
                <w:ilvl w:val="0"/>
                <w:numId w:val="21"/>
              </w:numPr>
              <w:spacing w:after="0" w:line="240" w:lineRule="auto"/>
              <w:rPr>
                <w:rFonts w:ascii="Times New Roman" w:hAnsi="Times New Roman"/>
                <w:sz w:val="20"/>
                <w:szCs w:val="20"/>
                <w:lang w:val="el-GR"/>
              </w:rPr>
            </w:pPr>
            <w:r w:rsidRPr="005B32FD">
              <w:rPr>
                <w:rFonts w:ascii="Times New Roman" w:hAnsi="Times New Roman"/>
                <w:sz w:val="20"/>
                <w:szCs w:val="20"/>
                <w:lang w:val="el-GR"/>
              </w:rPr>
              <w:t>8</w:t>
            </w:r>
          </w:p>
          <w:p w:rsidR="00CE0713" w:rsidRPr="005B32FD" w:rsidRDefault="00CE0713" w:rsidP="00224991">
            <w:pPr>
              <w:pStyle w:val="ListParagraph"/>
              <w:numPr>
                <w:ilvl w:val="0"/>
                <w:numId w:val="21"/>
              </w:numPr>
              <w:spacing w:after="0" w:line="240" w:lineRule="auto"/>
              <w:rPr>
                <w:rFonts w:ascii="Times New Roman" w:hAnsi="Times New Roman"/>
                <w:sz w:val="20"/>
                <w:szCs w:val="20"/>
                <w:lang w:val="el-GR"/>
              </w:rPr>
            </w:pPr>
            <w:r w:rsidRPr="005B32FD">
              <w:rPr>
                <w:rFonts w:ascii="Times New Roman" w:hAnsi="Times New Roman"/>
                <w:sz w:val="20"/>
                <w:szCs w:val="20"/>
                <w:lang w:val="el-GR"/>
              </w:rPr>
              <w:t>8 κουταλάκια</w:t>
            </w: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4 δόσεις</w:t>
            </w:r>
          </w:p>
        </w:tc>
      </w:tr>
      <w:tr w:rsidR="00CE0713" w:rsidRPr="002D7931" w:rsidTr="00372966">
        <w:tc>
          <w:tcPr>
            <w:tcW w:w="1384" w:type="dxa"/>
          </w:tcPr>
          <w:p w:rsidR="00CE0713" w:rsidRPr="005B32FD" w:rsidRDefault="00CE0713" w:rsidP="00372966">
            <w:pPr>
              <w:jc w:val="center"/>
              <w:rPr>
                <w:lang w:val="el-GR"/>
              </w:rPr>
            </w:pPr>
            <w:r w:rsidRPr="005B32FD">
              <w:rPr>
                <w:lang w:val="el-GR"/>
              </w:rPr>
              <w:t>12</w:t>
            </w:r>
          </w:p>
        </w:tc>
        <w:tc>
          <w:tcPr>
            <w:tcW w:w="3686" w:type="dxa"/>
          </w:tcPr>
          <w:p w:rsidR="00CE0713" w:rsidRPr="005B32FD" w:rsidRDefault="00CE0713" w:rsidP="00224991">
            <w:pPr>
              <w:pStyle w:val="ListParagraph"/>
              <w:numPr>
                <w:ilvl w:val="0"/>
                <w:numId w:val="22"/>
              </w:numPr>
              <w:spacing w:after="0" w:line="240" w:lineRule="auto"/>
              <w:rPr>
                <w:rFonts w:ascii="Times New Roman" w:hAnsi="Times New Roman"/>
                <w:sz w:val="20"/>
                <w:szCs w:val="20"/>
                <w:lang w:val="el-GR"/>
              </w:rPr>
            </w:pPr>
            <w:r w:rsidRPr="005B32FD">
              <w:rPr>
                <w:rFonts w:ascii="Times New Roman" w:hAnsi="Times New Roman"/>
                <w:sz w:val="20"/>
                <w:szCs w:val="20"/>
                <w:lang w:val="el-GR"/>
              </w:rPr>
              <w:t>Κανένα</w:t>
            </w:r>
          </w:p>
          <w:p w:rsidR="00CE0713" w:rsidRPr="005B32FD" w:rsidRDefault="00CE0713" w:rsidP="00224991">
            <w:pPr>
              <w:pStyle w:val="ListParagraph"/>
              <w:numPr>
                <w:ilvl w:val="0"/>
                <w:numId w:val="22"/>
              </w:numPr>
              <w:spacing w:after="0" w:line="240" w:lineRule="auto"/>
              <w:rPr>
                <w:rFonts w:ascii="Times New Roman" w:hAnsi="Times New Roman"/>
                <w:sz w:val="20"/>
                <w:szCs w:val="20"/>
                <w:lang w:val="el-GR"/>
              </w:rPr>
            </w:pPr>
            <w:r w:rsidRPr="005B32FD">
              <w:rPr>
                <w:rFonts w:ascii="Times New Roman" w:hAnsi="Times New Roman"/>
                <w:sz w:val="20"/>
                <w:szCs w:val="20"/>
                <w:lang w:val="el-GR"/>
              </w:rPr>
              <w:t>Δεν πρέπει να πάρει</w:t>
            </w:r>
          </w:p>
          <w:p w:rsidR="00CE0713" w:rsidRPr="005B32FD" w:rsidRDefault="00CE0713" w:rsidP="00224991">
            <w:pPr>
              <w:pStyle w:val="ListParagraph"/>
              <w:numPr>
                <w:ilvl w:val="0"/>
                <w:numId w:val="22"/>
              </w:numPr>
              <w:spacing w:after="0" w:line="240" w:lineRule="auto"/>
              <w:rPr>
                <w:rFonts w:ascii="Times New Roman" w:hAnsi="Times New Roman"/>
                <w:sz w:val="20"/>
                <w:szCs w:val="20"/>
                <w:lang w:val="el-GR"/>
              </w:rPr>
            </w:pPr>
            <w:r w:rsidRPr="005B32FD">
              <w:rPr>
                <w:rFonts w:ascii="Times New Roman" w:hAnsi="Times New Roman"/>
                <w:sz w:val="20"/>
                <w:szCs w:val="20"/>
                <w:lang w:val="el-GR"/>
              </w:rPr>
              <w:t>Μην λαμβάνετε αυτό το προϊόν για επίμονο ή χρόνιο βήχα που οφείλεται στο κάπνισμα</w:t>
            </w:r>
          </w:p>
          <w:p w:rsidR="00CE0713" w:rsidRPr="005B32FD" w:rsidRDefault="00CE0713" w:rsidP="00224991">
            <w:pPr>
              <w:pStyle w:val="ListParagraph"/>
              <w:numPr>
                <w:ilvl w:val="0"/>
                <w:numId w:val="22"/>
              </w:numPr>
              <w:spacing w:after="0" w:line="240" w:lineRule="auto"/>
              <w:rPr>
                <w:rFonts w:ascii="Times New Roman" w:hAnsi="Times New Roman"/>
                <w:sz w:val="20"/>
                <w:szCs w:val="20"/>
                <w:lang w:val="el-GR"/>
              </w:rPr>
            </w:pPr>
            <w:r w:rsidRPr="005B32FD">
              <w:rPr>
                <w:rFonts w:ascii="Times New Roman" w:hAnsi="Times New Roman"/>
                <w:sz w:val="20"/>
                <w:szCs w:val="20"/>
                <w:lang w:val="el-GR"/>
              </w:rPr>
              <w:t>Να συμβουλευτεί τον γιατρό του</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13</w:t>
            </w:r>
          </w:p>
        </w:tc>
        <w:tc>
          <w:tcPr>
            <w:tcW w:w="3686" w:type="dxa"/>
          </w:tcPr>
          <w:p w:rsidR="00CE0713" w:rsidRPr="005B32FD" w:rsidRDefault="00CE0713" w:rsidP="00224991">
            <w:pPr>
              <w:pStyle w:val="ListParagraph"/>
              <w:numPr>
                <w:ilvl w:val="0"/>
                <w:numId w:val="23"/>
              </w:numPr>
              <w:spacing w:after="0" w:line="240" w:lineRule="auto"/>
              <w:rPr>
                <w:rFonts w:ascii="Times New Roman" w:hAnsi="Times New Roman"/>
                <w:sz w:val="20"/>
                <w:szCs w:val="20"/>
                <w:lang w:val="el-GR"/>
              </w:rPr>
            </w:pPr>
            <w:r w:rsidRPr="005B32FD">
              <w:rPr>
                <w:rFonts w:ascii="Times New Roman" w:hAnsi="Times New Roman"/>
                <w:sz w:val="20"/>
                <w:szCs w:val="20"/>
                <w:lang w:val="el-GR"/>
              </w:rPr>
              <w:t>6 ζευγάρια</w:t>
            </w:r>
          </w:p>
          <w:p w:rsidR="00CE0713" w:rsidRPr="005B32FD" w:rsidRDefault="00CE0713" w:rsidP="00224991">
            <w:pPr>
              <w:pStyle w:val="ListParagraph"/>
              <w:numPr>
                <w:ilvl w:val="0"/>
                <w:numId w:val="23"/>
              </w:numPr>
              <w:spacing w:after="0" w:line="240" w:lineRule="auto"/>
              <w:rPr>
                <w:rFonts w:ascii="Times New Roman" w:hAnsi="Times New Roman"/>
                <w:sz w:val="20"/>
                <w:szCs w:val="20"/>
                <w:lang w:val="el-GR"/>
              </w:rPr>
            </w:pPr>
            <w:r w:rsidRPr="005B32FD">
              <w:rPr>
                <w:rFonts w:ascii="Times New Roman" w:hAnsi="Times New Roman"/>
                <w:sz w:val="20"/>
                <w:szCs w:val="20"/>
                <w:lang w:val="el-GR"/>
              </w:rPr>
              <w:t>2 πακέτα των 3</w:t>
            </w:r>
          </w:p>
          <w:p w:rsidR="00CE0713" w:rsidRPr="005B32FD" w:rsidRDefault="00CE0713" w:rsidP="00224991">
            <w:pPr>
              <w:pStyle w:val="ListParagraph"/>
              <w:numPr>
                <w:ilvl w:val="0"/>
                <w:numId w:val="23"/>
              </w:numPr>
              <w:spacing w:after="0" w:line="240" w:lineRule="auto"/>
              <w:rPr>
                <w:rFonts w:ascii="Times New Roman" w:hAnsi="Times New Roman"/>
                <w:sz w:val="20"/>
                <w:szCs w:val="20"/>
                <w:lang w:val="el-GR"/>
              </w:rPr>
            </w:pPr>
            <w:r w:rsidRPr="005B32FD">
              <w:rPr>
                <w:rFonts w:ascii="Times New Roman" w:hAnsi="Times New Roman"/>
                <w:sz w:val="20"/>
                <w:szCs w:val="20"/>
                <w:lang w:val="el-GR"/>
              </w:rPr>
              <w:t>1 πακέτο των 6</w:t>
            </w:r>
          </w:p>
        </w:tc>
        <w:tc>
          <w:tcPr>
            <w:tcW w:w="3792" w:type="dxa"/>
          </w:tcPr>
          <w:p w:rsidR="00CE0713" w:rsidRPr="005B32FD" w:rsidRDefault="00CE0713" w:rsidP="00372966">
            <w:pPr>
              <w:rPr>
                <w:rFonts w:ascii="Times New Roman" w:hAnsi="Times New Roman"/>
                <w:sz w:val="20"/>
                <w:szCs w:val="20"/>
                <w:lang w:val="el-GR"/>
              </w:rPr>
            </w:pPr>
          </w:p>
        </w:tc>
      </w:tr>
      <w:tr w:rsidR="00CE0713" w:rsidRPr="002D7931" w:rsidTr="00372966">
        <w:tc>
          <w:tcPr>
            <w:tcW w:w="1384" w:type="dxa"/>
          </w:tcPr>
          <w:p w:rsidR="00CE0713" w:rsidRPr="005B32FD" w:rsidRDefault="00CE0713" w:rsidP="00372966">
            <w:pPr>
              <w:jc w:val="center"/>
              <w:rPr>
                <w:lang w:val="el-GR"/>
              </w:rPr>
            </w:pPr>
            <w:r w:rsidRPr="005B32FD">
              <w:rPr>
                <w:lang w:val="el-GR"/>
              </w:rPr>
              <w:t>14</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 xml:space="preserve">Απόδειξη αγοράς </w:t>
            </w:r>
            <w:r w:rsidRPr="005B32FD">
              <w:rPr>
                <w:rFonts w:ascii="Times New Roman" w:hAnsi="Times New Roman"/>
                <w:b/>
                <w:sz w:val="20"/>
                <w:szCs w:val="20"/>
                <w:u w:val="single"/>
                <w:lang w:val="el-GR"/>
              </w:rPr>
              <w:t>και</w:t>
            </w:r>
            <w:r w:rsidRPr="005B32FD">
              <w:rPr>
                <w:rFonts w:ascii="Times New Roman" w:hAnsi="Times New Roman"/>
                <w:sz w:val="20"/>
                <w:szCs w:val="20"/>
                <w:lang w:val="el-GR"/>
              </w:rPr>
              <w:t xml:space="preserve"> τους κωδικούς των προϊόντων</w:t>
            </w: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 xml:space="preserve">Μόνο την απόδειξη αγοράς </w:t>
            </w:r>
            <w:r w:rsidRPr="005B32FD">
              <w:rPr>
                <w:rFonts w:ascii="Times New Roman" w:hAnsi="Times New Roman"/>
                <w:b/>
                <w:sz w:val="20"/>
                <w:szCs w:val="20"/>
                <w:u w:val="single"/>
                <w:lang w:val="el-GR"/>
              </w:rPr>
              <w:t>ή μόνο</w:t>
            </w:r>
            <w:r w:rsidRPr="005B32FD">
              <w:rPr>
                <w:rFonts w:ascii="Times New Roman" w:hAnsi="Times New Roman"/>
                <w:sz w:val="20"/>
                <w:szCs w:val="20"/>
                <w:lang w:val="el-GR"/>
              </w:rPr>
              <w:t xml:space="preserve"> τους κωδικούς των προϊόντων</w:t>
            </w:r>
          </w:p>
        </w:tc>
      </w:tr>
      <w:tr w:rsidR="00CE0713" w:rsidRPr="002D7931" w:rsidTr="00372966">
        <w:tc>
          <w:tcPr>
            <w:tcW w:w="1384" w:type="dxa"/>
          </w:tcPr>
          <w:p w:rsidR="00CE0713" w:rsidRPr="005B32FD" w:rsidRDefault="00CE0713" w:rsidP="00372966">
            <w:pPr>
              <w:jc w:val="center"/>
              <w:rPr>
                <w:lang w:val="el-GR"/>
              </w:rPr>
            </w:pPr>
            <w:r w:rsidRPr="005B32FD">
              <w:rPr>
                <w:lang w:val="el-GR"/>
              </w:rPr>
              <w:t>15</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12.5 ευρώ</w:t>
            </w: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Το μισό από τα 25 ευρώ</w:t>
            </w:r>
          </w:p>
        </w:tc>
      </w:tr>
      <w:tr w:rsidR="00CE0713" w:rsidRPr="005B32FD" w:rsidTr="00372966">
        <w:tc>
          <w:tcPr>
            <w:tcW w:w="1384" w:type="dxa"/>
          </w:tcPr>
          <w:p w:rsidR="00CE0713" w:rsidRPr="005B32FD" w:rsidRDefault="00CE0713" w:rsidP="00372966">
            <w:pPr>
              <w:jc w:val="center"/>
              <w:rPr>
                <w:lang w:val="el-GR"/>
              </w:rPr>
            </w:pPr>
            <w:r w:rsidRPr="005B32FD">
              <w:rPr>
                <w:lang w:val="el-GR"/>
              </w:rPr>
              <w:t>16</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3.80 ευρώ</w:t>
            </w:r>
          </w:p>
        </w:tc>
        <w:tc>
          <w:tcPr>
            <w:tcW w:w="3792" w:type="dxa"/>
          </w:tcPr>
          <w:p w:rsidR="00CE0713" w:rsidRPr="005B32FD" w:rsidRDefault="00CE0713" w:rsidP="00372966">
            <w:pPr>
              <w:rPr>
                <w:rFonts w:ascii="Times New Roman" w:hAnsi="Times New Roman"/>
                <w:sz w:val="20"/>
                <w:szCs w:val="20"/>
                <w:lang w:val="el-GR"/>
              </w:rPr>
            </w:pPr>
          </w:p>
        </w:tc>
      </w:tr>
      <w:tr w:rsidR="00CE0713" w:rsidRPr="002D7931" w:rsidTr="00372966">
        <w:tc>
          <w:tcPr>
            <w:tcW w:w="1384" w:type="dxa"/>
          </w:tcPr>
          <w:p w:rsidR="00CE0713" w:rsidRPr="005B32FD" w:rsidRDefault="00CE0713" w:rsidP="00372966">
            <w:pPr>
              <w:jc w:val="center"/>
              <w:rPr>
                <w:lang w:val="el-GR"/>
              </w:rPr>
            </w:pPr>
            <w:r w:rsidRPr="005B32FD">
              <w:rPr>
                <w:lang w:val="el-GR"/>
              </w:rPr>
              <w:t>17</w:t>
            </w:r>
          </w:p>
        </w:tc>
        <w:tc>
          <w:tcPr>
            <w:tcW w:w="3686" w:type="dxa"/>
          </w:tcPr>
          <w:p w:rsidR="00CE0713" w:rsidRPr="005B32FD" w:rsidRDefault="00CE0713" w:rsidP="00224991">
            <w:pPr>
              <w:pStyle w:val="ListParagraph"/>
              <w:numPr>
                <w:ilvl w:val="0"/>
                <w:numId w:val="24"/>
              </w:numPr>
              <w:spacing w:after="0" w:line="240" w:lineRule="auto"/>
              <w:rPr>
                <w:rFonts w:ascii="Times New Roman" w:hAnsi="Times New Roman"/>
                <w:sz w:val="20"/>
                <w:szCs w:val="20"/>
                <w:lang w:val="el-GR"/>
              </w:rPr>
            </w:pPr>
            <w:r w:rsidRPr="005B32FD">
              <w:rPr>
                <w:rFonts w:ascii="Times New Roman" w:hAnsi="Times New Roman"/>
                <w:sz w:val="20"/>
                <w:szCs w:val="20"/>
                <w:lang w:val="el-GR"/>
              </w:rPr>
              <w:t xml:space="preserve">Τα ελάχιστα επιτρεπτά επαγγελματικά έξοδα υπαλλήλου </w:t>
            </w:r>
            <w:r w:rsidRPr="005B32FD">
              <w:rPr>
                <w:rFonts w:ascii="Times New Roman" w:hAnsi="Times New Roman"/>
                <w:b/>
                <w:sz w:val="20"/>
                <w:szCs w:val="20"/>
                <w:u w:val="single"/>
                <w:lang w:val="el-GR"/>
              </w:rPr>
              <w:t xml:space="preserve">και </w:t>
            </w:r>
            <w:r w:rsidRPr="005B32FD">
              <w:rPr>
                <w:rFonts w:ascii="Times New Roman" w:hAnsi="Times New Roman"/>
                <w:sz w:val="20"/>
                <w:szCs w:val="20"/>
                <w:lang w:val="el-GR"/>
              </w:rPr>
              <w:t>αφορολόγητο εισόδημα</w:t>
            </w:r>
          </w:p>
          <w:p w:rsidR="00CE0713" w:rsidRPr="005B32FD" w:rsidRDefault="00CE0713" w:rsidP="00224991">
            <w:pPr>
              <w:pStyle w:val="ListParagraph"/>
              <w:numPr>
                <w:ilvl w:val="0"/>
                <w:numId w:val="24"/>
              </w:numPr>
              <w:spacing w:after="0" w:line="240" w:lineRule="auto"/>
              <w:rPr>
                <w:rFonts w:ascii="Times New Roman" w:hAnsi="Times New Roman"/>
                <w:sz w:val="20"/>
                <w:szCs w:val="20"/>
                <w:lang w:val="el-GR"/>
              </w:rPr>
            </w:pPr>
            <w:r w:rsidRPr="005B32FD">
              <w:rPr>
                <w:rFonts w:ascii="Times New Roman" w:hAnsi="Times New Roman"/>
                <w:sz w:val="20"/>
                <w:szCs w:val="20"/>
                <w:lang w:val="el-GR"/>
              </w:rPr>
              <w:t>Την γραμμή 6</w:t>
            </w: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 xml:space="preserve">Μόνο  τα ελάχιστα επιτρεπτά επαγγελματικά έξοδα υπαλλήλου </w:t>
            </w:r>
            <w:r w:rsidRPr="005B32FD">
              <w:rPr>
                <w:rFonts w:ascii="Times New Roman" w:hAnsi="Times New Roman"/>
                <w:b/>
                <w:sz w:val="20"/>
                <w:szCs w:val="20"/>
                <w:u w:val="single"/>
                <w:lang w:val="el-GR"/>
              </w:rPr>
              <w:t>ή μόνο</w:t>
            </w:r>
            <w:r w:rsidRPr="005B32FD">
              <w:rPr>
                <w:rFonts w:ascii="Times New Roman" w:hAnsi="Times New Roman"/>
                <w:sz w:val="20"/>
                <w:szCs w:val="20"/>
                <w:lang w:val="el-GR"/>
              </w:rPr>
              <w:t xml:space="preserve"> αφορολόγητο εισόδημα</w:t>
            </w:r>
          </w:p>
        </w:tc>
      </w:tr>
      <w:tr w:rsidR="00CE0713" w:rsidRPr="005B32FD" w:rsidTr="00372966">
        <w:tc>
          <w:tcPr>
            <w:tcW w:w="1384" w:type="dxa"/>
          </w:tcPr>
          <w:p w:rsidR="00CE0713" w:rsidRPr="005B32FD" w:rsidRDefault="00CE0713" w:rsidP="00372966">
            <w:pPr>
              <w:jc w:val="center"/>
              <w:rPr>
                <w:lang w:val="el-GR"/>
              </w:rPr>
            </w:pPr>
            <w:r w:rsidRPr="005B32FD">
              <w:rPr>
                <w:lang w:val="el-GR"/>
              </w:rPr>
              <w:t>18</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13.000 ευρώ</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19</w:t>
            </w:r>
          </w:p>
        </w:tc>
        <w:tc>
          <w:tcPr>
            <w:tcW w:w="3686" w:type="dxa"/>
          </w:tcPr>
          <w:p w:rsidR="00CE0713" w:rsidRPr="005B32FD" w:rsidRDefault="00CE0713" w:rsidP="00224991">
            <w:pPr>
              <w:pStyle w:val="ListParagraph"/>
              <w:numPr>
                <w:ilvl w:val="0"/>
                <w:numId w:val="25"/>
              </w:numPr>
              <w:spacing w:after="0" w:line="240" w:lineRule="auto"/>
              <w:rPr>
                <w:rFonts w:ascii="Times New Roman" w:hAnsi="Times New Roman"/>
                <w:sz w:val="20"/>
                <w:szCs w:val="20"/>
                <w:lang w:val="el-GR"/>
              </w:rPr>
            </w:pPr>
            <w:r w:rsidRPr="005B32FD">
              <w:rPr>
                <w:rFonts w:ascii="Times New Roman" w:hAnsi="Times New Roman"/>
                <w:sz w:val="20"/>
                <w:szCs w:val="20"/>
                <w:lang w:val="el-GR"/>
              </w:rPr>
              <w:t>Μειώστε το νερό κατά 2 κουταλιές του γλυκού</w:t>
            </w:r>
          </w:p>
          <w:p w:rsidR="00CE0713" w:rsidRPr="005B32FD" w:rsidRDefault="00CE0713" w:rsidP="00224991">
            <w:pPr>
              <w:pStyle w:val="ListParagraph"/>
              <w:numPr>
                <w:ilvl w:val="0"/>
                <w:numId w:val="25"/>
              </w:numPr>
              <w:spacing w:after="0" w:line="240" w:lineRule="auto"/>
              <w:rPr>
                <w:rFonts w:ascii="Times New Roman" w:hAnsi="Times New Roman"/>
                <w:sz w:val="20"/>
                <w:szCs w:val="20"/>
                <w:lang w:val="el-GR"/>
              </w:rPr>
            </w:pPr>
            <w:r w:rsidRPr="005B32FD">
              <w:rPr>
                <w:rFonts w:ascii="Times New Roman" w:hAnsi="Times New Roman"/>
                <w:sz w:val="20"/>
                <w:szCs w:val="20"/>
                <w:lang w:val="el-GR"/>
              </w:rPr>
              <w:t>Μειώστε το νερό</w:t>
            </w:r>
          </w:p>
          <w:p w:rsidR="00CE0713" w:rsidRPr="005B32FD" w:rsidRDefault="00CE0713" w:rsidP="00224991">
            <w:pPr>
              <w:pStyle w:val="ListParagraph"/>
              <w:numPr>
                <w:ilvl w:val="0"/>
                <w:numId w:val="25"/>
              </w:numPr>
              <w:spacing w:after="0" w:line="240" w:lineRule="auto"/>
              <w:rPr>
                <w:rFonts w:ascii="Times New Roman" w:hAnsi="Times New Roman"/>
                <w:sz w:val="20"/>
                <w:szCs w:val="20"/>
                <w:lang w:val="el-GR"/>
              </w:rPr>
            </w:pPr>
            <w:r w:rsidRPr="005B32FD">
              <w:rPr>
                <w:rFonts w:ascii="Times New Roman" w:hAnsi="Times New Roman"/>
                <w:sz w:val="20"/>
                <w:szCs w:val="20"/>
                <w:lang w:val="el-GR"/>
              </w:rPr>
              <w:t>Βάλε λιγότερο νερό</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20</w:t>
            </w:r>
          </w:p>
        </w:tc>
        <w:tc>
          <w:tcPr>
            <w:tcW w:w="3686" w:type="dxa"/>
          </w:tcPr>
          <w:p w:rsidR="00CE0713" w:rsidRPr="005B32FD" w:rsidRDefault="00CE0713" w:rsidP="00224991">
            <w:pPr>
              <w:pStyle w:val="ListParagraph"/>
              <w:numPr>
                <w:ilvl w:val="0"/>
                <w:numId w:val="26"/>
              </w:numPr>
              <w:spacing w:after="0" w:line="240" w:lineRule="auto"/>
              <w:rPr>
                <w:rFonts w:ascii="Times New Roman" w:hAnsi="Times New Roman"/>
                <w:sz w:val="20"/>
                <w:szCs w:val="20"/>
                <w:lang w:val="el-GR"/>
              </w:rPr>
            </w:pPr>
            <w:r w:rsidRPr="005B32FD">
              <w:rPr>
                <w:rFonts w:ascii="Times New Roman" w:hAnsi="Times New Roman"/>
                <w:sz w:val="20"/>
                <w:szCs w:val="20"/>
                <w:lang w:val="el-GR"/>
              </w:rPr>
              <w:t>Καθόλου</w:t>
            </w:r>
          </w:p>
          <w:p w:rsidR="00CE0713" w:rsidRPr="005B32FD" w:rsidRDefault="00CE0713" w:rsidP="00224991">
            <w:pPr>
              <w:pStyle w:val="ListParagraph"/>
              <w:numPr>
                <w:ilvl w:val="0"/>
                <w:numId w:val="26"/>
              </w:numPr>
              <w:spacing w:after="0" w:line="240" w:lineRule="auto"/>
              <w:rPr>
                <w:rFonts w:ascii="Times New Roman" w:hAnsi="Times New Roman"/>
                <w:sz w:val="20"/>
                <w:szCs w:val="20"/>
                <w:lang w:val="el-GR"/>
              </w:rPr>
            </w:pPr>
            <w:r w:rsidRPr="005B32FD">
              <w:rPr>
                <w:rFonts w:ascii="Times New Roman" w:hAnsi="Times New Roman"/>
                <w:sz w:val="20"/>
                <w:szCs w:val="20"/>
                <w:lang w:val="el-GR"/>
              </w:rPr>
              <w:t>0</w:t>
            </w:r>
          </w:p>
          <w:p w:rsidR="00CE0713" w:rsidRPr="005B32FD" w:rsidRDefault="00CE0713" w:rsidP="00224991">
            <w:pPr>
              <w:pStyle w:val="ListParagraph"/>
              <w:numPr>
                <w:ilvl w:val="0"/>
                <w:numId w:val="26"/>
              </w:numPr>
              <w:spacing w:after="0" w:line="240" w:lineRule="auto"/>
              <w:rPr>
                <w:rFonts w:ascii="Times New Roman" w:hAnsi="Times New Roman"/>
                <w:sz w:val="20"/>
                <w:szCs w:val="20"/>
                <w:lang w:val="el-GR"/>
              </w:rPr>
            </w:pPr>
            <w:r w:rsidRPr="005B32FD">
              <w:rPr>
                <w:rFonts w:ascii="Times New Roman" w:hAnsi="Times New Roman"/>
                <w:sz w:val="20"/>
                <w:szCs w:val="20"/>
                <w:lang w:val="el-GR"/>
              </w:rPr>
              <w:t>Απομακρύνεται από την φωτιά</w:t>
            </w:r>
          </w:p>
          <w:p w:rsidR="00CE0713" w:rsidRPr="005B32FD" w:rsidRDefault="00CE0713" w:rsidP="00224991">
            <w:pPr>
              <w:pStyle w:val="ListParagraph"/>
              <w:numPr>
                <w:ilvl w:val="0"/>
                <w:numId w:val="26"/>
              </w:numPr>
              <w:spacing w:after="0" w:line="240" w:lineRule="auto"/>
              <w:rPr>
                <w:rFonts w:ascii="Times New Roman" w:hAnsi="Times New Roman"/>
                <w:sz w:val="20"/>
                <w:szCs w:val="20"/>
                <w:lang w:val="el-GR"/>
              </w:rPr>
            </w:pPr>
            <w:r w:rsidRPr="005B32FD">
              <w:rPr>
                <w:rFonts w:ascii="Times New Roman" w:hAnsi="Times New Roman"/>
                <w:sz w:val="20"/>
                <w:szCs w:val="20"/>
                <w:lang w:val="el-GR"/>
              </w:rPr>
              <w:t xml:space="preserve">Απομακρύνεται από την φωτιά και </w:t>
            </w: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5 λεπτά</w:t>
            </w:r>
          </w:p>
        </w:tc>
      </w:tr>
      <w:tr w:rsidR="00CE0713" w:rsidRPr="005B32FD" w:rsidTr="00372966">
        <w:tc>
          <w:tcPr>
            <w:tcW w:w="1384" w:type="dxa"/>
          </w:tcPr>
          <w:p w:rsidR="00CE0713" w:rsidRPr="005B32FD" w:rsidRDefault="00CE0713" w:rsidP="00372966">
            <w:pPr>
              <w:jc w:val="center"/>
              <w:rPr>
                <w:lang w:val="el-GR"/>
              </w:rPr>
            </w:pPr>
            <w:r w:rsidRPr="005B32FD">
              <w:rPr>
                <w:lang w:val="el-GR"/>
              </w:rPr>
              <w:t>Δοκιμή</w:t>
            </w:r>
          </w:p>
        </w:tc>
        <w:tc>
          <w:tcPr>
            <w:tcW w:w="3686" w:type="dxa"/>
          </w:tcPr>
          <w:p w:rsidR="00CE0713" w:rsidRPr="005B32FD" w:rsidRDefault="00CE0713" w:rsidP="00372966">
            <w:pPr>
              <w:jc w:val="center"/>
              <w:rPr>
                <w:lang w:val="el-GR"/>
              </w:rPr>
            </w:pPr>
            <w:r w:rsidRPr="005B32FD">
              <w:rPr>
                <w:lang w:val="el-GR"/>
              </w:rPr>
              <w:t>Σωστές απαντήσεις (1 πόντο)</w:t>
            </w:r>
          </w:p>
        </w:tc>
        <w:tc>
          <w:tcPr>
            <w:tcW w:w="3792" w:type="dxa"/>
          </w:tcPr>
          <w:p w:rsidR="00CE0713" w:rsidRPr="005B32FD" w:rsidRDefault="00CE0713" w:rsidP="00372966">
            <w:pPr>
              <w:jc w:val="center"/>
              <w:rPr>
                <w:lang w:val="el-GR"/>
              </w:rPr>
            </w:pPr>
            <w:r w:rsidRPr="005B32FD">
              <w:rPr>
                <w:lang w:val="el-GR"/>
              </w:rPr>
              <w:t>Λάθος απαντήσεις (0 πόντους)</w:t>
            </w:r>
          </w:p>
        </w:tc>
      </w:tr>
      <w:tr w:rsidR="00CE0713" w:rsidRPr="005B32FD" w:rsidTr="00372966">
        <w:tc>
          <w:tcPr>
            <w:tcW w:w="1384" w:type="dxa"/>
          </w:tcPr>
          <w:p w:rsidR="00CE0713" w:rsidRPr="005B32FD" w:rsidRDefault="00CE0713" w:rsidP="00372966">
            <w:pPr>
              <w:jc w:val="center"/>
              <w:rPr>
                <w:lang w:val="el-GR"/>
              </w:rPr>
            </w:pPr>
          </w:p>
        </w:tc>
        <w:tc>
          <w:tcPr>
            <w:tcW w:w="3686" w:type="dxa"/>
          </w:tcPr>
          <w:p w:rsidR="00CE0713" w:rsidRPr="005B32FD" w:rsidRDefault="00CE0713" w:rsidP="00372966">
            <w:pPr>
              <w:jc w:val="center"/>
              <w:rPr>
                <w:lang w:val="el-GR"/>
              </w:rPr>
            </w:pPr>
            <w:r w:rsidRPr="005B32FD">
              <w:rPr>
                <w:rFonts w:ascii="Times New Roman" w:hAnsi="Times New Roman"/>
                <w:sz w:val="20"/>
                <w:szCs w:val="20"/>
                <w:lang w:val="el-GR"/>
              </w:rPr>
              <w:t>αφήστε το</w:t>
            </w:r>
          </w:p>
        </w:tc>
        <w:tc>
          <w:tcPr>
            <w:tcW w:w="3792" w:type="dxa"/>
          </w:tcPr>
          <w:p w:rsidR="00CE0713" w:rsidRPr="005B32FD" w:rsidRDefault="00CE0713" w:rsidP="00372966">
            <w:pPr>
              <w:jc w:val="center"/>
              <w:rPr>
                <w:lang w:val="el-GR"/>
              </w:rPr>
            </w:pPr>
          </w:p>
        </w:tc>
      </w:tr>
      <w:tr w:rsidR="00CE0713" w:rsidRPr="002D7931" w:rsidTr="00372966">
        <w:tc>
          <w:tcPr>
            <w:tcW w:w="1384" w:type="dxa"/>
          </w:tcPr>
          <w:p w:rsidR="00CE0713" w:rsidRPr="005B32FD" w:rsidRDefault="00CE0713" w:rsidP="00372966">
            <w:pPr>
              <w:jc w:val="center"/>
              <w:rPr>
                <w:lang w:val="el-GR"/>
              </w:rPr>
            </w:pPr>
            <w:r w:rsidRPr="005B32FD">
              <w:rPr>
                <w:lang w:val="el-GR"/>
              </w:rPr>
              <w:t>21</w:t>
            </w:r>
          </w:p>
        </w:tc>
        <w:tc>
          <w:tcPr>
            <w:tcW w:w="3686" w:type="dxa"/>
          </w:tcPr>
          <w:p w:rsidR="00CE0713" w:rsidRPr="005B32FD" w:rsidRDefault="00CE0713" w:rsidP="00224991">
            <w:pPr>
              <w:pStyle w:val="ListParagraph"/>
              <w:numPr>
                <w:ilvl w:val="0"/>
                <w:numId w:val="27"/>
              </w:numPr>
              <w:spacing w:after="0" w:line="240" w:lineRule="auto"/>
              <w:rPr>
                <w:rFonts w:ascii="Times New Roman" w:hAnsi="Times New Roman"/>
                <w:sz w:val="20"/>
                <w:szCs w:val="20"/>
                <w:lang w:val="el-GR"/>
              </w:rPr>
            </w:pPr>
            <w:r w:rsidRPr="005B32FD">
              <w:rPr>
                <w:rFonts w:ascii="Times New Roman" w:hAnsi="Times New Roman"/>
                <w:sz w:val="20"/>
                <w:szCs w:val="20"/>
                <w:lang w:val="el-GR"/>
              </w:rPr>
              <w:t xml:space="preserve">Δεν Αναδεύει ή Γεμίζει με Νερό </w:t>
            </w:r>
            <w:r w:rsidRPr="005B32FD">
              <w:rPr>
                <w:rFonts w:ascii="Times New Roman" w:hAnsi="Times New Roman"/>
                <w:b/>
                <w:sz w:val="20"/>
                <w:szCs w:val="20"/>
                <w:u w:val="single"/>
                <w:lang w:val="el-GR"/>
              </w:rPr>
              <w:t xml:space="preserve">και  </w:t>
            </w:r>
            <w:r w:rsidRPr="005B32FD">
              <w:rPr>
                <w:rFonts w:ascii="Times New Roman" w:hAnsi="Times New Roman"/>
                <w:sz w:val="20"/>
                <w:szCs w:val="20"/>
                <w:lang w:val="el-GR"/>
              </w:rPr>
              <w:t>δεν Στύβει ή δεν Αποστραγγίζει</w:t>
            </w:r>
          </w:p>
          <w:p w:rsidR="00CE0713" w:rsidRPr="005B32FD" w:rsidRDefault="00CE0713" w:rsidP="00224991">
            <w:pPr>
              <w:pStyle w:val="ListParagraph"/>
              <w:numPr>
                <w:ilvl w:val="0"/>
                <w:numId w:val="27"/>
              </w:numPr>
              <w:spacing w:after="0" w:line="240" w:lineRule="auto"/>
              <w:rPr>
                <w:rFonts w:ascii="Times New Roman" w:hAnsi="Times New Roman"/>
                <w:sz w:val="20"/>
                <w:szCs w:val="20"/>
                <w:lang w:val="el-GR"/>
              </w:rPr>
            </w:pPr>
            <w:r w:rsidRPr="005B32FD">
              <w:rPr>
                <w:rFonts w:ascii="Times New Roman" w:hAnsi="Times New Roman"/>
                <w:sz w:val="20"/>
                <w:szCs w:val="20"/>
                <w:lang w:val="el-GR"/>
              </w:rPr>
              <w:t xml:space="preserve">Δεν Αναδεύει </w:t>
            </w:r>
            <w:r w:rsidRPr="005B32FD">
              <w:rPr>
                <w:rFonts w:ascii="Times New Roman" w:hAnsi="Times New Roman"/>
                <w:b/>
                <w:sz w:val="20"/>
                <w:szCs w:val="20"/>
                <w:u w:val="single"/>
                <w:lang w:val="el-GR"/>
              </w:rPr>
              <w:t>και</w:t>
            </w:r>
            <w:r w:rsidRPr="005B32FD">
              <w:rPr>
                <w:rFonts w:ascii="Times New Roman" w:hAnsi="Times New Roman"/>
                <w:b/>
                <w:sz w:val="20"/>
                <w:szCs w:val="20"/>
                <w:lang w:val="el-GR"/>
              </w:rPr>
              <w:t xml:space="preserve">  </w:t>
            </w:r>
            <w:r w:rsidRPr="005B32FD">
              <w:rPr>
                <w:rFonts w:ascii="Times New Roman" w:hAnsi="Times New Roman"/>
                <w:sz w:val="20"/>
                <w:szCs w:val="20"/>
                <w:lang w:val="el-GR"/>
              </w:rPr>
              <w:t>δεν Στύβει</w:t>
            </w:r>
          </w:p>
          <w:p w:rsidR="00CE0713" w:rsidRPr="005B32FD" w:rsidRDefault="00CE0713" w:rsidP="00224991">
            <w:pPr>
              <w:pStyle w:val="ListParagraph"/>
              <w:numPr>
                <w:ilvl w:val="0"/>
                <w:numId w:val="27"/>
              </w:numPr>
              <w:spacing w:after="0" w:line="240" w:lineRule="auto"/>
              <w:rPr>
                <w:rFonts w:ascii="Times New Roman" w:hAnsi="Times New Roman"/>
                <w:sz w:val="20"/>
                <w:szCs w:val="20"/>
                <w:lang w:val="el-GR"/>
              </w:rPr>
            </w:pPr>
            <w:r w:rsidRPr="005B32FD">
              <w:rPr>
                <w:rFonts w:ascii="Times New Roman" w:hAnsi="Times New Roman"/>
                <w:sz w:val="20"/>
                <w:szCs w:val="20"/>
                <w:lang w:val="el-GR"/>
              </w:rPr>
              <w:t xml:space="preserve">Δεν Γεμίζει με Νερό </w:t>
            </w:r>
            <w:r w:rsidRPr="005B32FD">
              <w:rPr>
                <w:rFonts w:ascii="Times New Roman" w:hAnsi="Times New Roman"/>
                <w:b/>
                <w:sz w:val="20"/>
                <w:szCs w:val="20"/>
                <w:u w:val="single"/>
                <w:lang w:val="el-GR"/>
              </w:rPr>
              <w:t>και</w:t>
            </w:r>
            <w:r w:rsidRPr="005B32FD">
              <w:rPr>
                <w:rFonts w:ascii="Times New Roman" w:hAnsi="Times New Roman"/>
                <w:b/>
                <w:sz w:val="20"/>
                <w:szCs w:val="20"/>
                <w:lang w:val="el-GR"/>
              </w:rPr>
              <w:t xml:space="preserve"> </w:t>
            </w:r>
            <w:r w:rsidRPr="005B32FD">
              <w:rPr>
                <w:rFonts w:ascii="Times New Roman" w:hAnsi="Times New Roman"/>
                <w:sz w:val="20"/>
                <w:szCs w:val="20"/>
                <w:lang w:val="el-GR"/>
              </w:rPr>
              <w:t>δεν Αποστραγγίζει</w:t>
            </w: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Δεν Αναδεύει ή Γεμίζει με Νερό (μόνο)</w:t>
            </w:r>
          </w:p>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Δεν Στύβει ή δεν Αποστραγγίζει (μόνο)</w:t>
            </w:r>
          </w:p>
        </w:tc>
      </w:tr>
      <w:tr w:rsidR="00CE0713" w:rsidRPr="002D7931" w:rsidTr="00372966">
        <w:tc>
          <w:tcPr>
            <w:tcW w:w="1384" w:type="dxa"/>
          </w:tcPr>
          <w:p w:rsidR="00CE0713" w:rsidRPr="005B32FD" w:rsidRDefault="00CE0713" w:rsidP="00372966">
            <w:pPr>
              <w:jc w:val="center"/>
              <w:rPr>
                <w:lang w:val="el-GR"/>
              </w:rPr>
            </w:pPr>
            <w:r w:rsidRPr="005B32FD">
              <w:rPr>
                <w:lang w:val="el-GR"/>
              </w:rPr>
              <w:t>22</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 xml:space="preserve">Βουλωμένα φίλτρα νερού. Καθαρίστε τα φίλτρα </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23</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760 ευρώ</w:t>
            </w: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Όλα εκτός από 760 ευρώ</w:t>
            </w:r>
          </w:p>
        </w:tc>
      </w:tr>
      <w:tr w:rsidR="00CE0713" w:rsidRPr="005B32FD" w:rsidTr="00372966">
        <w:tc>
          <w:tcPr>
            <w:tcW w:w="1384" w:type="dxa"/>
          </w:tcPr>
          <w:p w:rsidR="00CE0713" w:rsidRPr="005B32FD" w:rsidRDefault="00CE0713" w:rsidP="00372966">
            <w:pPr>
              <w:jc w:val="center"/>
              <w:rPr>
                <w:lang w:val="el-GR"/>
              </w:rPr>
            </w:pPr>
            <w:r w:rsidRPr="005B32FD">
              <w:rPr>
                <w:lang w:val="el-GR"/>
              </w:rPr>
              <w:t>24</w:t>
            </w:r>
          </w:p>
        </w:tc>
        <w:tc>
          <w:tcPr>
            <w:tcW w:w="3686" w:type="dxa"/>
          </w:tcPr>
          <w:p w:rsidR="00CE0713" w:rsidRPr="005B32FD" w:rsidRDefault="00CE0713" w:rsidP="00224991">
            <w:pPr>
              <w:pStyle w:val="ListParagraph"/>
              <w:numPr>
                <w:ilvl w:val="0"/>
                <w:numId w:val="28"/>
              </w:numPr>
              <w:spacing w:after="0" w:line="240" w:lineRule="auto"/>
              <w:rPr>
                <w:rFonts w:ascii="Times New Roman" w:hAnsi="Times New Roman"/>
                <w:sz w:val="20"/>
                <w:szCs w:val="20"/>
                <w:lang w:val="el-GR"/>
              </w:rPr>
            </w:pPr>
            <w:r w:rsidRPr="005B32FD">
              <w:rPr>
                <w:rFonts w:ascii="Times New Roman" w:hAnsi="Times New Roman"/>
                <w:sz w:val="20"/>
                <w:szCs w:val="20"/>
                <w:lang w:val="el-GR"/>
              </w:rPr>
              <w:t>Τίποτα</w:t>
            </w:r>
          </w:p>
          <w:p w:rsidR="00CE0713" w:rsidRPr="005B32FD" w:rsidRDefault="00CE0713" w:rsidP="00224991">
            <w:pPr>
              <w:pStyle w:val="ListParagraph"/>
              <w:numPr>
                <w:ilvl w:val="0"/>
                <w:numId w:val="28"/>
              </w:numPr>
              <w:spacing w:after="0" w:line="240" w:lineRule="auto"/>
              <w:rPr>
                <w:rFonts w:ascii="Times New Roman" w:hAnsi="Times New Roman"/>
                <w:sz w:val="20"/>
                <w:szCs w:val="20"/>
                <w:lang w:val="el-GR"/>
              </w:rPr>
            </w:pPr>
            <w:r w:rsidRPr="005B32FD">
              <w:rPr>
                <w:rFonts w:ascii="Times New Roman" w:hAnsi="Times New Roman"/>
                <w:sz w:val="20"/>
                <w:szCs w:val="20"/>
                <w:lang w:val="el-GR"/>
              </w:rPr>
              <w:t>0</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25</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12%</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26</w:t>
            </w:r>
          </w:p>
        </w:tc>
        <w:tc>
          <w:tcPr>
            <w:tcW w:w="3686"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40</w:t>
            </w:r>
          </w:p>
        </w:tc>
        <w:tc>
          <w:tcPr>
            <w:tcW w:w="3792" w:type="dxa"/>
          </w:tcPr>
          <w:p w:rsidR="00CE0713" w:rsidRPr="005B32FD" w:rsidRDefault="00CE0713" w:rsidP="00372966">
            <w:pPr>
              <w:rPr>
                <w:rFonts w:ascii="Times New Roman" w:hAnsi="Times New Roman"/>
                <w:sz w:val="20"/>
                <w:szCs w:val="20"/>
                <w:lang w:val="el-GR"/>
              </w:rPr>
            </w:pPr>
          </w:p>
        </w:tc>
      </w:tr>
      <w:tr w:rsidR="00CE0713" w:rsidRPr="005B32FD" w:rsidTr="00372966">
        <w:tc>
          <w:tcPr>
            <w:tcW w:w="1384" w:type="dxa"/>
          </w:tcPr>
          <w:p w:rsidR="00CE0713" w:rsidRPr="005B32FD" w:rsidRDefault="00CE0713" w:rsidP="00372966">
            <w:pPr>
              <w:jc w:val="center"/>
              <w:rPr>
                <w:lang w:val="el-GR"/>
              </w:rPr>
            </w:pPr>
            <w:r w:rsidRPr="005B32FD">
              <w:rPr>
                <w:lang w:val="el-GR"/>
              </w:rPr>
              <w:t>27</w:t>
            </w:r>
          </w:p>
        </w:tc>
        <w:tc>
          <w:tcPr>
            <w:tcW w:w="3686" w:type="dxa"/>
          </w:tcPr>
          <w:p w:rsidR="00CE0713" w:rsidRPr="005B32FD" w:rsidRDefault="00CE0713" w:rsidP="00224991">
            <w:pPr>
              <w:pStyle w:val="ListParagraph"/>
              <w:numPr>
                <w:ilvl w:val="0"/>
                <w:numId w:val="29"/>
              </w:numPr>
              <w:spacing w:after="0" w:line="240" w:lineRule="auto"/>
              <w:rPr>
                <w:rFonts w:ascii="Times New Roman" w:hAnsi="Times New Roman"/>
                <w:sz w:val="20"/>
                <w:szCs w:val="20"/>
                <w:lang w:val="el-GR"/>
              </w:rPr>
            </w:pPr>
            <w:r w:rsidRPr="005B32FD">
              <w:rPr>
                <w:rFonts w:ascii="Times New Roman" w:hAnsi="Times New Roman"/>
                <w:sz w:val="20"/>
                <w:szCs w:val="20"/>
                <w:lang w:val="el-GR"/>
              </w:rPr>
              <w:t>Το τηλεφώνημα στην κόρη</w:t>
            </w:r>
          </w:p>
          <w:p w:rsidR="00CE0713" w:rsidRPr="005B32FD" w:rsidRDefault="00CE0713" w:rsidP="00224991">
            <w:pPr>
              <w:pStyle w:val="ListParagraph"/>
              <w:numPr>
                <w:ilvl w:val="0"/>
                <w:numId w:val="29"/>
              </w:numPr>
              <w:spacing w:after="0" w:line="240" w:lineRule="auto"/>
              <w:rPr>
                <w:rFonts w:ascii="Times New Roman" w:hAnsi="Times New Roman"/>
                <w:sz w:val="20"/>
                <w:szCs w:val="20"/>
                <w:lang w:val="el-GR"/>
              </w:rPr>
            </w:pPr>
            <w:r w:rsidRPr="005B32FD">
              <w:rPr>
                <w:rFonts w:ascii="Times New Roman" w:hAnsi="Times New Roman"/>
                <w:sz w:val="20"/>
                <w:szCs w:val="20"/>
                <w:lang w:val="el-GR"/>
              </w:rPr>
              <w:t>Κόρη</w:t>
            </w:r>
          </w:p>
          <w:p w:rsidR="00CE0713" w:rsidRPr="005B32FD" w:rsidRDefault="00CE0713" w:rsidP="00224991">
            <w:pPr>
              <w:pStyle w:val="ListParagraph"/>
              <w:numPr>
                <w:ilvl w:val="0"/>
                <w:numId w:val="29"/>
              </w:numPr>
              <w:spacing w:after="0" w:line="240" w:lineRule="auto"/>
              <w:rPr>
                <w:rFonts w:ascii="Times New Roman" w:hAnsi="Times New Roman"/>
                <w:sz w:val="20"/>
                <w:szCs w:val="20"/>
                <w:lang w:val="el-GR"/>
              </w:rPr>
            </w:pPr>
            <w:r w:rsidRPr="005B32FD">
              <w:rPr>
                <w:rFonts w:ascii="Times New Roman" w:hAnsi="Times New Roman"/>
                <w:sz w:val="20"/>
                <w:szCs w:val="20"/>
                <w:lang w:val="el-GR"/>
              </w:rPr>
              <w:t>Σάββατο στην κόρη</w:t>
            </w:r>
          </w:p>
          <w:p w:rsidR="00CE0713" w:rsidRPr="005B32FD" w:rsidRDefault="00CE0713" w:rsidP="00224991">
            <w:pPr>
              <w:pStyle w:val="ListParagraph"/>
              <w:numPr>
                <w:ilvl w:val="0"/>
                <w:numId w:val="29"/>
              </w:numPr>
              <w:spacing w:after="0" w:line="240" w:lineRule="auto"/>
              <w:rPr>
                <w:rFonts w:ascii="Times New Roman" w:hAnsi="Times New Roman"/>
                <w:sz w:val="20"/>
                <w:szCs w:val="20"/>
                <w:lang w:val="el-GR"/>
              </w:rPr>
            </w:pPr>
            <w:r w:rsidRPr="005B32FD">
              <w:rPr>
                <w:rFonts w:ascii="Times New Roman" w:hAnsi="Times New Roman"/>
                <w:sz w:val="20"/>
                <w:szCs w:val="20"/>
                <w:lang w:val="el-GR"/>
              </w:rPr>
              <w:t>Σάββατο στις 11.37 πμ</w:t>
            </w:r>
          </w:p>
          <w:p w:rsidR="00CE0713" w:rsidRPr="005B32FD" w:rsidRDefault="00CE0713" w:rsidP="00224991">
            <w:pPr>
              <w:pStyle w:val="ListParagraph"/>
              <w:numPr>
                <w:ilvl w:val="0"/>
                <w:numId w:val="29"/>
              </w:numPr>
              <w:spacing w:after="0" w:line="240" w:lineRule="auto"/>
              <w:rPr>
                <w:rFonts w:ascii="Times New Roman" w:hAnsi="Times New Roman"/>
                <w:sz w:val="20"/>
                <w:szCs w:val="20"/>
                <w:lang w:val="el-GR"/>
              </w:rPr>
            </w:pPr>
            <w:r w:rsidRPr="005B32FD">
              <w:rPr>
                <w:rFonts w:ascii="Times New Roman" w:hAnsi="Times New Roman"/>
                <w:sz w:val="20"/>
                <w:szCs w:val="20"/>
                <w:lang w:val="el-GR"/>
              </w:rPr>
              <w:t>Σάββατο</w:t>
            </w:r>
          </w:p>
          <w:p w:rsidR="00CE0713" w:rsidRPr="005B32FD" w:rsidRDefault="00CE0713" w:rsidP="00224991">
            <w:pPr>
              <w:pStyle w:val="ListParagraph"/>
              <w:numPr>
                <w:ilvl w:val="0"/>
                <w:numId w:val="29"/>
              </w:numPr>
              <w:spacing w:after="0" w:line="240" w:lineRule="auto"/>
              <w:rPr>
                <w:rFonts w:ascii="Times New Roman" w:hAnsi="Times New Roman"/>
                <w:sz w:val="20"/>
                <w:szCs w:val="20"/>
                <w:lang w:val="el-GR"/>
              </w:rPr>
            </w:pPr>
            <w:r w:rsidRPr="005B32FD">
              <w:rPr>
                <w:rFonts w:ascii="Times New Roman" w:hAnsi="Times New Roman"/>
                <w:sz w:val="20"/>
                <w:szCs w:val="20"/>
                <w:lang w:val="el-GR"/>
              </w:rPr>
              <w:t>Το πρωινό τηλέφωνο</w:t>
            </w:r>
          </w:p>
          <w:p w:rsidR="00CE0713" w:rsidRPr="005B32FD" w:rsidRDefault="00CE0713" w:rsidP="00224991">
            <w:pPr>
              <w:pStyle w:val="ListParagraph"/>
              <w:numPr>
                <w:ilvl w:val="0"/>
                <w:numId w:val="29"/>
              </w:numPr>
              <w:spacing w:after="0" w:line="240" w:lineRule="auto"/>
              <w:rPr>
                <w:rFonts w:ascii="Times New Roman" w:hAnsi="Times New Roman"/>
                <w:sz w:val="20"/>
                <w:szCs w:val="20"/>
                <w:lang w:val="el-GR"/>
              </w:rPr>
            </w:pPr>
            <w:r w:rsidRPr="005B32FD">
              <w:rPr>
                <w:rFonts w:ascii="Times New Roman" w:hAnsi="Times New Roman"/>
                <w:sz w:val="20"/>
                <w:szCs w:val="20"/>
                <w:lang w:val="el-GR"/>
              </w:rPr>
              <w:t>Το τηλέφωνο στο σαββατοκύριακο</w:t>
            </w:r>
          </w:p>
        </w:tc>
        <w:tc>
          <w:tcPr>
            <w:tcW w:w="3792" w:type="dxa"/>
          </w:tcPr>
          <w:p w:rsidR="00CE0713" w:rsidRPr="005B32FD" w:rsidRDefault="00CE0713" w:rsidP="00372966">
            <w:pPr>
              <w:rPr>
                <w:rFonts w:ascii="Times New Roman" w:hAnsi="Times New Roman"/>
                <w:sz w:val="20"/>
                <w:szCs w:val="20"/>
                <w:lang w:val="el-GR"/>
              </w:rPr>
            </w:pPr>
          </w:p>
        </w:tc>
      </w:tr>
      <w:tr w:rsidR="00CE0713" w:rsidRPr="002D7931" w:rsidTr="00372966">
        <w:tc>
          <w:tcPr>
            <w:tcW w:w="1384" w:type="dxa"/>
          </w:tcPr>
          <w:p w:rsidR="00CE0713" w:rsidRPr="005B32FD" w:rsidRDefault="00CE0713" w:rsidP="00372966">
            <w:pPr>
              <w:jc w:val="center"/>
              <w:rPr>
                <w:lang w:val="el-GR"/>
              </w:rPr>
            </w:pPr>
            <w:r w:rsidRPr="005B32FD">
              <w:rPr>
                <w:lang w:val="el-GR"/>
              </w:rPr>
              <w:t>28</w:t>
            </w:r>
          </w:p>
        </w:tc>
        <w:tc>
          <w:tcPr>
            <w:tcW w:w="3686" w:type="dxa"/>
          </w:tcPr>
          <w:p w:rsidR="00CE0713" w:rsidRPr="005B32FD" w:rsidRDefault="00CE0713" w:rsidP="00224991">
            <w:pPr>
              <w:pStyle w:val="ListParagraph"/>
              <w:numPr>
                <w:ilvl w:val="0"/>
                <w:numId w:val="30"/>
              </w:numPr>
              <w:spacing w:after="0" w:line="240" w:lineRule="auto"/>
              <w:rPr>
                <w:rFonts w:ascii="Times New Roman" w:hAnsi="Times New Roman"/>
                <w:sz w:val="20"/>
                <w:szCs w:val="20"/>
                <w:lang w:val="el-GR"/>
              </w:rPr>
            </w:pPr>
            <w:r w:rsidRPr="005B32FD">
              <w:rPr>
                <w:rFonts w:ascii="Times New Roman" w:hAnsi="Times New Roman"/>
                <w:sz w:val="20"/>
                <w:szCs w:val="20"/>
                <w:lang w:val="el-GR"/>
              </w:rPr>
              <w:t>Καθημερινή και απογευματινή χρέωση</w:t>
            </w:r>
          </w:p>
          <w:p w:rsidR="00CE0713" w:rsidRPr="005B32FD" w:rsidRDefault="00CE0713" w:rsidP="00224991">
            <w:pPr>
              <w:pStyle w:val="ListParagraph"/>
              <w:numPr>
                <w:ilvl w:val="0"/>
                <w:numId w:val="30"/>
              </w:numPr>
              <w:spacing w:after="0" w:line="240" w:lineRule="auto"/>
              <w:rPr>
                <w:rFonts w:ascii="Times New Roman" w:hAnsi="Times New Roman"/>
                <w:sz w:val="20"/>
                <w:szCs w:val="20"/>
                <w:lang w:val="el-GR"/>
              </w:rPr>
            </w:pPr>
            <w:r w:rsidRPr="005B32FD">
              <w:rPr>
                <w:rFonts w:ascii="Times New Roman" w:hAnsi="Times New Roman"/>
                <w:sz w:val="20"/>
                <w:szCs w:val="20"/>
                <w:lang w:val="el-GR"/>
              </w:rPr>
              <w:t>3 λεπτά καθημερινή και 4 λεπτά απογευματινή χρέωση</w:t>
            </w:r>
          </w:p>
        </w:tc>
        <w:tc>
          <w:tcPr>
            <w:tcW w:w="3792" w:type="dxa"/>
          </w:tcPr>
          <w:p w:rsidR="00CE0713" w:rsidRPr="005B32FD" w:rsidRDefault="00CE0713" w:rsidP="00372966">
            <w:pPr>
              <w:rPr>
                <w:rFonts w:ascii="Times New Roman" w:hAnsi="Times New Roman"/>
                <w:sz w:val="20"/>
                <w:szCs w:val="20"/>
                <w:lang w:val="el-GR"/>
              </w:rPr>
            </w:pPr>
            <w:r w:rsidRPr="005B32FD">
              <w:rPr>
                <w:rFonts w:ascii="Times New Roman" w:hAnsi="Times New Roman"/>
                <w:sz w:val="20"/>
                <w:szCs w:val="20"/>
                <w:lang w:val="el-GR"/>
              </w:rPr>
              <w:t>Την χρέωση που ισχύουν σε κάθε λεπτό του τηλεφωνήματος</w:t>
            </w:r>
          </w:p>
        </w:tc>
      </w:tr>
    </w:tbl>
    <w:p w:rsidR="00CE0713" w:rsidRPr="00133981" w:rsidRDefault="00CE0713" w:rsidP="00CE0713">
      <w:pPr>
        <w:rPr>
          <w:lang w:val="el-GR"/>
        </w:rPr>
      </w:pPr>
    </w:p>
    <w:p w:rsidR="000F00A6" w:rsidRPr="00CE0713" w:rsidRDefault="000F00A6" w:rsidP="003D4AE6">
      <w:pPr>
        <w:rPr>
          <w:u w:val="single"/>
          <w:lang w:val="el-GR"/>
        </w:rPr>
      </w:pPr>
    </w:p>
    <w:p w:rsidR="003D4AE6" w:rsidRPr="00911EF7" w:rsidRDefault="003D4AE6" w:rsidP="00B729F2">
      <w:pPr>
        <w:rPr>
          <w:u w:val="single"/>
          <w:lang w:val="el-GR"/>
        </w:rPr>
      </w:pPr>
      <w:r w:rsidRPr="00A760AC">
        <w:rPr>
          <w:sz w:val="18"/>
          <w:szCs w:val="18"/>
          <w:lang w:val="el-GR"/>
        </w:rPr>
        <w:br w:type="page"/>
      </w:r>
    </w:p>
    <w:p w:rsidR="00911EF7" w:rsidRPr="00911EF7" w:rsidRDefault="00106580" w:rsidP="00911EF7">
      <w:pPr>
        <w:pStyle w:val="Heading1"/>
      </w:pPr>
      <w:bookmarkStart w:id="243" w:name="_Toc521184298"/>
      <w:r>
        <w:t>A</w:t>
      </w:r>
      <w:r w:rsidRPr="00911EF7">
        <w:t>ppendix</w:t>
      </w:r>
      <w:r w:rsidR="00911EF7" w:rsidRPr="00911EF7">
        <w:t xml:space="preserve"> VIII</w:t>
      </w:r>
      <w:bookmarkEnd w:id="243"/>
    </w:p>
    <w:p w:rsidR="002D7B00" w:rsidRDefault="00E61A9A" w:rsidP="00FE028D">
      <w:pPr>
        <w:pStyle w:val="Heading2"/>
      </w:pPr>
      <w:bookmarkStart w:id="244" w:name="_Toc521184299"/>
      <w:r>
        <w:t>Q</w:t>
      </w:r>
      <w:r w:rsidR="002D7B00" w:rsidRPr="007A15F6">
        <w:t>uestionnaire</w:t>
      </w:r>
      <w:r>
        <w:t>s</w:t>
      </w:r>
      <w:r w:rsidR="002D7B00" w:rsidRPr="007A15F6">
        <w:t xml:space="preserve"> (Translated)</w:t>
      </w:r>
      <w:bookmarkEnd w:id="244"/>
    </w:p>
    <w:p w:rsidR="00911EF7" w:rsidRPr="007A15F6" w:rsidRDefault="00911EF7" w:rsidP="00546D49">
      <w:pPr>
        <w:pStyle w:val="Heading3"/>
        <w:ind w:left="2094"/>
      </w:pPr>
      <w:bookmarkStart w:id="245" w:name="_Toc521184300"/>
      <w:r>
        <w:t>Mental activities</w:t>
      </w:r>
      <w:bookmarkEnd w:id="245"/>
    </w:p>
    <w:p w:rsidR="00911EF7" w:rsidRPr="007A15F6" w:rsidRDefault="00911EF7" w:rsidP="00911EF7">
      <w:pPr>
        <w:rPr>
          <w:u w:val="single"/>
        </w:rPr>
      </w:pPr>
      <w:r w:rsidRPr="007A15F6">
        <w:rPr>
          <w:u w:val="single"/>
        </w:rPr>
        <w:t xml:space="preserve"> “During the last 7 days, how often…”</w:t>
      </w:r>
    </w:p>
    <w:p w:rsidR="00911EF7" w:rsidRPr="007A15F6" w:rsidRDefault="00911EF7" w:rsidP="00911EF7">
      <w:pPr>
        <w:pStyle w:val="ListParagraph"/>
        <w:numPr>
          <w:ilvl w:val="0"/>
          <w:numId w:val="3"/>
        </w:numPr>
        <w:spacing w:after="0" w:line="360" w:lineRule="auto"/>
        <w:rPr>
          <w:lang w:val="en-GB"/>
        </w:rPr>
      </w:pPr>
      <w:r w:rsidRPr="007A15F6">
        <w:rPr>
          <w:lang w:val="en-GB"/>
        </w:rPr>
        <w:t>Have you used the internet to navigate /email /shop / chat or for video calling?</w:t>
      </w:r>
    </w:p>
    <w:p w:rsidR="00911EF7" w:rsidRDefault="00911EF7" w:rsidP="00911EF7">
      <w:pPr>
        <w:pStyle w:val="ListParagraph"/>
        <w:spacing w:line="360" w:lineRule="auto"/>
        <w:rPr>
          <w:sz w:val="20"/>
          <w:szCs w:val="20"/>
          <w:lang w:val="en-GB"/>
        </w:rPr>
      </w:pPr>
      <w:r w:rsidRPr="007A15F6">
        <w:rPr>
          <w:sz w:val="20"/>
          <w:szCs w:val="20"/>
          <w:lang w:val="en-GB"/>
        </w:rPr>
        <w:t xml:space="preserve">1. Never      2. Once or twice      3. Most days     4. Almost every day      </w:t>
      </w:r>
      <w:r w:rsidR="00E61A9A" w:rsidRPr="007A15F6">
        <w:rPr>
          <w:sz w:val="20"/>
          <w:szCs w:val="20"/>
          <w:lang w:val="en-GB"/>
        </w:rPr>
        <w:t>5. Everyday</w:t>
      </w:r>
    </w:p>
    <w:p w:rsidR="002D7B00" w:rsidRPr="007A15F6" w:rsidRDefault="00911EF7" w:rsidP="00546D49">
      <w:pPr>
        <w:pStyle w:val="Heading3"/>
        <w:ind w:left="2094"/>
      </w:pPr>
      <w:bookmarkStart w:id="246" w:name="_Toc521184301"/>
      <w:r>
        <w:t>Other activities</w:t>
      </w:r>
      <w:bookmarkEnd w:id="246"/>
    </w:p>
    <w:p w:rsidR="002D7B00" w:rsidRPr="007A15F6" w:rsidRDefault="002D7B00" w:rsidP="002D7B00">
      <w:pPr>
        <w:rPr>
          <w:u w:val="single"/>
        </w:rPr>
      </w:pPr>
      <w:r w:rsidRPr="007A15F6">
        <w:rPr>
          <w:u w:val="single"/>
        </w:rPr>
        <w:t xml:space="preserve"> “During the last 7 days, how often…”</w:t>
      </w:r>
    </w:p>
    <w:p w:rsidR="002D7B00" w:rsidRPr="007A15F6" w:rsidRDefault="002D7B00" w:rsidP="00224991">
      <w:pPr>
        <w:pStyle w:val="ListParagraph"/>
        <w:numPr>
          <w:ilvl w:val="0"/>
          <w:numId w:val="3"/>
        </w:numPr>
        <w:spacing w:after="0" w:line="360" w:lineRule="auto"/>
        <w:rPr>
          <w:lang w:val="en-GB"/>
        </w:rPr>
      </w:pPr>
      <w:r w:rsidRPr="007A15F6">
        <w:rPr>
          <w:lang w:val="en-GB"/>
        </w:rPr>
        <w:t>Have you worked receiving compensation?</w:t>
      </w:r>
    </w:p>
    <w:p w:rsidR="002D7B00" w:rsidRPr="007A15F6" w:rsidRDefault="002D7B00" w:rsidP="002D7B00">
      <w:pPr>
        <w:pStyle w:val="ListParagraph"/>
        <w:spacing w:line="360" w:lineRule="auto"/>
        <w:rPr>
          <w:sz w:val="20"/>
          <w:szCs w:val="20"/>
          <w:lang w:val="en-GB"/>
        </w:rPr>
      </w:pPr>
      <w:r w:rsidRPr="007A15F6">
        <w:rPr>
          <w:sz w:val="20"/>
          <w:szCs w:val="20"/>
          <w:lang w:val="en-GB"/>
        </w:rPr>
        <w:t xml:space="preserve">1. Never      2. Once or twice      3. Most days     4. Almost every day      </w:t>
      </w:r>
      <w:r w:rsidR="00E61A9A" w:rsidRPr="007A15F6">
        <w:rPr>
          <w:sz w:val="20"/>
          <w:szCs w:val="20"/>
          <w:lang w:val="en-GB"/>
        </w:rPr>
        <w:t>5. Everyday</w:t>
      </w:r>
    </w:p>
    <w:p w:rsidR="002D7B00" w:rsidRPr="007A15F6" w:rsidRDefault="002D7B00" w:rsidP="00224991">
      <w:pPr>
        <w:pStyle w:val="ListParagraph"/>
        <w:numPr>
          <w:ilvl w:val="0"/>
          <w:numId w:val="3"/>
        </w:numPr>
        <w:spacing w:after="0" w:line="360" w:lineRule="auto"/>
        <w:rPr>
          <w:lang w:val="en-GB"/>
        </w:rPr>
      </w:pPr>
      <w:r w:rsidRPr="007A15F6">
        <w:rPr>
          <w:lang w:val="en-GB"/>
        </w:rPr>
        <w:t xml:space="preserve">Have you looked after children (grandchildren, friends’ or </w:t>
      </w:r>
      <w:r w:rsidR="00E61A9A" w:rsidRPr="007A15F6">
        <w:rPr>
          <w:lang w:val="en-GB"/>
        </w:rPr>
        <w:t>neighbours’</w:t>
      </w:r>
      <w:r w:rsidRPr="007A15F6">
        <w:rPr>
          <w:lang w:val="en-GB"/>
        </w:rPr>
        <w:t xml:space="preserve"> kids)?</w:t>
      </w:r>
    </w:p>
    <w:p w:rsidR="002D7B00" w:rsidRDefault="002D7B00" w:rsidP="002D7B00">
      <w:pPr>
        <w:pStyle w:val="ListParagraph"/>
        <w:spacing w:line="360" w:lineRule="auto"/>
        <w:rPr>
          <w:sz w:val="20"/>
          <w:szCs w:val="20"/>
          <w:lang w:val="en-GB"/>
        </w:rPr>
      </w:pPr>
      <w:r w:rsidRPr="007A15F6">
        <w:rPr>
          <w:sz w:val="20"/>
          <w:szCs w:val="20"/>
          <w:lang w:val="en-GB"/>
        </w:rPr>
        <w:t xml:space="preserve">1. Never      2. Once or twice      3. Most days     4. Almost every day      </w:t>
      </w:r>
      <w:r w:rsidR="00E61A9A" w:rsidRPr="007A15F6">
        <w:rPr>
          <w:sz w:val="20"/>
          <w:szCs w:val="20"/>
          <w:lang w:val="en-GB"/>
        </w:rPr>
        <w:t>5. Everyday</w:t>
      </w:r>
    </w:p>
    <w:p w:rsidR="00911EF7" w:rsidRPr="007A15F6" w:rsidRDefault="00911EF7" w:rsidP="00911EF7">
      <w:pPr>
        <w:pStyle w:val="ListParagraph"/>
        <w:numPr>
          <w:ilvl w:val="0"/>
          <w:numId w:val="3"/>
        </w:numPr>
        <w:spacing w:after="0" w:line="360" w:lineRule="auto"/>
        <w:rPr>
          <w:lang w:val="en-GB"/>
        </w:rPr>
      </w:pPr>
      <w:r w:rsidRPr="007A15F6">
        <w:rPr>
          <w:lang w:val="en-GB"/>
        </w:rPr>
        <w:t>Have you cared for a disabled or handicapped person? (verbal explanation)</w:t>
      </w:r>
    </w:p>
    <w:p w:rsidR="00911EF7" w:rsidRPr="007A15F6" w:rsidRDefault="00911EF7" w:rsidP="00911EF7">
      <w:pPr>
        <w:pStyle w:val="ListParagraph"/>
        <w:spacing w:line="360" w:lineRule="auto"/>
        <w:rPr>
          <w:sz w:val="20"/>
          <w:szCs w:val="20"/>
          <w:lang w:val="en-GB"/>
        </w:rPr>
      </w:pPr>
      <w:r w:rsidRPr="007A15F6">
        <w:rPr>
          <w:sz w:val="20"/>
          <w:szCs w:val="20"/>
          <w:lang w:val="en-GB"/>
        </w:rPr>
        <w:t xml:space="preserve">1. Never      2. Once or twice      3. Most days     4. Almost every day      </w:t>
      </w:r>
      <w:r w:rsidR="00E61A9A" w:rsidRPr="007A15F6">
        <w:rPr>
          <w:sz w:val="20"/>
          <w:szCs w:val="20"/>
          <w:lang w:val="en-GB"/>
        </w:rPr>
        <w:t>5. Everyday</w:t>
      </w:r>
    </w:p>
    <w:p w:rsidR="0015044C" w:rsidRPr="007A15F6" w:rsidRDefault="00911EF7" w:rsidP="00546D49">
      <w:pPr>
        <w:pStyle w:val="Heading3"/>
        <w:ind w:left="2094"/>
      </w:pPr>
      <w:bookmarkStart w:id="247" w:name="_Toc521184302"/>
      <w:r w:rsidRPr="00911EF7">
        <w:t>Social participation</w:t>
      </w:r>
      <w:bookmarkEnd w:id="247"/>
    </w:p>
    <w:p w:rsidR="00911EF7" w:rsidRPr="00911EF7" w:rsidRDefault="0015044C" w:rsidP="00911EF7">
      <w:pPr>
        <w:spacing w:line="360" w:lineRule="auto"/>
        <w:rPr>
          <w:u w:val="single"/>
        </w:rPr>
      </w:pPr>
      <w:r w:rsidRPr="007A15F6">
        <w:t>“</w:t>
      </w:r>
      <w:r w:rsidRPr="007A15F6">
        <w:rPr>
          <w:u w:val="single"/>
        </w:rPr>
        <w:t>During the last 12 months, how often …..”</w:t>
      </w:r>
    </w:p>
    <w:p w:rsidR="0015044C" w:rsidRPr="007A15F6" w:rsidRDefault="0015044C" w:rsidP="00224991">
      <w:pPr>
        <w:pStyle w:val="ListParagraph"/>
        <w:numPr>
          <w:ilvl w:val="0"/>
          <w:numId w:val="4"/>
        </w:numPr>
        <w:spacing w:after="0" w:line="360" w:lineRule="auto"/>
        <w:rPr>
          <w:lang w:val="en-GB"/>
        </w:rPr>
      </w:pPr>
      <w:r w:rsidRPr="007A15F6">
        <w:rPr>
          <w:lang w:val="en-GB"/>
        </w:rPr>
        <w:t xml:space="preserve">Have you worked voluntarily? </w:t>
      </w:r>
    </w:p>
    <w:p w:rsidR="0015044C" w:rsidRPr="007A15F6" w:rsidRDefault="0015044C" w:rsidP="0015044C">
      <w:pPr>
        <w:pStyle w:val="ListParagraph"/>
        <w:spacing w:line="360" w:lineRule="auto"/>
        <w:rPr>
          <w:lang w:val="en-GB"/>
        </w:rPr>
      </w:pPr>
      <w:r w:rsidRPr="007A15F6">
        <w:rPr>
          <w:lang w:val="en-GB"/>
        </w:rPr>
        <w:t>1     2     3     4     5</w:t>
      </w:r>
    </w:p>
    <w:p w:rsidR="0015044C" w:rsidRPr="007A15F6" w:rsidRDefault="0015044C" w:rsidP="00224991">
      <w:pPr>
        <w:pStyle w:val="ListParagraph"/>
        <w:numPr>
          <w:ilvl w:val="0"/>
          <w:numId w:val="4"/>
        </w:numPr>
        <w:spacing w:after="0" w:line="360" w:lineRule="auto"/>
        <w:rPr>
          <w:lang w:val="en-GB"/>
        </w:rPr>
      </w:pPr>
      <w:r w:rsidRPr="007A15F6">
        <w:rPr>
          <w:lang w:val="en-GB"/>
        </w:rPr>
        <w:t>Have you attended meetings of organizations such as neighborhood, community or political groups?</w:t>
      </w:r>
    </w:p>
    <w:p w:rsidR="0015044C" w:rsidRPr="007A15F6" w:rsidRDefault="0015044C" w:rsidP="0015044C">
      <w:pPr>
        <w:pStyle w:val="ListParagraph"/>
        <w:spacing w:line="360" w:lineRule="auto"/>
        <w:rPr>
          <w:lang w:val="en-GB"/>
        </w:rPr>
      </w:pPr>
      <w:r w:rsidRPr="007A15F6">
        <w:rPr>
          <w:lang w:val="en-GB"/>
        </w:rPr>
        <w:t>1     2     3     4     5</w:t>
      </w:r>
    </w:p>
    <w:p w:rsidR="0015044C" w:rsidRPr="007A15F6" w:rsidRDefault="0015044C" w:rsidP="00224991">
      <w:pPr>
        <w:pStyle w:val="ListParagraph"/>
        <w:numPr>
          <w:ilvl w:val="0"/>
          <w:numId w:val="4"/>
        </w:numPr>
        <w:spacing w:after="0" w:line="360" w:lineRule="auto"/>
        <w:rPr>
          <w:lang w:val="en-GB"/>
        </w:rPr>
      </w:pPr>
      <w:r w:rsidRPr="007A15F6">
        <w:rPr>
          <w:lang w:val="en-GB"/>
        </w:rPr>
        <w:t>Have you attended a sport or social club event?</w:t>
      </w:r>
    </w:p>
    <w:p w:rsidR="0015044C" w:rsidRPr="007A15F6" w:rsidRDefault="0015044C" w:rsidP="0015044C">
      <w:pPr>
        <w:pStyle w:val="ListParagraph"/>
        <w:spacing w:line="360" w:lineRule="auto"/>
        <w:rPr>
          <w:lang w:val="en-GB"/>
        </w:rPr>
      </w:pPr>
      <w:r w:rsidRPr="007A15F6">
        <w:rPr>
          <w:lang w:val="en-GB"/>
        </w:rPr>
        <w:t>1     2     3     4     5</w:t>
      </w:r>
    </w:p>
    <w:p w:rsidR="0015044C" w:rsidRDefault="0015044C" w:rsidP="00911EF7">
      <w:pPr>
        <w:pStyle w:val="ListParagraph"/>
        <w:numPr>
          <w:ilvl w:val="0"/>
          <w:numId w:val="4"/>
        </w:numPr>
        <w:spacing w:after="0" w:line="360" w:lineRule="auto"/>
        <w:rPr>
          <w:lang w:val="en-GB"/>
        </w:rPr>
      </w:pPr>
      <w:r w:rsidRPr="007A15F6">
        <w:rPr>
          <w:lang w:val="en-GB"/>
        </w:rPr>
        <w:t xml:space="preserve">Have you attended an education or recreational course or class? </w:t>
      </w:r>
    </w:p>
    <w:p w:rsidR="00FB7063" w:rsidRPr="007A15F6" w:rsidRDefault="00FB7063" w:rsidP="00FB7063">
      <w:pPr>
        <w:pStyle w:val="ListParagraph"/>
        <w:spacing w:line="360" w:lineRule="auto"/>
        <w:rPr>
          <w:lang w:val="en-GB"/>
        </w:rPr>
      </w:pPr>
      <w:r w:rsidRPr="007A15F6">
        <w:rPr>
          <w:lang w:val="en-GB"/>
        </w:rPr>
        <w:t>1     2     3     4     5</w:t>
      </w:r>
    </w:p>
    <w:p w:rsidR="00911EF7" w:rsidRDefault="00911EF7" w:rsidP="00911EF7">
      <w:pPr>
        <w:pStyle w:val="ListParagraph"/>
        <w:spacing w:after="0" w:line="360" w:lineRule="auto"/>
        <w:rPr>
          <w:lang w:val="en-GB"/>
        </w:rPr>
      </w:pPr>
    </w:p>
    <w:p w:rsidR="0015044C" w:rsidRPr="00E61A9A" w:rsidRDefault="00911EF7" w:rsidP="00E61A9A">
      <w:pPr>
        <w:pStyle w:val="ListParagraph"/>
        <w:spacing w:after="0" w:line="360" w:lineRule="auto"/>
        <w:rPr>
          <w:lang w:val="en-GB"/>
        </w:rPr>
      </w:pPr>
      <w:r w:rsidRPr="007A15F6">
        <w:rPr>
          <w:sz w:val="20"/>
          <w:szCs w:val="20"/>
          <w:lang w:val="en-GB"/>
        </w:rPr>
        <w:t>1. Once a year or less   2.</w:t>
      </w:r>
      <w:r>
        <w:rPr>
          <w:sz w:val="20"/>
          <w:szCs w:val="20"/>
          <w:lang w:val="en-GB"/>
        </w:rPr>
        <w:t xml:space="preserve"> </w:t>
      </w:r>
      <w:r w:rsidRPr="007A15F6">
        <w:rPr>
          <w:sz w:val="20"/>
          <w:szCs w:val="20"/>
          <w:lang w:val="en-GB"/>
        </w:rPr>
        <w:t>Several times a y</w:t>
      </w:r>
      <w:r>
        <w:rPr>
          <w:sz w:val="20"/>
          <w:szCs w:val="20"/>
          <w:lang w:val="en-GB"/>
        </w:rPr>
        <w:t xml:space="preserve">ear   3. Several times a month </w:t>
      </w:r>
      <w:r w:rsidRPr="007A15F6">
        <w:rPr>
          <w:sz w:val="20"/>
          <w:szCs w:val="20"/>
          <w:lang w:val="en-GB"/>
        </w:rPr>
        <w:t>4.</w:t>
      </w:r>
      <w:r>
        <w:rPr>
          <w:sz w:val="20"/>
          <w:szCs w:val="20"/>
          <w:lang w:val="en-GB"/>
        </w:rPr>
        <w:t xml:space="preserve"> </w:t>
      </w:r>
      <w:r w:rsidRPr="007A15F6">
        <w:rPr>
          <w:sz w:val="20"/>
          <w:szCs w:val="20"/>
          <w:lang w:val="en-GB"/>
        </w:rPr>
        <w:t>Several times a week   5. Everyday / almost every day</w:t>
      </w:r>
    </w:p>
    <w:p w:rsidR="002035D9" w:rsidRPr="00E61A9A" w:rsidRDefault="00C45C14" w:rsidP="00546D49">
      <w:pPr>
        <w:pStyle w:val="Heading3"/>
        <w:ind w:left="2094"/>
        <w:rPr>
          <w:sz w:val="20"/>
          <w:lang w:eastAsia="en-US"/>
        </w:rPr>
      </w:pPr>
      <w:r w:rsidRPr="00E61A9A">
        <w:rPr>
          <w:sz w:val="20"/>
        </w:rPr>
        <w:br w:type="page"/>
      </w:r>
      <w:bookmarkStart w:id="248" w:name="_Toc521184303"/>
      <w:r w:rsidR="002035D9" w:rsidRPr="00E61A9A">
        <w:t>Social network</w:t>
      </w:r>
      <w:bookmarkEnd w:id="248"/>
      <w:r w:rsidR="002035D9" w:rsidRPr="00E61A9A">
        <w:t xml:space="preserve"> </w:t>
      </w:r>
      <w:r w:rsidR="0015044C" w:rsidRPr="00E61A9A">
        <w:t xml:space="preserve"> </w:t>
      </w:r>
    </w:p>
    <w:p w:rsidR="002035D9" w:rsidRPr="007A15F6" w:rsidRDefault="002035D9" w:rsidP="00224991">
      <w:pPr>
        <w:pStyle w:val="ListParagraph"/>
        <w:numPr>
          <w:ilvl w:val="0"/>
          <w:numId w:val="5"/>
        </w:numPr>
        <w:spacing w:after="0" w:line="360" w:lineRule="auto"/>
        <w:rPr>
          <w:lang w:val="en-GB"/>
        </w:rPr>
      </w:pPr>
      <w:r w:rsidRPr="007A15F6">
        <w:rPr>
          <w:lang w:val="en-GB"/>
        </w:rPr>
        <w:t xml:space="preserve">Number of people living together in the household (the last 12 </w:t>
      </w:r>
      <w:r w:rsidR="00E61A9A" w:rsidRPr="007A15F6">
        <w:rPr>
          <w:lang w:val="en-GB"/>
        </w:rPr>
        <w:t>months) _</w:t>
      </w:r>
      <w:r w:rsidRPr="007A15F6">
        <w:rPr>
          <w:lang w:val="en-GB"/>
        </w:rPr>
        <w:t>___</w:t>
      </w:r>
    </w:p>
    <w:p w:rsidR="002035D9" w:rsidRPr="007A15F6" w:rsidRDefault="002035D9" w:rsidP="00224991">
      <w:pPr>
        <w:pStyle w:val="ListParagraph"/>
        <w:numPr>
          <w:ilvl w:val="0"/>
          <w:numId w:val="5"/>
        </w:numPr>
        <w:spacing w:after="0" w:line="360" w:lineRule="auto"/>
        <w:rPr>
          <w:lang w:val="en-GB"/>
        </w:rPr>
      </w:pPr>
      <w:r w:rsidRPr="007A15F6">
        <w:rPr>
          <w:lang w:val="en-GB"/>
        </w:rPr>
        <w:t xml:space="preserve">Number of </w:t>
      </w:r>
      <w:r w:rsidR="00E61A9A" w:rsidRPr="007A15F6">
        <w:rPr>
          <w:lang w:val="en-GB"/>
        </w:rPr>
        <w:t>relatives with</w:t>
      </w:r>
      <w:r w:rsidRPr="007A15F6">
        <w:rPr>
          <w:lang w:val="en-GB"/>
        </w:rPr>
        <w:t xml:space="preserve"> at least weekly contact (the last 12 </w:t>
      </w:r>
      <w:r w:rsidR="00E61A9A" w:rsidRPr="007A15F6">
        <w:rPr>
          <w:lang w:val="en-GB"/>
        </w:rPr>
        <w:t>months) _</w:t>
      </w:r>
      <w:r w:rsidRPr="007A15F6">
        <w:rPr>
          <w:lang w:val="en-GB"/>
        </w:rPr>
        <w:t>___</w:t>
      </w:r>
      <w:r w:rsidRPr="007A15F6">
        <w:rPr>
          <w:lang w:val="en-GB"/>
        </w:rPr>
        <w:softHyphen/>
      </w:r>
      <w:r w:rsidRPr="007A15F6">
        <w:rPr>
          <w:lang w:val="en-GB"/>
        </w:rPr>
        <w:softHyphen/>
      </w:r>
      <w:r w:rsidRPr="007A15F6">
        <w:rPr>
          <w:lang w:val="en-GB"/>
        </w:rPr>
        <w:softHyphen/>
      </w:r>
    </w:p>
    <w:p w:rsidR="00E61A9A" w:rsidRDefault="002035D9" w:rsidP="00224991">
      <w:pPr>
        <w:pStyle w:val="ListParagraph"/>
        <w:numPr>
          <w:ilvl w:val="0"/>
          <w:numId w:val="5"/>
        </w:numPr>
        <w:spacing w:after="0" w:line="360" w:lineRule="auto"/>
        <w:rPr>
          <w:lang w:val="en-GB"/>
        </w:rPr>
      </w:pPr>
      <w:r w:rsidRPr="007A15F6">
        <w:rPr>
          <w:lang w:val="en-GB"/>
        </w:rPr>
        <w:t xml:space="preserve">Number of friends and neighbors with at least weekly contact (the last 12 </w:t>
      </w:r>
      <w:r w:rsidR="00E61A9A" w:rsidRPr="007A15F6">
        <w:rPr>
          <w:lang w:val="en-GB"/>
        </w:rPr>
        <w:t>months) _</w:t>
      </w:r>
      <w:r w:rsidRPr="007A15F6">
        <w:rPr>
          <w:lang w:val="en-GB"/>
        </w:rPr>
        <w:t>___</w:t>
      </w:r>
    </w:p>
    <w:p w:rsidR="002035D9" w:rsidRPr="007A15F6" w:rsidRDefault="00E61A9A" w:rsidP="00546D49">
      <w:pPr>
        <w:pStyle w:val="Heading3"/>
        <w:ind w:left="2094"/>
      </w:pPr>
      <w:bookmarkStart w:id="249" w:name="_Toc521184304"/>
      <w:r>
        <w:t>Loneliness</w:t>
      </w:r>
      <w:r w:rsidR="002035D9" w:rsidRPr="007A15F6">
        <w:softHyphen/>
      </w:r>
      <w:r w:rsidR="002035D9" w:rsidRPr="007A15F6">
        <w:softHyphen/>
      </w:r>
      <w:r w:rsidR="002035D9" w:rsidRPr="007A15F6">
        <w:softHyphen/>
      </w:r>
      <w:bookmarkEnd w:id="249"/>
    </w:p>
    <w:p w:rsidR="002035D9" w:rsidRPr="007A15F6" w:rsidRDefault="002035D9" w:rsidP="00224991">
      <w:pPr>
        <w:pStyle w:val="ListParagraph"/>
        <w:numPr>
          <w:ilvl w:val="0"/>
          <w:numId w:val="5"/>
        </w:numPr>
        <w:spacing w:after="0" w:line="360" w:lineRule="auto"/>
        <w:rPr>
          <w:lang w:val="en-GB"/>
        </w:rPr>
      </w:pPr>
      <w:r w:rsidRPr="007A15F6">
        <w:rPr>
          <w:lang w:val="en-GB"/>
        </w:rPr>
        <w:t xml:space="preserve">Do you feel lonely? </w:t>
      </w:r>
    </w:p>
    <w:p w:rsidR="002035D9" w:rsidRDefault="002035D9" w:rsidP="002035D9">
      <w:pPr>
        <w:spacing w:line="360" w:lineRule="auto"/>
        <w:ind w:left="360"/>
        <w:rPr>
          <w:sz w:val="20"/>
          <w:szCs w:val="20"/>
        </w:rPr>
      </w:pPr>
      <w:r w:rsidRPr="007A15F6">
        <w:t xml:space="preserve">        </w:t>
      </w:r>
      <w:r w:rsidRPr="007A15F6">
        <w:rPr>
          <w:sz w:val="20"/>
          <w:szCs w:val="20"/>
        </w:rPr>
        <w:t xml:space="preserve">1. Never     2. Sometimes    </w:t>
      </w:r>
      <w:r w:rsidR="00E61A9A" w:rsidRPr="007A15F6">
        <w:rPr>
          <w:sz w:val="20"/>
          <w:szCs w:val="20"/>
        </w:rPr>
        <w:t>3. Often</w:t>
      </w:r>
      <w:r w:rsidRPr="007A15F6">
        <w:rPr>
          <w:sz w:val="20"/>
          <w:szCs w:val="20"/>
        </w:rPr>
        <w:t xml:space="preserve"> </w:t>
      </w:r>
    </w:p>
    <w:p w:rsidR="00E61A9A" w:rsidRPr="007A15F6" w:rsidRDefault="00E61A9A" w:rsidP="00546D49">
      <w:pPr>
        <w:pStyle w:val="Heading3"/>
        <w:ind w:left="2094"/>
      </w:pPr>
      <w:bookmarkStart w:id="250" w:name="_Toc521184305"/>
      <w:r>
        <w:t>Perceived Health</w:t>
      </w:r>
      <w:bookmarkEnd w:id="250"/>
    </w:p>
    <w:p w:rsidR="002035D9" w:rsidRPr="007A15F6" w:rsidRDefault="002035D9" w:rsidP="00224991">
      <w:pPr>
        <w:pStyle w:val="ListParagraph"/>
        <w:numPr>
          <w:ilvl w:val="0"/>
          <w:numId w:val="5"/>
        </w:numPr>
        <w:spacing w:after="0" w:line="360" w:lineRule="auto"/>
        <w:rPr>
          <w:lang w:val="en-GB"/>
        </w:rPr>
      </w:pPr>
      <w:r w:rsidRPr="007A15F6">
        <w:rPr>
          <w:lang w:val="en-GB"/>
        </w:rPr>
        <w:t xml:space="preserve">Would you say that your health is </w:t>
      </w:r>
    </w:p>
    <w:p w:rsidR="002035D9" w:rsidRPr="007A15F6" w:rsidRDefault="002035D9" w:rsidP="002035D9">
      <w:pPr>
        <w:pStyle w:val="ListParagraph"/>
        <w:spacing w:line="360" w:lineRule="auto"/>
        <w:rPr>
          <w:sz w:val="20"/>
          <w:szCs w:val="20"/>
          <w:lang w:val="en-GB"/>
        </w:rPr>
      </w:pPr>
      <w:r w:rsidRPr="007A15F6">
        <w:rPr>
          <w:sz w:val="20"/>
          <w:szCs w:val="20"/>
          <w:lang w:val="en-GB"/>
        </w:rPr>
        <w:t>1. Excellent   2. Very good    3. Good    4.Fair    5.Poor</w:t>
      </w:r>
    </w:p>
    <w:p w:rsidR="002035D9" w:rsidRPr="007A15F6" w:rsidRDefault="002035D9" w:rsidP="00224991">
      <w:pPr>
        <w:pStyle w:val="ListParagraph"/>
        <w:numPr>
          <w:ilvl w:val="0"/>
          <w:numId w:val="5"/>
        </w:numPr>
        <w:spacing w:after="0" w:line="360" w:lineRule="auto"/>
        <w:rPr>
          <w:lang w:val="en-GB"/>
        </w:rPr>
      </w:pPr>
      <w:r w:rsidRPr="007A15F6">
        <w:rPr>
          <w:lang w:val="en-GB"/>
        </w:rPr>
        <w:t xml:space="preserve">For the past six months at least, to what extent have you been limited because of a health problem in activities people usually do? </w:t>
      </w:r>
    </w:p>
    <w:p w:rsidR="002035D9" w:rsidRPr="00E61A9A" w:rsidRDefault="002035D9" w:rsidP="00E61A9A">
      <w:pPr>
        <w:pStyle w:val="ListParagraph"/>
        <w:spacing w:line="360" w:lineRule="auto"/>
        <w:rPr>
          <w:sz w:val="20"/>
          <w:szCs w:val="20"/>
          <w:lang w:val="en-GB"/>
        </w:rPr>
      </w:pPr>
      <w:r w:rsidRPr="007A15F6">
        <w:rPr>
          <w:sz w:val="20"/>
          <w:szCs w:val="20"/>
          <w:lang w:val="en-GB"/>
        </w:rPr>
        <w:t>1. Severely limited   2. Limited, but not severely   3. Not limited</w:t>
      </w:r>
    </w:p>
    <w:p w:rsidR="002035D9" w:rsidRPr="007A15F6" w:rsidRDefault="002035D9" w:rsidP="00546D49">
      <w:pPr>
        <w:pStyle w:val="Heading3"/>
        <w:ind w:left="2094"/>
      </w:pPr>
      <w:bookmarkStart w:id="251" w:name="_Toc521184306"/>
      <w:r w:rsidRPr="007A15F6">
        <w:t>Demographics</w:t>
      </w:r>
      <w:bookmarkEnd w:id="251"/>
      <w:r w:rsidRPr="007A15F6">
        <w:t xml:space="preserve"> </w:t>
      </w:r>
    </w:p>
    <w:p w:rsidR="002035D9" w:rsidRPr="007A15F6" w:rsidRDefault="002035D9" w:rsidP="002035D9">
      <w:pPr>
        <w:spacing w:line="360" w:lineRule="auto"/>
        <w:ind w:left="720"/>
      </w:pPr>
      <w:r w:rsidRPr="007A15F6">
        <w:t>1. Highest degree obtained</w:t>
      </w:r>
    </w:p>
    <w:p w:rsidR="002035D9" w:rsidRPr="007A15F6" w:rsidRDefault="002035D9" w:rsidP="00224991">
      <w:pPr>
        <w:pStyle w:val="ListParagraph"/>
        <w:numPr>
          <w:ilvl w:val="0"/>
          <w:numId w:val="7"/>
        </w:numPr>
        <w:spacing w:after="0" w:line="240" w:lineRule="auto"/>
        <w:rPr>
          <w:lang w:val="en-GB"/>
        </w:rPr>
      </w:pPr>
      <w:r w:rsidRPr="007A15F6">
        <w:rPr>
          <w:lang w:val="en-GB"/>
        </w:rPr>
        <w:t>None</w:t>
      </w:r>
    </w:p>
    <w:p w:rsidR="002035D9" w:rsidRPr="007A15F6" w:rsidRDefault="002035D9" w:rsidP="00224991">
      <w:pPr>
        <w:pStyle w:val="ListParagraph"/>
        <w:numPr>
          <w:ilvl w:val="0"/>
          <w:numId w:val="7"/>
        </w:numPr>
        <w:spacing w:after="0" w:line="240" w:lineRule="auto"/>
        <w:rPr>
          <w:lang w:val="en-GB"/>
        </w:rPr>
      </w:pPr>
      <w:r w:rsidRPr="007A15F6">
        <w:rPr>
          <w:lang w:val="en-GB"/>
        </w:rPr>
        <w:t>Primary</w:t>
      </w:r>
    </w:p>
    <w:p w:rsidR="002035D9" w:rsidRPr="007A15F6" w:rsidRDefault="002035D9" w:rsidP="00224991">
      <w:pPr>
        <w:pStyle w:val="ListParagraph"/>
        <w:numPr>
          <w:ilvl w:val="0"/>
          <w:numId w:val="7"/>
        </w:numPr>
        <w:spacing w:after="0" w:line="240" w:lineRule="auto"/>
        <w:rPr>
          <w:lang w:val="en-GB"/>
        </w:rPr>
      </w:pPr>
      <w:r w:rsidRPr="007A15F6">
        <w:rPr>
          <w:lang w:val="en-GB"/>
        </w:rPr>
        <w:t>Secondary</w:t>
      </w:r>
    </w:p>
    <w:p w:rsidR="002035D9" w:rsidRPr="007A15F6" w:rsidRDefault="002035D9" w:rsidP="00224991">
      <w:pPr>
        <w:pStyle w:val="ListParagraph"/>
        <w:numPr>
          <w:ilvl w:val="0"/>
          <w:numId w:val="7"/>
        </w:numPr>
        <w:spacing w:after="0" w:line="240" w:lineRule="auto"/>
        <w:rPr>
          <w:lang w:val="en-GB"/>
        </w:rPr>
      </w:pPr>
      <w:r w:rsidRPr="007A15F6">
        <w:rPr>
          <w:lang w:val="en-GB"/>
        </w:rPr>
        <w:t>Lyceum, High school, technical school</w:t>
      </w:r>
    </w:p>
    <w:p w:rsidR="002035D9" w:rsidRPr="007A15F6" w:rsidRDefault="002035D9" w:rsidP="00224991">
      <w:pPr>
        <w:pStyle w:val="ListParagraph"/>
        <w:numPr>
          <w:ilvl w:val="0"/>
          <w:numId w:val="7"/>
        </w:numPr>
        <w:spacing w:after="0" w:line="240" w:lineRule="auto"/>
        <w:rPr>
          <w:lang w:val="en-GB"/>
        </w:rPr>
      </w:pPr>
      <w:r w:rsidRPr="007A15F6">
        <w:rPr>
          <w:lang w:val="en-GB"/>
        </w:rPr>
        <w:t>IEK</w:t>
      </w:r>
    </w:p>
    <w:p w:rsidR="002035D9" w:rsidRPr="007A15F6" w:rsidRDefault="002035D9" w:rsidP="00224991">
      <w:pPr>
        <w:pStyle w:val="ListParagraph"/>
        <w:numPr>
          <w:ilvl w:val="0"/>
          <w:numId w:val="7"/>
        </w:numPr>
        <w:spacing w:after="0" w:line="240" w:lineRule="auto"/>
        <w:rPr>
          <w:lang w:val="en-GB"/>
        </w:rPr>
      </w:pPr>
      <w:r w:rsidRPr="007A15F6">
        <w:rPr>
          <w:lang w:val="en-GB"/>
        </w:rPr>
        <w:t>University</w:t>
      </w:r>
    </w:p>
    <w:p w:rsidR="002035D9" w:rsidRPr="007A15F6" w:rsidRDefault="002035D9" w:rsidP="00224991">
      <w:pPr>
        <w:pStyle w:val="ListParagraph"/>
        <w:numPr>
          <w:ilvl w:val="0"/>
          <w:numId w:val="7"/>
        </w:numPr>
        <w:spacing w:after="0" w:line="240" w:lineRule="auto"/>
        <w:rPr>
          <w:lang w:val="en-GB"/>
        </w:rPr>
      </w:pPr>
      <w:r w:rsidRPr="007A15F6">
        <w:rPr>
          <w:lang w:val="en-GB"/>
        </w:rPr>
        <w:t>Msc, MA</w:t>
      </w:r>
    </w:p>
    <w:p w:rsidR="002035D9" w:rsidRPr="007A15F6" w:rsidRDefault="002035D9" w:rsidP="00224991">
      <w:pPr>
        <w:pStyle w:val="ListParagraph"/>
        <w:numPr>
          <w:ilvl w:val="0"/>
          <w:numId w:val="7"/>
        </w:numPr>
        <w:spacing w:after="0" w:line="240" w:lineRule="auto"/>
        <w:rPr>
          <w:lang w:val="en-GB"/>
        </w:rPr>
      </w:pPr>
      <w:r w:rsidRPr="007A15F6">
        <w:rPr>
          <w:lang w:val="en-GB"/>
        </w:rPr>
        <w:t>PhD</w:t>
      </w:r>
    </w:p>
    <w:p w:rsidR="002035D9" w:rsidRPr="007A15F6" w:rsidRDefault="002035D9" w:rsidP="00224991">
      <w:pPr>
        <w:pStyle w:val="ListParagraph"/>
        <w:numPr>
          <w:ilvl w:val="0"/>
          <w:numId w:val="7"/>
        </w:numPr>
        <w:spacing w:after="0" w:line="240" w:lineRule="auto"/>
        <w:rPr>
          <w:lang w:val="en-GB"/>
        </w:rPr>
      </w:pPr>
      <w:r w:rsidRPr="007A15F6">
        <w:rPr>
          <w:lang w:val="en-GB"/>
        </w:rPr>
        <w:t>Still in school/university</w:t>
      </w:r>
    </w:p>
    <w:p w:rsidR="002035D9" w:rsidRPr="007A15F6" w:rsidRDefault="002035D9" w:rsidP="002035D9">
      <w:pPr>
        <w:pStyle w:val="ListParagraph"/>
        <w:spacing w:line="360" w:lineRule="auto"/>
        <w:rPr>
          <w:lang w:val="en-GB"/>
        </w:rPr>
      </w:pPr>
    </w:p>
    <w:p w:rsidR="002035D9" w:rsidRPr="007A15F6" w:rsidRDefault="002035D9" w:rsidP="002035D9">
      <w:pPr>
        <w:pStyle w:val="ListParagraph"/>
        <w:spacing w:line="360" w:lineRule="auto"/>
        <w:rPr>
          <w:lang w:val="en-GB"/>
        </w:rPr>
      </w:pPr>
      <w:r w:rsidRPr="007A15F6">
        <w:rPr>
          <w:lang w:val="en-GB"/>
        </w:rPr>
        <w:t>2. Marital status</w:t>
      </w:r>
    </w:p>
    <w:p w:rsidR="002035D9" w:rsidRPr="007A15F6" w:rsidRDefault="002035D9" w:rsidP="00224991">
      <w:pPr>
        <w:pStyle w:val="ListParagraph"/>
        <w:numPr>
          <w:ilvl w:val="0"/>
          <w:numId w:val="8"/>
        </w:numPr>
        <w:spacing w:after="0" w:line="240" w:lineRule="auto"/>
        <w:rPr>
          <w:lang w:val="en-GB"/>
        </w:rPr>
      </w:pPr>
      <w:r w:rsidRPr="007A15F6">
        <w:rPr>
          <w:lang w:val="en-GB"/>
        </w:rPr>
        <w:t xml:space="preserve">Never married </w:t>
      </w:r>
    </w:p>
    <w:p w:rsidR="002035D9" w:rsidRPr="007A15F6" w:rsidRDefault="002035D9" w:rsidP="00224991">
      <w:pPr>
        <w:pStyle w:val="ListParagraph"/>
        <w:numPr>
          <w:ilvl w:val="0"/>
          <w:numId w:val="8"/>
        </w:numPr>
        <w:spacing w:after="0" w:line="240" w:lineRule="auto"/>
        <w:rPr>
          <w:lang w:val="en-GB"/>
        </w:rPr>
      </w:pPr>
      <w:r w:rsidRPr="007A15F6">
        <w:rPr>
          <w:lang w:val="en-GB"/>
        </w:rPr>
        <w:t>Living together with someone in long-term</w:t>
      </w:r>
    </w:p>
    <w:p w:rsidR="002035D9" w:rsidRPr="007A15F6" w:rsidRDefault="002035D9" w:rsidP="00224991">
      <w:pPr>
        <w:pStyle w:val="ListParagraph"/>
        <w:numPr>
          <w:ilvl w:val="0"/>
          <w:numId w:val="8"/>
        </w:numPr>
        <w:spacing w:after="0" w:line="240" w:lineRule="auto"/>
        <w:rPr>
          <w:lang w:val="en-GB"/>
        </w:rPr>
      </w:pPr>
      <w:r w:rsidRPr="007A15F6">
        <w:rPr>
          <w:lang w:val="en-GB"/>
        </w:rPr>
        <w:t xml:space="preserve"> Married and living together with someone</w:t>
      </w:r>
    </w:p>
    <w:p w:rsidR="002035D9" w:rsidRPr="007A15F6" w:rsidRDefault="002035D9" w:rsidP="00224991">
      <w:pPr>
        <w:pStyle w:val="ListParagraph"/>
        <w:numPr>
          <w:ilvl w:val="0"/>
          <w:numId w:val="8"/>
        </w:numPr>
        <w:spacing w:after="0" w:line="240" w:lineRule="auto"/>
        <w:rPr>
          <w:lang w:val="en-GB"/>
        </w:rPr>
      </w:pPr>
      <w:r w:rsidRPr="007A15F6">
        <w:rPr>
          <w:lang w:val="en-GB"/>
        </w:rPr>
        <w:t>Married but not living together</w:t>
      </w:r>
    </w:p>
    <w:p w:rsidR="002035D9" w:rsidRPr="007A15F6" w:rsidRDefault="002035D9" w:rsidP="00224991">
      <w:pPr>
        <w:pStyle w:val="ListParagraph"/>
        <w:numPr>
          <w:ilvl w:val="0"/>
          <w:numId w:val="8"/>
        </w:numPr>
        <w:spacing w:after="0" w:line="240" w:lineRule="auto"/>
        <w:rPr>
          <w:lang w:val="en-GB"/>
        </w:rPr>
      </w:pPr>
      <w:r w:rsidRPr="007A15F6">
        <w:rPr>
          <w:lang w:val="en-GB"/>
        </w:rPr>
        <w:t xml:space="preserve"> Divorced</w:t>
      </w:r>
    </w:p>
    <w:p w:rsidR="002035D9" w:rsidRPr="007A15F6" w:rsidRDefault="002035D9" w:rsidP="00224991">
      <w:pPr>
        <w:pStyle w:val="ListParagraph"/>
        <w:numPr>
          <w:ilvl w:val="0"/>
          <w:numId w:val="8"/>
        </w:numPr>
        <w:spacing w:after="0" w:line="240" w:lineRule="auto"/>
        <w:rPr>
          <w:lang w:val="en-GB"/>
        </w:rPr>
      </w:pPr>
      <w:r w:rsidRPr="007A15F6">
        <w:rPr>
          <w:lang w:val="en-GB"/>
        </w:rPr>
        <w:t xml:space="preserve"> Widowed</w:t>
      </w:r>
    </w:p>
    <w:p w:rsidR="002035D9" w:rsidRPr="007A15F6" w:rsidRDefault="002035D9" w:rsidP="002035D9">
      <w:pPr>
        <w:pStyle w:val="ListParagraph"/>
        <w:spacing w:line="360" w:lineRule="auto"/>
        <w:ind w:left="2160"/>
        <w:rPr>
          <w:lang w:val="en-GB"/>
        </w:rPr>
      </w:pPr>
    </w:p>
    <w:p w:rsidR="002035D9" w:rsidRPr="007A15F6" w:rsidRDefault="002035D9" w:rsidP="002035D9">
      <w:pPr>
        <w:pStyle w:val="ListParagraph"/>
        <w:spacing w:line="360" w:lineRule="auto"/>
        <w:rPr>
          <w:lang w:val="en-GB"/>
        </w:rPr>
      </w:pPr>
      <w:r w:rsidRPr="007A15F6">
        <w:rPr>
          <w:lang w:val="en-GB"/>
        </w:rPr>
        <w:t>3. TOTAL AMOUNT OF PROFITS AT THE END OF THE YEAR _______________</w:t>
      </w:r>
    </w:p>
    <w:p w:rsidR="002035D9" w:rsidRPr="007A15F6" w:rsidRDefault="002035D9" w:rsidP="002035D9">
      <w:pPr>
        <w:pStyle w:val="ListParagraph"/>
        <w:spacing w:line="360" w:lineRule="auto"/>
        <w:rPr>
          <w:lang w:val="en-GB"/>
        </w:rPr>
      </w:pPr>
      <w:r w:rsidRPr="007A15F6">
        <w:rPr>
          <w:lang w:val="en-GB"/>
        </w:rPr>
        <w:t>4. CURRENT JOB SITUATION</w:t>
      </w:r>
    </w:p>
    <w:p w:rsidR="002035D9" w:rsidRPr="007A15F6" w:rsidRDefault="002035D9" w:rsidP="00224991">
      <w:pPr>
        <w:pStyle w:val="ListParagraph"/>
        <w:numPr>
          <w:ilvl w:val="0"/>
          <w:numId w:val="9"/>
        </w:numPr>
        <w:spacing w:after="0" w:line="240" w:lineRule="auto"/>
        <w:rPr>
          <w:lang w:val="en-GB"/>
        </w:rPr>
      </w:pPr>
      <w:r w:rsidRPr="007A15F6">
        <w:rPr>
          <w:lang w:val="en-GB"/>
        </w:rPr>
        <w:t>In pension</w:t>
      </w:r>
    </w:p>
    <w:p w:rsidR="002035D9" w:rsidRPr="007A15F6" w:rsidRDefault="002035D9" w:rsidP="00224991">
      <w:pPr>
        <w:pStyle w:val="ListParagraph"/>
        <w:numPr>
          <w:ilvl w:val="0"/>
          <w:numId w:val="9"/>
        </w:numPr>
        <w:spacing w:after="0" w:line="240" w:lineRule="auto"/>
        <w:rPr>
          <w:lang w:val="en-GB"/>
        </w:rPr>
      </w:pPr>
      <w:r w:rsidRPr="007A15F6">
        <w:rPr>
          <w:lang w:val="en-GB"/>
        </w:rPr>
        <w:t>Working/self employed</w:t>
      </w:r>
    </w:p>
    <w:p w:rsidR="002035D9" w:rsidRPr="007A15F6" w:rsidRDefault="002035D9" w:rsidP="00224991">
      <w:pPr>
        <w:pStyle w:val="ListParagraph"/>
        <w:numPr>
          <w:ilvl w:val="0"/>
          <w:numId w:val="9"/>
        </w:numPr>
        <w:spacing w:after="0" w:line="240" w:lineRule="auto"/>
        <w:rPr>
          <w:lang w:val="en-GB"/>
        </w:rPr>
      </w:pPr>
      <w:r w:rsidRPr="007A15F6">
        <w:rPr>
          <w:lang w:val="en-GB"/>
        </w:rPr>
        <w:t>Unemployed</w:t>
      </w:r>
    </w:p>
    <w:p w:rsidR="002035D9" w:rsidRPr="007A15F6" w:rsidRDefault="002035D9" w:rsidP="00224991">
      <w:pPr>
        <w:pStyle w:val="ListParagraph"/>
        <w:numPr>
          <w:ilvl w:val="0"/>
          <w:numId w:val="9"/>
        </w:numPr>
        <w:spacing w:after="0" w:line="240" w:lineRule="auto"/>
        <w:rPr>
          <w:lang w:val="en-GB"/>
        </w:rPr>
      </w:pPr>
      <w:r w:rsidRPr="007A15F6">
        <w:rPr>
          <w:lang w:val="en-GB"/>
        </w:rPr>
        <w:t>Disabled</w:t>
      </w:r>
    </w:p>
    <w:p w:rsidR="002035D9" w:rsidRPr="007A15F6" w:rsidRDefault="002035D9" w:rsidP="00224991">
      <w:pPr>
        <w:pStyle w:val="ListParagraph"/>
        <w:numPr>
          <w:ilvl w:val="0"/>
          <w:numId w:val="9"/>
        </w:numPr>
        <w:spacing w:after="0" w:line="240" w:lineRule="auto"/>
        <w:rPr>
          <w:lang w:val="en-GB"/>
        </w:rPr>
      </w:pPr>
      <w:r w:rsidRPr="007A15F6">
        <w:rPr>
          <w:lang w:val="en-GB"/>
        </w:rPr>
        <w:t>Take care of home and of family</w:t>
      </w:r>
    </w:p>
    <w:p w:rsidR="002035D9" w:rsidRPr="007A15F6" w:rsidRDefault="002035D9" w:rsidP="00224991">
      <w:pPr>
        <w:pStyle w:val="ListParagraph"/>
        <w:numPr>
          <w:ilvl w:val="0"/>
          <w:numId w:val="9"/>
        </w:numPr>
        <w:spacing w:after="0" w:line="240" w:lineRule="auto"/>
        <w:rPr>
          <w:lang w:val="en-GB"/>
        </w:rPr>
      </w:pPr>
      <w:r w:rsidRPr="007A15F6">
        <w:rPr>
          <w:lang w:val="en-GB"/>
        </w:rPr>
        <w:t xml:space="preserve"> Other ____________</w:t>
      </w:r>
    </w:p>
    <w:p w:rsidR="002035D9" w:rsidRPr="007A15F6" w:rsidRDefault="002035D9" w:rsidP="002035D9">
      <w:pPr>
        <w:pStyle w:val="ListParagraph"/>
        <w:spacing w:line="360" w:lineRule="auto"/>
        <w:ind w:left="2880"/>
        <w:rPr>
          <w:lang w:val="en-GB"/>
        </w:rPr>
      </w:pPr>
    </w:p>
    <w:p w:rsidR="002035D9" w:rsidRPr="00E61A9A" w:rsidRDefault="002035D9" w:rsidP="00E61A9A">
      <w:pPr>
        <w:pStyle w:val="ListParagraph"/>
        <w:spacing w:line="360" w:lineRule="auto"/>
        <w:rPr>
          <w:lang w:val="en-GB"/>
        </w:rPr>
      </w:pPr>
      <w:r w:rsidRPr="007A15F6">
        <w:rPr>
          <w:lang w:val="en-GB"/>
        </w:rPr>
        <w:t>5. Years since retirement (if applicable) _____________</w:t>
      </w:r>
    </w:p>
    <w:p w:rsidR="002035D9" w:rsidRPr="007A15F6" w:rsidRDefault="00E61A9A" w:rsidP="002035D9">
      <w:pPr>
        <w:pStyle w:val="ListParagraph"/>
        <w:spacing w:line="360" w:lineRule="auto"/>
        <w:rPr>
          <w:lang w:val="en-GB"/>
        </w:rPr>
      </w:pPr>
      <w:r>
        <w:rPr>
          <w:lang w:val="en-GB"/>
        </w:rPr>
        <w:t>6</w:t>
      </w:r>
      <w:r w:rsidR="002035D9" w:rsidRPr="007A15F6">
        <w:rPr>
          <w:lang w:val="en-GB"/>
        </w:rPr>
        <w:t>. Area that you live</w:t>
      </w:r>
      <w:r>
        <w:rPr>
          <w:lang w:val="en-GB"/>
        </w:rPr>
        <w:t xml:space="preserve"> _________________</w:t>
      </w:r>
    </w:p>
    <w:p w:rsidR="002035D9" w:rsidRPr="007A15F6" w:rsidRDefault="002035D9" w:rsidP="002035D9">
      <w:pPr>
        <w:pStyle w:val="ListParagraph"/>
        <w:spacing w:line="360" w:lineRule="auto"/>
        <w:ind w:left="2880"/>
        <w:rPr>
          <w:lang w:val="en-GB"/>
        </w:rPr>
      </w:pPr>
    </w:p>
    <w:p w:rsidR="002035D9" w:rsidRPr="007A15F6" w:rsidRDefault="00E61A9A" w:rsidP="002035D9">
      <w:pPr>
        <w:pStyle w:val="ListParagraph"/>
        <w:spacing w:line="360" w:lineRule="auto"/>
        <w:rPr>
          <w:lang w:val="en-GB"/>
        </w:rPr>
      </w:pPr>
      <w:r>
        <w:rPr>
          <w:lang w:val="en-GB"/>
        </w:rPr>
        <w:t>7</w:t>
      </w:r>
      <w:r w:rsidR="002035D9" w:rsidRPr="007A15F6">
        <w:rPr>
          <w:lang w:val="en-GB"/>
        </w:rPr>
        <w:t>. Gender</w:t>
      </w:r>
    </w:p>
    <w:p w:rsidR="002035D9" w:rsidRPr="007A15F6" w:rsidRDefault="002035D9" w:rsidP="00224991">
      <w:pPr>
        <w:pStyle w:val="ListParagraph"/>
        <w:numPr>
          <w:ilvl w:val="0"/>
          <w:numId w:val="11"/>
        </w:numPr>
        <w:spacing w:after="0" w:line="240" w:lineRule="auto"/>
        <w:rPr>
          <w:lang w:val="en-GB"/>
        </w:rPr>
      </w:pPr>
      <w:r w:rsidRPr="007A15F6">
        <w:rPr>
          <w:lang w:val="en-GB"/>
        </w:rPr>
        <w:t>Female</w:t>
      </w:r>
    </w:p>
    <w:p w:rsidR="002127A6" w:rsidRPr="00F00B71" w:rsidRDefault="002035D9" w:rsidP="00C87F65">
      <w:pPr>
        <w:pStyle w:val="ListParagraph"/>
        <w:numPr>
          <w:ilvl w:val="0"/>
          <w:numId w:val="11"/>
        </w:numPr>
        <w:spacing w:after="0" w:line="240" w:lineRule="auto"/>
        <w:rPr>
          <w:lang w:val="en-GB"/>
        </w:rPr>
      </w:pPr>
      <w:r w:rsidRPr="007A15F6">
        <w:rPr>
          <w:lang w:val="en-GB"/>
        </w:rPr>
        <w:t>Male</w:t>
      </w:r>
    </w:p>
    <w:sectPr w:rsidR="002127A6" w:rsidRPr="00F00B71" w:rsidSect="009D1252">
      <w:headerReference w:type="default" r:id="rId116"/>
      <w:pgSz w:w="11900" w:h="16840" w:code="9"/>
      <w:pgMar w:top="1440" w:right="1440" w:bottom="1440" w:left="1440" w:header="709" w:footer="709"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4694A" w:rsidRDefault="00C4694A" w:rsidP="00246C30">
      <w:r>
        <w:separator/>
      </w:r>
    </w:p>
  </w:endnote>
  <w:endnote w:type="continuationSeparator" w:id="0">
    <w:p w:rsidR="00C4694A" w:rsidRDefault="00C4694A" w:rsidP="00246C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Helvetica">
    <w:panose1 w:val="020B05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Apple Symbols">
    <w:altName w:val="Times New Roman"/>
    <w:charset w:val="B1"/>
    <w:family w:val="auto"/>
    <w:pitch w:val="variable"/>
    <w:sig w:usb0="800000A3" w:usb1="08007BEB" w:usb2="01840034" w:usb3="00000000" w:csb0="000001FB"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7F3A" w:rsidRDefault="00EB1324" w:rsidP="00A818A8">
    <w:pPr>
      <w:pStyle w:val="Footer"/>
      <w:framePr w:wrap="around" w:vAnchor="text" w:hAnchor="margin" w:xAlign="center" w:y="1"/>
      <w:rPr>
        <w:rStyle w:val="PageNumber"/>
      </w:rPr>
    </w:pPr>
    <w:r>
      <w:rPr>
        <w:rStyle w:val="PageNumber"/>
      </w:rPr>
      <w:fldChar w:fldCharType="begin"/>
    </w:r>
    <w:r w:rsidR="00E87F3A">
      <w:rPr>
        <w:rStyle w:val="PageNumber"/>
      </w:rPr>
      <w:instrText xml:space="preserve">PAGE  </w:instrText>
    </w:r>
    <w:r>
      <w:rPr>
        <w:rStyle w:val="PageNumber"/>
      </w:rPr>
      <w:fldChar w:fldCharType="end"/>
    </w:r>
  </w:p>
  <w:p w:rsidR="00E87F3A" w:rsidRDefault="00E87F3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7F3A" w:rsidRDefault="00EB1324" w:rsidP="00A818A8">
    <w:pPr>
      <w:pStyle w:val="Footer"/>
      <w:framePr w:wrap="around" w:vAnchor="text" w:hAnchor="margin" w:xAlign="center" w:y="1"/>
      <w:rPr>
        <w:rStyle w:val="PageNumber"/>
      </w:rPr>
    </w:pPr>
    <w:r>
      <w:rPr>
        <w:rStyle w:val="PageNumber"/>
      </w:rPr>
      <w:fldChar w:fldCharType="begin"/>
    </w:r>
    <w:r w:rsidR="00E87F3A">
      <w:rPr>
        <w:rStyle w:val="PageNumber"/>
      </w:rPr>
      <w:instrText xml:space="preserve">PAGE  </w:instrText>
    </w:r>
    <w:r>
      <w:rPr>
        <w:rStyle w:val="PageNumber"/>
      </w:rPr>
      <w:fldChar w:fldCharType="separate"/>
    </w:r>
    <w:r w:rsidR="00E041BC">
      <w:rPr>
        <w:rStyle w:val="PageNumber"/>
        <w:noProof/>
      </w:rPr>
      <w:t>III</w:t>
    </w:r>
    <w:r>
      <w:rPr>
        <w:rStyle w:val="PageNumber"/>
      </w:rPr>
      <w:fldChar w:fldCharType="end"/>
    </w:r>
  </w:p>
  <w:p w:rsidR="00E87F3A" w:rsidRDefault="00E87F3A" w:rsidP="008731DD">
    <w:pPr>
      <w:pStyle w:val="Footer"/>
      <w:tabs>
        <w:tab w:val="clear" w:pos="4320"/>
        <w:tab w:val="clear" w:pos="8640"/>
        <w:tab w:val="left" w:pos="3707"/>
      </w:tabs>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7F3A" w:rsidRPr="00E27F5C" w:rsidRDefault="00E87F3A" w:rsidP="00597AA0">
    <w:pPr>
      <w:pStyle w:val="Footer"/>
      <w:framePr w:wrap="around" w:vAnchor="text" w:hAnchor="margin" w:xAlign="center" w:y="1"/>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4694A" w:rsidRDefault="00C4694A" w:rsidP="00246C30">
      <w:r>
        <w:separator/>
      </w:r>
    </w:p>
  </w:footnote>
  <w:footnote w:type="continuationSeparator" w:id="0">
    <w:p w:rsidR="00C4694A" w:rsidRDefault="00C4694A" w:rsidP="00246C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7F3A" w:rsidRPr="008C3864" w:rsidRDefault="00E87F3A" w:rsidP="00656481">
    <w:pPr>
      <w:ind w:right="360"/>
      <w:rPr>
        <w:rFonts w:ascii="Times New Roman" w:hAnsi="Times New Roman" w:cs="Times New Roman"/>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7F3A" w:rsidRPr="007E5A9F" w:rsidRDefault="00E87F3A" w:rsidP="009E4250">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B44BB"/>
    <w:multiLevelType w:val="hybridMultilevel"/>
    <w:tmpl w:val="1EB44C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922E1C"/>
    <w:multiLevelType w:val="hybridMultilevel"/>
    <w:tmpl w:val="3588E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AF471AC"/>
    <w:multiLevelType w:val="hybridMultilevel"/>
    <w:tmpl w:val="2C7630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A55102"/>
    <w:multiLevelType w:val="hybridMultilevel"/>
    <w:tmpl w:val="0824CE28"/>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4" w15:restartNumberingAfterBreak="0">
    <w:nsid w:val="0D4B317E"/>
    <w:multiLevelType w:val="hybridMultilevel"/>
    <w:tmpl w:val="8E6A03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A10C24"/>
    <w:multiLevelType w:val="hybridMultilevel"/>
    <w:tmpl w:val="C5421328"/>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6" w15:restartNumberingAfterBreak="0">
    <w:nsid w:val="115B799A"/>
    <w:multiLevelType w:val="hybridMultilevel"/>
    <w:tmpl w:val="BD9A2E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2DD60C5"/>
    <w:multiLevelType w:val="hybridMultilevel"/>
    <w:tmpl w:val="78802732"/>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8" w15:restartNumberingAfterBreak="0">
    <w:nsid w:val="1343171B"/>
    <w:multiLevelType w:val="hybridMultilevel"/>
    <w:tmpl w:val="34F03F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41F1EEB"/>
    <w:multiLevelType w:val="hybridMultilevel"/>
    <w:tmpl w:val="8D2C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6DF2735"/>
    <w:multiLevelType w:val="hybridMultilevel"/>
    <w:tmpl w:val="C20865E8"/>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11" w15:restartNumberingAfterBreak="0">
    <w:nsid w:val="18BD4858"/>
    <w:multiLevelType w:val="hybridMultilevel"/>
    <w:tmpl w:val="38F811F2"/>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12" w15:restartNumberingAfterBreak="0">
    <w:nsid w:val="1AD759F0"/>
    <w:multiLevelType w:val="hybridMultilevel"/>
    <w:tmpl w:val="67D6F2EA"/>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15:restartNumberingAfterBreak="0">
    <w:nsid w:val="1BDD121A"/>
    <w:multiLevelType w:val="hybridMultilevel"/>
    <w:tmpl w:val="22B4BE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24569AD"/>
    <w:multiLevelType w:val="hybridMultilevel"/>
    <w:tmpl w:val="E3ACBC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6D868F3"/>
    <w:multiLevelType w:val="hybridMultilevel"/>
    <w:tmpl w:val="1C0678F8"/>
    <w:lvl w:ilvl="0" w:tplc="0408000F">
      <w:start w:val="1"/>
      <w:numFmt w:val="decimal"/>
      <w:lvlText w:val="%1."/>
      <w:lvlJc w:val="left"/>
      <w:pPr>
        <w:ind w:left="2160" w:hanging="360"/>
      </w:pPr>
    </w:lvl>
    <w:lvl w:ilvl="1" w:tplc="04080019" w:tentative="1">
      <w:start w:val="1"/>
      <w:numFmt w:val="lowerLetter"/>
      <w:lvlText w:val="%2."/>
      <w:lvlJc w:val="left"/>
      <w:pPr>
        <w:ind w:left="2880" w:hanging="360"/>
      </w:pPr>
    </w:lvl>
    <w:lvl w:ilvl="2" w:tplc="0408001B" w:tentative="1">
      <w:start w:val="1"/>
      <w:numFmt w:val="lowerRoman"/>
      <w:lvlText w:val="%3."/>
      <w:lvlJc w:val="right"/>
      <w:pPr>
        <w:ind w:left="3600" w:hanging="180"/>
      </w:pPr>
    </w:lvl>
    <w:lvl w:ilvl="3" w:tplc="0408000F" w:tentative="1">
      <w:start w:val="1"/>
      <w:numFmt w:val="decimal"/>
      <w:lvlText w:val="%4."/>
      <w:lvlJc w:val="left"/>
      <w:pPr>
        <w:ind w:left="4320" w:hanging="360"/>
      </w:pPr>
    </w:lvl>
    <w:lvl w:ilvl="4" w:tplc="04080019" w:tentative="1">
      <w:start w:val="1"/>
      <w:numFmt w:val="lowerLetter"/>
      <w:lvlText w:val="%5."/>
      <w:lvlJc w:val="left"/>
      <w:pPr>
        <w:ind w:left="5040" w:hanging="360"/>
      </w:pPr>
    </w:lvl>
    <w:lvl w:ilvl="5" w:tplc="0408001B" w:tentative="1">
      <w:start w:val="1"/>
      <w:numFmt w:val="lowerRoman"/>
      <w:lvlText w:val="%6."/>
      <w:lvlJc w:val="right"/>
      <w:pPr>
        <w:ind w:left="5760" w:hanging="180"/>
      </w:pPr>
    </w:lvl>
    <w:lvl w:ilvl="6" w:tplc="0408000F" w:tentative="1">
      <w:start w:val="1"/>
      <w:numFmt w:val="decimal"/>
      <w:lvlText w:val="%7."/>
      <w:lvlJc w:val="left"/>
      <w:pPr>
        <w:ind w:left="6480" w:hanging="360"/>
      </w:pPr>
    </w:lvl>
    <w:lvl w:ilvl="7" w:tplc="04080019" w:tentative="1">
      <w:start w:val="1"/>
      <w:numFmt w:val="lowerLetter"/>
      <w:lvlText w:val="%8."/>
      <w:lvlJc w:val="left"/>
      <w:pPr>
        <w:ind w:left="7200" w:hanging="360"/>
      </w:pPr>
    </w:lvl>
    <w:lvl w:ilvl="8" w:tplc="0408001B" w:tentative="1">
      <w:start w:val="1"/>
      <w:numFmt w:val="lowerRoman"/>
      <w:lvlText w:val="%9."/>
      <w:lvlJc w:val="right"/>
      <w:pPr>
        <w:ind w:left="7920" w:hanging="180"/>
      </w:pPr>
    </w:lvl>
  </w:abstractNum>
  <w:abstractNum w:abstractNumId="16" w15:restartNumberingAfterBreak="0">
    <w:nsid w:val="28E45C51"/>
    <w:multiLevelType w:val="hybridMultilevel"/>
    <w:tmpl w:val="67D6F2EA"/>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7" w15:restartNumberingAfterBreak="0">
    <w:nsid w:val="2A15217A"/>
    <w:multiLevelType w:val="hybridMultilevel"/>
    <w:tmpl w:val="19B46074"/>
    <w:lvl w:ilvl="0" w:tplc="0408000F">
      <w:start w:val="1"/>
      <w:numFmt w:val="decimal"/>
      <w:lvlText w:val="%1."/>
      <w:lvlJc w:val="left"/>
      <w:pPr>
        <w:ind w:left="2160" w:hanging="360"/>
      </w:pPr>
    </w:lvl>
    <w:lvl w:ilvl="1" w:tplc="04080019" w:tentative="1">
      <w:start w:val="1"/>
      <w:numFmt w:val="lowerLetter"/>
      <w:lvlText w:val="%2."/>
      <w:lvlJc w:val="left"/>
      <w:pPr>
        <w:ind w:left="2880" w:hanging="360"/>
      </w:pPr>
    </w:lvl>
    <w:lvl w:ilvl="2" w:tplc="0408001B" w:tentative="1">
      <w:start w:val="1"/>
      <w:numFmt w:val="lowerRoman"/>
      <w:lvlText w:val="%3."/>
      <w:lvlJc w:val="right"/>
      <w:pPr>
        <w:ind w:left="3600" w:hanging="180"/>
      </w:pPr>
    </w:lvl>
    <w:lvl w:ilvl="3" w:tplc="0408000F" w:tentative="1">
      <w:start w:val="1"/>
      <w:numFmt w:val="decimal"/>
      <w:lvlText w:val="%4."/>
      <w:lvlJc w:val="left"/>
      <w:pPr>
        <w:ind w:left="4320" w:hanging="360"/>
      </w:pPr>
    </w:lvl>
    <w:lvl w:ilvl="4" w:tplc="04080019" w:tentative="1">
      <w:start w:val="1"/>
      <w:numFmt w:val="lowerLetter"/>
      <w:lvlText w:val="%5."/>
      <w:lvlJc w:val="left"/>
      <w:pPr>
        <w:ind w:left="5040" w:hanging="360"/>
      </w:pPr>
    </w:lvl>
    <w:lvl w:ilvl="5" w:tplc="0408001B" w:tentative="1">
      <w:start w:val="1"/>
      <w:numFmt w:val="lowerRoman"/>
      <w:lvlText w:val="%6."/>
      <w:lvlJc w:val="right"/>
      <w:pPr>
        <w:ind w:left="5760" w:hanging="180"/>
      </w:pPr>
    </w:lvl>
    <w:lvl w:ilvl="6" w:tplc="0408000F" w:tentative="1">
      <w:start w:val="1"/>
      <w:numFmt w:val="decimal"/>
      <w:lvlText w:val="%7."/>
      <w:lvlJc w:val="left"/>
      <w:pPr>
        <w:ind w:left="6480" w:hanging="360"/>
      </w:pPr>
    </w:lvl>
    <w:lvl w:ilvl="7" w:tplc="04080019" w:tentative="1">
      <w:start w:val="1"/>
      <w:numFmt w:val="lowerLetter"/>
      <w:lvlText w:val="%8."/>
      <w:lvlJc w:val="left"/>
      <w:pPr>
        <w:ind w:left="7200" w:hanging="360"/>
      </w:pPr>
    </w:lvl>
    <w:lvl w:ilvl="8" w:tplc="0408001B" w:tentative="1">
      <w:start w:val="1"/>
      <w:numFmt w:val="lowerRoman"/>
      <w:lvlText w:val="%9."/>
      <w:lvlJc w:val="right"/>
      <w:pPr>
        <w:ind w:left="7920" w:hanging="180"/>
      </w:pPr>
    </w:lvl>
  </w:abstractNum>
  <w:abstractNum w:abstractNumId="18" w15:restartNumberingAfterBreak="0">
    <w:nsid w:val="2A7451EA"/>
    <w:multiLevelType w:val="hybridMultilevel"/>
    <w:tmpl w:val="7F08C0B6"/>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19" w15:restartNumberingAfterBreak="0">
    <w:nsid w:val="2BAD4C25"/>
    <w:multiLevelType w:val="hybridMultilevel"/>
    <w:tmpl w:val="FEFEE2E4"/>
    <w:lvl w:ilvl="0" w:tplc="0408000F">
      <w:start w:val="1"/>
      <w:numFmt w:val="decimal"/>
      <w:lvlText w:val="%1."/>
      <w:lvlJc w:val="left"/>
      <w:pPr>
        <w:ind w:left="2880" w:hanging="360"/>
      </w:pPr>
    </w:lvl>
    <w:lvl w:ilvl="1" w:tplc="04080019" w:tentative="1">
      <w:start w:val="1"/>
      <w:numFmt w:val="lowerLetter"/>
      <w:lvlText w:val="%2."/>
      <w:lvlJc w:val="left"/>
      <w:pPr>
        <w:ind w:left="3600" w:hanging="360"/>
      </w:pPr>
    </w:lvl>
    <w:lvl w:ilvl="2" w:tplc="0408001B" w:tentative="1">
      <w:start w:val="1"/>
      <w:numFmt w:val="lowerRoman"/>
      <w:lvlText w:val="%3."/>
      <w:lvlJc w:val="right"/>
      <w:pPr>
        <w:ind w:left="4320" w:hanging="180"/>
      </w:pPr>
    </w:lvl>
    <w:lvl w:ilvl="3" w:tplc="0408000F" w:tentative="1">
      <w:start w:val="1"/>
      <w:numFmt w:val="decimal"/>
      <w:lvlText w:val="%4."/>
      <w:lvlJc w:val="left"/>
      <w:pPr>
        <w:ind w:left="5040" w:hanging="360"/>
      </w:pPr>
    </w:lvl>
    <w:lvl w:ilvl="4" w:tplc="04080019" w:tentative="1">
      <w:start w:val="1"/>
      <w:numFmt w:val="lowerLetter"/>
      <w:lvlText w:val="%5."/>
      <w:lvlJc w:val="left"/>
      <w:pPr>
        <w:ind w:left="5760" w:hanging="360"/>
      </w:pPr>
    </w:lvl>
    <w:lvl w:ilvl="5" w:tplc="0408001B" w:tentative="1">
      <w:start w:val="1"/>
      <w:numFmt w:val="lowerRoman"/>
      <w:lvlText w:val="%6."/>
      <w:lvlJc w:val="right"/>
      <w:pPr>
        <w:ind w:left="6480" w:hanging="180"/>
      </w:pPr>
    </w:lvl>
    <w:lvl w:ilvl="6" w:tplc="0408000F" w:tentative="1">
      <w:start w:val="1"/>
      <w:numFmt w:val="decimal"/>
      <w:lvlText w:val="%7."/>
      <w:lvlJc w:val="left"/>
      <w:pPr>
        <w:ind w:left="7200" w:hanging="360"/>
      </w:pPr>
    </w:lvl>
    <w:lvl w:ilvl="7" w:tplc="04080019" w:tentative="1">
      <w:start w:val="1"/>
      <w:numFmt w:val="lowerLetter"/>
      <w:lvlText w:val="%8."/>
      <w:lvlJc w:val="left"/>
      <w:pPr>
        <w:ind w:left="7920" w:hanging="360"/>
      </w:pPr>
    </w:lvl>
    <w:lvl w:ilvl="8" w:tplc="0408001B" w:tentative="1">
      <w:start w:val="1"/>
      <w:numFmt w:val="lowerRoman"/>
      <w:lvlText w:val="%9."/>
      <w:lvlJc w:val="right"/>
      <w:pPr>
        <w:ind w:left="8640" w:hanging="180"/>
      </w:pPr>
    </w:lvl>
  </w:abstractNum>
  <w:abstractNum w:abstractNumId="20" w15:restartNumberingAfterBreak="0">
    <w:nsid w:val="2C4465E5"/>
    <w:multiLevelType w:val="hybridMultilevel"/>
    <w:tmpl w:val="7F08C0B6"/>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21" w15:restartNumberingAfterBreak="0">
    <w:nsid w:val="3D4425B5"/>
    <w:multiLevelType w:val="hybridMultilevel"/>
    <w:tmpl w:val="91B40D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FA421E"/>
    <w:multiLevelType w:val="hybridMultilevel"/>
    <w:tmpl w:val="6FF464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0AA6F31"/>
    <w:multiLevelType w:val="hybridMultilevel"/>
    <w:tmpl w:val="D570D920"/>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24" w15:restartNumberingAfterBreak="0">
    <w:nsid w:val="41564952"/>
    <w:multiLevelType w:val="hybridMultilevel"/>
    <w:tmpl w:val="3FD8B328"/>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25" w15:restartNumberingAfterBreak="0">
    <w:nsid w:val="419C2F1D"/>
    <w:multiLevelType w:val="hybridMultilevel"/>
    <w:tmpl w:val="A2BED234"/>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26" w15:restartNumberingAfterBreak="0">
    <w:nsid w:val="4A310013"/>
    <w:multiLevelType w:val="hybridMultilevel"/>
    <w:tmpl w:val="187E1384"/>
    <w:lvl w:ilvl="0" w:tplc="0408000F">
      <w:start w:val="1"/>
      <w:numFmt w:val="decimal"/>
      <w:lvlText w:val="%1."/>
      <w:lvlJc w:val="left"/>
      <w:pPr>
        <w:ind w:left="2160" w:hanging="360"/>
      </w:pPr>
    </w:lvl>
    <w:lvl w:ilvl="1" w:tplc="04080019" w:tentative="1">
      <w:start w:val="1"/>
      <w:numFmt w:val="lowerLetter"/>
      <w:lvlText w:val="%2."/>
      <w:lvlJc w:val="left"/>
      <w:pPr>
        <w:ind w:left="2880" w:hanging="360"/>
      </w:pPr>
    </w:lvl>
    <w:lvl w:ilvl="2" w:tplc="0408001B" w:tentative="1">
      <w:start w:val="1"/>
      <w:numFmt w:val="lowerRoman"/>
      <w:lvlText w:val="%3."/>
      <w:lvlJc w:val="right"/>
      <w:pPr>
        <w:ind w:left="3600" w:hanging="180"/>
      </w:pPr>
    </w:lvl>
    <w:lvl w:ilvl="3" w:tplc="0408000F" w:tentative="1">
      <w:start w:val="1"/>
      <w:numFmt w:val="decimal"/>
      <w:lvlText w:val="%4."/>
      <w:lvlJc w:val="left"/>
      <w:pPr>
        <w:ind w:left="4320" w:hanging="360"/>
      </w:pPr>
    </w:lvl>
    <w:lvl w:ilvl="4" w:tplc="04080019" w:tentative="1">
      <w:start w:val="1"/>
      <w:numFmt w:val="lowerLetter"/>
      <w:lvlText w:val="%5."/>
      <w:lvlJc w:val="left"/>
      <w:pPr>
        <w:ind w:left="5040" w:hanging="360"/>
      </w:pPr>
    </w:lvl>
    <w:lvl w:ilvl="5" w:tplc="0408001B" w:tentative="1">
      <w:start w:val="1"/>
      <w:numFmt w:val="lowerRoman"/>
      <w:lvlText w:val="%6."/>
      <w:lvlJc w:val="right"/>
      <w:pPr>
        <w:ind w:left="5760" w:hanging="180"/>
      </w:pPr>
    </w:lvl>
    <w:lvl w:ilvl="6" w:tplc="0408000F" w:tentative="1">
      <w:start w:val="1"/>
      <w:numFmt w:val="decimal"/>
      <w:lvlText w:val="%7."/>
      <w:lvlJc w:val="left"/>
      <w:pPr>
        <w:ind w:left="6480" w:hanging="360"/>
      </w:pPr>
    </w:lvl>
    <w:lvl w:ilvl="7" w:tplc="04080019" w:tentative="1">
      <w:start w:val="1"/>
      <w:numFmt w:val="lowerLetter"/>
      <w:lvlText w:val="%8."/>
      <w:lvlJc w:val="left"/>
      <w:pPr>
        <w:ind w:left="7200" w:hanging="360"/>
      </w:pPr>
    </w:lvl>
    <w:lvl w:ilvl="8" w:tplc="0408001B" w:tentative="1">
      <w:start w:val="1"/>
      <w:numFmt w:val="lowerRoman"/>
      <w:lvlText w:val="%9."/>
      <w:lvlJc w:val="right"/>
      <w:pPr>
        <w:ind w:left="7920" w:hanging="180"/>
      </w:pPr>
    </w:lvl>
  </w:abstractNum>
  <w:abstractNum w:abstractNumId="27" w15:restartNumberingAfterBreak="0">
    <w:nsid w:val="4C7D131B"/>
    <w:multiLevelType w:val="hybridMultilevel"/>
    <w:tmpl w:val="68D2AE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F46747A"/>
    <w:multiLevelType w:val="hybridMultilevel"/>
    <w:tmpl w:val="812262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FA832A7"/>
    <w:multiLevelType w:val="hybridMultilevel"/>
    <w:tmpl w:val="D466FE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0004320"/>
    <w:multiLevelType w:val="hybridMultilevel"/>
    <w:tmpl w:val="AE1C0A9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53825F1E"/>
    <w:multiLevelType w:val="hybridMultilevel"/>
    <w:tmpl w:val="3FD8B328"/>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32" w15:restartNumberingAfterBreak="0">
    <w:nsid w:val="57B46CB2"/>
    <w:multiLevelType w:val="hybridMultilevel"/>
    <w:tmpl w:val="51D600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595313E5"/>
    <w:multiLevelType w:val="hybridMultilevel"/>
    <w:tmpl w:val="B5367C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5DD61F11"/>
    <w:multiLevelType w:val="hybridMultilevel"/>
    <w:tmpl w:val="0690018C"/>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35" w15:restartNumberingAfterBreak="0">
    <w:nsid w:val="5E5227A3"/>
    <w:multiLevelType w:val="hybridMultilevel"/>
    <w:tmpl w:val="9A1253F2"/>
    <w:lvl w:ilvl="0" w:tplc="C7A24CEC">
      <w:start w:val="1"/>
      <w:numFmt w:val="decimal"/>
      <w:lvlText w:val="%1."/>
      <w:lvlJc w:val="left"/>
      <w:pPr>
        <w:ind w:left="720" w:hanging="360"/>
      </w:pPr>
      <w:rPr>
        <w:rFonts w:cs="Times New Roman"/>
        <w:b w:val="0"/>
        <w:sz w:val="24"/>
        <w:szCs w:val="24"/>
      </w:rPr>
    </w:lvl>
    <w:lvl w:ilvl="1" w:tplc="B5F028C8">
      <w:start w:val="1"/>
      <w:numFmt w:val="decimal"/>
      <w:lvlText w:val="%2."/>
      <w:lvlJc w:val="left"/>
      <w:pPr>
        <w:ind w:left="1440" w:hanging="360"/>
      </w:pPr>
      <w:rPr>
        <w:rFonts w:cs="Times New Roman"/>
        <w:sz w:val="24"/>
        <w:szCs w:val="24"/>
      </w:rPr>
    </w:lvl>
    <w:lvl w:ilvl="2" w:tplc="0408000F">
      <w:start w:val="1"/>
      <w:numFmt w:val="decimal"/>
      <w:lvlText w:val="%3."/>
      <w:lvlJc w:val="left"/>
      <w:pPr>
        <w:ind w:left="2160" w:hanging="180"/>
      </w:pPr>
      <w:rPr>
        <w:rFonts w:cs="Times New Roman"/>
      </w:rPr>
    </w:lvl>
    <w:lvl w:ilvl="3" w:tplc="0408000F" w:tentative="1">
      <w:start w:val="1"/>
      <w:numFmt w:val="decimal"/>
      <w:lvlText w:val="%4."/>
      <w:lvlJc w:val="left"/>
      <w:pPr>
        <w:ind w:left="2880" w:hanging="360"/>
      </w:pPr>
      <w:rPr>
        <w:rFonts w:cs="Times New Roman"/>
      </w:rPr>
    </w:lvl>
    <w:lvl w:ilvl="4" w:tplc="04080019" w:tentative="1">
      <w:start w:val="1"/>
      <w:numFmt w:val="lowerLetter"/>
      <w:lvlText w:val="%5."/>
      <w:lvlJc w:val="left"/>
      <w:pPr>
        <w:ind w:left="3600" w:hanging="360"/>
      </w:pPr>
      <w:rPr>
        <w:rFonts w:cs="Times New Roman"/>
      </w:rPr>
    </w:lvl>
    <w:lvl w:ilvl="5" w:tplc="0408001B" w:tentative="1">
      <w:start w:val="1"/>
      <w:numFmt w:val="lowerRoman"/>
      <w:lvlText w:val="%6."/>
      <w:lvlJc w:val="right"/>
      <w:pPr>
        <w:ind w:left="4320" w:hanging="180"/>
      </w:pPr>
      <w:rPr>
        <w:rFonts w:cs="Times New Roman"/>
      </w:rPr>
    </w:lvl>
    <w:lvl w:ilvl="6" w:tplc="0408000F" w:tentative="1">
      <w:start w:val="1"/>
      <w:numFmt w:val="decimal"/>
      <w:lvlText w:val="%7."/>
      <w:lvlJc w:val="left"/>
      <w:pPr>
        <w:ind w:left="5040" w:hanging="360"/>
      </w:pPr>
      <w:rPr>
        <w:rFonts w:cs="Times New Roman"/>
      </w:rPr>
    </w:lvl>
    <w:lvl w:ilvl="7" w:tplc="04080019" w:tentative="1">
      <w:start w:val="1"/>
      <w:numFmt w:val="lowerLetter"/>
      <w:lvlText w:val="%8."/>
      <w:lvlJc w:val="left"/>
      <w:pPr>
        <w:ind w:left="5760" w:hanging="360"/>
      </w:pPr>
      <w:rPr>
        <w:rFonts w:cs="Times New Roman"/>
      </w:rPr>
    </w:lvl>
    <w:lvl w:ilvl="8" w:tplc="0408001B" w:tentative="1">
      <w:start w:val="1"/>
      <w:numFmt w:val="lowerRoman"/>
      <w:lvlText w:val="%9."/>
      <w:lvlJc w:val="right"/>
      <w:pPr>
        <w:ind w:left="6480" w:hanging="180"/>
      </w:pPr>
      <w:rPr>
        <w:rFonts w:cs="Times New Roman"/>
      </w:rPr>
    </w:lvl>
  </w:abstractNum>
  <w:abstractNum w:abstractNumId="36" w15:restartNumberingAfterBreak="0">
    <w:nsid w:val="5EB45A58"/>
    <w:multiLevelType w:val="hybridMultilevel"/>
    <w:tmpl w:val="31A632A8"/>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37" w15:restartNumberingAfterBreak="0">
    <w:nsid w:val="5F5B5FD6"/>
    <w:multiLevelType w:val="hybridMultilevel"/>
    <w:tmpl w:val="CD720E58"/>
    <w:lvl w:ilvl="0" w:tplc="0408000F">
      <w:start w:val="1"/>
      <w:numFmt w:val="decimal"/>
      <w:lvlText w:val="%1."/>
      <w:lvlJc w:val="left"/>
      <w:pPr>
        <w:ind w:left="2880" w:hanging="360"/>
      </w:pPr>
    </w:lvl>
    <w:lvl w:ilvl="1" w:tplc="04080019" w:tentative="1">
      <w:start w:val="1"/>
      <w:numFmt w:val="lowerLetter"/>
      <w:lvlText w:val="%2."/>
      <w:lvlJc w:val="left"/>
      <w:pPr>
        <w:ind w:left="3600" w:hanging="360"/>
      </w:pPr>
    </w:lvl>
    <w:lvl w:ilvl="2" w:tplc="0408001B" w:tentative="1">
      <w:start w:val="1"/>
      <w:numFmt w:val="lowerRoman"/>
      <w:lvlText w:val="%3."/>
      <w:lvlJc w:val="right"/>
      <w:pPr>
        <w:ind w:left="4320" w:hanging="180"/>
      </w:pPr>
    </w:lvl>
    <w:lvl w:ilvl="3" w:tplc="0408000F" w:tentative="1">
      <w:start w:val="1"/>
      <w:numFmt w:val="decimal"/>
      <w:lvlText w:val="%4."/>
      <w:lvlJc w:val="left"/>
      <w:pPr>
        <w:ind w:left="5040" w:hanging="360"/>
      </w:pPr>
    </w:lvl>
    <w:lvl w:ilvl="4" w:tplc="04080019" w:tentative="1">
      <w:start w:val="1"/>
      <w:numFmt w:val="lowerLetter"/>
      <w:lvlText w:val="%5."/>
      <w:lvlJc w:val="left"/>
      <w:pPr>
        <w:ind w:left="5760" w:hanging="360"/>
      </w:pPr>
    </w:lvl>
    <w:lvl w:ilvl="5" w:tplc="0408001B" w:tentative="1">
      <w:start w:val="1"/>
      <w:numFmt w:val="lowerRoman"/>
      <w:lvlText w:val="%6."/>
      <w:lvlJc w:val="right"/>
      <w:pPr>
        <w:ind w:left="6480" w:hanging="180"/>
      </w:pPr>
    </w:lvl>
    <w:lvl w:ilvl="6" w:tplc="0408000F" w:tentative="1">
      <w:start w:val="1"/>
      <w:numFmt w:val="decimal"/>
      <w:lvlText w:val="%7."/>
      <w:lvlJc w:val="left"/>
      <w:pPr>
        <w:ind w:left="7200" w:hanging="360"/>
      </w:pPr>
    </w:lvl>
    <w:lvl w:ilvl="7" w:tplc="04080019" w:tentative="1">
      <w:start w:val="1"/>
      <w:numFmt w:val="lowerLetter"/>
      <w:lvlText w:val="%8."/>
      <w:lvlJc w:val="left"/>
      <w:pPr>
        <w:ind w:left="7920" w:hanging="360"/>
      </w:pPr>
    </w:lvl>
    <w:lvl w:ilvl="8" w:tplc="0408001B" w:tentative="1">
      <w:start w:val="1"/>
      <w:numFmt w:val="lowerRoman"/>
      <w:lvlText w:val="%9."/>
      <w:lvlJc w:val="right"/>
      <w:pPr>
        <w:ind w:left="8640" w:hanging="180"/>
      </w:pPr>
    </w:lvl>
  </w:abstractNum>
  <w:abstractNum w:abstractNumId="38" w15:restartNumberingAfterBreak="0">
    <w:nsid w:val="62523076"/>
    <w:multiLevelType w:val="hybridMultilevel"/>
    <w:tmpl w:val="973A351A"/>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abstractNum w:abstractNumId="39" w15:restartNumberingAfterBreak="0">
    <w:nsid w:val="66AC2EB8"/>
    <w:multiLevelType w:val="hybridMultilevel"/>
    <w:tmpl w:val="7F0EDF18"/>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0" w15:restartNumberingAfterBreak="0">
    <w:nsid w:val="693F68D3"/>
    <w:multiLevelType w:val="hybridMultilevel"/>
    <w:tmpl w:val="4F8AE0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E587F18"/>
    <w:multiLevelType w:val="hybridMultilevel"/>
    <w:tmpl w:val="25E41D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004130E"/>
    <w:multiLevelType w:val="hybridMultilevel"/>
    <w:tmpl w:val="74704B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70AB284A"/>
    <w:multiLevelType w:val="hybridMultilevel"/>
    <w:tmpl w:val="BE903A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16877A6"/>
    <w:multiLevelType w:val="hybridMultilevel"/>
    <w:tmpl w:val="CBFC19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3DB6E4A"/>
    <w:multiLevelType w:val="hybridMultilevel"/>
    <w:tmpl w:val="A3EC13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4F76F30"/>
    <w:multiLevelType w:val="hybridMultilevel"/>
    <w:tmpl w:val="D3C49F7E"/>
    <w:lvl w:ilvl="0" w:tplc="0408000F">
      <w:start w:val="1"/>
      <w:numFmt w:val="decimal"/>
      <w:lvlText w:val="%1."/>
      <w:lvlJc w:val="left"/>
      <w:pPr>
        <w:ind w:left="720" w:hanging="360"/>
      </w:pPr>
      <w:rPr>
        <w:rFonts w:hint="default"/>
      </w:rPr>
    </w:lvl>
    <w:lvl w:ilvl="1" w:tplc="04080013">
      <w:start w:val="1"/>
      <w:numFmt w:val="upperRoman"/>
      <w:lvlText w:val="%2."/>
      <w:lvlJc w:val="righ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7" w15:restartNumberingAfterBreak="0">
    <w:nsid w:val="75AB0251"/>
    <w:multiLevelType w:val="hybridMultilevel"/>
    <w:tmpl w:val="38F811F2"/>
    <w:lvl w:ilvl="0" w:tplc="39A27268">
      <w:start w:val="1"/>
      <w:numFmt w:val="lowerRoman"/>
      <w:lvlText w:val="%1)"/>
      <w:lvlJc w:val="left"/>
      <w:pPr>
        <w:ind w:left="286" w:hanging="286"/>
      </w:pPr>
      <w:rPr>
        <w:rFonts w:hint="default"/>
      </w:rPr>
    </w:lvl>
    <w:lvl w:ilvl="1" w:tplc="08090019" w:tentative="1">
      <w:start w:val="1"/>
      <w:numFmt w:val="lowerLetter"/>
      <w:lvlText w:val="%2."/>
      <w:lvlJc w:val="left"/>
      <w:pPr>
        <w:ind w:left="646" w:hanging="360"/>
      </w:pPr>
    </w:lvl>
    <w:lvl w:ilvl="2" w:tplc="0809001B" w:tentative="1">
      <w:start w:val="1"/>
      <w:numFmt w:val="lowerRoman"/>
      <w:lvlText w:val="%3."/>
      <w:lvlJc w:val="right"/>
      <w:pPr>
        <w:ind w:left="1366" w:hanging="180"/>
      </w:pPr>
    </w:lvl>
    <w:lvl w:ilvl="3" w:tplc="0809000F" w:tentative="1">
      <w:start w:val="1"/>
      <w:numFmt w:val="decimal"/>
      <w:lvlText w:val="%4."/>
      <w:lvlJc w:val="left"/>
      <w:pPr>
        <w:ind w:left="2086" w:hanging="360"/>
      </w:pPr>
    </w:lvl>
    <w:lvl w:ilvl="4" w:tplc="08090019" w:tentative="1">
      <w:start w:val="1"/>
      <w:numFmt w:val="lowerLetter"/>
      <w:lvlText w:val="%5."/>
      <w:lvlJc w:val="left"/>
      <w:pPr>
        <w:ind w:left="2806" w:hanging="360"/>
      </w:pPr>
    </w:lvl>
    <w:lvl w:ilvl="5" w:tplc="0809001B" w:tentative="1">
      <w:start w:val="1"/>
      <w:numFmt w:val="lowerRoman"/>
      <w:lvlText w:val="%6."/>
      <w:lvlJc w:val="right"/>
      <w:pPr>
        <w:ind w:left="3526" w:hanging="180"/>
      </w:pPr>
    </w:lvl>
    <w:lvl w:ilvl="6" w:tplc="0809000F" w:tentative="1">
      <w:start w:val="1"/>
      <w:numFmt w:val="decimal"/>
      <w:lvlText w:val="%7."/>
      <w:lvlJc w:val="left"/>
      <w:pPr>
        <w:ind w:left="4246" w:hanging="360"/>
      </w:pPr>
    </w:lvl>
    <w:lvl w:ilvl="7" w:tplc="08090019" w:tentative="1">
      <w:start w:val="1"/>
      <w:numFmt w:val="lowerLetter"/>
      <w:lvlText w:val="%8."/>
      <w:lvlJc w:val="left"/>
      <w:pPr>
        <w:ind w:left="4966" w:hanging="360"/>
      </w:pPr>
    </w:lvl>
    <w:lvl w:ilvl="8" w:tplc="0809001B" w:tentative="1">
      <w:start w:val="1"/>
      <w:numFmt w:val="lowerRoman"/>
      <w:lvlText w:val="%9."/>
      <w:lvlJc w:val="right"/>
      <w:pPr>
        <w:ind w:left="5686" w:hanging="180"/>
      </w:pPr>
    </w:lvl>
  </w:abstractNum>
  <w:num w:numId="1">
    <w:abstractNumId w:val="0"/>
  </w:num>
  <w:num w:numId="2">
    <w:abstractNumId w:val="30"/>
  </w:num>
  <w:num w:numId="3">
    <w:abstractNumId w:val="16"/>
  </w:num>
  <w:num w:numId="4">
    <w:abstractNumId w:val="12"/>
  </w:num>
  <w:num w:numId="5">
    <w:abstractNumId w:val="39"/>
  </w:num>
  <w:num w:numId="6">
    <w:abstractNumId w:val="35"/>
  </w:num>
  <w:num w:numId="7">
    <w:abstractNumId w:val="17"/>
  </w:num>
  <w:num w:numId="8">
    <w:abstractNumId w:val="15"/>
  </w:num>
  <w:num w:numId="9">
    <w:abstractNumId w:val="37"/>
  </w:num>
  <w:num w:numId="10">
    <w:abstractNumId w:val="19"/>
  </w:num>
  <w:num w:numId="11">
    <w:abstractNumId w:val="26"/>
  </w:num>
  <w:num w:numId="12">
    <w:abstractNumId w:val="45"/>
  </w:num>
  <w:num w:numId="13">
    <w:abstractNumId w:val="33"/>
  </w:num>
  <w:num w:numId="14">
    <w:abstractNumId w:val="4"/>
  </w:num>
  <w:num w:numId="15">
    <w:abstractNumId w:val="46"/>
  </w:num>
  <w:num w:numId="16">
    <w:abstractNumId w:val="43"/>
  </w:num>
  <w:num w:numId="17">
    <w:abstractNumId w:val="40"/>
  </w:num>
  <w:num w:numId="18">
    <w:abstractNumId w:val="14"/>
  </w:num>
  <w:num w:numId="19">
    <w:abstractNumId w:val="27"/>
  </w:num>
  <w:num w:numId="20">
    <w:abstractNumId w:val="8"/>
  </w:num>
  <w:num w:numId="21">
    <w:abstractNumId w:val="29"/>
  </w:num>
  <w:num w:numId="22">
    <w:abstractNumId w:val="1"/>
  </w:num>
  <w:num w:numId="23">
    <w:abstractNumId w:val="42"/>
  </w:num>
  <w:num w:numId="24">
    <w:abstractNumId w:val="13"/>
  </w:num>
  <w:num w:numId="25">
    <w:abstractNumId w:val="6"/>
  </w:num>
  <w:num w:numId="26">
    <w:abstractNumId w:val="32"/>
  </w:num>
  <w:num w:numId="27">
    <w:abstractNumId w:val="44"/>
  </w:num>
  <w:num w:numId="28">
    <w:abstractNumId w:val="22"/>
  </w:num>
  <w:num w:numId="29">
    <w:abstractNumId w:val="28"/>
  </w:num>
  <w:num w:numId="30">
    <w:abstractNumId w:val="41"/>
  </w:num>
  <w:num w:numId="31">
    <w:abstractNumId w:val="25"/>
  </w:num>
  <w:num w:numId="32">
    <w:abstractNumId w:val="5"/>
  </w:num>
  <w:num w:numId="33">
    <w:abstractNumId w:val="38"/>
  </w:num>
  <w:num w:numId="34">
    <w:abstractNumId w:val="34"/>
  </w:num>
  <w:num w:numId="35">
    <w:abstractNumId w:val="23"/>
  </w:num>
  <w:num w:numId="36">
    <w:abstractNumId w:val="47"/>
  </w:num>
  <w:num w:numId="37">
    <w:abstractNumId w:val="11"/>
  </w:num>
  <w:num w:numId="38">
    <w:abstractNumId w:val="24"/>
  </w:num>
  <w:num w:numId="39">
    <w:abstractNumId w:val="18"/>
  </w:num>
  <w:num w:numId="40">
    <w:abstractNumId w:val="3"/>
  </w:num>
  <w:num w:numId="41">
    <w:abstractNumId w:val="31"/>
  </w:num>
  <w:num w:numId="42">
    <w:abstractNumId w:val="10"/>
  </w:num>
  <w:num w:numId="43">
    <w:abstractNumId w:val="36"/>
  </w:num>
  <w:num w:numId="44">
    <w:abstractNumId w:val="20"/>
  </w:num>
  <w:num w:numId="45">
    <w:abstractNumId w:val="7"/>
  </w:num>
  <w:num w:numId="46">
    <w:abstractNumId w:val="9"/>
  </w:num>
  <w:num w:numId="47">
    <w:abstractNumId w:val="21"/>
  </w:num>
  <w:num w:numId="48">
    <w:abstractNumId w:val="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en-GB" w:vendorID="64" w:dllVersion="6" w:nlCheck="1" w:checkStyle="1"/>
  <w:activeWritingStyle w:appName="MSWord" w:lang="ja-JP" w:vendorID="64" w:dllVersion="6" w:nlCheck="1" w:checkStyle="1"/>
  <w:activeWritingStyle w:appName="MSWord" w:lang="en-US" w:vendorID="64" w:dllVersion="6" w:nlCheck="1" w:checkStyle="1"/>
  <w:activeWritingStyle w:appName="MSWord" w:lang="en-AU"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en-AU" w:vendorID="64" w:dllVersion="4096" w:nlCheck="1" w:checkStyle="0"/>
  <w:activeWritingStyle w:appName="MSWord" w:lang="es-ES" w:vendorID="64" w:dllVersion="4096" w:nlCheck="1" w:checkStyle="0"/>
  <w:activeWritingStyle w:appName="MSWord" w:lang="ja-JP" w:vendorID="64" w:dllVersion="0" w:nlCheck="1" w:checkStyle="1"/>
  <w:activeWritingStyle w:appName="MSWord" w:lang="es-ES" w:vendorID="64" w:dllVersion="6" w:nlCheck="1" w:checkStyle="1"/>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activeWritingStyle w:appName="MSWord" w:lang="es-ES" w:vendorID="64" w:dllVersion="131078" w:nlCheck="1" w:checkStyle="1"/>
  <w:activeWritingStyle w:appName="MSWord" w:lang="es-ES_tradnl" w:vendorID="64" w:dllVersion="131078" w:nlCheck="1" w:checkStyle="0"/>
  <w:activeWritingStyle w:appName="MSWord" w:lang="fr-FR" w:vendorID="64" w:dllVersion="131078" w:nlCheck="1" w:checkStyle="0"/>
  <w:defaultTabStop w:val="720"/>
  <w:drawingGridHorizontalSpacing w:val="12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C82D7B"/>
    <w:rsid w:val="00000019"/>
    <w:rsid w:val="000001F3"/>
    <w:rsid w:val="00000465"/>
    <w:rsid w:val="0000101C"/>
    <w:rsid w:val="00001236"/>
    <w:rsid w:val="000013DB"/>
    <w:rsid w:val="0000176A"/>
    <w:rsid w:val="00001AA7"/>
    <w:rsid w:val="00002CE9"/>
    <w:rsid w:val="00002E19"/>
    <w:rsid w:val="00003109"/>
    <w:rsid w:val="000036BC"/>
    <w:rsid w:val="0000416C"/>
    <w:rsid w:val="00004F44"/>
    <w:rsid w:val="00005371"/>
    <w:rsid w:val="000058AC"/>
    <w:rsid w:val="000059D4"/>
    <w:rsid w:val="00006279"/>
    <w:rsid w:val="00006A75"/>
    <w:rsid w:val="00006E43"/>
    <w:rsid w:val="0000708C"/>
    <w:rsid w:val="000073FB"/>
    <w:rsid w:val="00007826"/>
    <w:rsid w:val="00007DAD"/>
    <w:rsid w:val="00007E96"/>
    <w:rsid w:val="000103CD"/>
    <w:rsid w:val="0001067A"/>
    <w:rsid w:val="000106D6"/>
    <w:rsid w:val="00010DCF"/>
    <w:rsid w:val="00010E56"/>
    <w:rsid w:val="00010EAD"/>
    <w:rsid w:val="00010F71"/>
    <w:rsid w:val="0001176B"/>
    <w:rsid w:val="000117FE"/>
    <w:rsid w:val="00011BF6"/>
    <w:rsid w:val="00011C36"/>
    <w:rsid w:val="00011EDA"/>
    <w:rsid w:val="00012390"/>
    <w:rsid w:val="000129F9"/>
    <w:rsid w:val="00012B1B"/>
    <w:rsid w:val="00012F4E"/>
    <w:rsid w:val="00013422"/>
    <w:rsid w:val="00013537"/>
    <w:rsid w:val="00013668"/>
    <w:rsid w:val="00013BD8"/>
    <w:rsid w:val="0001418C"/>
    <w:rsid w:val="00014223"/>
    <w:rsid w:val="0001440C"/>
    <w:rsid w:val="000146C8"/>
    <w:rsid w:val="00014761"/>
    <w:rsid w:val="000147CC"/>
    <w:rsid w:val="00015483"/>
    <w:rsid w:val="00015738"/>
    <w:rsid w:val="00015CAE"/>
    <w:rsid w:val="00016009"/>
    <w:rsid w:val="00016212"/>
    <w:rsid w:val="00016702"/>
    <w:rsid w:val="0001671C"/>
    <w:rsid w:val="00016784"/>
    <w:rsid w:val="00016858"/>
    <w:rsid w:val="000178F9"/>
    <w:rsid w:val="00020120"/>
    <w:rsid w:val="000203C9"/>
    <w:rsid w:val="0002066B"/>
    <w:rsid w:val="00020702"/>
    <w:rsid w:val="00020D14"/>
    <w:rsid w:val="00020E1F"/>
    <w:rsid w:val="000210FD"/>
    <w:rsid w:val="0002180F"/>
    <w:rsid w:val="00021905"/>
    <w:rsid w:val="00021B80"/>
    <w:rsid w:val="00022161"/>
    <w:rsid w:val="00022A55"/>
    <w:rsid w:val="00023685"/>
    <w:rsid w:val="00023748"/>
    <w:rsid w:val="00023C8D"/>
    <w:rsid w:val="00023F9C"/>
    <w:rsid w:val="00024228"/>
    <w:rsid w:val="00024477"/>
    <w:rsid w:val="00024BDA"/>
    <w:rsid w:val="00025651"/>
    <w:rsid w:val="00025885"/>
    <w:rsid w:val="00025909"/>
    <w:rsid w:val="00025CF8"/>
    <w:rsid w:val="0002602E"/>
    <w:rsid w:val="00026226"/>
    <w:rsid w:val="00026771"/>
    <w:rsid w:val="00026AE4"/>
    <w:rsid w:val="00026D76"/>
    <w:rsid w:val="00026E51"/>
    <w:rsid w:val="00027145"/>
    <w:rsid w:val="00027BF5"/>
    <w:rsid w:val="00027C21"/>
    <w:rsid w:val="00027C69"/>
    <w:rsid w:val="00027D75"/>
    <w:rsid w:val="00027FF8"/>
    <w:rsid w:val="0003017A"/>
    <w:rsid w:val="00030251"/>
    <w:rsid w:val="0003045E"/>
    <w:rsid w:val="00030FD9"/>
    <w:rsid w:val="00031CE5"/>
    <w:rsid w:val="00032093"/>
    <w:rsid w:val="000321E6"/>
    <w:rsid w:val="000325CD"/>
    <w:rsid w:val="000329DE"/>
    <w:rsid w:val="00033394"/>
    <w:rsid w:val="0003339A"/>
    <w:rsid w:val="000339BE"/>
    <w:rsid w:val="00033E2C"/>
    <w:rsid w:val="00033FA0"/>
    <w:rsid w:val="0003413A"/>
    <w:rsid w:val="00035B48"/>
    <w:rsid w:val="00035D51"/>
    <w:rsid w:val="00035E5D"/>
    <w:rsid w:val="000364E6"/>
    <w:rsid w:val="00036552"/>
    <w:rsid w:val="00036E88"/>
    <w:rsid w:val="000371C2"/>
    <w:rsid w:val="000377E7"/>
    <w:rsid w:val="00040B07"/>
    <w:rsid w:val="00040BEE"/>
    <w:rsid w:val="00040CD8"/>
    <w:rsid w:val="00040E94"/>
    <w:rsid w:val="00040EBC"/>
    <w:rsid w:val="000413C0"/>
    <w:rsid w:val="000419EC"/>
    <w:rsid w:val="00041F50"/>
    <w:rsid w:val="00042251"/>
    <w:rsid w:val="00042389"/>
    <w:rsid w:val="00042541"/>
    <w:rsid w:val="00042735"/>
    <w:rsid w:val="00043CD5"/>
    <w:rsid w:val="00043DE8"/>
    <w:rsid w:val="000444CC"/>
    <w:rsid w:val="00044742"/>
    <w:rsid w:val="000449C1"/>
    <w:rsid w:val="0004523C"/>
    <w:rsid w:val="00045433"/>
    <w:rsid w:val="0004598C"/>
    <w:rsid w:val="000473AF"/>
    <w:rsid w:val="00047442"/>
    <w:rsid w:val="00047BA6"/>
    <w:rsid w:val="0005062A"/>
    <w:rsid w:val="000509D6"/>
    <w:rsid w:val="000512DF"/>
    <w:rsid w:val="0005132E"/>
    <w:rsid w:val="000516F6"/>
    <w:rsid w:val="00051943"/>
    <w:rsid w:val="0005234D"/>
    <w:rsid w:val="0005244A"/>
    <w:rsid w:val="0005271C"/>
    <w:rsid w:val="00052A5C"/>
    <w:rsid w:val="00052CEC"/>
    <w:rsid w:val="0005325F"/>
    <w:rsid w:val="00053476"/>
    <w:rsid w:val="00053562"/>
    <w:rsid w:val="000538E2"/>
    <w:rsid w:val="00053CD5"/>
    <w:rsid w:val="000541EA"/>
    <w:rsid w:val="000543B9"/>
    <w:rsid w:val="0005454F"/>
    <w:rsid w:val="00054AC5"/>
    <w:rsid w:val="00054B1B"/>
    <w:rsid w:val="0005524C"/>
    <w:rsid w:val="00055559"/>
    <w:rsid w:val="000556BA"/>
    <w:rsid w:val="00055A51"/>
    <w:rsid w:val="000568A8"/>
    <w:rsid w:val="00056BE2"/>
    <w:rsid w:val="00056EAF"/>
    <w:rsid w:val="00057328"/>
    <w:rsid w:val="00057425"/>
    <w:rsid w:val="00057590"/>
    <w:rsid w:val="00057793"/>
    <w:rsid w:val="00060FFC"/>
    <w:rsid w:val="000617B0"/>
    <w:rsid w:val="00061BB0"/>
    <w:rsid w:val="00061DCA"/>
    <w:rsid w:val="000621A3"/>
    <w:rsid w:val="00062235"/>
    <w:rsid w:val="000625E9"/>
    <w:rsid w:val="000626E9"/>
    <w:rsid w:val="00062C18"/>
    <w:rsid w:val="00062E94"/>
    <w:rsid w:val="000635AC"/>
    <w:rsid w:val="00063C58"/>
    <w:rsid w:val="00063E0A"/>
    <w:rsid w:val="00063F4A"/>
    <w:rsid w:val="00064091"/>
    <w:rsid w:val="000642EC"/>
    <w:rsid w:val="00064D36"/>
    <w:rsid w:val="00064DBE"/>
    <w:rsid w:val="00064F6D"/>
    <w:rsid w:val="000655B6"/>
    <w:rsid w:val="00065967"/>
    <w:rsid w:val="00065C01"/>
    <w:rsid w:val="00065CB5"/>
    <w:rsid w:val="00065DA3"/>
    <w:rsid w:val="00065EB5"/>
    <w:rsid w:val="00066212"/>
    <w:rsid w:val="00066B35"/>
    <w:rsid w:val="00066CB5"/>
    <w:rsid w:val="00067765"/>
    <w:rsid w:val="0006788B"/>
    <w:rsid w:val="000705DC"/>
    <w:rsid w:val="00070B34"/>
    <w:rsid w:val="00070D47"/>
    <w:rsid w:val="0007172E"/>
    <w:rsid w:val="00071A3E"/>
    <w:rsid w:val="0007200F"/>
    <w:rsid w:val="00072506"/>
    <w:rsid w:val="00072527"/>
    <w:rsid w:val="00072764"/>
    <w:rsid w:val="000729BE"/>
    <w:rsid w:val="00072AF7"/>
    <w:rsid w:val="00073C88"/>
    <w:rsid w:val="000752A4"/>
    <w:rsid w:val="00075A91"/>
    <w:rsid w:val="00075CCF"/>
    <w:rsid w:val="00075CD8"/>
    <w:rsid w:val="00075F89"/>
    <w:rsid w:val="0007632F"/>
    <w:rsid w:val="00076B65"/>
    <w:rsid w:val="00076CC0"/>
    <w:rsid w:val="00077256"/>
    <w:rsid w:val="0007756A"/>
    <w:rsid w:val="000777DA"/>
    <w:rsid w:val="00080072"/>
    <w:rsid w:val="000801EB"/>
    <w:rsid w:val="00080426"/>
    <w:rsid w:val="00080559"/>
    <w:rsid w:val="00080ACC"/>
    <w:rsid w:val="00080B9D"/>
    <w:rsid w:val="00080C52"/>
    <w:rsid w:val="00081304"/>
    <w:rsid w:val="00081338"/>
    <w:rsid w:val="00081793"/>
    <w:rsid w:val="00081A2B"/>
    <w:rsid w:val="0008210E"/>
    <w:rsid w:val="00082B58"/>
    <w:rsid w:val="00082DAC"/>
    <w:rsid w:val="00082F53"/>
    <w:rsid w:val="000833F1"/>
    <w:rsid w:val="000835A6"/>
    <w:rsid w:val="000839E1"/>
    <w:rsid w:val="00083F64"/>
    <w:rsid w:val="00084122"/>
    <w:rsid w:val="000845EE"/>
    <w:rsid w:val="0008475F"/>
    <w:rsid w:val="00084BE7"/>
    <w:rsid w:val="00085070"/>
    <w:rsid w:val="0008567F"/>
    <w:rsid w:val="00085BD6"/>
    <w:rsid w:val="00085D72"/>
    <w:rsid w:val="00086697"/>
    <w:rsid w:val="000867AD"/>
    <w:rsid w:val="000867D8"/>
    <w:rsid w:val="00086DBF"/>
    <w:rsid w:val="00087847"/>
    <w:rsid w:val="00087C4B"/>
    <w:rsid w:val="00087CD6"/>
    <w:rsid w:val="00087E5B"/>
    <w:rsid w:val="000900AD"/>
    <w:rsid w:val="00090396"/>
    <w:rsid w:val="0009055B"/>
    <w:rsid w:val="0009062D"/>
    <w:rsid w:val="00090774"/>
    <w:rsid w:val="00090AA6"/>
    <w:rsid w:val="00091297"/>
    <w:rsid w:val="000917B0"/>
    <w:rsid w:val="00091BFD"/>
    <w:rsid w:val="00091EF5"/>
    <w:rsid w:val="00091FB1"/>
    <w:rsid w:val="0009218B"/>
    <w:rsid w:val="0009225E"/>
    <w:rsid w:val="0009272F"/>
    <w:rsid w:val="0009295C"/>
    <w:rsid w:val="00092C44"/>
    <w:rsid w:val="00092E3F"/>
    <w:rsid w:val="000930A3"/>
    <w:rsid w:val="000932D7"/>
    <w:rsid w:val="00093317"/>
    <w:rsid w:val="0009341E"/>
    <w:rsid w:val="00093522"/>
    <w:rsid w:val="000938A7"/>
    <w:rsid w:val="00093C9F"/>
    <w:rsid w:val="00094207"/>
    <w:rsid w:val="000943B6"/>
    <w:rsid w:val="000943F3"/>
    <w:rsid w:val="00094A90"/>
    <w:rsid w:val="00094DE2"/>
    <w:rsid w:val="00095737"/>
    <w:rsid w:val="000958FB"/>
    <w:rsid w:val="000959B3"/>
    <w:rsid w:val="00095C84"/>
    <w:rsid w:val="000969FA"/>
    <w:rsid w:val="00096A96"/>
    <w:rsid w:val="00097467"/>
    <w:rsid w:val="0009753D"/>
    <w:rsid w:val="00097551"/>
    <w:rsid w:val="00097B82"/>
    <w:rsid w:val="00097BF1"/>
    <w:rsid w:val="00097DF9"/>
    <w:rsid w:val="00097F84"/>
    <w:rsid w:val="000A01EA"/>
    <w:rsid w:val="000A03EB"/>
    <w:rsid w:val="000A05DF"/>
    <w:rsid w:val="000A0CD8"/>
    <w:rsid w:val="000A0FAA"/>
    <w:rsid w:val="000A1053"/>
    <w:rsid w:val="000A112C"/>
    <w:rsid w:val="000A12F0"/>
    <w:rsid w:val="000A1305"/>
    <w:rsid w:val="000A1384"/>
    <w:rsid w:val="000A13F4"/>
    <w:rsid w:val="000A1BD2"/>
    <w:rsid w:val="000A1E70"/>
    <w:rsid w:val="000A22B8"/>
    <w:rsid w:val="000A2C25"/>
    <w:rsid w:val="000A2DB0"/>
    <w:rsid w:val="000A2E68"/>
    <w:rsid w:val="000A3484"/>
    <w:rsid w:val="000A3561"/>
    <w:rsid w:val="000A36FD"/>
    <w:rsid w:val="000A3A1E"/>
    <w:rsid w:val="000A3B57"/>
    <w:rsid w:val="000A3B76"/>
    <w:rsid w:val="000A3BCD"/>
    <w:rsid w:val="000A4181"/>
    <w:rsid w:val="000A4457"/>
    <w:rsid w:val="000A4490"/>
    <w:rsid w:val="000A5063"/>
    <w:rsid w:val="000A530C"/>
    <w:rsid w:val="000A5436"/>
    <w:rsid w:val="000A54E5"/>
    <w:rsid w:val="000A5D06"/>
    <w:rsid w:val="000A5EDF"/>
    <w:rsid w:val="000A5F65"/>
    <w:rsid w:val="000A5FB0"/>
    <w:rsid w:val="000A65A8"/>
    <w:rsid w:val="000A6808"/>
    <w:rsid w:val="000A6D70"/>
    <w:rsid w:val="000A6E3A"/>
    <w:rsid w:val="000A6FCD"/>
    <w:rsid w:val="000A734C"/>
    <w:rsid w:val="000A7388"/>
    <w:rsid w:val="000A785B"/>
    <w:rsid w:val="000A7A85"/>
    <w:rsid w:val="000A7BB1"/>
    <w:rsid w:val="000A7CC5"/>
    <w:rsid w:val="000B07ED"/>
    <w:rsid w:val="000B0B19"/>
    <w:rsid w:val="000B0FF6"/>
    <w:rsid w:val="000B10B6"/>
    <w:rsid w:val="000B161A"/>
    <w:rsid w:val="000B1723"/>
    <w:rsid w:val="000B1A01"/>
    <w:rsid w:val="000B379A"/>
    <w:rsid w:val="000B3AA4"/>
    <w:rsid w:val="000B3B4E"/>
    <w:rsid w:val="000B4250"/>
    <w:rsid w:val="000B54DF"/>
    <w:rsid w:val="000B566D"/>
    <w:rsid w:val="000B59CC"/>
    <w:rsid w:val="000B5B72"/>
    <w:rsid w:val="000B6181"/>
    <w:rsid w:val="000B619F"/>
    <w:rsid w:val="000B6600"/>
    <w:rsid w:val="000B6641"/>
    <w:rsid w:val="000B6670"/>
    <w:rsid w:val="000B67C3"/>
    <w:rsid w:val="000B6DA1"/>
    <w:rsid w:val="000B6EA3"/>
    <w:rsid w:val="000B71C8"/>
    <w:rsid w:val="000B7495"/>
    <w:rsid w:val="000B7772"/>
    <w:rsid w:val="000B7B1F"/>
    <w:rsid w:val="000B7DE3"/>
    <w:rsid w:val="000B7F16"/>
    <w:rsid w:val="000B7FC0"/>
    <w:rsid w:val="000C064C"/>
    <w:rsid w:val="000C0CB3"/>
    <w:rsid w:val="000C1A8F"/>
    <w:rsid w:val="000C20E2"/>
    <w:rsid w:val="000C23D5"/>
    <w:rsid w:val="000C2B58"/>
    <w:rsid w:val="000C2EED"/>
    <w:rsid w:val="000C300F"/>
    <w:rsid w:val="000C3083"/>
    <w:rsid w:val="000C3507"/>
    <w:rsid w:val="000C3B59"/>
    <w:rsid w:val="000C3B8A"/>
    <w:rsid w:val="000C3C35"/>
    <w:rsid w:val="000C411F"/>
    <w:rsid w:val="000C413D"/>
    <w:rsid w:val="000C4DD8"/>
    <w:rsid w:val="000C4DE3"/>
    <w:rsid w:val="000C50F0"/>
    <w:rsid w:val="000C5803"/>
    <w:rsid w:val="000C5A77"/>
    <w:rsid w:val="000C5F6D"/>
    <w:rsid w:val="000C60C4"/>
    <w:rsid w:val="000C624D"/>
    <w:rsid w:val="000C63DD"/>
    <w:rsid w:val="000C644D"/>
    <w:rsid w:val="000C647A"/>
    <w:rsid w:val="000C6639"/>
    <w:rsid w:val="000C67DB"/>
    <w:rsid w:val="000C6AD4"/>
    <w:rsid w:val="000C6B4F"/>
    <w:rsid w:val="000C73FF"/>
    <w:rsid w:val="000C7462"/>
    <w:rsid w:val="000C7890"/>
    <w:rsid w:val="000C7996"/>
    <w:rsid w:val="000C7A64"/>
    <w:rsid w:val="000C7FBD"/>
    <w:rsid w:val="000D03C1"/>
    <w:rsid w:val="000D0413"/>
    <w:rsid w:val="000D0575"/>
    <w:rsid w:val="000D0664"/>
    <w:rsid w:val="000D06B2"/>
    <w:rsid w:val="000D094E"/>
    <w:rsid w:val="000D0AD4"/>
    <w:rsid w:val="000D0C53"/>
    <w:rsid w:val="000D0D40"/>
    <w:rsid w:val="000D104D"/>
    <w:rsid w:val="000D1662"/>
    <w:rsid w:val="000D27AB"/>
    <w:rsid w:val="000D2826"/>
    <w:rsid w:val="000D2B34"/>
    <w:rsid w:val="000D37D4"/>
    <w:rsid w:val="000D3879"/>
    <w:rsid w:val="000D3BA5"/>
    <w:rsid w:val="000D4430"/>
    <w:rsid w:val="000D4CDC"/>
    <w:rsid w:val="000D4EA7"/>
    <w:rsid w:val="000D4EB8"/>
    <w:rsid w:val="000D5149"/>
    <w:rsid w:val="000D514B"/>
    <w:rsid w:val="000D53CB"/>
    <w:rsid w:val="000D5418"/>
    <w:rsid w:val="000D546E"/>
    <w:rsid w:val="000D5B47"/>
    <w:rsid w:val="000D604E"/>
    <w:rsid w:val="000D630B"/>
    <w:rsid w:val="000D67F8"/>
    <w:rsid w:val="000D68D3"/>
    <w:rsid w:val="000D6F63"/>
    <w:rsid w:val="000D75E1"/>
    <w:rsid w:val="000D78DC"/>
    <w:rsid w:val="000D7C21"/>
    <w:rsid w:val="000D7E6C"/>
    <w:rsid w:val="000D7F09"/>
    <w:rsid w:val="000E0253"/>
    <w:rsid w:val="000E0264"/>
    <w:rsid w:val="000E0527"/>
    <w:rsid w:val="000E077B"/>
    <w:rsid w:val="000E09D8"/>
    <w:rsid w:val="000E0A6C"/>
    <w:rsid w:val="000E18B7"/>
    <w:rsid w:val="000E1CA2"/>
    <w:rsid w:val="000E20C8"/>
    <w:rsid w:val="000E2128"/>
    <w:rsid w:val="000E2486"/>
    <w:rsid w:val="000E250F"/>
    <w:rsid w:val="000E2AA4"/>
    <w:rsid w:val="000E367B"/>
    <w:rsid w:val="000E391D"/>
    <w:rsid w:val="000E394D"/>
    <w:rsid w:val="000E40C3"/>
    <w:rsid w:val="000E4128"/>
    <w:rsid w:val="000E4641"/>
    <w:rsid w:val="000E466B"/>
    <w:rsid w:val="000E480E"/>
    <w:rsid w:val="000E48FD"/>
    <w:rsid w:val="000E4947"/>
    <w:rsid w:val="000E574D"/>
    <w:rsid w:val="000E5B61"/>
    <w:rsid w:val="000E5D40"/>
    <w:rsid w:val="000E5DDF"/>
    <w:rsid w:val="000E62D5"/>
    <w:rsid w:val="000E6342"/>
    <w:rsid w:val="000E6A2D"/>
    <w:rsid w:val="000E6B4A"/>
    <w:rsid w:val="000E7085"/>
    <w:rsid w:val="000E74AC"/>
    <w:rsid w:val="000F00A6"/>
    <w:rsid w:val="000F01B8"/>
    <w:rsid w:val="000F0B33"/>
    <w:rsid w:val="000F0D16"/>
    <w:rsid w:val="000F0FEB"/>
    <w:rsid w:val="000F118F"/>
    <w:rsid w:val="000F1E0B"/>
    <w:rsid w:val="000F1E62"/>
    <w:rsid w:val="000F2602"/>
    <w:rsid w:val="000F27CB"/>
    <w:rsid w:val="000F2878"/>
    <w:rsid w:val="000F2CD6"/>
    <w:rsid w:val="000F304C"/>
    <w:rsid w:val="000F30E8"/>
    <w:rsid w:val="000F3378"/>
    <w:rsid w:val="000F3412"/>
    <w:rsid w:val="000F34E8"/>
    <w:rsid w:val="000F3BAD"/>
    <w:rsid w:val="000F3CE2"/>
    <w:rsid w:val="000F4B2F"/>
    <w:rsid w:val="000F4C46"/>
    <w:rsid w:val="000F4F86"/>
    <w:rsid w:val="000F5423"/>
    <w:rsid w:val="000F5C49"/>
    <w:rsid w:val="000F61E4"/>
    <w:rsid w:val="000F6650"/>
    <w:rsid w:val="000F6A15"/>
    <w:rsid w:val="000F6D06"/>
    <w:rsid w:val="000F6DA3"/>
    <w:rsid w:val="000F6F47"/>
    <w:rsid w:val="000F6F85"/>
    <w:rsid w:val="000F7413"/>
    <w:rsid w:val="000F7612"/>
    <w:rsid w:val="001004FE"/>
    <w:rsid w:val="00100989"/>
    <w:rsid w:val="00100C0B"/>
    <w:rsid w:val="00100CA7"/>
    <w:rsid w:val="00100D7F"/>
    <w:rsid w:val="0010137D"/>
    <w:rsid w:val="00101432"/>
    <w:rsid w:val="0010149B"/>
    <w:rsid w:val="00101586"/>
    <w:rsid w:val="001016A6"/>
    <w:rsid w:val="0010230C"/>
    <w:rsid w:val="001026E5"/>
    <w:rsid w:val="00102873"/>
    <w:rsid w:val="001028BD"/>
    <w:rsid w:val="00102CB2"/>
    <w:rsid w:val="001030A4"/>
    <w:rsid w:val="00103294"/>
    <w:rsid w:val="0010350E"/>
    <w:rsid w:val="001036F6"/>
    <w:rsid w:val="0010372B"/>
    <w:rsid w:val="00103848"/>
    <w:rsid w:val="00103BCB"/>
    <w:rsid w:val="001041B6"/>
    <w:rsid w:val="001044E5"/>
    <w:rsid w:val="00104843"/>
    <w:rsid w:val="00104AC7"/>
    <w:rsid w:val="00104B78"/>
    <w:rsid w:val="00104C86"/>
    <w:rsid w:val="00104EEE"/>
    <w:rsid w:val="0010548D"/>
    <w:rsid w:val="001056E1"/>
    <w:rsid w:val="001057E6"/>
    <w:rsid w:val="001060D8"/>
    <w:rsid w:val="00106580"/>
    <w:rsid w:val="00106736"/>
    <w:rsid w:val="00106966"/>
    <w:rsid w:val="00106A62"/>
    <w:rsid w:val="00106BDD"/>
    <w:rsid w:val="00107018"/>
    <w:rsid w:val="0010754E"/>
    <w:rsid w:val="001075EF"/>
    <w:rsid w:val="00107A20"/>
    <w:rsid w:val="00107E5D"/>
    <w:rsid w:val="00110258"/>
    <w:rsid w:val="00110B0C"/>
    <w:rsid w:val="00110C0A"/>
    <w:rsid w:val="001116C2"/>
    <w:rsid w:val="001126CC"/>
    <w:rsid w:val="00112873"/>
    <w:rsid w:val="00112ECB"/>
    <w:rsid w:val="00113727"/>
    <w:rsid w:val="001138D3"/>
    <w:rsid w:val="0011395A"/>
    <w:rsid w:val="00113FCD"/>
    <w:rsid w:val="001143A8"/>
    <w:rsid w:val="001144DA"/>
    <w:rsid w:val="00114951"/>
    <w:rsid w:val="0011497F"/>
    <w:rsid w:val="00114CCA"/>
    <w:rsid w:val="00115131"/>
    <w:rsid w:val="001151E9"/>
    <w:rsid w:val="0011535F"/>
    <w:rsid w:val="001159B3"/>
    <w:rsid w:val="00115BB0"/>
    <w:rsid w:val="00115BF9"/>
    <w:rsid w:val="0011629C"/>
    <w:rsid w:val="00116C36"/>
    <w:rsid w:val="00117321"/>
    <w:rsid w:val="00120115"/>
    <w:rsid w:val="001201C7"/>
    <w:rsid w:val="00120BCA"/>
    <w:rsid w:val="00120E02"/>
    <w:rsid w:val="00121E0D"/>
    <w:rsid w:val="001220FA"/>
    <w:rsid w:val="00123002"/>
    <w:rsid w:val="00123F1C"/>
    <w:rsid w:val="00123F40"/>
    <w:rsid w:val="00124151"/>
    <w:rsid w:val="00124478"/>
    <w:rsid w:val="001244D6"/>
    <w:rsid w:val="00124896"/>
    <w:rsid w:val="00124940"/>
    <w:rsid w:val="00124C02"/>
    <w:rsid w:val="00124C32"/>
    <w:rsid w:val="00124D31"/>
    <w:rsid w:val="00124EBA"/>
    <w:rsid w:val="00124F99"/>
    <w:rsid w:val="00125270"/>
    <w:rsid w:val="0012531C"/>
    <w:rsid w:val="00125B01"/>
    <w:rsid w:val="00125D57"/>
    <w:rsid w:val="00125E80"/>
    <w:rsid w:val="0012652E"/>
    <w:rsid w:val="00126901"/>
    <w:rsid w:val="00126FE4"/>
    <w:rsid w:val="001271EB"/>
    <w:rsid w:val="001273CA"/>
    <w:rsid w:val="00127F86"/>
    <w:rsid w:val="00130190"/>
    <w:rsid w:val="00130D8B"/>
    <w:rsid w:val="00131284"/>
    <w:rsid w:val="0013133C"/>
    <w:rsid w:val="001315C6"/>
    <w:rsid w:val="0013173C"/>
    <w:rsid w:val="001317E7"/>
    <w:rsid w:val="00131D15"/>
    <w:rsid w:val="00132113"/>
    <w:rsid w:val="0013217F"/>
    <w:rsid w:val="001326F1"/>
    <w:rsid w:val="001327B6"/>
    <w:rsid w:val="001327DF"/>
    <w:rsid w:val="00132BDD"/>
    <w:rsid w:val="00132EE7"/>
    <w:rsid w:val="00132F33"/>
    <w:rsid w:val="00133120"/>
    <w:rsid w:val="001334D7"/>
    <w:rsid w:val="001336D8"/>
    <w:rsid w:val="00133DE5"/>
    <w:rsid w:val="00134291"/>
    <w:rsid w:val="001347B2"/>
    <w:rsid w:val="001354A0"/>
    <w:rsid w:val="001357D0"/>
    <w:rsid w:val="001359A9"/>
    <w:rsid w:val="00135D07"/>
    <w:rsid w:val="00135D56"/>
    <w:rsid w:val="00135FC7"/>
    <w:rsid w:val="0013634F"/>
    <w:rsid w:val="00136369"/>
    <w:rsid w:val="00136751"/>
    <w:rsid w:val="001369BC"/>
    <w:rsid w:val="00136B9C"/>
    <w:rsid w:val="0013719D"/>
    <w:rsid w:val="001371A3"/>
    <w:rsid w:val="00137820"/>
    <w:rsid w:val="00137D06"/>
    <w:rsid w:val="00137D8B"/>
    <w:rsid w:val="00137D9E"/>
    <w:rsid w:val="00140668"/>
    <w:rsid w:val="001406DC"/>
    <w:rsid w:val="0014078B"/>
    <w:rsid w:val="00140C04"/>
    <w:rsid w:val="001411C9"/>
    <w:rsid w:val="001422B8"/>
    <w:rsid w:val="001427AF"/>
    <w:rsid w:val="00142B02"/>
    <w:rsid w:val="00142B81"/>
    <w:rsid w:val="0014303D"/>
    <w:rsid w:val="00143253"/>
    <w:rsid w:val="001438B3"/>
    <w:rsid w:val="0014397C"/>
    <w:rsid w:val="001439DA"/>
    <w:rsid w:val="00143A64"/>
    <w:rsid w:val="00144021"/>
    <w:rsid w:val="00144584"/>
    <w:rsid w:val="001445C3"/>
    <w:rsid w:val="0014492C"/>
    <w:rsid w:val="00144F26"/>
    <w:rsid w:val="001455A6"/>
    <w:rsid w:val="001457BA"/>
    <w:rsid w:val="0014595D"/>
    <w:rsid w:val="00145B4C"/>
    <w:rsid w:val="00145C77"/>
    <w:rsid w:val="00145C98"/>
    <w:rsid w:val="00145CDA"/>
    <w:rsid w:val="00146075"/>
    <w:rsid w:val="0014617B"/>
    <w:rsid w:val="001463F3"/>
    <w:rsid w:val="0014669E"/>
    <w:rsid w:val="001467B4"/>
    <w:rsid w:val="001471E4"/>
    <w:rsid w:val="00147343"/>
    <w:rsid w:val="001476F7"/>
    <w:rsid w:val="00147C4C"/>
    <w:rsid w:val="00147DC4"/>
    <w:rsid w:val="00147EA7"/>
    <w:rsid w:val="0015001A"/>
    <w:rsid w:val="00150047"/>
    <w:rsid w:val="001500D6"/>
    <w:rsid w:val="001501DF"/>
    <w:rsid w:val="0015044C"/>
    <w:rsid w:val="00150530"/>
    <w:rsid w:val="001506FD"/>
    <w:rsid w:val="00150998"/>
    <w:rsid w:val="00150C70"/>
    <w:rsid w:val="00151D53"/>
    <w:rsid w:val="00152538"/>
    <w:rsid w:val="0015263A"/>
    <w:rsid w:val="00152693"/>
    <w:rsid w:val="00152BD5"/>
    <w:rsid w:val="00152C87"/>
    <w:rsid w:val="00152F7C"/>
    <w:rsid w:val="001535A2"/>
    <w:rsid w:val="0015396A"/>
    <w:rsid w:val="00153F70"/>
    <w:rsid w:val="0015467E"/>
    <w:rsid w:val="00154F61"/>
    <w:rsid w:val="0015680F"/>
    <w:rsid w:val="0015707E"/>
    <w:rsid w:val="00157831"/>
    <w:rsid w:val="00157B0C"/>
    <w:rsid w:val="00157DEF"/>
    <w:rsid w:val="00157EB2"/>
    <w:rsid w:val="00157FF1"/>
    <w:rsid w:val="0016094A"/>
    <w:rsid w:val="00160C43"/>
    <w:rsid w:val="00160CE5"/>
    <w:rsid w:val="00161700"/>
    <w:rsid w:val="00161D61"/>
    <w:rsid w:val="00161EA7"/>
    <w:rsid w:val="00162B0D"/>
    <w:rsid w:val="00162B50"/>
    <w:rsid w:val="00162C8B"/>
    <w:rsid w:val="001634E7"/>
    <w:rsid w:val="00163593"/>
    <w:rsid w:val="001637B9"/>
    <w:rsid w:val="001637BC"/>
    <w:rsid w:val="00163A02"/>
    <w:rsid w:val="00163AAB"/>
    <w:rsid w:val="00163AE7"/>
    <w:rsid w:val="00163E48"/>
    <w:rsid w:val="00163EC0"/>
    <w:rsid w:val="00164293"/>
    <w:rsid w:val="0016463C"/>
    <w:rsid w:val="00164690"/>
    <w:rsid w:val="00165218"/>
    <w:rsid w:val="0016533E"/>
    <w:rsid w:val="001655C4"/>
    <w:rsid w:val="00165A30"/>
    <w:rsid w:val="00165BD2"/>
    <w:rsid w:val="00165C95"/>
    <w:rsid w:val="00165CF5"/>
    <w:rsid w:val="0016603D"/>
    <w:rsid w:val="0016647F"/>
    <w:rsid w:val="001664CB"/>
    <w:rsid w:val="00166890"/>
    <w:rsid w:val="00166A71"/>
    <w:rsid w:val="00166CD9"/>
    <w:rsid w:val="00166F5A"/>
    <w:rsid w:val="001677D1"/>
    <w:rsid w:val="0017047F"/>
    <w:rsid w:val="001707A8"/>
    <w:rsid w:val="00170AC0"/>
    <w:rsid w:val="00170AF0"/>
    <w:rsid w:val="00170F31"/>
    <w:rsid w:val="00172082"/>
    <w:rsid w:val="001721C7"/>
    <w:rsid w:val="00172405"/>
    <w:rsid w:val="001725AD"/>
    <w:rsid w:val="00172D0D"/>
    <w:rsid w:val="00173054"/>
    <w:rsid w:val="00173A81"/>
    <w:rsid w:val="00173C95"/>
    <w:rsid w:val="00173E5C"/>
    <w:rsid w:val="00173F94"/>
    <w:rsid w:val="001743B1"/>
    <w:rsid w:val="0017452F"/>
    <w:rsid w:val="00174A89"/>
    <w:rsid w:val="00174C49"/>
    <w:rsid w:val="00175046"/>
    <w:rsid w:val="001755D6"/>
    <w:rsid w:val="0017566A"/>
    <w:rsid w:val="00175865"/>
    <w:rsid w:val="00175D6B"/>
    <w:rsid w:val="00175F3A"/>
    <w:rsid w:val="00176D45"/>
    <w:rsid w:val="00176ED8"/>
    <w:rsid w:val="0017732F"/>
    <w:rsid w:val="0017778C"/>
    <w:rsid w:val="00180092"/>
    <w:rsid w:val="001801B5"/>
    <w:rsid w:val="00180A21"/>
    <w:rsid w:val="00180EF0"/>
    <w:rsid w:val="00181024"/>
    <w:rsid w:val="001816DC"/>
    <w:rsid w:val="001819D3"/>
    <w:rsid w:val="00181A69"/>
    <w:rsid w:val="00181E75"/>
    <w:rsid w:val="00182019"/>
    <w:rsid w:val="0018213F"/>
    <w:rsid w:val="00182213"/>
    <w:rsid w:val="00182402"/>
    <w:rsid w:val="00182470"/>
    <w:rsid w:val="00182666"/>
    <w:rsid w:val="0018298A"/>
    <w:rsid w:val="00182A98"/>
    <w:rsid w:val="0018313E"/>
    <w:rsid w:val="0018313F"/>
    <w:rsid w:val="0018350B"/>
    <w:rsid w:val="00183DAF"/>
    <w:rsid w:val="001841B0"/>
    <w:rsid w:val="00184446"/>
    <w:rsid w:val="00184469"/>
    <w:rsid w:val="00184673"/>
    <w:rsid w:val="001849F6"/>
    <w:rsid w:val="00184AF0"/>
    <w:rsid w:val="00184C88"/>
    <w:rsid w:val="0018549C"/>
    <w:rsid w:val="00185656"/>
    <w:rsid w:val="001857EB"/>
    <w:rsid w:val="001859BF"/>
    <w:rsid w:val="00185B93"/>
    <w:rsid w:val="00186906"/>
    <w:rsid w:val="00186AE4"/>
    <w:rsid w:val="00186B16"/>
    <w:rsid w:val="0018731A"/>
    <w:rsid w:val="0018732D"/>
    <w:rsid w:val="00187380"/>
    <w:rsid w:val="00187742"/>
    <w:rsid w:val="00187CDB"/>
    <w:rsid w:val="00190113"/>
    <w:rsid w:val="00190547"/>
    <w:rsid w:val="001905C2"/>
    <w:rsid w:val="001909EA"/>
    <w:rsid w:val="00190E4E"/>
    <w:rsid w:val="00191199"/>
    <w:rsid w:val="001912DE"/>
    <w:rsid w:val="0019144F"/>
    <w:rsid w:val="0019181D"/>
    <w:rsid w:val="00191A23"/>
    <w:rsid w:val="00191A76"/>
    <w:rsid w:val="00191C4C"/>
    <w:rsid w:val="00191D11"/>
    <w:rsid w:val="00191EA3"/>
    <w:rsid w:val="00191F10"/>
    <w:rsid w:val="00191F2B"/>
    <w:rsid w:val="00192192"/>
    <w:rsid w:val="0019230E"/>
    <w:rsid w:val="00192464"/>
    <w:rsid w:val="00192822"/>
    <w:rsid w:val="001928DA"/>
    <w:rsid w:val="00192AD3"/>
    <w:rsid w:val="00192B22"/>
    <w:rsid w:val="00192B69"/>
    <w:rsid w:val="00192CC7"/>
    <w:rsid w:val="00192D8B"/>
    <w:rsid w:val="00192FDB"/>
    <w:rsid w:val="001934AA"/>
    <w:rsid w:val="001936B4"/>
    <w:rsid w:val="001938B0"/>
    <w:rsid w:val="001938F7"/>
    <w:rsid w:val="00193A8D"/>
    <w:rsid w:val="00193BC2"/>
    <w:rsid w:val="00193BE9"/>
    <w:rsid w:val="001947C9"/>
    <w:rsid w:val="0019527E"/>
    <w:rsid w:val="0019552D"/>
    <w:rsid w:val="00195845"/>
    <w:rsid w:val="0019598F"/>
    <w:rsid w:val="00196340"/>
    <w:rsid w:val="00196515"/>
    <w:rsid w:val="001970FF"/>
    <w:rsid w:val="001976AD"/>
    <w:rsid w:val="00197A10"/>
    <w:rsid w:val="001A2645"/>
    <w:rsid w:val="001A2931"/>
    <w:rsid w:val="001A3064"/>
    <w:rsid w:val="001A3511"/>
    <w:rsid w:val="001A3A60"/>
    <w:rsid w:val="001A3AB4"/>
    <w:rsid w:val="001A3BDB"/>
    <w:rsid w:val="001A3CEB"/>
    <w:rsid w:val="001A42F6"/>
    <w:rsid w:val="001A44B8"/>
    <w:rsid w:val="001A486F"/>
    <w:rsid w:val="001A5812"/>
    <w:rsid w:val="001A5919"/>
    <w:rsid w:val="001A62E7"/>
    <w:rsid w:val="001A638A"/>
    <w:rsid w:val="001A6667"/>
    <w:rsid w:val="001A672F"/>
    <w:rsid w:val="001A68FB"/>
    <w:rsid w:val="001A7040"/>
    <w:rsid w:val="001A7131"/>
    <w:rsid w:val="001A769D"/>
    <w:rsid w:val="001A7880"/>
    <w:rsid w:val="001A78FA"/>
    <w:rsid w:val="001B03FB"/>
    <w:rsid w:val="001B0705"/>
    <w:rsid w:val="001B157A"/>
    <w:rsid w:val="001B16E3"/>
    <w:rsid w:val="001B1803"/>
    <w:rsid w:val="001B1E6B"/>
    <w:rsid w:val="001B2352"/>
    <w:rsid w:val="001B273B"/>
    <w:rsid w:val="001B298B"/>
    <w:rsid w:val="001B2D9B"/>
    <w:rsid w:val="001B2F43"/>
    <w:rsid w:val="001B34AE"/>
    <w:rsid w:val="001B364D"/>
    <w:rsid w:val="001B3B05"/>
    <w:rsid w:val="001B3BAC"/>
    <w:rsid w:val="001B3DBD"/>
    <w:rsid w:val="001B4321"/>
    <w:rsid w:val="001B46EA"/>
    <w:rsid w:val="001B4B9F"/>
    <w:rsid w:val="001B5B89"/>
    <w:rsid w:val="001B5C4C"/>
    <w:rsid w:val="001B5C7C"/>
    <w:rsid w:val="001B5D92"/>
    <w:rsid w:val="001B5DAA"/>
    <w:rsid w:val="001B5E3D"/>
    <w:rsid w:val="001B5E62"/>
    <w:rsid w:val="001B5FCC"/>
    <w:rsid w:val="001B61E9"/>
    <w:rsid w:val="001B6269"/>
    <w:rsid w:val="001B62F5"/>
    <w:rsid w:val="001B643E"/>
    <w:rsid w:val="001B6D93"/>
    <w:rsid w:val="001B6ED0"/>
    <w:rsid w:val="001B7922"/>
    <w:rsid w:val="001B7985"/>
    <w:rsid w:val="001B7F81"/>
    <w:rsid w:val="001C0073"/>
    <w:rsid w:val="001C0142"/>
    <w:rsid w:val="001C1388"/>
    <w:rsid w:val="001C14CF"/>
    <w:rsid w:val="001C1723"/>
    <w:rsid w:val="001C191E"/>
    <w:rsid w:val="001C1BF6"/>
    <w:rsid w:val="001C1CDA"/>
    <w:rsid w:val="001C2015"/>
    <w:rsid w:val="001C2CC7"/>
    <w:rsid w:val="001C33CE"/>
    <w:rsid w:val="001C3711"/>
    <w:rsid w:val="001C38EB"/>
    <w:rsid w:val="001C3A87"/>
    <w:rsid w:val="001C41D9"/>
    <w:rsid w:val="001C4519"/>
    <w:rsid w:val="001C460F"/>
    <w:rsid w:val="001C4AA6"/>
    <w:rsid w:val="001C4D26"/>
    <w:rsid w:val="001C53A7"/>
    <w:rsid w:val="001C53E7"/>
    <w:rsid w:val="001C543C"/>
    <w:rsid w:val="001C547D"/>
    <w:rsid w:val="001C5F03"/>
    <w:rsid w:val="001C64D1"/>
    <w:rsid w:val="001C6AAA"/>
    <w:rsid w:val="001C6E3F"/>
    <w:rsid w:val="001C7343"/>
    <w:rsid w:val="001C7531"/>
    <w:rsid w:val="001C7572"/>
    <w:rsid w:val="001C7E05"/>
    <w:rsid w:val="001D0401"/>
    <w:rsid w:val="001D11A4"/>
    <w:rsid w:val="001D1303"/>
    <w:rsid w:val="001D135D"/>
    <w:rsid w:val="001D1A06"/>
    <w:rsid w:val="001D2082"/>
    <w:rsid w:val="001D2197"/>
    <w:rsid w:val="001D23C0"/>
    <w:rsid w:val="001D25E3"/>
    <w:rsid w:val="001D2785"/>
    <w:rsid w:val="001D2859"/>
    <w:rsid w:val="001D29F4"/>
    <w:rsid w:val="001D2EEF"/>
    <w:rsid w:val="001D3056"/>
    <w:rsid w:val="001D348F"/>
    <w:rsid w:val="001D3524"/>
    <w:rsid w:val="001D35B6"/>
    <w:rsid w:val="001D3AF9"/>
    <w:rsid w:val="001D3B9F"/>
    <w:rsid w:val="001D3E45"/>
    <w:rsid w:val="001D3F07"/>
    <w:rsid w:val="001D458B"/>
    <w:rsid w:val="001D46E3"/>
    <w:rsid w:val="001D4E5D"/>
    <w:rsid w:val="001D5B9D"/>
    <w:rsid w:val="001D6145"/>
    <w:rsid w:val="001D66C7"/>
    <w:rsid w:val="001D717D"/>
    <w:rsid w:val="001D76CF"/>
    <w:rsid w:val="001D773A"/>
    <w:rsid w:val="001D7A01"/>
    <w:rsid w:val="001E04D8"/>
    <w:rsid w:val="001E0804"/>
    <w:rsid w:val="001E08F9"/>
    <w:rsid w:val="001E0987"/>
    <w:rsid w:val="001E0AE1"/>
    <w:rsid w:val="001E0B96"/>
    <w:rsid w:val="001E0E87"/>
    <w:rsid w:val="001E106F"/>
    <w:rsid w:val="001E18CA"/>
    <w:rsid w:val="001E1A0C"/>
    <w:rsid w:val="001E1AFA"/>
    <w:rsid w:val="001E2007"/>
    <w:rsid w:val="001E209C"/>
    <w:rsid w:val="001E2672"/>
    <w:rsid w:val="001E2759"/>
    <w:rsid w:val="001E3728"/>
    <w:rsid w:val="001E4020"/>
    <w:rsid w:val="001E4771"/>
    <w:rsid w:val="001E4A1A"/>
    <w:rsid w:val="001E4BA8"/>
    <w:rsid w:val="001E67EE"/>
    <w:rsid w:val="001E710F"/>
    <w:rsid w:val="001E7593"/>
    <w:rsid w:val="001E7D20"/>
    <w:rsid w:val="001F0C8B"/>
    <w:rsid w:val="001F15F5"/>
    <w:rsid w:val="001F1CA3"/>
    <w:rsid w:val="001F1CE8"/>
    <w:rsid w:val="001F1FD5"/>
    <w:rsid w:val="001F20E2"/>
    <w:rsid w:val="001F25A9"/>
    <w:rsid w:val="001F2611"/>
    <w:rsid w:val="001F272E"/>
    <w:rsid w:val="001F27A8"/>
    <w:rsid w:val="001F27DD"/>
    <w:rsid w:val="001F31A9"/>
    <w:rsid w:val="001F3297"/>
    <w:rsid w:val="001F369C"/>
    <w:rsid w:val="001F4113"/>
    <w:rsid w:val="001F4305"/>
    <w:rsid w:val="001F44D5"/>
    <w:rsid w:val="001F4802"/>
    <w:rsid w:val="001F496F"/>
    <w:rsid w:val="001F4BF5"/>
    <w:rsid w:val="001F4F79"/>
    <w:rsid w:val="001F5045"/>
    <w:rsid w:val="001F6038"/>
    <w:rsid w:val="001F63B5"/>
    <w:rsid w:val="001F6807"/>
    <w:rsid w:val="001F6F2D"/>
    <w:rsid w:val="001F71CB"/>
    <w:rsid w:val="001F7890"/>
    <w:rsid w:val="001F7908"/>
    <w:rsid w:val="001F7A19"/>
    <w:rsid w:val="001F7A38"/>
    <w:rsid w:val="00200AD7"/>
    <w:rsid w:val="00200B3A"/>
    <w:rsid w:val="0020123D"/>
    <w:rsid w:val="00201651"/>
    <w:rsid w:val="002023D1"/>
    <w:rsid w:val="00202A84"/>
    <w:rsid w:val="00202B73"/>
    <w:rsid w:val="00202BE3"/>
    <w:rsid w:val="0020330E"/>
    <w:rsid w:val="0020336B"/>
    <w:rsid w:val="002034D0"/>
    <w:rsid w:val="002035D9"/>
    <w:rsid w:val="00203918"/>
    <w:rsid w:val="00203CCD"/>
    <w:rsid w:val="00203EFD"/>
    <w:rsid w:val="0020460A"/>
    <w:rsid w:val="0020478D"/>
    <w:rsid w:val="002048FE"/>
    <w:rsid w:val="00204D79"/>
    <w:rsid w:val="00204FFD"/>
    <w:rsid w:val="0020502D"/>
    <w:rsid w:val="002055D0"/>
    <w:rsid w:val="00206452"/>
    <w:rsid w:val="002069D6"/>
    <w:rsid w:val="00206C07"/>
    <w:rsid w:val="002076D7"/>
    <w:rsid w:val="0021017A"/>
    <w:rsid w:val="00210436"/>
    <w:rsid w:val="00210940"/>
    <w:rsid w:val="00211856"/>
    <w:rsid w:val="002118B8"/>
    <w:rsid w:val="002118BE"/>
    <w:rsid w:val="00211F67"/>
    <w:rsid w:val="00212265"/>
    <w:rsid w:val="002127A6"/>
    <w:rsid w:val="00212809"/>
    <w:rsid w:val="00212C4F"/>
    <w:rsid w:val="00212D4E"/>
    <w:rsid w:val="0021309C"/>
    <w:rsid w:val="00213263"/>
    <w:rsid w:val="00213466"/>
    <w:rsid w:val="0021360F"/>
    <w:rsid w:val="0021394E"/>
    <w:rsid w:val="00213B52"/>
    <w:rsid w:val="00214106"/>
    <w:rsid w:val="002141BC"/>
    <w:rsid w:val="0021484F"/>
    <w:rsid w:val="00214A2D"/>
    <w:rsid w:val="00214BA2"/>
    <w:rsid w:val="00214CB5"/>
    <w:rsid w:val="00214D94"/>
    <w:rsid w:val="00215818"/>
    <w:rsid w:val="00215ECD"/>
    <w:rsid w:val="0021605C"/>
    <w:rsid w:val="002161BD"/>
    <w:rsid w:val="002165CF"/>
    <w:rsid w:val="002166F0"/>
    <w:rsid w:val="0021696B"/>
    <w:rsid w:val="0021698A"/>
    <w:rsid w:val="00216DF5"/>
    <w:rsid w:val="00217CAD"/>
    <w:rsid w:val="002202E6"/>
    <w:rsid w:val="00220D29"/>
    <w:rsid w:val="00221665"/>
    <w:rsid w:val="002219FE"/>
    <w:rsid w:val="00221F0C"/>
    <w:rsid w:val="0022287C"/>
    <w:rsid w:val="002230A5"/>
    <w:rsid w:val="0022313F"/>
    <w:rsid w:val="002231A1"/>
    <w:rsid w:val="002233B4"/>
    <w:rsid w:val="002233B5"/>
    <w:rsid w:val="002235A7"/>
    <w:rsid w:val="00223C6B"/>
    <w:rsid w:val="002241AD"/>
    <w:rsid w:val="00224521"/>
    <w:rsid w:val="00224727"/>
    <w:rsid w:val="00224991"/>
    <w:rsid w:val="00224D1E"/>
    <w:rsid w:val="00224F75"/>
    <w:rsid w:val="00225227"/>
    <w:rsid w:val="00225500"/>
    <w:rsid w:val="00225551"/>
    <w:rsid w:val="0022568B"/>
    <w:rsid w:val="00225EF5"/>
    <w:rsid w:val="002266A8"/>
    <w:rsid w:val="0022688D"/>
    <w:rsid w:val="002268BD"/>
    <w:rsid w:val="002271C7"/>
    <w:rsid w:val="00227332"/>
    <w:rsid w:val="00227391"/>
    <w:rsid w:val="0022758A"/>
    <w:rsid w:val="00227A44"/>
    <w:rsid w:val="00227EF5"/>
    <w:rsid w:val="00227F0C"/>
    <w:rsid w:val="00230132"/>
    <w:rsid w:val="002306C1"/>
    <w:rsid w:val="00230CCA"/>
    <w:rsid w:val="00231414"/>
    <w:rsid w:val="00231540"/>
    <w:rsid w:val="00231FE6"/>
    <w:rsid w:val="002325FD"/>
    <w:rsid w:val="00232AA7"/>
    <w:rsid w:val="00233764"/>
    <w:rsid w:val="00233AC9"/>
    <w:rsid w:val="002346F2"/>
    <w:rsid w:val="0023470D"/>
    <w:rsid w:val="00234841"/>
    <w:rsid w:val="00234C31"/>
    <w:rsid w:val="00235032"/>
    <w:rsid w:val="00235530"/>
    <w:rsid w:val="00235860"/>
    <w:rsid w:val="00235B12"/>
    <w:rsid w:val="0023631C"/>
    <w:rsid w:val="002364C5"/>
    <w:rsid w:val="00236611"/>
    <w:rsid w:val="00236915"/>
    <w:rsid w:val="00236BC5"/>
    <w:rsid w:val="00237630"/>
    <w:rsid w:val="00237816"/>
    <w:rsid w:val="00240705"/>
    <w:rsid w:val="00240B5F"/>
    <w:rsid w:val="00240D75"/>
    <w:rsid w:val="00241045"/>
    <w:rsid w:val="00241056"/>
    <w:rsid w:val="00241775"/>
    <w:rsid w:val="002418B8"/>
    <w:rsid w:val="00241A42"/>
    <w:rsid w:val="00241AE9"/>
    <w:rsid w:val="00241DBB"/>
    <w:rsid w:val="0024238F"/>
    <w:rsid w:val="00242F62"/>
    <w:rsid w:val="00243833"/>
    <w:rsid w:val="00244463"/>
    <w:rsid w:val="00244A04"/>
    <w:rsid w:val="00244BFD"/>
    <w:rsid w:val="00244D2C"/>
    <w:rsid w:val="00244DB9"/>
    <w:rsid w:val="002450B8"/>
    <w:rsid w:val="0024519A"/>
    <w:rsid w:val="0024522A"/>
    <w:rsid w:val="00245607"/>
    <w:rsid w:val="0024572A"/>
    <w:rsid w:val="002458F2"/>
    <w:rsid w:val="00245E8E"/>
    <w:rsid w:val="00245FE6"/>
    <w:rsid w:val="002463FF"/>
    <w:rsid w:val="002467A4"/>
    <w:rsid w:val="00246C30"/>
    <w:rsid w:val="00246C97"/>
    <w:rsid w:val="00246CC9"/>
    <w:rsid w:val="00247169"/>
    <w:rsid w:val="00247397"/>
    <w:rsid w:val="00247A4F"/>
    <w:rsid w:val="00247C1A"/>
    <w:rsid w:val="00247C66"/>
    <w:rsid w:val="002503CF"/>
    <w:rsid w:val="002505A3"/>
    <w:rsid w:val="002505B7"/>
    <w:rsid w:val="00250FC0"/>
    <w:rsid w:val="0025164E"/>
    <w:rsid w:val="00251816"/>
    <w:rsid w:val="00251B50"/>
    <w:rsid w:val="00251E4F"/>
    <w:rsid w:val="00251E53"/>
    <w:rsid w:val="00252696"/>
    <w:rsid w:val="00252F95"/>
    <w:rsid w:val="00253790"/>
    <w:rsid w:val="002539FD"/>
    <w:rsid w:val="00253AAB"/>
    <w:rsid w:val="00253F00"/>
    <w:rsid w:val="00253FA6"/>
    <w:rsid w:val="002541E2"/>
    <w:rsid w:val="002544CB"/>
    <w:rsid w:val="00254A13"/>
    <w:rsid w:val="00254A95"/>
    <w:rsid w:val="00254CF0"/>
    <w:rsid w:val="00254E3D"/>
    <w:rsid w:val="00254F48"/>
    <w:rsid w:val="00255025"/>
    <w:rsid w:val="0025519F"/>
    <w:rsid w:val="002551B1"/>
    <w:rsid w:val="00255248"/>
    <w:rsid w:val="0025530E"/>
    <w:rsid w:val="002553C8"/>
    <w:rsid w:val="0025548D"/>
    <w:rsid w:val="0025553C"/>
    <w:rsid w:val="002555F5"/>
    <w:rsid w:val="0025563A"/>
    <w:rsid w:val="00255816"/>
    <w:rsid w:val="0025587E"/>
    <w:rsid w:val="00255884"/>
    <w:rsid w:val="00255925"/>
    <w:rsid w:val="00255A05"/>
    <w:rsid w:val="00255BDA"/>
    <w:rsid w:val="00255BE6"/>
    <w:rsid w:val="00255D46"/>
    <w:rsid w:val="0025620B"/>
    <w:rsid w:val="002562DE"/>
    <w:rsid w:val="0025671A"/>
    <w:rsid w:val="00256894"/>
    <w:rsid w:val="00256B3F"/>
    <w:rsid w:val="00256F41"/>
    <w:rsid w:val="00256FB8"/>
    <w:rsid w:val="00256FD9"/>
    <w:rsid w:val="0025734A"/>
    <w:rsid w:val="00257453"/>
    <w:rsid w:val="002575B4"/>
    <w:rsid w:val="002601AA"/>
    <w:rsid w:val="002604DA"/>
    <w:rsid w:val="002607C5"/>
    <w:rsid w:val="00260B8A"/>
    <w:rsid w:val="00260D87"/>
    <w:rsid w:val="00260FA6"/>
    <w:rsid w:val="00261A30"/>
    <w:rsid w:val="00264253"/>
    <w:rsid w:val="002644C9"/>
    <w:rsid w:val="002647C2"/>
    <w:rsid w:val="00264A6C"/>
    <w:rsid w:val="00264CBF"/>
    <w:rsid w:val="002650B0"/>
    <w:rsid w:val="0026548B"/>
    <w:rsid w:val="002656DC"/>
    <w:rsid w:val="00266307"/>
    <w:rsid w:val="00267345"/>
    <w:rsid w:val="00267895"/>
    <w:rsid w:val="00267905"/>
    <w:rsid w:val="00267FB6"/>
    <w:rsid w:val="002701CD"/>
    <w:rsid w:val="002704F5"/>
    <w:rsid w:val="00270BAF"/>
    <w:rsid w:val="00270CC4"/>
    <w:rsid w:val="00270FE4"/>
    <w:rsid w:val="0027179F"/>
    <w:rsid w:val="0027180F"/>
    <w:rsid w:val="00272655"/>
    <w:rsid w:val="00272934"/>
    <w:rsid w:val="0027298C"/>
    <w:rsid w:val="00272EAF"/>
    <w:rsid w:val="002735C5"/>
    <w:rsid w:val="002740B6"/>
    <w:rsid w:val="002741F3"/>
    <w:rsid w:val="002742C7"/>
    <w:rsid w:val="0027434F"/>
    <w:rsid w:val="00274427"/>
    <w:rsid w:val="00274C1D"/>
    <w:rsid w:val="00275E94"/>
    <w:rsid w:val="00276837"/>
    <w:rsid w:val="0027696E"/>
    <w:rsid w:val="00276B05"/>
    <w:rsid w:val="00276B3E"/>
    <w:rsid w:val="00276BE5"/>
    <w:rsid w:val="00277744"/>
    <w:rsid w:val="0027776C"/>
    <w:rsid w:val="002778EC"/>
    <w:rsid w:val="00277AFE"/>
    <w:rsid w:val="0028028B"/>
    <w:rsid w:val="00280E09"/>
    <w:rsid w:val="00280EED"/>
    <w:rsid w:val="002812F7"/>
    <w:rsid w:val="002816B1"/>
    <w:rsid w:val="00281DDE"/>
    <w:rsid w:val="0028280F"/>
    <w:rsid w:val="00282A9A"/>
    <w:rsid w:val="00282D38"/>
    <w:rsid w:val="00282F67"/>
    <w:rsid w:val="0028323B"/>
    <w:rsid w:val="00283339"/>
    <w:rsid w:val="002834B4"/>
    <w:rsid w:val="002836A3"/>
    <w:rsid w:val="002837AA"/>
    <w:rsid w:val="00283A25"/>
    <w:rsid w:val="002841BC"/>
    <w:rsid w:val="00284262"/>
    <w:rsid w:val="00284263"/>
    <w:rsid w:val="0028450E"/>
    <w:rsid w:val="002847CB"/>
    <w:rsid w:val="0028481C"/>
    <w:rsid w:val="00284D60"/>
    <w:rsid w:val="00284E22"/>
    <w:rsid w:val="00285021"/>
    <w:rsid w:val="00285B1A"/>
    <w:rsid w:val="00285CED"/>
    <w:rsid w:val="00285E63"/>
    <w:rsid w:val="00285EC0"/>
    <w:rsid w:val="00285EEC"/>
    <w:rsid w:val="002862A0"/>
    <w:rsid w:val="00286415"/>
    <w:rsid w:val="0028697E"/>
    <w:rsid w:val="00286A17"/>
    <w:rsid w:val="00286EF8"/>
    <w:rsid w:val="00286F79"/>
    <w:rsid w:val="002874AF"/>
    <w:rsid w:val="0028776C"/>
    <w:rsid w:val="00287A2A"/>
    <w:rsid w:val="00287D03"/>
    <w:rsid w:val="00287E2C"/>
    <w:rsid w:val="00287EFB"/>
    <w:rsid w:val="00290327"/>
    <w:rsid w:val="00290380"/>
    <w:rsid w:val="0029133C"/>
    <w:rsid w:val="00291987"/>
    <w:rsid w:val="00291BCB"/>
    <w:rsid w:val="00291C30"/>
    <w:rsid w:val="002920CA"/>
    <w:rsid w:val="0029295E"/>
    <w:rsid w:val="00292B36"/>
    <w:rsid w:val="002931A3"/>
    <w:rsid w:val="002931C7"/>
    <w:rsid w:val="0029327C"/>
    <w:rsid w:val="00293491"/>
    <w:rsid w:val="002937C6"/>
    <w:rsid w:val="00293A06"/>
    <w:rsid w:val="00293EF9"/>
    <w:rsid w:val="00294834"/>
    <w:rsid w:val="00294EB7"/>
    <w:rsid w:val="0029502E"/>
    <w:rsid w:val="00295032"/>
    <w:rsid w:val="00295404"/>
    <w:rsid w:val="0029555E"/>
    <w:rsid w:val="00295DEF"/>
    <w:rsid w:val="00295E25"/>
    <w:rsid w:val="00295F26"/>
    <w:rsid w:val="002967E1"/>
    <w:rsid w:val="00296E12"/>
    <w:rsid w:val="00297183"/>
    <w:rsid w:val="00297354"/>
    <w:rsid w:val="0029768E"/>
    <w:rsid w:val="0029769B"/>
    <w:rsid w:val="002976A8"/>
    <w:rsid w:val="00297B61"/>
    <w:rsid w:val="00297DE6"/>
    <w:rsid w:val="00297E8E"/>
    <w:rsid w:val="00297FAE"/>
    <w:rsid w:val="002A0054"/>
    <w:rsid w:val="002A062B"/>
    <w:rsid w:val="002A078B"/>
    <w:rsid w:val="002A07E2"/>
    <w:rsid w:val="002A087B"/>
    <w:rsid w:val="002A0917"/>
    <w:rsid w:val="002A0C14"/>
    <w:rsid w:val="002A0D47"/>
    <w:rsid w:val="002A0E19"/>
    <w:rsid w:val="002A1D15"/>
    <w:rsid w:val="002A2065"/>
    <w:rsid w:val="002A209C"/>
    <w:rsid w:val="002A2495"/>
    <w:rsid w:val="002A25F2"/>
    <w:rsid w:val="002A2952"/>
    <w:rsid w:val="002A29DE"/>
    <w:rsid w:val="002A2D9C"/>
    <w:rsid w:val="002A3C29"/>
    <w:rsid w:val="002A3E2E"/>
    <w:rsid w:val="002A4137"/>
    <w:rsid w:val="002A4B01"/>
    <w:rsid w:val="002A50E5"/>
    <w:rsid w:val="002A55B6"/>
    <w:rsid w:val="002A58BD"/>
    <w:rsid w:val="002A5DF4"/>
    <w:rsid w:val="002A60EA"/>
    <w:rsid w:val="002A642F"/>
    <w:rsid w:val="002A6510"/>
    <w:rsid w:val="002A67F6"/>
    <w:rsid w:val="002A6D8C"/>
    <w:rsid w:val="002A7156"/>
    <w:rsid w:val="002A7494"/>
    <w:rsid w:val="002A782B"/>
    <w:rsid w:val="002A788F"/>
    <w:rsid w:val="002A7AD7"/>
    <w:rsid w:val="002A7DEA"/>
    <w:rsid w:val="002B012E"/>
    <w:rsid w:val="002B0DFA"/>
    <w:rsid w:val="002B0E12"/>
    <w:rsid w:val="002B10B3"/>
    <w:rsid w:val="002B1C3A"/>
    <w:rsid w:val="002B1F79"/>
    <w:rsid w:val="002B29D8"/>
    <w:rsid w:val="002B2CC1"/>
    <w:rsid w:val="002B2D8D"/>
    <w:rsid w:val="002B2DCD"/>
    <w:rsid w:val="002B33BB"/>
    <w:rsid w:val="002B3A21"/>
    <w:rsid w:val="002B3D5C"/>
    <w:rsid w:val="002B4295"/>
    <w:rsid w:val="002B49FF"/>
    <w:rsid w:val="002B4FAA"/>
    <w:rsid w:val="002B547D"/>
    <w:rsid w:val="002B5791"/>
    <w:rsid w:val="002B5B59"/>
    <w:rsid w:val="002B5C2E"/>
    <w:rsid w:val="002B62DA"/>
    <w:rsid w:val="002B632E"/>
    <w:rsid w:val="002B651C"/>
    <w:rsid w:val="002B6871"/>
    <w:rsid w:val="002B6F6D"/>
    <w:rsid w:val="002B71EC"/>
    <w:rsid w:val="002B7631"/>
    <w:rsid w:val="002B7645"/>
    <w:rsid w:val="002B7E15"/>
    <w:rsid w:val="002B7E60"/>
    <w:rsid w:val="002B7EF5"/>
    <w:rsid w:val="002C055B"/>
    <w:rsid w:val="002C0AD1"/>
    <w:rsid w:val="002C14EA"/>
    <w:rsid w:val="002C1853"/>
    <w:rsid w:val="002C1C49"/>
    <w:rsid w:val="002C1D07"/>
    <w:rsid w:val="002C205C"/>
    <w:rsid w:val="002C26BC"/>
    <w:rsid w:val="002C2B5A"/>
    <w:rsid w:val="002C2B66"/>
    <w:rsid w:val="002C2CD1"/>
    <w:rsid w:val="002C38E2"/>
    <w:rsid w:val="002C39C0"/>
    <w:rsid w:val="002C3B9C"/>
    <w:rsid w:val="002C3DD8"/>
    <w:rsid w:val="002C3F15"/>
    <w:rsid w:val="002C3FB0"/>
    <w:rsid w:val="002C41B5"/>
    <w:rsid w:val="002C49DE"/>
    <w:rsid w:val="002C58A5"/>
    <w:rsid w:val="002C5AEB"/>
    <w:rsid w:val="002C5E93"/>
    <w:rsid w:val="002C6141"/>
    <w:rsid w:val="002C65B4"/>
    <w:rsid w:val="002C65FA"/>
    <w:rsid w:val="002C6992"/>
    <w:rsid w:val="002C6C82"/>
    <w:rsid w:val="002C72AB"/>
    <w:rsid w:val="002C72FD"/>
    <w:rsid w:val="002C7DCF"/>
    <w:rsid w:val="002D0255"/>
    <w:rsid w:val="002D090F"/>
    <w:rsid w:val="002D0E59"/>
    <w:rsid w:val="002D0EEF"/>
    <w:rsid w:val="002D1783"/>
    <w:rsid w:val="002D290B"/>
    <w:rsid w:val="002D2B15"/>
    <w:rsid w:val="002D2DDF"/>
    <w:rsid w:val="002D37D4"/>
    <w:rsid w:val="002D3868"/>
    <w:rsid w:val="002D38E2"/>
    <w:rsid w:val="002D3929"/>
    <w:rsid w:val="002D3E71"/>
    <w:rsid w:val="002D417F"/>
    <w:rsid w:val="002D43BD"/>
    <w:rsid w:val="002D4DBF"/>
    <w:rsid w:val="002D4EAD"/>
    <w:rsid w:val="002D50F9"/>
    <w:rsid w:val="002D521B"/>
    <w:rsid w:val="002D5B58"/>
    <w:rsid w:val="002D5E81"/>
    <w:rsid w:val="002D6C7B"/>
    <w:rsid w:val="002D6D26"/>
    <w:rsid w:val="002D6E11"/>
    <w:rsid w:val="002D6E47"/>
    <w:rsid w:val="002D7098"/>
    <w:rsid w:val="002D7651"/>
    <w:rsid w:val="002D7825"/>
    <w:rsid w:val="002D7931"/>
    <w:rsid w:val="002D7B00"/>
    <w:rsid w:val="002E079A"/>
    <w:rsid w:val="002E09E1"/>
    <w:rsid w:val="002E1885"/>
    <w:rsid w:val="002E19AD"/>
    <w:rsid w:val="002E1EA8"/>
    <w:rsid w:val="002E1F03"/>
    <w:rsid w:val="002E242F"/>
    <w:rsid w:val="002E245A"/>
    <w:rsid w:val="002E2809"/>
    <w:rsid w:val="002E2861"/>
    <w:rsid w:val="002E2A4E"/>
    <w:rsid w:val="002E2FD1"/>
    <w:rsid w:val="002E370B"/>
    <w:rsid w:val="002E465E"/>
    <w:rsid w:val="002E4802"/>
    <w:rsid w:val="002E4EE1"/>
    <w:rsid w:val="002E5271"/>
    <w:rsid w:val="002E5360"/>
    <w:rsid w:val="002E5619"/>
    <w:rsid w:val="002E59AD"/>
    <w:rsid w:val="002E5A5E"/>
    <w:rsid w:val="002E5DE1"/>
    <w:rsid w:val="002E5F28"/>
    <w:rsid w:val="002E6140"/>
    <w:rsid w:val="002E6149"/>
    <w:rsid w:val="002E6CED"/>
    <w:rsid w:val="002E71B8"/>
    <w:rsid w:val="002E7679"/>
    <w:rsid w:val="002E7B6A"/>
    <w:rsid w:val="002E7BC6"/>
    <w:rsid w:val="002E7CA3"/>
    <w:rsid w:val="002E7F57"/>
    <w:rsid w:val="002F081D"/>
    <w:rsid w:val="002F0896"/>
    <w:rsid w:val="002F09B4"/>
    <w:rsid w:val="002F0CFA"/>
    <w:rsid w:val="002F1254"/>
    <w:rsid w:val="002F1C68"/>
    <w:rsid w:val="002F243A"/>
    <w:rsid w:val="002F26E9"/>
    <w:rsid w:val="002F27BC"/>
    <w:rsid w:val="002F2ADB"/>
    <w:rsid w:val="002F3284"/>
    <w:rsid w:val="002F332F"/>
    <w:rsid w:val="002F357E"/>
    <w:rsid w:val="002F3AF1"/>
    <w:rsid w:val="002F3D41"/>
    <w:rsid w:val="002F3E81"/>
    <w:rsid w:val="002F3FCB"/>
    <w:rsid w:val="002F40EA"/>
    <w:rsid w:val="002F4218"/>
    <w:rsid w:val="002F4757"/>
    <w:rsid w:val="002F4AA8"/>
    <w:rsid w:val="002F4E80"/>
    <w:rsid w:val="002F5201"/>
    <w:rsid w:val="002F53F3"/>
    <w:rsid w:val="002F5729"/>
    <w:rsid w:val="002F5874"/>
    <w:rsid w:val="002F5A0F"/>
    <w:rsid w:val="002F6366"/>
    <w:rsid w:val="002F6B56"/>
    <w:rsid w:val="002F6D10"/>
    <w:rsid w:val="002F70CC"/>
    <w:rsid w:val="002F7391"/>
    <w:rsid w:val="002F7414"/>
    <w:rsid w:val="002F74D5"/>
    <w:rsid w:val="002F74FB"/>
    <w:rsid w:val="002F7640"/>
    <w:rsid w:val="002F7815"/>
    <w:rsid w:val="00300040"/>
    <w:rsid w:val="003003F8"/>
    <w:rsid w:val="003006FD"/>
    <w:rsid w:val="00300A3D"/>
    <w:rsid w:val="00300ACF"/>
    <w:rsid w:val="00300AE4"/>
    <w:rsid w:val="00300C68"/>
    <w:rsid w:val="00301093"/>
    <w:rsid w:val="00301150"/>
    <w:rsid w:val="003011EF"/>
    <w:rsid w:val="0030172D"/>
    <w:rsid w:val="003017F3"/>
    <w:rsid w:val="00301980"/>
    <w:rsid w:val="00301A76"/>
    <w:rsid w:val="00301B83"/>
    <w:rsid w:val="003024EE"/>
    <w:rsid w:val="0030292B"/>
    <w:rsid w:val="00302FFD"/>
    <w:rsid w:val="0030343F"/>
    <w:rsid w:val="0030363F"/>
    <w:rsid w:val="00303D2C"/>
    <w:rsid w:val="00304D48"/>
    <w:rsid w:val="00304E39"/>
    <w:rsid w:val="00304E82"/>
    <w:rsid w:val="00304EA9"/>
    <w:rsid w:val="00304F6F"/>
    <w:rsid w:val="0030549B"/>
    <w:rsid w:val="003058D0"/>
    <w:rsid w:val="003058FB"/>
    <w:rsid w:val="003059DA"/>
    <w:rsid w:val="00305BEE"/>
    <w:rsid w:val="00305C7B"/>
    <w:rsid w:val="003060D9"/>
    <w:rsid w:val="00306D33"/>
    <w:rsid w:val="00307DA5"/>
    <w:rsid w:val="003104B4"/>
    <w:rsid w:val="00310591"/>
    <w:rsid w:val="00310A44"/>
    <w:rsid w:val="00310DB0"/>
    <w:rsid w:val="0031182C"/>
    <w:rsid w:val="00311A23"/>
    <w:rsid w:val="00311CAE"/>
    <w:rsid w:val="00311D12"/>
    <w:rsid w:val="00311ED6"/>
    <w:rsid w:val="00312157"/>
    <w:rsid w:val="00312AC3"/>
    <w:rsid w:val="00312CE7"/>
    <w:rsid w:val="00312FC2"/>
    <w:rsid w:val="0031319B"/>
    <w:rsid w:val="00313ECF"/>
    <w:rsid w:val="0031402C"/>
    <w:rsid w:val="00314166"/>
    <w:rsid w:val="00314761"/>
    <w:rsid w:val="00314880"/>
    <w:rsid w:val="00314B83"/>
    <w:rsid w:val="00314F9D"/>
    <w:rsid w:val="00315E5E"/>
    <w:rsid w:val="0031623D"/>
    <w:rsid w:val="00316307"/>
    <w:rsid w:val="00316A42"/>
    <w:rsid w:val="0031717B"/>
    <w:rsid w:val="0031781F"/>
    <w:rsid w:val="00317E51"/>
    <w:rsid w:val="003202B5"/>
    <w:rsid w:val="003204F9"/>
    <w:rsid w:val="0032076D"/>
    <w:rsid w:val="003209F8"/>
    <w:rsid w:val="00320D66"/>
    <w:rsid w:val="0032116D"/>
    <w:rsid w:val="003212F7"/>
    <w:rsid w:val="00321345"/>
    <w:rsid w:val="0032159B"/>
    <w:rsid w:val="00321642"/>
    <w:rsid w:val="00321F08"/>
    <w:rsid w:val="00321F81"/>
    <w:rsid w:val="00322252"/>
    <w:rsid w:val="00322317"/>
    <w:rsid w:val="00322451"/>
    <w:rsid w:val="003226BB"/>
    <w:rsid w:val="00322CE6"/>
    <w:rsid w:val="00322D8C"/>
    <w:rsid w:val="00322F93"/>
    <w:rsid w:val="00323267"/>
    <w:rsid w:val="0032379C"/>
    <w:rsid w:val="003238F1"/>
    <w:rsid w:val="0032405B"/>
    <w:rsid w:val="0032479E"/>
    <w:rsid w:val="0032498B"/>
    <w:rsid w:val="00324AE3"/>
    <w:rsid w:val="00324B38"/>
    <w:rsid w:val="00324C6F"/>
    <w:rsid w:val="0032556B"/>
    <w:rsid w:val="00325590"/>
    <w:rsid w:val="0032568B"/>
    <w:rsid w:val="0032580C"/>
    <w:rsid w:val="003258F9"/>
    <w:rsid w:val="00325989"/>
    <w:rsid w:val="00325E07"/>
    <w:rsid w:val="00325F38"/>
    <w:rsid w:val="00326FD1"/>
    <w:rsid w:val="00327173"/>
    <w:rsid w:val="00330364"/>
    <w:rsid w:val="0033076F"/>
    <w:rsid w:val="00330A30"/>
    <w:rsid w:val="00330B4B"/>
    <w:rsid w:val="00330D82"/>
    <w:rsid w:val="00330EDC"/>
    <w:rsid w:val="00330FA8"/>
    <w:rsid w:val="0033124F"/>
    <w:rsid w:val="00331408"/>
    <w:rsid w:val="003318AA"/>
    <w:rsid w:val="00331CF3"/>
    <w:rsid w:val="00332CB6"/>
    <w:rsid w:val="00333708"/>
    <w:rsid w:val="00333D8D"/>
    <w:rsid w:val="00334275"/>
    <w:rsid w:val="003343FA"/>
    <w:rsid w:val="00334402"/>
    <w:rsid w:val="00334935"/>
    <w:rsid w:val="00334B21"/>
    <w:rsid w:val="00334B64"/>
    <w:rsid w:val="00335133"/>
    <w:rsid w:val="003351A3"/>
    <w:rsid w:val="003359A4"/>
    <w:rsid w:val="00335F08"/>
    <w:rsid w:val="0033608F"/>
    <w:rsid w:val="003362B9"/>
    <w:rsid w:val="0033657D"/>
    <w:rsid w:val="00336632"/>
    <w:rsid w:val="0033695A"/>
    <w:rsid w:val="00336BBE"/>
    <w:rsid w:val="003375CC"/>
    <w:rsid w:val="003401EB"/>
    <w:rsid w:val="00340511"/>
    <w:rsid w:val="003405BD"/>
    <w:rsid w:val="00340702"/>
    <w:rsid w:val="0034071F"/>
    <w:rsid w:val="00340990"/>
    <w:rsid w:val="00341C67"/>
    <w:rsid w:val="00341E21"/>
    <w:rsid w:val="00341E36"/>
    <w:rsid w:val="00341FA0"/>
    <w:rsid w:val="00342A67"/>
    <w:rsid w:val="00342D3F"/>
    <w:rsid w:val="00342F43"/>
    <w:rsid w:val="003430EC"/>
    <w:rsid w:val="0034406A"/>
    <w:rsid w:val="00345198"/>
    <w:rsid w:val="003452EF"/>
    <w:rsid w:val="0034568E"/>
    <w:rsid w:val="00345887"/>
    <w:rsid w:val="00345888"/>
    <w:rsid w:val="003458A9"/>
    <w:rsid w:val="003459AD"/>
    <w:rsid w:val="00345F7D"/>
    <w:rsid w:val="00345F97"/>
    <w:rsid w:val="003462EF"/>
    <w:rsid w:val="00346403"/>
    <w:rsid w:val="003466F3"/>
    <w:rsid w:val="00346B5B"/>
    <w:rsid w:val="00346C0A"/>
    <w:rsid w:val="00346C7F"/>
    <w:rsid w:val="00346D14"/>
    <w:rsid w:val="00346FAD"/>
    <w:rsid w:val="00347A5A"/>
    <w:rsid w:val="00347D7E"/>
    <w:rsid w:val="0035027E"/>
    <w:rsid w:val="00350BB1"/>
    <w:rsid w:val="00350BDD"/>
    <w:rsid w:val="00350CE9"/>
    <w:rsid w:val="00350EAC"/>
    <w:rsid w:val="00351654"/>
    <w:rsid w:val="00351DBA"/>
    <w:rsid w:val="003522AC"/>
    <w:rsid w:val="003528EB"/>
    <w:rsid w:val="00354278"/>
    <w:rsid w:val="00354A8A"/>
    <w:rsid w:val="003550C6"/>
    <w:rsid w:val="00355A1C"/>
    <w:rsid w:val="00355B2E"/>
    <w:rsid w:val="00355E25"/>
    <w:rsid w:val="003561B5"/>
    <w:rsid w:val="003565A9"/>
    <w:rsid w:val="00356C90"/>
    <w:rsid w:val="00356D36"/>
    <w:rsid w:val="0035763B"/>
    <w:rsid w:val="003576C1"/>
    <w:rsid w:val="00357E14"/>
    <w:rsid w:val="00357FA3"/>
    <w:rsid w:val="003600CD"/>
    <w:rsid w:val="00361C2C"/>
    <w:rsid w:val="00361EE3"/>
    <w:rsid w:val="0036209B"/>
    <w:rsid w:val="00362888"/>
    <w:rsid w:val="003629DB"/>
    <w:rsid w:val="00362A7B"/>
    <w:rsid w:val="00362A96"/>
    <w:rsid w:val="00363348"/>
    <w:rsid w:val="00363AA0"/>
    <w:rsid w:val="00363B46"/>
    <w:rsid w:val="00363C6C"/>
    <w:rsid w:val="00363F60"/>
    <w:rsid w:val="00364122"/>
    <w:rsid w:val="003645B2"/>
    <w:rsid w:val="00364663"/>
    <w:rsid w:val="00364962"/>
    <w:rsid w:val="00364E04"/>
    <w:rsid w:val="00364EA8"/>
    <w:rsid w:val="003656AD"/>
    <w:rsid w:val="00365AFA"/>
    <w:rsid w:val="00365BAF"/>
    <w:rsid w:val="0036675B"/>
    <w:rsid w:val="00366B92"/>
    <w:rsid w:val="00367490"/>
    <w:rsid w:val="0036782F"/>
    <w:rsid w:val="00367C0C"/>
    <w:rsid w:val="00367D37"/>
    <w:rsid w:val="00367F6D"/>
    <w:rsid w:val="00370B8B"/>
    <w:rsid w:val="003714C1"/>
    <w:rsid w:val="003715B1"/>
    <w:rsid w:val="00371755"/>
    <w:rsid w:val="0037215D"/>
    <w:rsid w:val="003728EA"/>
    <w:rsid w:val="00372966"/>
    <w:rsid w:val="003734B9"/>
    <w:rsid w:val="0037363F"/>
    <w:rsid w:val="00373671"/>
    <w:rsid w:val="0037407D"/>
    <w:rsid w:val="0037471B"/>
    <w:rsid w:val="00374861"/>
    <w:rsid w:val="00374AE5"/>
    <w:rsid w:val="00374C0B"/>
    <w:rsid w:val="00374D8D"/>
    <w:rsid w:val="00374D8E"/>
    <w:rsid w:val="003750C4"/>
    <w:rsid w:val="0037542C"/>
    <w:rsid w:val="00375E25"/>
    <w:rsid w:val="003763C7"/>
    <w:rsid w:val="0037682C"/>
    <w:rsid w:val="00376BBD"/>
    <w:rsid w:val="00376E3F"/>
    <w:rsid w:val="00376F72"/>
    <w:rsid w:val="0037712C"/>
    <w:rsid w:val="00377B84"/>
    <w:rsid w:val="00377BBB"/>
    <w:rsid w:val="00377C8A"/>
    <w:rsid w:val="0038019E"/>
    <w:rsid w:val="00380498"/>
    <w:rsid w:val="00380D74"/>
    <w:rsid w:val="003812B7"/>
    <w:rsid w:val="00381433"/>
    <w:rsid w:val="003817CA"/>
    <w:rsid w:val="003817E4"/>
    <w:rsid w:val="003817FA"/>
    <w:rsid w:val="00381D95"/>
    <w:rsid w:val="00381F97"/>
    <w:rsid w:val="0038228D"/>
    <w:rsid w:val="003831F3"/>
    <w:rsid w:val="003845EC"/>
    <w:rsid w:val="00384C38"/>
    <w:rsid w:val="00384C5B"/>
    <w:rsid w:val="00384D06"/>
    <w:rsid w:val="00385130"/>
    <w:rsid w:val="0038542B"/>
    <w:rsid w:val="0038655D"/>
    <w:rsid w:val="003866C3"/>
    <w:rsid w:val="00386A06"/>
    <w:rsid w:val="00386AE0"/>
    <w:rsid w:val="00386C78"/>
    <w:rsid w:val="00386D44"/>
    <w:rsid w:val="00387335"/>
    <w:rsid w:val="00387631"/>
    <w:rsid w:val="00390380"/>
    <w:rsid w:val="00390416"/>
    <w:rsid w:val="00390870"/>
    <w:rsid w:val="00390DA8"/>
    <w:rsid w:val="00391125"/>
    <w:rsid w:val="003917B6"/>
    <w:rsid w:val="00391976"/>
    <w:rsid w:val="00391A3F"/>
    <w:rsid w:val="003922EA"/>
    <w:rsid w:val="0039239B"/>
    <w:rsid w:val="00392466"/>
    <w:rsid w:val="00392910"/>
    <w:rsid w:val="0039295D"/>
    <w:rsid w:val="00392BAA"/>
    <w:rsid w:val="00392F5D"/>
    <w:rsid w:val="0039311E"/>
    <w:rsid w:val="00393462"/>
    <w:rsid w:val="003936D6"/>
    <w:rsid w:val="00393700"/>
    <w:rsid w:val="00394043"/>
    <w:rsid w:val="00394072"/>
    <w:rsid w:val="0039418C"/>
    <w:rsid w:val="003943FD"/>
    <w:rsid w:val="00394B4D"/>
    <w:rsid w:val="00394C39"/>
    <w:rsid w:val="003951B4"/>
    <w:rsid w:val="003955D9"/>
    <w:rsid w:val="0039575D"/>
    <w:rsid w:val="00395B60"/>
    <w:rsid w:val="00396162"/>
    <w:rsid w:val="0039676D"/>
    <w:rsid w:val="00396BE1"/>
    <w:rsid w:val="003971A3"/>
    <w:rsid w:val="00397526"/>
    <w:rsid w:val="00397B31"/>
    <w:rsid w:val="00397F38"/>
    <w:rsid w:val="003A011E"/>
    <w:rsid w:val="003A033E"/>
    <w:rsid w:val="003A06D5"/>
    <w:rsid w:val="003A08DA"/>
    <w:rsid w:val="003A0911"/>
    <w:rsid w:val="003A0928"/>
    <w:rsid w:val="003A0A17"/>
    <w:rsid w:val="003A0C36"/>
    <w:rsid w:val="003A0CD3"/>
    <w:rsid w:val="003A1214"/>
    <w:rsid w:val="003A14B3"/>
    <w:rsid w:val="003A1CA5"/>
    <w:rsid w:val="003A1CDF"/>
    <w:rsid w:val="003A2488"/>
    <w:rsid w:val="003A2B3F"/>
    <w:rsid w:val="003A2DED"/>
    <w:rsid w:val="003A2EBE"/>
    <w:rsid w:val="003A37B5"/>
    <w:rsid w:val="003A382A"/>
    <w:rsid w:val="003A3D29"/>
    <w:rsid w:val="003A3FE8"/>
    <w:rsid w:val="003A41EF"/>
    <w:rsid w:val="003A4367"/>
    <w:rsid w:val="003A485F"/>
    <w:rsid w:val="003A49A1"/>
    <w:rsid w:val="003A4D20"/>
    <w:rsid w:val="003A53D3"/>
    <w:rsid w:val="003A5951"/>
    <w:rsid w:val="003A5C5A"/>
    <w:rsid w:val="003A6342"/>
    <w:rsid w:val="003A6378"/>
    <w:rsid w:val="003A638F"/>
    <w:rsid w:val="003A63AF"/>
    <w:rsid w:val="003A6926"/>
    <w:rsid w:val="003A6A35"/>
    <w:rsid w:val="003A6E25"/>
    <w:rsid w:val="003A71BA"/>
    <w:rsid w:val="003A7D93"/>
    <w:rsid w:val="003B045D"/>
    <w:rsid w:val="003B0653"/>
    <w:rsid w:val="003B070C"/>
    <w:rsid w:val="003B071B"/>
    <w:rsid w:val="003B0923"/>
    <w:rsid w:val="003B0F85"/>
    <w:rsid w:val="003B14F8"/>
    <w:rsid w:val="003B15A8"/>
    <w:rsid w:val="003B1655"/>
    <w:rsid w:val="003B1B37"/>
    <w:rsid w:val="003B1ED7"/>
    <w:rsid w:val="003B2608"/>
    <w:rsid w:val="003B26D5"/>
    <w:rsid w:val="003B2934"/>
    <w:rsid w:val="003B2B42"/>
    <w:rsid w:val="003B34BF"/>
    <w:rsid w:val="003B35A4"/>
    <w:rsid w:val="003B474E"/>
    <w:rsid w:val="003B4ADD"/>
    <w:rsid w:val="003B5043"/>
    <w:rsid w:val="003B5460"/>
    <w:rsid w:val="003B60AC"/>
    <w:rsid w:val="003B690F"/>
    <w:rsid w:val="003B6A94"/>
    <w:rsid w:val="003B73AA"/>
    <w:rsid w:val="003B77D7"/>
    <w:rsid w:val="003B7A1A"/>
    <w:rsid w:val="003B7EC9"/>
    <w:rsid w:val="003C065A"/>
    <w:rsid w:val="003C0869"/>
    <w:rsid w:val="003C0B45"/>
    <w:rsid w:val="003C0D84"/>
    <w:rsid w:val="003C0DD8"/>
    <w:rsid w:val="003C1C83"/>
    <w:rsid w:val="003C2149"/>
    <w:rsid w:val="003C21C4"/>
    <w:rsid w:val="003C24CC"/>
    <w:rsid w:val="003C2C4A"/>
    <w:rsid w:val="003C2C65"/>
    <w:rsid w:val="003C2C96"/>
    <w:rsid w:val="003C3203"/>
    <w:rsid w:val="003C340E"/>
    <w:rsid w:val="003C3B69"/>
    <w:rsid w:val="003C3C00"/>
    <w:rsid w:val="003C3E2F"/>
    <w:rsid w:val="003C41FA"/>
    <w:rsid w:val="003C42E3"/>
    <w:rsid w:val="003C4520"/>
    <w:rsid w:val="003C4A3F"/>
    <w:rsid w:val="003C561A"/>
    <w:rsid w:val="003C6788"/>
    <w:rsid w:val="003C69D3"/>
    <w:rsid w:val="003C6C14"/>
    <w:rsid w:val="003C6D84"/>
    <w:rsid w:val="003C6E07"/>
    <w:rsid w:val="003C723F"/>
    <w:rsid w:val="003C745D"/>
    <w:rsid w:val="003C7621"/>
    <w:rsid w:val="003C7907"/>
    <w:rsid w:val="003C7D6D"/>
    <w:rsid w:val="003C7DFD"/>
    <w:rsid w:val="003C7F6A"/>
    <w:rsid w:val="003D016B"/>
    <w:rsid w:val="003D021F"/>
    <w:rsid w:val="003D07C0"/>
    <w:rsid w:val="003D0B33"/>
    <w:rsid w:val="003D1364"/>
    <w:rsid w:val="003D1AEA"/>
    <w:rsid w:val="003D1E95"/>
    <w:rsid w:val="003D261D"/>
    <w:rsid w:val="003D296E"/>
    <w:rsid w:val="003D2F10"/>
    <w:rsid w:val="003D3350"/>
    <w:rsid w:val="003D3C6B"/>
    <w:rsid w:val="003D401E"/>
    <w:rsid w:val="003D4047"/>
    <w:rsid w:val="003D499C"/>
    <w:rsid w:val="003D4A53"/>
    <w:rsid w:val="003D4AE6"/>
    <w:rsid w:val="003D4B6B"/>
    <w:rsid w:val="003D4DD0"/>
    <w:rsid w:val="003D4F62"/>
    <w:rsid w:val="003D5338"/>
    <w:rsid w:val="003D5C5B"/>
    <w:rsid w:val="003D5D25"/>
    <w:rsid w:val="003D5DCD"/>
    <w:rsid w:val="003D5DF4"/>
    <w:rsid w:val="003D5FB2"/>
    <w:rsid w:val="003D642D"/>
    <w:rsid w:val="003D6644"/>
    <w:rsid w:val="003D6729"/>
    <w:rsid w:val="003D7001"/>
    <w:rsid w:val="003D70AE"/>
    <w:rsid w:val="003D7317"/>
    <w:rsid w:val="003D755A"/>
    <w:rsid w:val="003D7AE0"/>
    <w:rsid w:val="003D7C21"/>
    <w:rsid w:val="003E02E4"/>
    <w:rsid w:val="003E0695"/>
    <w:rsid w:val="003E0B70"/>
    <w:rsid w:val="003E1059"/>
    <w:rsid w:val="003E1949"/>
    <w:rsid w:val="003E1DB4"/>
    <w:rsid w:val="003E2193"/>
    <w:rsid w:val="003E2761"/>
    <w:rsid w:val="003E2764"/>
    <w:rsid w:val="003E294C"/>
    <w:rsid w:val="003E2A26"/>
    <w:rsid w:val="003E2B5D"/>
    <w:rsid w:val="003E3317"/>
    <w:rsid w:val="003E3747"/>
    <w:rsid w:val="003E37A2"/>
    <w:rsid w:val="003E3D3E"/>
    <w:rsid w:val="003E3E7D"/>
    <w:rsid w:val="003E42B1"/>
    <w:rsid w:val="003E4ADA"/>
    <w:rsid w:val="003E4C95"/>
    <w:rsid w:val="003E4E9A"/>
    <w:rsid w:val="003E4EDC"/>
    <w:rsid w:val="003E5063"/>
    <w:rsid w:val="003E5955"/>
    <w:rsid w:val="003E5C74"/>
    <w:rsid w:val="003E6209"/>
    <w:rsid w:val="003E6422"/>
    <w:rsid w:val="003E6697"/>
    <w:rsid w:val="003E6EFE"/>
    <w:rsid w:val="003E7208"/>
    <w:rsid w:val="003E738E"/>
    <w:rsid w:val="003E752D"/>
    <w:rsid w:val="003E785D"/>
    <w:rsid w:val="003E7B79"/>
    <w:rsid w:val="003E7D54"/>
    <w:rsid w:val="003E7DFE"/>
    <w:rsid w:val="003E7EDE"/>
    <w:rsid w:val="003E7F93"/>
    <w:rsid w:val="003F0444"/>
    <w:rsid w:val="003F0886"/>
    <w:rsid w:val="003F0D2C"/>
    <w:rsid w:val="003F1272"/>
    <w:rsid w:val="003F14D1"/>
    <w:rsid w:val="003F1962"/>
    <w:rsid w:val="003F1998"/>
    <w:rsid w:val="003F1BAD"/>
    <w:rsid w:val="003F1F2A"/>
    <w:rsid w:val="003F2436"/>
    <w:rsid w:val="003F25B8"/>
    <w:rsid w:val="003F26D7"/>
    <w:rsid w:val="003F2D44"/>
    <w:rsid w:val="003F2FBD"/>
    <w:rsid w:val="003F34E5"/>
    <w:rsid w:val="003F3513"/>
    <w:rsid w:val="003F36CB"/>
    <w:rsid w:val="003F3DFD"/>
    <w:rsid w:val="003F4008"/>
    <w:rsid w:val="003F4156"/>
    <w:rsid w:val="003F4255"/>
    <w:rsid w:val="003F4539"/>
    <w:rsid w:val="003F47F1"/>
    <w:rsid w:val="003F48CD"/>
    <w:rsid w:val="003F56EA"/>
    <w:rsid w:val="003F59F8"/>
    <w:rsid w:val="003F5B75"/>
    <w:rsid w:val="003F5BAB"/>
    <w:rsid w:val="003F5F6B"/>
    <w:rsid w:val="003F62D5"/>
    <w:rsid w:val="003F6B16"/>
    <w:rsid w:val="003F6E23"/>
    <w:rsid w:val="003F704F"/>
    <w:rsid w:val="003F71AE"/>
    <w:rsid w:val="003F7664"/>
    <w:rsid w:val="004000E8"/>
    <w:rsid w:val="00400B93"/>
    <w:rsid w:val="00400E6B"/>
    <w:rsid w:val="00401799"/>
    <w:rsid w:val="00401810"/>
    <w:rsid w:val="00401B3A"/>
    <w:rsid w:val="0040216E"/>
    <w:rsid w:val="004026BB"/>
    <w:rsid w:val="00402D30"/>
    <w:rsid w:val="00402F70"/>
    <w:rsid w:val="004031C3"/>
    <w:rsid w:val="0040373F"/>
    <w:rsid w:val="00403BD5"/>
    <w:rsid w:val="00403FC8"/>
    <w:rsid w:val="00404A77"/>
    <w:rsid w:val="00405B7D"/>
    <w:rsid w:val="00406251"/>
    <w:rsid w:val="00406903"/>
    <w:rsid w:val="00406A2D"/>
    <w:rsid w:val="00407CB7"/>
    <w:rsid w:val="00407EC2"/>
    <w:rsid w:val="00407F40"/>
    <w:rsid w:val="0041006D"/>
    <w:rsid w:val="004106DB"/>
    <w:rsid w:val="00410824"/>
    <w:rsid w:val="00410FBD"/>
    <w:rsid w:val="00411448"/>
    <w:rsid w:val="0041170C"/>
    <w:rsid w:val="004117F4"/>
    <w:rsid w:val="00411836"/>
    <w:rsid w:val="0041192F"/>
    <w:rsid w:val="00411DBE"/>
    <w:rsid w:val="0041202D"/>
    <w:rsid w:val="0041205E"/>
    <w:rsid w:val="0041237B"/>
    <w:rsid w:val="004125B3"/>
    <w:rsid w:val="00412949"/>
    <w:rsid w:val="00412D8E"/>
    <w:rsid w:val="00412F69"/>
    <w:rsid w:val="00413A00"/>
    <w:rsid w:val="00413B6A"/>
    <w:rsid w:val="00413CAF"/>
    <w:rsid w:val="004149B2"/>
    <w:rsid w:val="00415072"/>
    <w:rsid w:val="0041542C"/>
    <w:rsid w:val="004154E4"/>
    <w:rsid w:val="00415689"/>
    <w:rsid w:val="00415AB0"/>
    <w:rsid w:val="00415D16"/>
    <w:rsid w:val="00416177"/>
    <w:rsid w:val="00416860"/>
    <w:rsid w:val="00416B29"/>
    <w:rsid w:val="00416FA3"/>
    <w:rsid w:val="004170A2"/>
    <w:rsid w:val="004171E2"/>
    <w:rsid w:val="00417645"/>
    <w:rsid w:val="0041765D"/>
    <w:rsid w:val="00417784"/>
    <w:rsid w:val="00417910"/>
    <w:rsid w:val="00417930"/>
    <w:rsid w:val="00417BB7"/>
    <w:rsid w:val="00417FDC"/>
    <w:rsid w:val="0042091C"/>
    <w:rsid w:val="00420941"/>
    <w:rsid w:val="00420E69"/>
    <w:rsid w:val="004210F6"/>
    <w:rsid w:val="0042111F"/>
    <w:rsid w:val="00421141"/>
    <w:rsid w:val="00421218"/>
    <w:rsid w:val="004218BA"/>
    <w:rsid w:val="00422D6A"/>
    <w:rsid w:val="004232CD"/>
    <w:rsid w:val="00423890"/>
    <w:rsid w:val="00423B4E"/>
    <w:rsid w:val="00423BD0"/>
    <w:rsid w:val="00423C41"/>
    <w:rsid w:val="00423C82"/>
    <w:rsid w:val="00423F7C"/>
    <w:rsid w:val="00424305"/>
    <w:rsid w:val="00424743"/>
    <w:rsid w:val="00424F62"/>
    <w:rsid w:val="00425192"/>
    <w:rsid w:val="00425AAF"/>
    <w:rsid w:val="00425B48"/>
    <w:rsid w:val="00426028"/>
    <w:rsid w:val="004261B4"/>
    <w:rsid w:val="004262FD"/>
    <w:rsid w:val="00426DA1"/>
    <w:rsid w:val="0042729B"/>
    <w:rsid w:val="004274E0"/>
    <w:rsid w:val="00427921"/>
    <w:rsid w:val="00427F78"/>
    <w:rsid w:val="00430004"/>
    <w:rsid w:val="00430070"/>
    <w:rsid w:val="0043067F"/>
    <w:rsid w:val="00430691"/>
    <w:rsid w:val="0043090C"/>
    <w:rsid w:val="00430B19"/>
    <w:rsid w:val="0043195D"/>
    <w:rsid w:val="00432145"/>
    <w:rsid w:val="004321FD"/>
    <w:rsid w:val="0043256D"/>
    <w:rsid w:val="00432769"/>
    <w:rsid w:val="004327D3"/>
    <w:rsid w:val="0043334E"/>
    <w:rsid w:val="004336DE"/>
    <w:rsid w:val="004338A8"/>
    <w:rsid w:val="00435736"/>
    <w:rsid w:val="00435989"/>
    <w:rsid w:val="004359CD"/>
    <w:rsid w:val="004362E8"/>
    <w:rsid w:val="00436AAB"/>
    <w:rsid w:val="00436B59"/>
    <w:rsid w:val="00436DC5"/>
    <w:rsid w:val="0043701B"/>
    <w:rsid w:val="00437417"/>
    <w:rsid w:val="004378EB"/>
    <w:rsid w:val="00437C45"/>
    <w:rsid w:val="00437D98"/>
    <w:rsid w:val="00440000"/>
    <w:rsid w:val="00440862"/>
    <w:rsid w:val="00440E1E"/>
    <w:rsid w:val="004414CF"/>
    <w:rsid w:val="00441523"/>
    <w:rsid w:val="00441731"/>
    <w:rsid w:val="004418E1"/>
    <w:rsid w:val="00441CD9"/>
    <w:rsid w:val="00441E40"/>
    <w:rsid w:val="00442079"/>
    <w:rsid w:val="0044222B"/>
    <w:rsid w:val="004423CB"/>
    <w:rsid w:val="004424B4"/>
    <w:rsid w:val="004426BD"/>
    <w:rsid w:val="004427B0"/>
    <w:rsid w:val="00442874"/>
    <w:rsid w:val="004428A9"/>
    <w:rsid w:val="00442AA0"/>
    <w:rsid w:val="00442AC3"/>
    <w:rsid w:val="0044312E"/>
    <w:rsid w:val="004439E1"/>
    <w:rsid w:val="00443A67"/>
    <w:rsid w:val="00443A9E"/>
    <w:rsid w:val="00443CCB"/>
    <w:rsid w:val="00443E15"/>
    <w:rsid w:val="004443A5"/>
    <w:rsid w:val="004443BB"/>
    <w:rsid w:val="0044467F"/>
    <w:rsid w:val="004451A4"/>
    <w:rsid w:val="004452E1"/>
    <w:rsid w:val="0044534A"/>
    <w:rsid w:val="0044553B"/>
    <w:rsid w:val="004457DB"/>
    <w:rsid w:val="00445836"/>
    <w:rsid w:val="004463B7"/>
    <w:rsid w:val="004467F1"/>
    <w:rsid w:val="00446838"/>
    <w:rsid w:val="00447314"/>
    <w:rsid w:val="00447994"/>
    <w:rsid w:val="00447C5B"/>
    <w:rsid w:val="00447D41"/>
    <w:rsid w:val="004502DD"/>
    <w:rsid w:val="004507E0"/>
    <w:rsid w:val="00450810"/>
    <w:rsid w:val="00450BCD"/>
    <w:rsid w:val="00450BDA"/>
    <w:rsid w:val="00450CDD"/>
    <w:rsid w:val="00451132"/>
    <w:rsid w:val="004515B4"/>
    <w:rsid w:val="00451961"/>
    <w:rsid w:val="00452603"/>
    <w:rsid w:val="004527E1"/>
    <w:rsid w:val="00452FDB"/>
    <w:rsid w:val="004537C7"/>
    <w:rsid w:val="00453DA3"/>
    <w:rsid w:val="00454402"/>
    <w:rsid w:val="0045461C"/>
    <w:rsid w:val="00454963"/>
    <w:rsid w:val="0045565C"/>
    <w:rsid w:val="00455A04"/>
    <w:rsid w:val="00455B7C"/>
    <w:rsid w:val="00455E7D"/>
    <w:rsid w:val="00456A74"/>
    <w:rsid w:val="004570C4"/>
    <w:rsid w:val="004572F9"/>
    <w:rsid w:val="00457340"/>
    <w:rsid w:val="00457562"/>
    <w:rsid w:val="00457B11"/>
    <w:rsid w:val="00457B66"/>
    <w:rsid w:val="00457FFE"/>
    <w:rsid w:val="00460481"/>
    <w:rsid w:val="00460C21"/>
    <w:rsid w:val="00461784"/>
    <w:rsid w:val="00461A48"/>
    <w:rsid w:val="00461BAD"/>
    <w:rsid w:val="00462069"/>
    <w:rsid w:val="00462072"/>
    <w:rsid w:val="00462287"/>
    <w:rsid w:val="00462755"/>
    <w:rsid w:val="004629F9"/>
    <w:rsid w:val="00462B5C"/>
    <w:rsid w:val="00463118"/>
    <w:rsid w:val="00463150"/>
    <w:rsid w:val="00463431"/>
    <w:rsid w:val="00463489"/>
    <w:rsid w:val="00463570"/>
    <w:rsid w:val="0046357B"/>
    <w:rsid w:val="004636C1"/>
    <w:rsid w:val="004642AF"/>
    <w:rsid w:val="00464A3D"/>
    <w:rsid w:val="00464B5F"/>
    <w:rsid w:val="00464DF9"/>
    <w:rsid w:val="00464E20"/>
    <w:rsid w:val="004651D9"/>
    <w:rsid w:val="004655B3"/>
    <w:rsid w:val="00465D4F"/>
    <w:rsid w:val="00465F77"/>
    <w:rsid w:val="00466272"/>
    <w:rsid w:val="00466871"/>
    <w:rsid w:val="00467324"/>
    <w:rsid w:val="004673E1"/>
    <w:rsid w:val="004676CD"/>
    <w:rsid w:val="00467929"/>
    <w:rsid w:val="00467B9F"/>
    <w:rsid w:val="00467E8A"/>
    <w:rsid w:val="00467FF2"/>
    <w:rsid w:val="004705E2"/>
    <w:rsid w:val="004708B3"/>
    <w:rsid w:val="00470EBF"/>
    <w:rsid w:val="00471012"/>
    <w:rsid w:val="004713C3"/>
    <w:rsid w:val="004714A6"/>
    <w:rsid w:val="00471722"/>
    <w:rsid w:val="004717EF"/>
    <w:rsid w:val="00471E00"/>
    <w:rsid w:val="00472314"/>
    <w:rsid w:val="00472B5C"/>
    <w:rsid w:val="00473285"/>
    <w:rsid w:val="00473594"/>
    <w:rsid w:val="00473A78"/>
    <w:rsid w:val="00473C60"/>
    <w:rsid w:val="00473D0D"/>
    <w:rsid w:val="00474199"/>
    <w:rsid w:val="0047438C"/>
    <w:rsid w:val="00475630"/>
    <w:rsid w:val="00475734"/>
    <w:rsid w:val="00475B8B"/>
    <w:rsid w:val="00476263"/>
    <w:rsid w:val="0047638A"/>
    <w:rsid w:val="00476439"/>
    <w:rsid w:val="00476548"/>
    <w:rsid w:val="004769EB"/>
    <w:rsid w:val="00476ED3"/>
    <w:rsid w:val="00476F39"/>
    <w:rsid w:val="00477A48"/>
    <w:rsid w:val="004805C1"/>
    <w:rsid w:val="0048067F"/>
    <w:rsid w:val="00480868"/>
    <w:rsid w:val="00480AA4"/>
    <w:rsid w:val="00480AF2"/>
    <w:rsid w:val="00480EAA"/>
    <w:rsid w:val="00480F76"/>
    <w:rsid w:val="00480FB1"/>
    <w:rsid w:val="004811A2"/>
    <w:rsid w:val="004814B9"/>
    <w:rsid w:val="0048181B"/>
    <w:rsid w:val="00481BB2"/>
    <w:rsid w:val="00481BE8"/>
    <w:rsid w:val="00481C88"/>
    <w:rsid w:val="00481C8E"/>
    <w:rsid w:val="00481CAE"/>
    <w:rsid w:val="00481F0B"/>
    <w:rsid w:val="00482358"/>
    <w:rsid w:val="00482575"/>
    <w:rsid w:val="00482631"/>
    <w:rsid w:val="0048311F"/>
    <w:rsid w:val="00483324"/>
    <w:rsid w:val="0048358A"/>
    <w:rsid w:val="00483A32"/>
    <w:rsid w:val="00483B6F"/>
    <w:rsid w:val="00483EF5"/>
    <w:rsid w:val="004845CF"/>
    <w:rsid w:val="00484A5C"/>
    <w:rsid w:val="00484D4C"/>
    <w:rsid w:val="00484E36"/>
    <w:rsid w:val="004855BE"/>
    <w:rsid w:val="0048634F"/>
    <w:rsid w:val="00486BD1"/>
    <w:rsid w:val="00486BE5"/>
    <w:rsid w:val="00487545"/>
    <w:rsid w:val="004875B2"/>
    <w:rsid w:val="00487870"/>
    <w:rsid w:val="00487D13"/>
    <w:rsid w:val="00487F6B"/>
    <w:rsid w:val="004900D1"/>
    <w:rsid w:val="0049030A"/>
    <w:rsid w:val="004909E0"/>
    <w:rsid w:val="00490BFC"/>
    <w:rsid w:val="00490CBF"/>
    <w:rsid w:val="00490D88"/>
    <w:rsid w:val="0049109F"/>
    <w:rsid w:val="00491203"/>
    <w:rsid w:val="0049165C"/>
    <w:rsid w:val="00491841"/>
    <w:rsid w:val="00491F4E"/>
    <w:rsid w:val="00492DB0"/>
    <w:rsid w:val="00492FD3"/>
    <w:rsid w:val="00493370"/>
    <w:rsid w:val="00493591"/>
    <w:rsid w:val="0049376F"/>
    <w:rsid w:val="0049383D"/>
    <w:rsid w:val="00493CFE"/>
    <w:rsid w:val="004944ED"/>
    <w:rsid w:val="00494A24"/>
    <w:rsid w:val="00494B80"/>
    <w:rsid w:val="00494D81"/>
    <w:rsid w:val="00495310"/>
    <w:rsid w:val="004953A7"/>
    <w:rsid w:val="004955A3"/>
    <w:rsid w:val="0049573B"/>
    <w:rsid w:val="00495B54"/>
    <w:rsid w:val="0049606B"/>
    <w:rsid w:val="00496384"/>
    <w:rsid w:val="0049678C"/>
    <w:rsid w:val="00496FA1"/>
    <w:rsid w:val="004977C6"/>
    <w:rsid w:val="00497846"/>
    <w:rsid w:val="00497D42"/>
    <w:rsid w:val="004A00AB"/>
    <w:rsid w:val="004A0AE2"/>
    <w:rsid w:val="004A0ECE"/>
    <w:rsid w:val="004A0FBD"/>
    <w:rsid w:val="004A10C9"/>
    <w:rsid w:val="004A164A"/>
    <w:rsid w:val="004A16DE"/>
    <w:rsid w:val="004A16E5"/>
    <w:rsid w:val="004A1B33"/>
    <w:rsid w:val="004A1FBD"/>
    <w:rsid w:val="004A233C"/>
    <w:rsid w:val="004A235B"/>
    <w:rsid w:val="004A2699"/>
    <w:rsid w:val="004A2AD8"/>
    <w:rsid w:val="004A2D90"/>
    <w:rsid w:val="004A3226"/>
    <w:rsid w:val="004A382F"/>
    <w:rsid w:val="004A38D4"/>
    <w:rsid w:val="004A3B1D"/>
    <w:rsid w:val="004A3EDC"/>
    <w:rsid w:val="004A3F83"/>
    <w:rsid w:val="004A4948"/>
    <w:rsid w:val="004A4B22"/>
    <w:rsid w:val="004A4DE1"/>
    <w:rsid w:val="004A4E41"/>
    <w:rsid w:val="004A5693"/>
    <w:rsid w:val="004A5C0B"/>
    <w:rsid w:val="004A5E29"/>
    <w:rsid w:val="004A6438"/>
    <w:rsid w:val="004A697B"/>
    <w:rsid w:val="004A6E5B"/>
    <w:rsid w:val="004A6F45"/>
    <w:rsid w:val="004A726B"/>
    <w:rsid w:val="004A79A1"/>
    <w:rsid w:val="004A79CC"/>
    <w:rsid w:val="004A7D73"/>
    <w:rsid w:val="004A7F48"/>
    <w:rsid w:val="004B015A"/>
    <w:rsid w:val="004B05B8"/>
    <w:rsid w:val="004B087E"/>
    <w:rsid w:val="004B08BF"/>
    <w:rsid w:val="004B0CCA"/>
    <w:rsid w:val="004B117A"/>
    <w:rsid w:val="004B12A1"/>
    <w:rsid w:val="004B12D0"/>
    <w:rsid w:val="004B1317"/>
    <w:rsid w:val="004B1476"/>
    <w:rsid w:val="004B16B8"/>
    <w:rsid w:val="004B16C9"/>
    <w:rsid w:val="004B1971"/>
    <w:rsid w:val="004B1E2E"/>
    <w:rsid w:val="004B1F2E"/>
    <w:rsid w:val="004B1F5F"/>
    <w:rsid w:val="004B268C"/>
    <w:rsid w:val="004B2751"/>
    <w:rsid w:val="004B2926"/>
    <w:rsid w:val="004B2A9B"/>
    <w:rsid w:val="004B362E"/>
    <w:rsid w:val="004B38B7"/>
    <w:rsid w:val="004B3BBC"/>
    <w:rsid w:val="004B3BF8"/>
    <w:rsid w:val="004B3CE1"/>
    <w:rsid w:val="004B3DDD"/>
    <w:rsid w:val="004B4554"/>
    <w:rsid w:val="004B455B"/>
    <w:rsid w:val="004B4CE4"/>
    <w:rsid w:val="004B4D4A"/>
    <w:rsid w:val="004B5514"/>
    <w:rsid w:val="004B5A0B"/>
    <w:rsid w:val="004B5F2D"/>
    <w:rsid w:val="004B6135"/>
    <w:rsid w:val="004B61E2"/>
    <w:rsid w:val="004B6514"/>
    <w:rsid w:val="004B6F02"/>
    <w:rsid w:val="004B6F94"/>
    <w:rsid w:val="004B7090"/>
    <w:rsid w:val="004B7410"/>
    <w:rsid w:val="004B78B6"/>
    <w:rsid w:val="004B7B40"/>
    <w:rsid w:val="004C03CB"/>
    <w:rsid w:val="004C0410"/>
    <w:rsid w:val="004C057C"/>
    <w:rsid w:val="004C0AE7"/>
    <w:rsid w:val="004C0EA5"/>
    <w:rsid w:val="004C0EB8"/>
    <w:rsid w:val="004C0F68"/>
    <w:rsid w:val="004C10B6"/>
    <w:rsid w:val="004C11E5"/>
    <w:rsid w:val="004C175A"/>
    <w:rsid w:val="004C17CB"/>
    <w:rsid w:val="004C1BEA"/>
    <w:rsid w:val="004C2224"/>
    <w:rsid w:val="004C2500"/>
    <w:rsid w:val="004C2E4A"/>
    <w:rsid w:val="004C3289"/>
    <w:rsid w:val="004C338D"/>
    <w:rsid w:val="004C36F5"/>
    <w:rsid w:val="004C3873"/>
    <w:rsid w:val="004C38E3"/>
    <w:rsid w:val="004C3B64"/>
    <w:rsid w:val="004C48DB"/>
    <w:rsid w:val="004C4D64"/>
    <w:rsid w:val="004C517E"/>
    <w:rsid w:val="004C53AD"/>
    <w:rsid w:val="004C54FD"/>
    <w:rsid w:val="004C573D"/>
    <w:rsid w:val="004C57B4"/>
    <w:rsid w:val="004C6692"/>
    <w:rsid w:val="004C67EA"/>
    <w:rsid w:val="004C6978"/>
    <w:rsid w:val="004C7045"/>
    <w:rsid w:val="004C756E"/>
    <w:rsid w:val="004C7E0F"/>
    <w:rsid w:val="004C7F7E"/>
    <w:rsid w:val="004D01A8"/>
    <w:rsid w:val="004D0499"/>
    <w:rsid w:val="004D0620"/>
    <w:rsid w:val="004D0AD2"/>
    <w:rsid w:val="004D0F3C"/>
    <w:rsid w:val="004D1157"/>
    <w:rsid w:val="004D183D"/>
    <w:rsid w:val="004D1F43"/>
    <w:rsid w:val="004D2949"/>
    <w:rsid w:val="004D2A27"/>
    <w:rsid w:val="004D2D59"/>
    <w:rsid w:val="004D2D82"/>
    <w:rsid w:val="004D366F"/>
    <w:rsid w:val="004D38A0"/>
    <w:rsid w:val="004D3BFC"/>
    <w:rsid w:val="004D44BD"/>
    <w:rsid w:val="004D48AE"/>
    <w:rsid w:val="004D497F"/>
    <w:rsid w:val="004D4AA1"/>
    <w:rsid w:val="004D4D10"/>
    <w:rsid w:val="004D4F76"/>
    <w:rsid w:val="004D50AC"/>
    <w:rsid w:val="004D512A"/>
    <w:rsid w:val="004D5231"/>
    <w:rsid w:val="004D5A7F"/>
    <w:rsid w:val="004D5FA4"/>
    <w:rsid w:val="004D61B9"/>
    <w:rsid w:val="004D6276"/>
    <w:rsid w:val="004D6888"/>
    <w:rsid w:val="004D6971"/>
    <w:rsid w:val="004D6AC0"/>
    <w:rsid w:val="004D7BAE"/>
    <w:rsid w:val="004D7F48"/>
    <w:rsid w:val="004E00A9"/>
    <w:rsid w:val="004E00B5"/>
    <w:rsid w:val="004E0639"/>
    <w:rsid w:val="004E0AC4"/>
    <w:rsid w:val="004E0B06"/>
    <w:rsid w:val="004E1219"/>
    <w:rsid w:val="004E144C"/>
    <w:rsid w:val="004E1FC4"/>
    <w:rsid w:val="004E1FE4"/>
    <w:rsid w:val="004E2014"/>
    <w:rsid w:val="004E22C4"/>
    <w:rsid w:val="004E2A5D"/>
    <w:rsid w:val="004E2CBA"/>
    <w:rsid w:val="004E36E8"/>
    <w:rsid w:val="004E37CA"/>
    <w:rsid w:val="004E3A6A"/>
    <w:rsid w:val="004E3C4A"/>
    <w:rsid w:val="004E4158"/>
    <w:rsid w:val="004E439E"/>
    <w:rsid w:val="004E43B3"/>
    <w:rsid w:val="004E45B8"/>
    <w:rsid w:val="004E46FA"/>
    <w:rsid w:val="004E4C2A"/>
    <w:rsid w:val="004E55D5"/>
    <w:rsid w:val="004E5BE7"/>
    <w:rsid w:val="004E5D62"/>
    <w:rsid w:val="004E5EA3"/>
    <w:rsid w:val="004E5F48"/>
    <w:rsid w:val="004E6268"/>
    <w:rsid w:val="004E6516"/>
    <w:rsid w:val="004E6815"/>
    <w:rsid w:val="004E6EC0"/>
    <w:rsid w:val="004E729F"/>
    <w:rsid w:val="004E72D4"/>
    <w:rsid w:val="004E7690"/>
    <w:rsid w:val="004E79E1"/>
    <w:rsid w:val="004F010B"/>
    <w:rsid w:val="004F027D"/>
    <w:rsid w:val="004F035C"/>
    <w:rsid w:val="004F0AC2"/>
    <w:rsid w:val="004F0D36"/>
    <w:rsid w:val="004F137B"/>
    <w:rsid w:val="004F1728"/>
    <w:rsid w:val="004F1B0F"/>
    <w:rsid w:val="004F2010"/>
    <w:rsid w:val="004F2162"/>
    <w:rsid w:val="004F345B"/>
    <w:rsid w:val="004F35A9"/>
    <w:rsid w:val="004F3720"/>
    <w:rsid w:val="004F38D3"/>
    <w:rsid w:val="004F3CF0"/>
    <w:rsid w:val="004F3D5F"/>
    <w:rsid w:val="004F4054"/>
    <w:rsid w:val="004F4320"/>
    <w:rsid w:val="004F4716"/>
    <w:rsid w:val="004F4C36"/>
    <w:rsid w:val="004F507F"/>
    <w:rsid w:val="004F51AF"/>
    <w:rsid w:val="004F522A"/>
    <w:rsid w:val="004F526B"/>
    <w:rsid w:val="004F554D"/>
    <w:rsid w:val="004F5687"/>
    <w:rsid w:val="004F56A6"/>
    <w:rsid w:val="004F5D4C"/>
    <w:rsid w:val="004F5F07"/>
    <w:rsid w:val="004F6068"/>
    <w:rsid w:val="004F64C6"/>
    <w:rsid w:val="004F665B"/>
    <w:rsid w:val="004F6F43"/>
    <w:rsid w:val="004F7195"/>
    <w:rsid w:val="004F71E0"/>
    <w:rsid w:val="004F79E3"/>
    <w:rsid w:val="00500438"/>
    <w:rsid w:val="00500719"/>
    <w:rsid w:val="00500A9C"/>
    <w:rsid w:val="00500CE5"/>
    <w:rsid w:val="005010DF"/>
    <w:rsid w:val="0050160B"/>
    <w:rsid w:val="00502491"/>
    <w:rsid w:val="00502715"/>
    <w:rsid w:val="005035B3"/>
    <w:rsid w:val="00503680"/>
    <w:rsid w:val="00503C2D"/>
    <w:rsid w:val="00503D57"/>
    <w:rsid w:val="00503ED7"/>
    <w:rsid w:val="00504519"/>
    <w:rsid w:val="00504797"/>
    <w:rsid w:val="00504B23"/>
    <w:rsid w:val="00504B59"/>
    <w:rsid w:val="00504D07"/>
    <w:rsid w:val="00504D7B"/>
    <w:rsid w:val="005051A6"/>
    <w:rsid w:val="005052B7"/>
    <w:rsid w:val="0050535F"/>
    <w:rsid w:val="005056F6"/>
    <w:rsid w:val="0050596E"/>
    <w:rsid w:val="00505F10"/>
    <w:rsid w:val="00505F97"/>
    <w:rsid w:val="005061F8"/>
    <w:rsid w:val="005063F9"/>
    <w:rsid w:val="00506DCA"/>
    <w:rsid w:val="00506DD4"/>
    <w:rsid w:val="00506E66"/>
    <w:rsid w:val="00507327"/>
    <w:rsid w:val="00507B5D"/>
    <w:rsid w:val="00507ECA"/>
    <w:rsid w:val="00507EDF"/>
    <w:rsid w:val="00507FB9"/>
    <w:rsid w:val="00510913"/>
    <w:rsid w:val="0051139A"/>
    <w:rsid w:val="0051163E"/>
    <w:rsid w:val="00511771"/>
    <w:rsid w:val="00511D7B"/>
    <w:rsid w:val="00511DFD"/>
    <w:rsid w:val="00511F1B"/>
    <w:rsid w:val="005122F6"/>
    <w:rsid w:val="005127E4"/>
    <w:rsid w:val="005128C6"/>
    <w:rsid w:val="00512A3D"/>
    <w:rsid w:val="00512DE2"/>
    <w:rsid w:val="00513289"/>
    <w:rsid w:val="005137A1"/>
    <w:rsid w:val="00513B04"/>
    <w:rsid w:val="00513F25"/>
    <w:rsid w:val="005142FB"/>
    <w:rsid w:val="005146FC"/>
    <w:rsid w:val="0051525E"/>
    <w:rsid w:val="00515358"/>
    <w:rsid w:val="00515675"/>
    <w:rsid w:val="00515763"/>
    <w:rsid w:val="00515A4C"/>
    <w:rsid w:val="00515D96"/>
    <w:rsid w:val="00516233"/>
    <w:rsid w:val="00516D40"/>
    <w:rsid w:val="00517166"/>
    <w:rsid w:val="0051773E"/>
    <w:rsid w:val="005177E5"/>
    <w:rsid w:val="00517DEE"/>
    <w:rsid w:val="00517F27"/>
    <w:rsid w:val="00520186"/>
    <w:rsid w:val="0052029F"/>
    <w:rsid w:val="00520320"/>
    <w:rsid w:val="00520A4A"/>
    <w:rsid w:val="00520B46"/>
    <w:rsid w:val="00520DB2"/>
    <w:rsid w:val="0052115B"/>
    <w:rsid w:val="0052162B"/>
    <w:rsid w:val="00521BC6"/>
    <w:rsid w:val="00521BFE"/>
    <w:rsid w:val="0052224F"/>
    <w:rsid w:val="00522390"/>
    <w:rsid w:val="0052241D"/>
    <w:rsid w:val="0052298D"/>
    <w:rsid w:val="00522DD5"/>
    <w:rsid w:val="00522E26"/>
    <w:rsid w:val="00523103"/>
    <w:rsid w:val="00523D7B"/>
    <w:rsid w:val="00523E3A"/>
    <w:rsid w:val="005241DC"/>
    <w:rsid w:val="00524D17"/>
    <w:rsid w:val="00524E4B"/>
    <w:rsid w:val="00524F39"/>
    <w:rsid w:val="00524FC6"/>
    <w:rsid w:val="005252AE"/>
    <w:rsid w:val="005259AC"/>
    <w:rsid w:val="00525F58"/>
    <w:rsid w:val="00525FEA"/>
    <w:rsid w:val="00526253"/>
    <w:rsid w:val="005267E7"/>
    <w:rsid w:val="00526A01"/>
    <w:rsid w:val="00526B05"/>
    <w:rsid w:val="00526BC9"/>
    <w:rsid w:val="00526DFE"/>
    <w:rsid w:val="00527222"/>
    <w:rsid w:val="005273D5"/>
    <w:rsid w:val="0052749A"/>
    <w:rsid w:val="00527943"/>
    <w:rsid w:val="00530389"/>
    <w:rsid w:val="00530553"/>
    <w:rsid w:val="00530729"/>
    <w:rsid w:val="0053094A"/>
    <w:rsid w:val="00530F37"/>
    <w:rsid w:val="005316F2"/>
    <w:rsid w:val="00531A9E"/>
    <w:rsid w:val="00531C04"/>
    <w:rsid w:val="00531C05"/>
    <w:rsid w:val="005321F9"/>
    <w:rsid w:val="00532342"/>
    <w:rsid w:val="005324D0"/>
    <w:rsid w:val="005325D2"/>
    <w:rsid w:val="005329CC"/>
    <w:rsid w:val="00533232"/>
    <w:rsid w:val="00533D6D"/>
    <w:rsid w:val="00533D75"/>
    <w:rsid w:val="00534375"/>
    <w:rsid w:val="00534609"/>
    <w:rsid w:val="005348BA"/>
    <w:rsid w:val="0053506C"/>
    <w:rsid w:val="005350A7"/>
    <w:rsid w:val="00535284"/>
    <w:rsid w:val="00535995"/>
    <w:rsid w:val="00535996"/>
    <w:rsid w:val="00536152"/>
    <w:rsid w:val="0053622F"/>
    <w:rsid w:val="00536A91"/>
    <w:rsid w:val="00536C07"/>
    <w:rsid w:val="00537005"/>
    <w:rsid w:val="005374B8"/>
    <w:rsid w:val="0053767D"/>
    <w:rsid w:val="00537CD0"/>
    <w:rsid w:val="005406C0"/>
    <w:rsid w:val="00540F9E"/>
    <w:rsid w:val="005413AD"/>
    <w:rsid w:val="00542225"/>
    <w:rsid w:val="0054246A"/>
    <w:rsid w:val="00542594"/>
    <w:rsid w:val="00542F54"/>
    <w:rsid w:val="005432C0"/>
    <w:rsid w:val="00543750"/>
    <w:rsid w:val="00544205"/>
    <w:rsid w:val="0054526D"/>
    <w:rsid w:val="005456A8"/>
    <w:rsid w:val="00546752"/>
    <w:rsid w:val="00546D49"/>
    <w:rsid w:val="00546E7C"/>
    <w:rsid w:val="0054731E"/>
    <w:rsid w:val="00547686"/>
    <w:rsid w:val="005477AF"/>
    <w:rsid w:val="00547878"/>
    <w:rsid w:val="005478D2"/>
    <w:rsid w:val="00547F08"/>
    <w:rsid w:val="00550194"/>
    <w:rsid w:val="00550224"/>
    <w:rsid w:val="00550292"/>
    <w:rsid w:val="0055048D"/>
    <w:rsid w:val="00550B6E"/>
    <w:rsid w:val="00550BED"/>
    <w:rsid w:val="00550C81"/>
    <w:rsid w:val="00550EEA"/>
    <w:rsid w:val="00551096"/>
    <w:rsid w:val="00551316"/>
    <w:rsid w:val="0055187B"/>
    <w:rsid w:val="005518B8"/>
    <w:rsid w:val="0055193D"/>
    <w:rsid w:val="00551AC6"/>
    <w:rsid w:val="00551D45"/>
    <w:rsid w:val="00552213"/>
    <w:rsid w:val="005522B9"/>
    <w:rsid w:val="0055237C"/>
    <w:rsid w:val="00552820"/>
    <w:rsid w:val="005528D8"/>
    <w:rsid w:val="00552935"/>
    <w:rsid w:val="00552A9E"/>
    <w:rsid w:val="00552BF3"/>
    <w:rsid w:val="00552EE2"/>
    <w:rsid w:val="00553800"/>
    <w:rsid w:val="0055388D"/>
    <w:rsid w:val="005543EA"/>
    <w:rsid w:val="00554720"/>
    <w:rsid w:val="00554B55"/>
    <w:rsid w:val="00554F0A"/>
    <w:rsid w:val="00554F1A"/>
    <w:rsid w:val="00554F6B"/>
    <w:rsid w:val="00554FF9"/>
    <w:rsid w:val="00555074"/>
    <w:rsid w:val="00555309"/>
    <w:rsid w:val="00555425"/>
    <w:rsid w:val="00555580"/>
    <w:rsid w:val="00555859"/>
    <w:rsid w:val="0055587B"/>
    <w:rsid w:val="00555AA6"/>
    <w:rsid w:val="00555E33"/>
    <w:rsid w:val="00555F25"/>
    <w:rsid w:val="00555F7E"/>
    <w:rsid w:val="00555F84"/>
    <w:rsid w:val="00556014"/>
    <w:rsid w:val="0055604A"/>
    <w:rsid w:val="005564B0"/>
    <w:rsid w:val="00556979"/>
    <w:rsid w:val="00557535"/>
    <w:rsid w:val="00557C42"/>
    <w:rsid w:val="00557C6B"/>
    <w:rsid w:val="00560206"/>
    <w:rsid w:val="0056056A"/>
    <w:rsid w:val="00560845"/>
    <w:rsid w:val="00561784"/>
    <w:rsid w:val="00561A8D"/>
    <w:rsid w:val="005621D2"/>
    <w:rsid w:val="00562360"/>
    <w:rsid w:val="0056252F"/>
    <w:rsid w:val="005625C0"/>
    <w:rsid w:val="00562674"/>
    <w:rsid w:val="00562D18"/>
    <w:rsid w:val="00562E86"/>
    <w:rsid w:val="00563787"/>
    <w:rsid w:val="005639A1"/>
    <w:rsid w:val="005639A9"/>
    <w:rsid w:val="00563D61"/>
    <w:rsid w:val="00564622"/>
    <w:rsid w:val="00564F22"/>
    <w:rsid w:val="0056506B"/>
    <w:rsid w:val="005652F5"/>
    <w:rsid w:val="00565519"/>
    <w:rsid w:val="00565EEC"/>
    <w:rsid w:val="00565FCC"/>
    <w:rsid w:val="005665B2"/>
    <w:rsid w:val="00566C73"/>
    <w:rsid w:val="00566D5D"/>
    <w:rsid w:val="00567197"/>
    <w:rsid w:val="00567618"/>
    <w:rsid w:val="00567664"/>
    <w:rsid w:val="005678F4"/>
    <w:rsid w:val="0057038B"/>
    <w:rsid w:val="00570AD8"/>
    <w:rsid w:val="00570BA2"/>
    <w:rsid w:val="00570F0B"/>
    <w:rsid w:val="0057118D"/>
    <w:rsid w:val="00571DC3"/>
    <w:rsid w:val="00572235"/>
    <w:rsid w:val="0057223C"/>
    <w:rsid w:val="005722CB"/>
    <w:rsid w:val="00572329"/>
    <w:rsid w:val="005723F4"/>
    <w:rsid w:val="00572A76"/>
    <w:rsid w:val="005733C2"/>
    <w:rsid w:val="005733E9"/>
    <w:rsid w:val="00573DCD"/>
    <w:rsid w:val="00573F13"/>
    <w:rsid w:val="005741BD"/>
    <w:rsid w:val="00574229"/>
    <w:rsid w:val="0057459F"/>
    <w:rsid w:val="00574A39"/>
    <w:rsid w:val="00574BB3"/>
    <w:rsid w:val="00574CFD"/>
    <w:rsid w:val="00574D37"/>
    <w:rsid w:val="00574D90"/>
    <w:rsid w:val="00574DA1"/>
    <w:rsid w:val="00574E37"/>
    <w:rsid w:val="00575380"/>
    <w:rsid w:val="005754E1"/>
    <w:rsid w:val="00575789"/>
    <w:rsid w:val="00576548"/>
    <w:rsid w:val="00576AD0"/>
    <w:rsid w:val="00576B6D"/>
    <w:rsid w:val="00576F9B"/>
    <w:rsid w:val="00576FB8"/>
    <w:rsid w:val="00576FE8"/>
    <w:rsid w:val="005777D7"/>
    <w:rsid w:val="00577956"/>
    <w:rsid w:val="005779AD"/>
    <w:rsid w:val="00577D45"/>
    <w:rsid w:val="00580022"/>
    <w:rsid w:val="005803E6"/>
    <w:rsid w:val="005812C7"/>
    <w:rsid w:val="0058186B"/>
    <w:rsid w:val="00581BAA"/>
    <w:rsid w:val="005820E8"/>
    <w:rsid w:val="005821B3"/>
    <w:rsid w:val="005828EA"/>
    <w:rsid w:val="00582E7F"/>
    <w:rsid w:val="00583477"/>
    <w:rsid w:val="005838AF"/>
    <w:rsid w:val="00583910"/>
    <w:rsid w:val="00583A73"/>
    <w:rsid w:val="00584ACF"/>
    <w:rsid w:val="00584CD6"/>
    <w:rsid w:val="00584DA3"/>
    <w:rsid w:val="00585854"/>
    <w:rsid w:val="00585BC5"/>
    <w:rsid w:val="00585DF3"/>
    <w:rsid w:val="005861B2"/>
    <w:rsid w:val="005864C7"/>
    <w:rsid w:val="00586588"/>
    <w:rsid w:val="005865B6"/>
    <w:rsid w:val="005865BF"/>
    <w:rsid w:val="00587094"/>
    <w:rsid w:val="0058797C"/>
    <w:rsid w:val="00587CE0"/>
    <w:rsid w:val="00587EEA"/>
    <w:rsid w:val="00590092"/>
    <w:rsid w:val="00590428"/>
    <w:rsid w:val="005908CA"/>
    <w:rsid w:val="00590B30"/>
    <w:rsid w:val="00590C22"/>
    <w:rsid w:val="00590C2D"/>
    <w:rsid w:val="00591108"/>
    <w:rsid w:val="0059116D"/>
    <w:rsid w:val="00591218"/>
    <w:rsid w:val="0059143C"/>
    <w:rsid w:val="00591C96"/>
    <w:rsid w:val="00591D6D"/>
    <w:rsid w:val="00591E63"/>
    <w:rsid w:val="005922D1"/>
    <w:rsid w:val="0059266F"/>
    <w:rsid w:val="00592AAE"/>
    <w:rsid w:val="00593005"/>
    <w:rsid w:val="00593590"/>
    <w:rsid w:val="00593884"/>
    <w:rsid w:val="00593CF5"/>
    <w:rsid w:val="00593D60"/>
    <w:rsid w:val="00593FF3"/>
    <w:rsid w:val="00594056"/>
    <w:rsid w:val="0059450C"/>
    <w:rsid w:val="00594C82"/>
    <w:rsid w:val="00594C98"/>
    <w:rsid w:val="00594CBE"/>
    <w:rsid w:val="00595002"/>
    <w:rsid w:val="00595814"/>
    <w:rsid w:val="005959FC"/>
    <w:rsid w:val="00595AE3"/>
    <w:rsid w:val="00595DFC"/>
    <w:rsid w:val="005961B9"/>
    <w:rsid w:val="00596A23"/>
    <w:rsid w:val="00596CA2"/>
    <w:rsid w:val="00596DEA"/>
    <w:rsid w:val="00596E96"/>
    <w:rsid w:val="005972D6"/>
    <w:rsid w:val="00597545"/>
    <w:rsid w:val="005978D4"/>
    <w:rsid w:val="00597AA0"/>
    <w:rsid w:val="00597F1E"/>
    <w:rsid w:val="005A04F8"/>
    <w:rsid w:val="005A077D"/>
    <w:rsid w:val="005A13C7"/>
    <w:rsid w:val="005A1F87"/>
    <w:rsid w:val="005A247C"/>
    <w:rsid w:val="005A27E9"/>
    <w:rsid w:val="005A2817"/>
    <w:rsid w:val="005A2A53"/>
    <w:rsid w:val="005A378B"/>
    <w:rsid w:val="005A3B27"/>
    <w:rsid w:val="005A43AE"/>
    <w:rsid w:val="005A5A85"/>
    <w:rsid w:val="005A5DFA"/>
    <w:rsid w:val="005A5EDB"/>
    <w:rsid w:val="005A61A5"/>
    <w:rsid w:val="005A6A17"/>
    <w:rsid w:val="005A6BA9"/>
    <w:rsid w:val="005A7482"/>
    <w:rsid w:val="005A79D0"/>
    <w:rsid w:val="005A7A56"/>
    <w:rsid w:val="005B036A"/>
    <w:rsid w:val="005B0722"/>
    <w:rsid w:val="005B1912"/>
    <w:rsid w:val="005B2299"/>
    <w:rsid w:val="005B241F"/>
    <w:rsid w:val="005B30E9"/>
    <w:rsid w:val="005B3242"/>
    <w:rsid w:val="005B33D4"/>
    <w:rsid w:val="005B3508"/>
    <w:rsid w:val="005B3939"/>
    <w:rsid w:val="005B41A0"/>
    <w:rsid w:val="005B4371"/>
    <w:rsid w:val="005B4675"/>
    <w:rsid w:val="005B4823"/>
    <w:rsid w:val="005B4B75"/>
    <w:rsid w:val="005B566E"/>
    <w:rsid w:val="005B5B3A"/>
    <w:rsid w:val="005B5C9F"/>
    <w:rsid w:val="005B62F7"/>
    <w:rsid w:val="005B648A"/>
    <w:rsid w:val="005B67BF"/>
    <w:rsid w:val="005B6C50"/>
    <w:rsid w:val="005B6D51"/>
    <w:rsid w:val="005B72F3"/>
    <w:rsid w:val="005B736F"/>
    <w:rsid w:val="005B7391"/>
    <w:rsid w:val="005B73F8"/>
    <w:rsid w:val="005B7819"/>
    <w:rsid w:val="005B78CA"/>
    <w:rsid w:val="005B7917"/>
    <w:rsid w:val="005B7AC5"/>
    <w:rsid w:val="005B7B0F"/>
    <w:rsid w:val="005B7B8C"/>
    <w:rsid w:val="005B7DE8"/>
    <w:rsid w:val="005B7EB1"/>
    <w:rsid w:val="005C01DC"/>
    <w:rsid w:val="005C04F1"/>
    <w:rsid w:val="005C065F"/>
    <w:rsid w:val="005C0BC2"/>
    <w:rsid w:val="005C0ED2"/>
    <w:rsid w:val="005C109E"/>
    <w:rsid w:val="005C18AA"/>
    <w:rsid w:val="005C19C1"/>
    <w:rsid w:val="005C1ED2"/>
    <w:rsid w:val="005C20DD"/>
    <w:rsid w:val="005C28FB"/>
    <w:rsid w:val="005C2E8E"/>
    <w:rsid w:val="005C305C"/>
    <w:rsid w:val="005C348B"/>
    <w:rsid w:val="005C3772"/>
    <w:rsid w:val="005C3DBE"/>
    <w:rsid w:val="005C41B7"/>
    <w:rsid w:val="005C4F8B"/>
    <w:rsid w:val="005C524C"/>
    <w:rsid w:val="005C575E"/>
    <w:rsid w:val="005C5B55"/>
    <w:rsid w:val="005C5CED"/>
    <w:rsid w:val="005C64BC"/>
    <w:rsid w:val="005C717C"/>
    <w:rsid w:val="005C7425"/>
    <w:rsid w:val="005C745A"/>
    <w:rsid w:val="005C75EB"/>
    <w:rsid w:val="005C7732"/>
    <w:rsid w:val="005C7FD2"/>
    <w:rsid w:val="005D01B3"/>
    <w:rsid w:val="005D05D9"/>
    <w:rsid w:val="005D08DA"/>
    <w:rsid w:val="005D1388"/>
    <w:rsid w:val="005D1838"/>
    <w:rsid w:val="005D193D"/>
    <w:rsid w:val="005D1B66"/>
    <w:rsid w:val="005D1BD7"/>
    <w:rsid w:val="005D2066"/>
    <w:rsid w:val="005D26DA"/>
    <w:rsid w:val="005D2798"/>
    <w:rsid w:val="005D2A7C"/>
    <w:rsid w:val="005D2C32"/>
    <w:rsid w:val="005D2D55"/>
    <w:rsid w:val="005D34D9"/>
    <w:rsid w:val="005D3932"/>
    <w:rsid w:val="005D3BC9"/>
    <w:rsid w:val="005D3D7C"/>
    <w:rsid w:val="005D3F20"/>
    <w:rsid w:val="005D3FF6"/>
    <w:rsid w:val="005D4563"/>
    <w:rsid w:val="005D45D4"/>
    <w:rsid w:val="005D4872"/>
    <w:rsid w:val="005D495E"/>
    <w:rsid w:val="005D4B9D"/>
    <w:rsid w:val="005D4DC0"/>
    <w:rsid w:val="005D4EDF"/>
    <w:rsid w:val="005D5581"/>
    <w:rsid w:val="005D5B43"/>
    <w:rsid w:val="005D5B4A"/>
    <w:rsid w:val="005D5E4C"/>
    <w:rsid w:val="005D5E98"/>
    <w:rsid w:val="005D5ECE"/>
    <w:rsid w:val="005D600C"/>
    <w:rsid w:val="005D6608"/>
    <w:rsid w:val="005D669E"/>
    <w:rsid w:val="005D69A0"/>
    <w:rsid w:val="005D6A98"/>
    <w:rsid w:val="005D6C71"/>
    <w:rsid w:val="005D6C75"/>
    <w:rsid w:val="005D7884"/>
    <w:rsid w:val="005E0281"/>
    <w:rsid w:val="005E02A0"/>
    <w:rsid w:val="005E05BB"/>
    <w:rsid w:val="005E0740"/>
    <w:rsid w:val="005E0B0C"/>
    <w:rsid w:val="005E0EB8"/>
    <w:rsid w:val="005E1021"/>
    <w:rsid w:val="005E14FA"/>
    <w:rsid w:val="005E1617"/>
    <w:rsid w:val="005E1C18"/>
    <w:rsid w:val="005E1C39"/>
    <w:rsid w:val="005E1CD2"/>
    <w:rsid w:val="005E1E67"/>
    <w:rsid w:val="005E1EA3"/>
    <w:rsid w:val="005E229C"/>
    <w:rsid w:val="005E28E5"/>
    <w:rsid w:val="005E31DF"/>
    <w:rsid w:val="005E3BCD"/>
    <w:rsid w:val="005E3D79"/>
    <w:rsid w:val="005E49E7"/>
    <w:rsid w:val="005E4D5E"/>
    <w:rsid w:val="005E4E92"/>
    <w:rsid w:val="005E4EF0"/>
    <w:rsid w:val="005E50D7"/>
    <w:rsid w:val="005E515C"/>
    <w:rsid w:val="005E577B"/>
    <w:rsid w:val="005E6066"/>
    <w:rsid w:val="005E64EA"/>
    <w:rsid w:val="005E6842"/>
    <w:rsid w:val="005E7098"/>
    <w:rsid w:val="005E755B"/>
    <w:rsid w:val="005E7991"/>
    <w:rsid w:val="005E7C2E"/>
    <w:rsid w:val="005E7D07"/>
    <w:rsid w:val="005F0017"/>
    <w:rsid w:val="005F08DA"/>
    <w:rsid w:val="005F12EC"/>
    <w:rsid w:val="005F1362"/>
    <w:rsid w:val="005F14BB"/>
    <w:rsid w:val="005F190D"/>
    <w:rsid w:val="005F19A4"/>
    <w:rsid w:val="005F1D4E"/>
    <w:rsid w:val="005F2BA5"/>
    <w:rsid w:val="005F2CA8"/>
    <w:rsid w:val="005F2D33"/>
    <w:rsid w:val="005F32C3"/>
    <w:rsid w:val="005F390E"/>
    <w:rsid w:val="005F4107"/>
    <w:rsid w:val="005F451A"/>
    <w:rsid w:val="005F45F3"/>
    <w:rsid w:val="005F46C4"/>
    <w:rsid w:val="005F476B"/>
    <w:rsid w:val="005F4AB8"/>
    <w:rsid w:val="005F4B76"/>
    <w:rsid w:val="005F4CD1"/>
    <w:rsid w:val="005F4E9C"/>
    <w:rsid w:val="005F54F4"/>
    <w:rsid w:val="005F5637"/>
    <w:rsid w:val="005F591F"/>
    <w:rsid w:val="005F5B78"/>
    <w:rsid w:val="005F60A0"/>
    <w:rsid w:val="005F61FB"/>
    <w:rsid w:val="005F68FD"/>
    <w:rsid w:val="005F6F6C"/>
    <w:rsid w:val="005F7049"/>
    <w:rsid w:val="005F719D"/>
    <w:rsid w:val="006001EC"/>
    <w:rsid w:val="0060039F"/>
    <w:rsid w:val="006005AF"/>
    <w:rsid w:val="00600723"/>
    <w:rsid w:val="00600A61"/>
    <w:rsid w:val="00600EB7"/>
    <w:rsid w:val="00601202"/>
    <w:rsid w:val="006013A7"/>
    <w:rsid w:val="00601414"/>
    <w:rsid w:val="006014D8"/>
    <w:rsid w:val="00601BA3"/>
    <w:rsid w:val="00601D23"/>
    <w:rsid w:val="00602938"/>
    <w:rsid w:val="006031CF"/>
    <w:rsid w:val="0060363E"/>
    <w:rsid w:val="00603863"/>
    <w:rsid w:val="00603BAB"/>
    <w:rsid w:val="00603BC4"/>
    <w:rsid w:val="006040B5"/>
    <w:rsid w:val="006041F7"/>
    <w:rsid w:val="0060479E"/>
    <w:rsid w:val="00604B20"/>
    <w:rsid w:val="00604DAB"/>
    <w:rsid w:val="00605022"/>
    <w:rsid w:val="006054DE"/>
    <w:rsid w:val="006056C6"/>
    <w:rsid w:val="00605DB1"/>
    <w:rsid w:val="0060622E"/>
    <w:rsid w:val="006064E4"/>
    <w:rsid w:val="0060662D"/>
    <w:rsid w:val="006066B1"/>
    <w:rsid w:val="0060672D"/>
    <w:rsid w:val="0060674D"/>
    <w:rsid w:val="006068CE"/>
    <w:rsid w:val="00606BF6"/>
    <w:rsid w:val="00607C7D"/>
    <w:rsid w:val="00607E66"/>
    <w:rsid w:val="00610381"/>
    <w:rsid w:val="006103B5"/>
    <w:rsid w:val="0061043D"/>
    <w:rsid w:val="00610A01"/>
    <w:rsid w:val="00610B83"/>
    <w:rsid w:val="006115F3"/>
    <w:rsid w:val="0061176A"/>
    <w:rsid w:val="00612965"/>
    <w:rsid w:val="00612D8C"/>
    <w:rsid w:val="006132A4"/>
    <w:rsid w:val="0061377E"/>
    <w:rsid w:val="00613B72"/>
    <w:rsid w:val="00613FC9"/>
    <w:rsid w:val="0061400E"/>
    <w:rsid w:val="006147CD"/>
    <w:rsid w:val="00614BBD"/>
    <w:rsid w:val="00614C4F"/>
    <w:rsid w:val="00614E39"/>
    <w:rsid w:val="00614F52"/>
    <w:rsid w:val="0061569C"/>
    <w:rsid w:val="00615761"/>
    <w:rsid w:val="00615EED"/>
    <w:rsid w:val="00616BD3"/>
    <w:rsid w:val="00616C63"/>
    <w:rsid w:val="00616E9E"/>
    <w:rsid w:val="0061747E"/>
    <w:rsid w:val="006174B7"/>
    <w:rsid w:val="0061758F"/>
    <w:rsid w:val="00617B52"/>
    <w:rsid w:val="00617F1D"/>
    <w:rsid w:val="006201EB"/>
    <w:rsid w:val="0062035D"/>
    <w:rsid w:val="00620BA9"/>
    <w:rsid w:val="006213B9"/>
    <w:rsid w:val="00621524"/>
    <w:rsid w:val="00621A5A"/>
    <w:rsid w:val="00621E3F"/>
    <w:rsid w:val="00622184"/>
    <w:rsid w:val="0062218C"/>
    <w:rsid w:val="0062233E"/>
    <w:rsid w:val="00622941"/>
    <w:rsid w:val="00622A18"/>
    <w:rsid w:val="00622BD8"/>
    <w:rsid w:val="00622F3E"/>
    <w:rsid w:val="00623104"/>
    <w:rsid w:val="0062314B"/>
    <w:rsid w:val="006232CB"/>
    <w:rsid w:val="00623608"/>
    <w:rsid w:val="006237B7"/>
    <w:rsid w:val="006237C6"/>
    <w:rsid w:val="00624170"/>
    <w:rsid w:val="0062487C"/>
    <w:rsid w:val="00624C1E"/>
    <w:rsid w:val="00624C4A"/>
    <w:rsid w:val="00624C70"/>
    <w:rsid w:val="00624D3A"/>
    <w:rsid w:val="006250E6"/>
    <w:rsid w:val="00625136"/>
    <w:rsid w:val="006255B4"/>
    <w:rsid w:val="0062560C"/>
    <w:rsid w:val="00625793"/>
    <w:rsid w:val="006258B3"/>
    <w:rsid w:val="00625DE6"/>
    <w:rsid w:val="00626429"/>
    <w:rsid w:val="00626840"/>
    <w:rsid w:val="00626E93"/>
    <w:rsid w:val="00626FD1"/>
    <w:rsid w:val="00627119"/>
    <w:rsid w:val="00627221"/>
    <w:rsid w:val="0062785D"/>
    <w:rsid w:val="00627A2F"/>
    <w:rsid w:val="00627BEC"/>
    <w:rsid w:val="00630295"/>
    <w:rsid w:val="00630545"/>
    <w:rsid w:val="00630761"/>
    <w:rsid w:val="00630F19"/>
    <w:rsid w:val="006314E9"/>
    <w:rsid w:val="0063194B"/>
    <w:rsid w:val="00632582"/>
    <w:rsid w:val="00632A64"/>
    <w:rsid w:val="00632EA2"/>
    <w:rsid w:val="0063398D"/>
    <w:rsid w:val="00634051"/>
    <w:rsid w:val="00634375"/>
    <w:rsid w:val="0063441D"/>
    <w:rsid w:val="0063483C"/>
    <w:rsid w:val="00634BE0"/>
    <w:rsid w:val="006350B2"/>
    <w:rsid w:val="0063530B"/>
    <w:rsid w:val="0063543A"/>
    <w:rsid w:val="00635F09"/>
    <w:rsid w:val="006360BA"/>
    <w:rsid w:val="00636420"/>
    <w:rsid w:val="006364C6"/>
    <w:rsid w:val="006366FD"/>
    <w:rsid w:val="0063713A"/>
    <w:rsid w:val="00637D8A"/>
    <w:rsid w:val="00640037"/>
    <w:rsid w:val="00640088"/>
    <w:rsid w:val="00640C1B"/>
    <w:rsid w:val="00640CCD"/>
    <w:rsid w:val="00640D61"/>
    <w:rsid w:val="006411BD"/>
    <w:rsid w:val="00641311"/>
    <w:rsid w:val="00641669"/>
    <w:rsid w:val="00641795"/>
    <w:rsid w:val="006417A3"/>
    <w:rsid w:val="00641FAC"/>
    <w:rsid w:val="00642484"/>
    <w:rsid w:val="006424EA"/>
    <w:rsid w:val="0064254D"/>
    <w:rsid w:val="0064345D"/>
    <w:rsid w:val="006436F5"/>
    <w:rsid w:val="00643C2D"/>
    <w:rsid w:val="0064400C"/>
    <w:rsid w:val="00644821"/>
    <w:rsid w:val="00644B19"/>
    <w:rsid w:val="00644DBE"/>
    <w:rsid w:val="0064596B"/>
    <w:rsid w:val="00645A0D"/>
    <w:rsid w:val="00645E53"/>
    <w:rsid w:val="00646102"/>
    <w:rsid w:val="00646649"/>
    <w:rsid w:val="00646A4C"/>
    <w:rsid w:val="00646ABA"/>
    <w:rsid w:val="00646B82"/>
    <w:rsid w:val="00646B98"/>
    <w:rsid w:val="00646CDC"/>
    <w:rsid w:val="00647149"/>
    <w:rsid w:val="00647651"/>
    <w:rsid w:val="006478AE"/>
    <w:rsid w:val="00647E42"/>
    <w:rsid w:val="0065069C"/>
    <w:rsid w:val="00650DC8"/>
    <w:rsid w:val="006512D4"/>
    <w:rsid w:val="006513AA"/>
    <w:rsid w:val="00651987"/>
    <w:rsid w:val="00651A19"/>
    <w:rsid w:val="00651A21"/>
    <w:rsid w:val="00651A65"/>
    <w:rsid w:val="00651FC1"/>
    <w:rsid w:val="006524F5"/>
    <w:rsid w:val="0065278B"/>
    <w:rsid w:val="00652949"/>
    <w:rsid w:val="00652CA9"/>
    <w:rsid w:val="00652D06"/>
    <w:rsid w:val="00653828"/>
    <w:rsid w:val="00653D09"/>
    <w:rsid w:val="00653E49"/>
    <w:rsid w:val="00653F71"/>
    <w:rsid w:val="00654196"/>
    <w:rsid w:val="00654367"/>
    <w:rsid w:val="00654589"/>
    <w:rsid w:val="006545FA"/>
    <w:rsid w:val="00654CE9"/>
    <w:rsid w:val="00654E13"/>
    <w:rsid w:val="00654E52"/>
    <w:rsid w:val="0065525B"/>
    <w:rsid w:val="0065548B"/>
    <w:rsid w:val="00655594"/>
    <w:rsid w:val="0065593D"/>
    <w:rsid w:val="00655A13"/>
    <w:rsid w:val="00656228"/>
    <w:rsid w:val="00656481"/>
    <w:rsid w:val="0065747F"/>
    <w:rsid w:val="006579FC"/>
    <w:rsid w:val="00660239"/>
    <w:rsid w:val="00660444"/>
    <w:rsid w:val="00660DD5"/>
    <w:rsid w:val="00660F5D"/>
    <w:rsid w:val="0066114A"/>
    <w:rsid w:val="0066182A"/>
    <w:rsid w:val="0066196E"/>
    <w:rsid w:val="006619F2"/>
    <w:rsid w:val="00661F17"/>
    <w:rsid w:val="006629E1"/>
    <w:rsid w:val="00662DC9"/>
    <w:rsid w:val="0066320E"/>
    <w:rsid w:val="00663830"/>
    <w:rsid w:val="00663868"/>
    <w:rsid w:val="006638CA"/>
    <w:rsid w:val="00663CBF"/>
    <w:rsid w:val="00664476"/>
    <w:rsid w:val="0066470B"/>
    <w:rsid w:val="00665821"/>
    <w:rsid w:val="00665B80"/>
    <w:rsid w:val="00665C67"/>
    <w:rsid w:val="00665E88"/>
    <w:rsid w:val="00665FC0"/>
    <w:rsid w:val="00666764"/>
    <w:rsid w:val="00666E82"/>
    <w:rsid w:val="00666ED8"/>
    <w:rsid w:val="0066728C"/>
    <w:rsid w:val="00667316"/>
    <w:rsid w:val="00667502"/>
    <w:rsid w:val="00667617"/>
    <w:rsid w:val="00667D71"/>
    <w:rsid w:val="00670A88"/>
    <w:rsid w:val="00671933"/>
    <w:rsid w:val="00671F8B"/>
    <w:rsid w:val="00672BC3"/>
    <w:rsid w:val="0067343B"/>
    <w:rsid w:val="0067352E"/>
    <w:rsid w:val="0067358F"/>
    <w:rsid w:val="006735D3"/>
    <w:rsid w:val="006735D6"/>
    <w:rsid w:val="0067391E"/>
    <w:rsid w:val="006744BC"/>
    <w:rsid w:val="00674C92"/>
    <w:rsid w:val="00675128"/>
    <w:rsid w:val="00675210"/>
    <w:rsid w:val="006756D9"/>
    <w:rsid w:val="00675767"/>
    <w:rsid w:val="006758E5"/>
    <w:rsid w:val="00675C5C"/>
    <w:rsid w:val="00675E5C"/>
    <w:rsid w:val="00675F02"/>
    <w:rsid w:val="00676191"/>
    <w:rsid w:val="00676828"/>
    <w:rsid w:val="00676AF0"/>
    <w:rsid w:val="00676C2D"/>
    <w:rsid w:val="00676FE4"/>
    <w:rsid w:val="0067722B"/>
    <w:rsid w:val="0067725D"/>
    <w:rsid w:val="00677839"/>
    <w:rsid w:val="00677899"/>
    <w:rsid w:val="006778D4"/>
    <w:rsid w:val="00677C11"/>
    <w:rsid w:val="006807CB"/>
    <w:rsid w:val="00680D84"/>
    <w:rsid w:val="00680F75"/>
    <w:rsid w:val="00681C4A"/>
    <w:rsid w:val="00681C94"/>
    <w:rsid w:val="00681EA3"/>
    <w:rsid w:val="0068233D"/>
    <w:rsid w:val="00682513"/>
    <w:rsid w:val="00682B6D"/>
    <w:rsid w:val="006830D0"/>
    <w:rsid w:val="0068321A"/>
    <w:rsid w:val="0068374D"/>
    <w:rsid w:val="0068393D"/>
    <w:rsid w:val="00683A55"/>
    <w:rsid w:val="00683EF1"/>
    <w:rsid w:val="006841C5"/>
    <w:rsid w:val="00684278"/>
    <w:rsid w:val="00684C74"/>
    <w:rsid w:val="00684D0D"/>
    <w:rsid w:val="00685684"/>
    <w:rsid w:val="006857B7"/>
    <w:rsid w:val="0068606F"/>
    <w:rsid w:val="00686657"/>
    <w:rsid w:val="00686C68"/>
    <w:rsid w:val="00686D51"/>
    <w:rsid w:val="006873C8"/>
    <w:rsid w:val="00687C0C"/>
    <w:rsid w:val="00687D1C"/>
    <w:rsid w:val="00687F51"/>
    <w:rsid w:val="00690100"/>
    <w:rsid w:val="006901A0"/>
    <w:rsid w:val="006901C2"/>
    <w:rsid w:val="00690F9D"/>
    <w:rsid w:val="006911F8"/>
    <w:rsid w:val="006912BC"/>
    <w:rsid w:val="006912D4"/>
    <w:rsid w:val="0069161E"/>
    <w:rsid w:val="00691D1D"/>
    <w:rsid w:val="006924D0"/>
    <w:rsid w:val="006925AA"/>
    <w:rsid w:val="0069281E"/>
    <w:rsid w:val="00692AA7"/>
    <w:rsid w:val="00692BBC"/>
    <w:rsid w:val="0069381F"/>
    <w:rsid w:val="00693B33"/>
    <w:rsid w:val="0069415D"/>
    <w:rsid w:val="00694922"/>
    <w:rsid w:val="00694B37"/>
    <w:rsid w:val="0069532E"/>
    <w:rsid w:val="006955F9"/>
    <w:rsid w:val="00695799"/>
    <w:rsid w:val="0069599F"/>
    <w:rsid w:val="00695E42"/>
    <w:rsid w:val="0069620C"/>
    <w:rsid w:val="00696767"/>
    <w:rsid w:val="006967AE"/>
    <w:rsid w:val="00696B8B"/>
    <w:rsid w:val="006970AD"/>
    <w:rsid w:val="006974D6"/>
    <w:rsid w:val="006978C5"/>
    <w:rsid w:val="00697F2D"/>
    <w:rsid w:val="006A005C"/>
    <w:rsid w:val="006A00AB"/>
    <w:rsid w:val="006A03DF"/>
    <w:rsid w:val="006A1192"/>
    <w:rsid w:val="006A1473"/>
    <w:rsid w:val="006A186B"/>
    <w:rsid w:val="006A1A40"/>
    <w:rsid w:val="006A1DC1"/>
    <w:rsid w:val="006A1FB6"/>
    <w:rsid w:val="006A20EF"/>
    <w:rsid w:val="006A215D"/>
    <w:rsid w:val="006A26E9"/>
    <w:rsid w:val="006A2C89"/>
    <w:rsid w:val="006A2F45"/>
    <w:rsid w:val="006A3447"/>
    <w:rsid w:val="006A3549"/>
    <w:rsid w:val="006A37FE"/>
    <w:rsid w:val="006A39C1"/>
    <w:rsid w:val="006A3B33"/>
    <w:rsid w:val="006A3E06"/>
    <w:rsid w:val="006A427E"/>
    <w:rsid w:val="006A4301"/>
    <w:rsid w:val="006A475F"/>
    <w:rsid w:val="006A4938"/>
    <w:rsid w:val="006A4A76"/>
    <w:rsid w:val="006A53E7"/>
    <w:rsid w:val="006A5740"/>
    <w:rsid w:val="006A5977"/>
    <w:rsid w:val="006A5A01"/>
    <w:rsid w:val="006A5CB6"/>
    <w:rsid w:val="006A65AA"/>
    <w:rsid w:val="006A6776"/>
    <w:rsid w:val="006A7116"/>
    <w:rsid w:val="006A78B1"/>
    <w:rsid w:val="006A7961"/>
    <w:rsid w:val="006A796F"/>
    <w:rsid w:val="006A7B34"/>
    <w:rsid w:val="006A7CA8"/>
    <w:rsid w:val="006A7CB5"/>
    <w:rsid w:val="006B046C"/>
    <w:rsid w:val="006B062C"/>
    <w:rsid w:val="006B0B48"/>
    <w:rsid w:val="006B12BD"/>
    <w:rsid w:val="006B1434"/>
    <w:rsid w:val="006B1469"/>
    <w:rsid w:val="006B1AE4"/>
    <w:rsid w:val="006B1D7B"/>
    <w:rsid w:val="006B28E4"/>
    <w:rsid w:val="006B2ADF"/>
    <w:rsid w:val="006B2B83"/>
    <w:rsid w:val="006B2F59"/>
    <w:rsid w:val="006B2F75"/>
    <w:rsid w:val="006B3140"/>
    <w:rsid w:val="006B3344"/>
    <w:rsid w:val="006B3692"/>
    <w:rsid w:val="006B3C9D"/>
    <w:rsid w:val="006B4385"/>
    <w:rsid w:val="006B5312"/>
    <w:rsid w:val="006B5B40"/>
    <w:rsid w:val="006B5F3C"/>
    <w:rsid w:val="006B61B7"/>
    <w:rsid w:val="006B662E"/>
    <w:rsid w:val="006B6B8A"/>
    <w:rsid w:val="006B6D64"/>
    <w:rsid w:val="006B6DC3"/>
    <w:rsid w:val="006B7117"/>
    <w:rsid w:val="006B7B32"/>
    <w:rsid w:val="006B7F5A"/>
    <w:rsid w:val="006C0263"/>
    <w:rsid w:val="006C090F"/>
    <w:rsid w:val="006C09D3"/>
    <w:rsid w:val="006C0B58"/>
    <w:rsid w:val="006C0DA6"/>
    <w:rsid w:val="006C10DA"/>
    <w:rsid w:val="006C1103"/>
    <w:rsid w:val="006C14C9"/>
    <w:rsid w:val="006C1605"/>
    <w:rsid w:val="006C1727"/>
    <w:rsid w:val="006C1C2D"/>
    <w:rsid w:val="006C1CBB"/>
    <w:rsid w:val="006C1F95"/>
    <w:rsid w:val="006C2219"/>
    <w:rsid w:val="006C224A"/>
    <w:rsid w:val="006C2AFB"/>
    <w:rsid w:val="006C2F07"/>
    <w:rsid w:val="006C3017"/>
    <w:rsid w:val="006C31D9"/>
    <w:rsid w:val="006C337B"/>
    <w:rsid w:val="006C337D"/>
    <w:rsid w:val="006C3579"/>
    <w:rsid w:val="006C359D"/>
    <w:rsid w:val="006C35E6"/>
    <w:rsid w:val="006C364D"/>
    <w:rsid w:val="006C36FE"/>
    <w:rsid w:val="006C3DE2"/>
    <w:rsid w:val="006C42D4"/>
    <w:rsid w:val="006C44CA"/>
    <w:rsid w:val="006C4FC0"/>
    <w:rsid w:val="006C5899"/>
    <w:rsid w:val="006C638E"/>
    <w:rsid w:val="006C69D6"/>
    <w:rsid w:val="006C72C8"/>
    <w:rsid w:val="006C7355"/>
    <w:rsid w:val="006C73B6"/>
    <w:rsid w:val="006C7641"/>
    <w:rsid w:val="006C7774"/>
    <w:rsid w:val="006C7C08"/>
    <w:rsid w:val="006C7DF6"/>
    <w:rsid w:val="006C7EC8"/>
    <w:rsid w:val="006D0231"/>
    <w:rsid w:val="006D0C7E"/>
    <w:rsid w:val="006D0EED"/>
    <w:rsid w:val="006D0FA9"/>
    <w:rsid w:val="006D1058"/>
    <w:rsid w:val="006D15C6"/>
    <w:rsid w:val="006D18F1"/>
    <w:rsid w:val="006D1A13"/>
    <w:rsid w:val="006D1E41"/>
    <w:rsid w:val="006D2080"/>
    <w:rsid w:val="006D25DC"/>
    <w:rsid w:val="006D2C46"/>
    <w:rsid w:val="006D2E60"/>
    <w:rsid w:val="006D2F38"/>
    <w:rsid w:val="006D3357"/>
    <w:rsid w:val="006D3376"/>
    <w:rsid w:val="006D3961"/>
    <w:rsid w:val="006D3997"/>
    <w:rsid w:val="006D39F4"/>
    <w:rsid w:val="006D3D6E"/>
    <w:rsid w:val="006D3DCE"/>
    <w:rsid w:val="006D403E"/>
    <w:rsid w:val="006D43F2"/>
    <w:rsid w:val="006D45DF"/>
    <w:rsid w:val="006D514B"/>
    <w:rsid w:val="006D5164"/>
    <w:rsid w:val="006D5204"/>
    <w:rsid w:val="006D577B"/>
    <w:rsid w:val="006D5C59"/>
    <w:rsid w:val="006D5D30"/>
    <w:rsid w:val="006D5F66"/>
    <w:rsid w:val="006D6320"/>
    <w:rsid w:val="006D65EB"/>
    <w:rsid w:val="006D6685"/>
    <w:rsid w:val="006D6910"/>
    <w:rsid w:val="006D7209"/>
    <w:rsid w:val="006D743B"/>
    <w:rsid w:val="006D77C5"/>
    <w:rsid w:val="006D7B8A"/>
    <w:rsid w:val="006D7C70"/>
    <w:rsid w:val="006E0196"/>
    <w:rsid w:val="006E0468"/>
    <w:rsid w:val="006E1172"/>
    <w:rsid w:val="006E174B"/>
    <w:rsid w:val="006E18D8"/>
    <w:rsid w:val="006E1A2F"/>
    <w:rsid w:val="006E1CE8"/>
    <w:rsid w:val="006E1DD4"/>
    <w:rsid w:val="006E20AD"/>
    <w:rsid w:val="006E20D5"/>
    <w:rsid w:val="006E25A0"/>
    <w:rsid w:val="006E2877"/>
    <w:rsid w:val="006E28C7"/>
    <w:rsid w:val="006E28F8"/>
    <w:rsid w:val="006E299C"/>
    <w:rsid w:val="006E2C07"/>
    <w:rsid w:val="006E31E9"/>
    <w:rsid w:val="006E32F0"/>
    <w:rsid w:val="006E341B"/>
    <w:rsid w:val="006E3BFE"/>
    <w:rsid w:val="006E3D7D"/>
    <w:rsid w:val="006E3D8E"/>
    <w:rsid w:val="006E4695"/>
    <w:rsid w:val="006E46A1"/>
    <w:rsid w:val="006E499B"/>
    <w:rsid w:val="006E4A53"/>
    <w:rsid w:val="006E4BAB"/>
    <w:rsid w:val="006E4D14"/>
    <w:rsid w:val="006E4EB2"/>
    <w:rsid w:val="006E54A4"/>
    <w:rsid w:val="006E5924"/>
    <w:rsid w:val="006E5F23"/>
    <w:rsid w:val="006E6E21"/>
    <w:rsid w:val="006E736C"/>
    <w:rsid w:val="006E7821"/>
    <w:rsid w:val="006E7A2B"/>
    <w:rsid w:val="006F0345"/>
    <w:rsid w:val="006F0596"/>
    <w:rsid w:val="006F069D"/>
    <w:rsid w:val="006F0D03"/>
    <w:rsid w:val="006F13CB"/>
    <w:rsid w:val="006F13E8"/>
    <w:rsid w:val="006F1832"/>
    <w:rsid w:val="006F186B"/>
    <w:rsid w:val="006F1B18"/>
    <w:rsid w:val="006F1BC7"/>
    <w:rsid w:val="006F30F4"/>
    <w:rsid w:val="006F329A"/>
    <w:rsid w:val="006F34EF"/>
    <w:rsid w:val="006F3708"/>
    <w:rsid w:val="006F3B3E"/>
    <w:rsid w:val="006F3DDA"/>
    <w:rsid w:val="006F4018"/>
    <w:rsid w:val="006F470E"/>
    <w:rsid w:val="006F48F4"/>
    <w:rsid w:val="006F49AB"/>
    <w:rsid w:val="006F5038"/>
    <w:rsid w:val="006F57F1"/>
    <w:rsid w:val="006F5AF0"/>
    <w:rsid w:val="006F616D"/>
    <w:rsid w:val="006F62E0"/>
    <w:rsid w:val="006F6606"/>
    <w:rsid w:val="006F6E44"/>
    <w:rsid w:val="006F6F9A"/>
    <w:rsid w:val="006F71E7"/>
    <w:rsid w:val="006F727F"/>
    <w:rsid w:val="006F734A"/>
    <w:rsid w:val="006F7393"/>
    <w:rsid w:val="006F7DAF"/>
    <w:rsid w:val="006F7F93"/>
    <w:rsid w:val="00700083"/>
    <w:rsid w:val="00700340"/>
    <w:rsid w:val="0070068B"/>
    <w:rsid w:val="0070081A"/>
    <w:rsid w:val="007012B7"/>
    <w:rsid w:val="00701534"/>
    <w:rsid w:val="00701A71"/>
    <w:rsid w:val="00701ACC"/>
    <w:rsid w:val="00701B05"/>
    <w:rsid w:val="0070201E"/>
    <w:rsid w:val="00702180"/>
    <w:rsid w:val="00702556"/>
    <w:rsid w:val="00702695"/>
    <w:rsid w:val="00703466"/>
    <w:rsid w:val="00704071"/>
    <w:rsid w:val="00704174"/>
    <w:rsid w:val="00704369"/>
    <w:rsid w:val="0070439E"/>
    <w:rsid w:val="00704EBF"/>
    <w:rsid w:val="007051C6"/>
    <w:rsid w:val="007055EF"/>
    <w:rsid w:val="0070574D"/>
    <w:rsid w:val="0070579E"/>
    <w:rsid w:val="00705CB6"/>
    <w:rsid w:val="00705DF4"/>
    <w:rsid w:val="00706A7E"/>
    <w:rsid w:val="00706B4E"/>
    <w:rsid w:val="00706D90"/>
    <w:rsid w:val="00707699"/>
    <w:rsid w:val="0070783B"/>
    <w:rsid w:val="00707B70"/>
    <w:rsid w:val="00707E71"/>
    <w:rsid w:val="00710055"/>
    <w:rsid w:val="0071006B"/>
    <w:rsid w:val="00710516"/>
    <w:rsid w:val="00710668"/>
    <w:rsid w:val="0071079D"/>
    <w:rsid w:val="00710A15"/>
    <w:rsid w:val="007110BB"/>
    <w:rsid w:val="00711578"/>
    <w:rsid w:val="00711AA3"/>
    <w:rsid w:val="00711BEC"/>
    <w:rsid w:val="00712B76"/>
    <w:rsid w:val="00712E4F"/>
    <w:rsid w:val="00712E90"/>
    <w:rsid w:val="007136B1"/>
    <w:rsid w:val="00713A20"/>
    <w:rsid w:val="00713A82"/>
    <w:rsid w:val="00713E9D"/>
    <w:rsid w:val="0071452B"/>
    <w:rsid w:val="00714610"/>
    <w:rsid w:val="00714A25"/>
    <w:rsid w:val="00714E34"/>
    <w:rsid w:val="00715142"/>
    <w:rsid w:val="007161C4"/>
    <w:rsid w:val="0071682A"/>
    <w:rsid w:val="00716B49"/>
    <w:rsid w:val="00717080"/>
    <w:rsid w:val="00717A91"/>
    <w:rsid w:val="00717BAC"/>
    <w:rsid w:val="00717DFE"/>
    <w:rsid w:val="00720046"/>
    <w:rsid w:val="00720215"/>
    <w:rsid w:val="0072023D"/>
    <w:rsid w:val="007203BB"/>
    <w:rsid w:val="007204A5"/>
    <w:rsid w:val="00720F61"/>
    <w:rsid w:val="00720FE9"/>
    <w:rsid w:val="0072119B"/>
    <w:rsid w:val="007215C3"/>
    <w:rsid w:val="0072176F"/>
    <w:rsid w:val="00721E95"/>
    <w:rsid w:val="00721F92"/>
    <w:rsid w:val="007224AF"/>
    <w:rsid w:val="0072256F"/>
    <w:rsid w:val="00722E4A"/>
    <w:rsid w:val="00722FCE"/>
    <w:rsid w:val="00723079"/>
    <w:rsid w:val="007233D3"/>
    <w:rsid w:val="007234A2"/>
    <w:rsid w:val="007234C0"/>
    <w:rsid w:val="007238B0"/>
    <w:rsid w:val="00723962"/>
    <w:rsid w:val="00723968"/>
    <w:rsid w:val="00723B63"/>
    <w:rsid w:val="00723FF7"/>
    <w:rsid w:val="007244E2"/>
    <w:rsid w:val="00724CCE"/>
    <w:rsid w:val="00725152"/>
    <w:rsid w:val="0072516F"/>
    <w:rsid w:val="00725414"/>
    <w:rsid w:val="00725685"/>
    <w:rsid w:val="00725F5A"/>
    <w:rsid w:val="00726732"/>
    <w:rsid w:val="00726896"/>
    <w:rsid w:val="00726CD9"/>
    <w:rsid w:val="00726E6B"/>
    <w:rsid w:val="00726F46"/>
    <w:rsid w:val="007279A6"/>
    <w:rsid w:val="007279F8"/>
    <w:rsid w:val="007301A5"/>
    <w:rsid w:val="007303BF"/>
    <w:rsid w:val="0073041A"/>
    <w:rsid w:val="00730451"/>
    <w:rsid w:val="00730D59"/>
    <w:rsid w:val="00730F61"/>
    <w:rsid w:val="00731883"/>
    <w:rsid w:val="00731CEB"/>
    <w:rsid w:val="00731CF1"/>
    <w:rsid w:val="00732024"/>
    <w:rsid w:val="00732F70"/>
    <w:rsid w:val="0073345D"/>
    <w:rsid w:val="007336B8"/>
    <w:rsid w:val="00733AB9"/>
    <w:rsid w:val="00733CF6"/>
    <w:rsid w:val="0073415E"/>
    <w:rsid w:val="0073443C"/>
    <w:rsid w:val="0073455B"/>
    <w:rsid w:val="007345B5"/>
    <w:rsid w:val="0073484B"/>
    <w:rsid w:val="00734A26"/>
    <w:rsid w:val="00734BE5"/>
    <w:rsid w:val="00734C5D"/>
    <w:rsid w:val="00735270"/>
    <w:rsid w:val="007352B3"/>
    <w:rsid w:val="00735343"/>
    <w:rsid w:val="007354AC"/>
    <w:rsid w:val="0073565F"/>
    <w:rsid w:val="00735A90"/>
    <w:rsid w:val="007360E0"/>
    <w:rsid w:val="0073678A"/>
    <w:rsid w:val="00736B32"/>
    <w:rsid w:val="00736C8D"/>
    <w:rsid w:val="00737121"/>
    <w:rsid w:val="007376B7"/>
    <w:rsid w:val="007377FE"/>
    <w:rsid w:val="00740932"/>
    <w:rsid w:val="007409CA"/>
    <w:rsid w:val="00740A7F"/>
    <w:rsid w:val="007410E7"/>
    <w:rsid w:val="00741567"/>
    <w:rsid w:val="007416F8"/>
    <w:rsid w:val="00741AF3"/>
    <w:rsid w:val="00741F0B"/>
    <w:rsid w:val="007423BB"/>
    <w:rsid w:val="00742670"/>
    <w:rsid w:val="00742D23"/>
    <w:rsid w:val="00743046"/>
    <w:rsid w:val="007434CD"/>
    <w:rsid w:val="00743880"/>
    <w:rsid w:val="007440B2"/>
    <w:rsid w:val="007445FF"/>
    <w:rsid w:val="00744805"/>
    <w:rsid w:val="007451D3"/>
    <w:rsid w:val="0074535A"/>
    <w:rsid w:val="007455ED"/>
    <w:rsid w:val="0074588E"/>
    <w:rsid w:val="00745C08"/>
    <w:rsid w:val="007463B7"/>
    <w:rsid w:val="007463BE"/>
    <w:rsid w:val="007469A8"/>
    <w:rsid w:val="00747684"/>
    <w:rsid w:val="007477F8"/>
    <w:rsid w:val="00747957"/>
    <w:rsid w:val="007479F1"/>
    <w:rsid w:val="00750441"/>
    <w:rsid w:val="007507D8"/>
    <w:rsid w:val="00750D15"/>
    <w:rsid w:val="00750DED"/>
    <w:rsid w:val="00750F8D"/>
    <w:rsid w:val="00751495"/>
    <w:rsid w:val="007515F0"/>
    <w:rsid w:val="00751658"/>
    <w:rsid w:val="00751926"/>
    <w:rsid w:val="007519B0"/>
    <w:rsid w:val="00751BF0"/>
    <w:rsid w:val="00751D62"/>
    <w:rsid w:val="00751ED6"/>
    <w:rsid w:val="00752084"/>
    <w:rsid w:val="007527E9"/>
    <w:rsid w:val="0075296E"/>
    <w:rsid w:val="00752B03"/>
    <w:rsid w:val="00752D47"/>
    <w:rsid w:val="00752ECB"/>
    <w:rsid w:val="007530D1"/>
    <w:rsid w:val="0075334B"/>
    <w:rsid w:val="007535D3"/>
    <w:rsid w:val="00753739"/>
    <w:rsid w:val="00754AA4"/>
    <w:rsid w:val="00754F42"/>
    <w:rsid w:val="007559BD"/>
    <w:rsid w:val="00755C0F"/>
    <w:rsid w:val="00756113"/>
    <w:rsid w:val="00756316"/>
    <w:rsid w:val="0075690C"/>
    <w:rsid w:val="00756FB1"/>
    <w:rsid w:val="00757144"/>
    <w:rsid w:val="00757323"/>
    <w:rsid w:val="00757634"/>
    <w:rsid w:val="00761EF8"/>
    <w:rsid w:val="00762030"/>
    <w:rsid w:val="00763C35"/>
    <w:rsid w:val="00763DD6"/>
    <w:rsid w:val="00763FB8"/>
    <w:rsid w:val="00763FCF"/>
    <w:rsid w:val="0076428A"/>
    <w:rsid w:val="00764ED4"/>
    <w:rsid w:val="00764F93"/>
    <w:rsid w:val="00764FA4"/>
    <w:rsid w:val="00765182"/>
    <w:rsid w:val="007652F0"/>
    <w:rsid w:val="007657B6"/>
    <w:rsid w:val="00765F16"/>
    <w:rsid w:val="00766AF9"/>
    <w:rsid w:val="00766B47"/>
    <w:rsid w:val="00766F94"/>
    <w:rsid w:val="00767478"/>
    <w:rsid w:val="007678F8"/>
    <w:rsid w:val="00767E96"/>
    <w:rsid w:val="00767F43"/>
    <w:rsid w:val="00770C4D"/>
    <w:rsid w:val="00770D88"/>
    <w:rsid w:val="007718E6"/>
    <w:rsid w:val="00772057"/>
    <w:rsid w:val="007720BC"/>
    <w:rsid w:val="007729BF"/>
    <w:rsid w:val="00772E42"/>
    <w:rsid w:val="007733BB"/>
    <w:rsid w:val="00773A14"/>
    <w:rsid w:val="00773BC4"/>
    <w:rsid w:val="00773E6A"/>
    <w:rsid w:val="007745F6"/>
    <w:rsid w:val="00774AC8"/>
    <w:rsid w:val="00774C83"/>
    <w:rsid w:val="00775C93"/>
    <w:rsid w:val="007761F9"/>
    <w:rsid w:val="00776309"/>
    <w:rsid w:val="00776397"/>
    <w:rsid w:val="007765E4"/>
    <w:rsid w:val="00776895"/>
    <w:rsid w:val="00776C46"/>
    <w:rsid w:val="00776EF4"/>
    <w:rsid w:val="007774BA"/>
    <w:rsid w:val="0077765E"/>
    <w:rsid w:val="00777E50"/>
    <w:rsid w:val="00777FCA"/>
    <w:rsid w:val="00780084"/>
    <w:rsid w:val="00780DB7"/>
    <w:rsid w:val="00780EA9"/>
    <w:rsid w:val="00780FEF"/>
    <w:rsid w:val="0078152C"/>
    <w:rsid w:val="00781892"/>
    <w:rsid w:val="00781E84"/>
    <w:rsid w:val="00782176"/>
    <w:rsid w:val="007821DA"/>
    <w:rsid w:val="007822C0"/>
    <w:rsid w:val="00782376"/>
    <w:rsid w:val="00782B9F"/>
    <w:rsid w:val="00782DE2"/>
    <w:rsid w:val="00783423"/>
    <w:rsid w:val="00783531"/>
    <w:rsid w:val="00783F20"/>
    <w:rsid w:val="007842EF"/>
    <w:rsid w:val="00784774"/>
    <w:rsid w:val="00784907"/>
    <w:rsid w:val="00784976"/>
    <w:rsid w:val="00784DA9"/>
    <w:rsid w:val="00784E93"/>
    <w:rsid w:val="00784ED0"/>
    <w:rsid w:val="00784F14"/>
    <w:rsid w:val="00785036"/>
    <w:rsid w:val="00785811"/>
    <w:rsid w:val="00785FFC"/>
    <w:rsid w:val="0078605D"/>
    <w:rsid w:val="0078608D"/>
    <w:rsid w:val="007865AA"/>
    <w:rsid w:val="0078670A"/>
    <w:rsid w:val="00786D04"/>
    <w:rsid w:val="0078717B"/>
    <w:rsid w:val="00787290"/>
    <w:rsid w:val="00787B67"/>
    <w:rsid w:val="007902BD"/>
    <w:rsid w:val="007903E5"/>
    <w:rsid w:val="0079041F"/>
    <w:rsid w:val="007904D5"/>
    <w:rsid w:val="00790616"/>
    <w:rsid w:val="00790A01"/>
    <w:rsid w:val="00790C10"/>
    <w:rsid w:val="00790C6A"/>
    <w:rsid w:val="00790D7E"/>
    <w:rsid w:val="00790DFA"/>
    <w:rsid w:val="00790E84"/>
    <w:rsid w:val="007910BD"/>
    <w:rsid w:val="0079113E"/>
    <w:rsid w:val="007911B3"/>
    <w:rsid w:val="007914EB"/>
    <w:rsid w:val="00791896"/>
    <w:rsid w:val="007920ED"/>
    <w:rsid w:val="00792214"/>
    <w:rsid w:val="00792259"/>
    <w:rsid w:val="00792745"/>
    <w:rsid w:val="00792E2B"/>
    <w:rsid w:val="00793035"/>
    <w:rsid w:val="00793135"/>
    <w:rsid w:val="00793861"/>
    <w:rsid w:val="00793C4D"/>
    <w:rsid w:val="00794273"/>
    <w:rsid w:val="0079437A"/>
    <w:rsid w:val="007946AA"/>
    <w:rsid w:val="00794F3A"/>
    <w:rsid w:val="00795040"/>
    <w:rsid w:val="007950BA"/>
    <w:rsid w:val="0079563C"/>
    <w:rsid w:val="0079595E"/>
    <w:rsid w:val="00795983"/>
    <w:rsid w:val="007959AF"/>
    <w:rsid w:val="00795B42"/>
    <w:rsid w:val="00795D9C"/>
    <w:rsid w:val="0079640A"/>
    <w:rsid w:val="0079643C"/>
    <w:rsid w:val="007966CA"/>
    <w:rsid w:val="00796A02"/>
    <w:rsid w:val="00796C50"/>
    <w:rsid w:val="00796C7D"/>
    <w:rsid w:val="00797FC5"/>
    <w:rsid w:val="007A0024"/>
    <w:rsid w:val="007A052F"/>
    <w:rsid w:val="007A0790"/>
    <w:rsid w:val="007A0AE7"/>
    <w:rsid w:val="007A15F6"/>
    <w:rsid w:val="007A179D"/>
    <w:rsid w:val="007A195D"/>
    <w:rsid w:val="007A1C9A"/>
    <w:rsid w:val="007A1E54"/>
    <w:rsid w:val="007A1F31"/>
    <w:rsid w:val="007A23E1"/>
    <w:rsid w:val="007A2E02"/>
    <w:rsid w:val="007A30C5"/>
    <w:rsid w:val="007A315C"/>
    <w:rsid w:val="007A339B"/>
    <w:rsid w:val="007A35D6"/>
    <w:rsid w:val="007A3602"/>
    <w:rsid w:val="007A38C4"/>
    <w:rsid w:val="007A3EC3"/>
    <w:rsid w:val="007A3F4B"/>
    <w:rsid w:val="007A3FBB"/>
    <w:rsid w:val="007A40E4"/>
    <w:rsid w:val="007A41F3"/>
    <w:rsid w:val="007A4DC7"/>
    <w:rsid w:val="007A538F"/>
    <w:rsid w:val="007A67E4"/>
    <w:rsid w:val="007A68B0"/>
    <w:rsid w:val="007A6C42"/>
    <w:rsid w:val="007A72E5"/>
    <w:rsid w:val="007A760C"/>
    <w:rsid w:val="007A7749"/>
    <w:rsid w:val="007A7ADD"/>
    <w:rsid w:val="007B05A5"/>
    <w:rsid w:val="007B0630"/>
    <w:rsid w:val="007B0682"/>
    <w:rsid w:val="007B0DAB"/>
    <w:rsid w:val="007B0EE3"/>
    <w:rsid w:val="007B12BF"/>
    <w:rsid w:val="007B1309"/>
    <w:rsid w:val="007B136E"/>
    <w:rsid w:val="007B17F3"/>
    <w:rsid w:val="007B2661"/>
    <w:rsid w:val="007B28A5"/>
    <w:rsid w:val="007B2EAA"/>
    <w:rsid w:val="007B342E"/>
    <w:rsid w:val="007B3443"/>
    <w:rsid w:val="007B4F35"/>
    <w:rsid w:val="007B4F6F"/>
    <w:rsid w:val="007B5AC8"/>
    <w:rsid w:val="007B5AC9"/>
    <w:rsid w:val="007B609B"/>
    <w:rsid w:val="007B61E7"/>
    <w:rsid w:val="007B63BB"/>
    <w:rsid w:val="007B646A"/>
    <w:rsid w:val="007B677C"/>
    <w:rsid w:val="007B692E"/>
    <w:rsid w:val="007B6A75"/>
    <w:rsid w:val="007B6BBC"/>
    <w:rsid w:val="007B6CA6"/>
    <w:rsid w:val="007B7319"/>
    <w:rsid w:val="007B7361"/>
    <w:rsid w:val="007B7E38"/>
    <w:rsid w:val="007C02F0"/>
    <w:rsid w:val="007C0BEB"/>
    <w:rsid w:val="007C10FE"/>
    <w:rsid w:val="007C1765"/>
    <w:rsid w:val="007C1AF7"/>
    <w:rsid w:val="007C25FF"/>
    <w:rsid w:val="007C2C0E"/>
    <w:rsid w:val="007C378E"/>
    <w:rsid w:val="007C37C7"/>
    <w:rsid w:val="007C395B"/>
    <w:rsid w:val="007C39D7"/>
    <w:rsid w:val="007C3A2E"/>
    <w:rsid w:val="007C44CD"/>
    <w:rsid w:val="007C4556"/>
    <w:rsid w:val="007C469C"/>
    <w:rsid w:val="007C4AF3"/>
    <w:rsid w:val="007C4CED"/>
    <w:rsid w:val="007C546C"/>
    <w:rsid w:val="007C565D"/>
    <w:rsid w:val="007C5890"/>
    <w:rsid w:val="007C597B"/>
    <w:rsid w:val="007C62D9"/>
    <w:rsid w:val="007C659C"/>
    <w:rsid w:val="007C6973"/>
    <w:rsid w:val="007C69DE"/>
    <w:rsid w:val="007C6A0B"/>
    <w:rsid w:val="007C6B40"/>
    <w:rsid w:val="007C74E8"/>
    <w:rsid w:val="007C750B"/>
    <w:rsid w:val="007C75D9"/>
    <w:rsid w:val="007C77E3"/>
    <w:rsid w:val="007C7848"/>
    <w:rsid w:val="007C79A3"/>
    <w:rsid w:val="007C7EE5"/>
    <w:rsid w:val="007C7F12"/>
    <w:rsid w:val="007C7F38"/>
    <w:rsid w:val="007D0375"/>
    <w:rsid w:val="007D0AA1"/>
    <w:rsid w:val="007D0AC0"/>
    <w:rsid w:val="007D0BD4"/>
    <w:rsid w:val="007D17AB"/>
    <w:rsid w:val="007D18C6"/>
    <w:rsid w:val="007D289B"/>
    <w:rsid w:val="007D2A61"/>
    <w:rsid w:val="007D2F2A"/>
    <w:rsid w:val="007D3062"/>
    <w:rsid w:val="007D3324"/>
    <w:rsid w:val="007D38C4"/>
    <w:rsid w:val="007D3B8D"/>
    <w:rsid w:val="007D3D7E"/>
    <w:rsid w:val="007D41A0"/>
    <w:rsid w:val="007D43EA"/>
    <w:rsid w:val="007D467A"/>
    <w:rsid w:val="007D4791"/>
    <w:rsid w:val="007D4872"/>
    <w:rsid w:val="007D5394"/>
    <w:rsid w:val="007D54BA"/>
    <w:rsid w:val="007D5607"/>
    <w:rsid w:val="007D569B"/>
    <w:rsid w:val="007D58E2"/>
    <w:rsid w:val="007D5937"/>
    <w:rsid w:val="007D62C3"/>
    <w:rsid w:val="007D634A"/>
    <w:rsid w:val="007D689A"/>
    <w:rsid w:val="007D6A3C"/>
    <w:rsid w:val="007D6D95"/>
    <w:rsid w:val="007D70BB"/>
    <w:rsid w:val="007D715B"/>
    <w:rsid w:val="007D777F"/>
    <w:rsid w:val="007D77E7"/>
    <w:rsid w:val="007D7AF5"/>
    <w:rsid w:val="007E03F5"/>
    <w:rsid w:val="007E07D8"/>
    <w:rsid w:val="007E0968"/>
    <w:rsid w:val="007E0E95"/>
    <w:rsid w:val="007E0F49"/>
    <w:rsid w:val="007E155A"/>
    <w:rsid w:val="007E168C"/>
    <w:rsid w:val="007E19D1"/>
    <w:rsid w:val="007E2815"/>
    <w:rsid w:val="007E2FB0"/>
    <w:rsid w:val="007E3212"/>
    <w:rsid w:val="007E325A"/>
    <w:rsid w:val="007E37BE"/>
    <w:rsid w:val="007E3975"/>
    <w:rsid w:val="007E46D7"/>
    <w:rsid w:val="007E4788"/>
    <w:rsid w:val="007E4B89"/>
    <w:rsid w:val="007E4D64"/>
    <w:rsid w:val="007E4DF3"/>
    <w:rsid w:val="007E538B"/>
    <w:rsid w:val="007E577D"/>
    <w:rsid w:val="007E5ABE"/>
    <w:rsid w:val="007E5DC0"/>
    <w:rsid w:val="007E5DD0"/>
    <w:rsid w:val="007E64F1"/>
    <w:rsid w:val="007E6AF3"/>
    <w:rsid w:val="007E6D38"/>
    <w:rsid w:val="007E6DB1"/>
    <w:rsid w:val="007E71F4"/>
    <w:rsid w:val="007E76B4"/>
    <w:rsid w:val="007E78EA"/>
    <w:rsid w:val="007E7DD1"/>
    <w:rsid w:val="007F0498"/>
    <w:rsid w:val="007F07EC"/>
    <w:rsid w:val="007F085C"/>
    <w:rsid w:val="007F0A21"/>
    <w:rsid w:val="007F0DD0"/>
    <w:rsid w:val="007F0F8C"/>
    <w:rsid w:val="007F0FFF"/>
    <w:rsid w:val="007F1F23"/>
    <w:rsid w:val="007F1F55"/>
    <w:rsid w:val="007F274B"/>
    <w:rsid w:val="007F287C"/>
    <w:rsid w:val="007F28E9"/>
    <w:rsid w:val="007F293F"/>
    <w:rsid w:val="007F2CA8"/>
    <w:rsid w:val="007F3289"/>
    <w:rsid w:val="007F3B67"/>
    <w:rsid w:val="007F3B7C"/>
    <w:rsid w:val="007F3D21"/>
    <w:rsid w:val="007F3E05"/>
    <w:rsid w:val="007F4BBB"/>
    <w:rsid w:val="007F5555"/>
    <w:rsid w:val="007F57EB"/>
    <w:rsid w:val="007F583E"/>
    <w:rsid w:val="007F5993"/>
    <w:rsid w:val="007F66E7"/>
    <w:rsid w:val="007F6A7F"/>
    <w:rsid w:val="007F6CBE"/>
    <w:rsid w:val="007F7014"/>
    <w:rsid w:val="007F70AF"/>
    <w:rsid w:val="007F72A9"/>
    <w:rsid w:val="007F7343"/>
    <w:rsid w:val="007F7B51"/>
    <w:rsid w:val="007F7D03"/>
    <w:rsid w:val="007F7D6A"/>
    <w:rsid w:val="007F7D7D"/>
    <w:rsid w:val="007F7DD4"/>
    <w:rsid w:val="007F7E9E"/>
    <w:rsid w:val="00800345"/>
    <w:rsid w:val="00800460"/>
    <w:rsid w:val="008004A4"/>
    <w:rsid w:val="00800582"/>
    <w:rsid w:val="008008BA"/>
    <w:rsid w:val="00800AB9"/>
    <w:rsid w:val="00800D24"/>
    <w:rsid w:val="00800E62"/>
    <w:rsid w:val="00801227"/>
    <w:rsid w:val="00801F77"/>
    <w:rsid w:val="00802155"/>
    <w:rsid w:val="00802E4B"/>
    <w:rsid w:val="00802EBE"/>
    <w:rsid w:val="00802F3E"/>
    <w:rsid w:val="00803266"/>
    <w:rsid w:val="00803811"/>
    <w:rsid w:val="00803C58"/>
    <w:rsid w:val="00803D55"/>
    <w:rsid w:val="008043C3"/>
    <w:rsid w:val="008043F4"/>
    <w:rsid w:val="008045FE"/>
    <w:rsid w:val="008050F7"/>
    <w:rsid w:val="008051BE"/>
    <w:rsid w:val="00805B6C"/>
    <w:rsid w:val="00805EA8"/>
    <w:rsid w:val="00806992"/>
    <w:rsid w:val="00806B0B"/>
    <w:rsid w:val="00806C38"/>
    <w:rsid w:val="00806D83"/>
    <w:rsid w:val="00807571"/>
    <w:rsid w:val="00807661"/>
    <w:rsid w:val="008076E4"/>
    <w:rsid w:val="008079F3"/>
    <w:rsid w:val="00807A5C"/>
    <w:rsid w:val="00807C7E"/>
    <w:rsid w:val="008105BC"/>
    <w:rsid w:val="00810D25"/>
    <w:rsid w:val="00810D88"/>
    <w:rsid w:val="00810FAE"/>
    <w:rsid w:val="0081115B"/>
    <w:rsid w:val="00811800"/>
    <w:rsid w:val="00811A8B"/>
    <w:rsid w:val="008122A4"/>
    <w:rsid w:val="00813549"/>
    <w:rsid w:val="00813D79"/>
    <w:rsid w:val="00813F16"/>
    <w:rsid w:val="00813FB5"/>
    <w:rsid w:val="008144F2"/>
    <w:rsid w:val="008147CD"/>
    <w:rsid w:val="00814F6D"/>
    <w:rsid w:val="0081527E"/>
    <w:rsid w:val="0081545D"/>
    <w:rsid w:val="008154D3"/>
    <w:rsid w:val="008155AD"/>
    <w:rsid w:val="008156DB"/>
    <w:rsid w:val="00815B15"/>
    <w:rsid w:val="00815C67"/>
    <w:rsid w:val="00815D13"/>
    <w:rsid w:val="00815E0E"/>
    <w:rsid w:val="00815F2F"/>
    <w:rsid w:val="008161AD"/>
    <w:rsid w:val="008168C7"/>
    <w:rsid w:val="0081693A"/>
    <w:rsid w:val="00816F64"/>
    <w:rsid w:val="008177B9"/>
    <w:rsid w:val="00817B7F"/>
    <w:rsid w:val="00817EBB"/>
    <w:rsid w:val="008200B6"/>
    <w:rsid w:val="008208A8"/>
    <w:rsid w:val="008208B7"/>
    <w:rsid w:val="0082094D"/>
    <w:rsid w:val="00820C4D"/>
    <w:rsid w:val="008211E3"/>
    <w:rsid w:val="00821293"/>
    <w:rsid w:val="00821FE1"/>
    <w:rsid w:val="00822274"/>
    <w:rsid w:val="008225E8"/>
    <w:rsid w:val="008227E3"/>
    <w:rsid w:val="00822960"/>
    <w:rsid w:val="00822B30"/>
    <w:rsid w:val="00822B8A"/>
    <w:rsid w:val="00823352"/>
    <w:rsid w:val="008233AE"/>
    <w:rsid w:val="0082342C"/>
    <w:rsid w:val="008240CB"/>
    <w:rsid w:val="008247A4"/>
    <w:rsid w:val="00824A9C"/>
    <w:rsid w:val="00825181"/>
    <w:rsid w:val="0082540B"/>
    <w:rsid w:val="008254F7"/>
    <w:rsid w:val="008257E2"/>
    <w:rsid w:val="00825E75"/>
    <w:rsid w:val="0082619D"/>
    <w:rsid w:val="00826666"/>
    <w:rsid w:val="008267F4"/>
    <w:rsid w:val="008269D1"/>
    <w:rsid w:val="00827740"/>
    <w:rsid w:val="008278A8"/>
    <w:rsid w:val="00827AD1"/>
    <w:rsid w:val="00827CB9"/>
    <w:rsid w:val="0083005E"/>
    <w:rsid w:val="00831DA8"/>
    <w:rsid w:val="00831E1A"/>
    <w:rsid w:val="00831EEA"/>
    <w:rsid w:val="00831F6D"/>
    <w:rsid w:val="00832124"/>
    <w:rsid w:val="00832CAC"/>
    <w:rsid w:val="008333B2"/>
    <w:rsid w:val="008336B5"/>
    <w:rsid w:val="0083370C"/>
    <w:rsid w:val="00833C07"/>
    <w:rsid w:val="00833D42"/>
    <w:rsid w:val="00834018"/>
    <w:rsid w:val="008340A3"/>
    <w:rsid w:val="008340D5"/>
    <w:rsid w:val="0083415B"/>
    <w:rsid w:val="008342E7"/>
    <w:rsid w:val="008343AA"/>
    <w:rsid w:val="00834903"/>
    <w:rsid w:val="00834D94"/>
    <w:rsid w:val="00834E82"/>
    <w:rsid w:val="00834EC7"/>
    <w:rsid w:val="00834F2E"/>
    <w:rsid w:val="008352C5"/>
    <w:rsid w:val="00835AC4"/>
    <w:rsid w:val="008363B8"/>
    <w:rsid w:val="008365F1"/>
    <w:rsid w:val="008365FE"/>
    <w:rsid w:val="00836FF5"/>
    <w:rsid w:val="00837274"/>
    <w:rsid w:val="008372D3"/>
    <w:rsid w:val="0083760D"/>
    <w:rsid w:val="00837786"/>
    <w:rsid w:val="00837B9D"/>
    <w:rsid w:val="00837EF0"/>
    <w:rsid w:val="0084023C"/>
    <w:rsid w:val="008402D2"/>
    <w:rsid w:val="008411DC"/>
    <w:rsid w:val="00841440"/>
    <w:rsid w:val="00841A11"/>
    <w:rsid w:val="008422AD"/>
    <w:rsid w:val="00842337"/>
    <w:rsid w:val="00842504"/>
    <w:rsid w:val="00842571"/>
    <w:rsid w:val="00843417"/>
    <w:rsid w:val="0084352F"/>
    <w:rsid w:val="0084354E"/>
    <w:rsid w:val="00843564"/>
    <w:rsid w:val="00844619"/>
    <w:rsid w:val="0084477C"/>
    <w:rsid w:val="008447E1"/>
    <w:rsid w:val="00844A71"/>
    <w:rsid w:val="00844E59"/>
    <w:rsid w:val="00844FA7"/>
    <w:rsid w:val="00845241"/>
    <w:rsid w:val="008452BB"/>
    <w:rsid w:val="008456BD"/>
    <w:rsid w:val="00846622"/>
    <w:rsid w:val="00846C92"/>
    <w:rsid w:val="00846F92"/>
    <w:rsid w:val="008471FE"/>
    <w:rsid w:val="008475E5"/>
    <w:rsid w:val="0084764C"/>
    <w:rsid w:val="0084777F"/>
    <w:rsid w:val="00847869"/>
    <w:rsid w:val="00847A4F"/>
    <w:rsid w:val="00850181"/>
    <w:rsid w:val="008501A4"/>
    <w:rsid w:val="0085031A"/>
    <w:rsid w:val="00850573"/>
    <w:rsid w:val="008507F4"/>
    <w:rsid w:val="008511CE"/>
    <w:rsid w:val="00851504"/>
    <w:rsid w:val="00851D77"/>
    <w:rsid w:val="008525EB"/>
    <w:rsid w:val="008527A0"/>
    <w:rsid w:val="00852ED8"/>
    <w:rsid w:val="008532EC"/>
    <w:rsid w:val="008535C4"/>
    <w:rsid w:val="00853722"/>
    <w:rsid w:val="008538F5"/>
    <w:rsid w:val="00855218"/>
    <w:rsid w:val="0085548C"/>
    <w:rsid w:val="00855B15"/>
    <w:rsid w:val="00855B6C"/>
    <w:rsid w:val="00856189"/>
    <w:rsid w:val="0085654D"/>
    <w:rsid w:val="0085659C"/>
    <w:rsid w:val="008566DB"/>
    <w:rsid w:val="00856CAA"/>
    <w:rsid w:val="00856EA3"/>
    <w:rsid w:val="008570AC"/>
    <w:rsid w:val="0085720F"/>
    <w:rsid w:val="008578D6"/>
    <w:rsid w:val="00857A4C"/>
    <w:rsid w:val="00857DF7"/>
    <w:rsid w:val="00857E34"/>
    <w:rsid w:val="00857FAE"/>
    <w:rsid w:val="008600C7"/>
    <w:rsid w:val="00860101"/>
    <w:rsid w:val="0086022A"/>
    <w:rsid w:val="008602A8"/>
    <w:rsid w:val="0086051A"/>
    <w:rsid w:val="0086144F"/>
    <w:rsid w:val="008614A8"/>
    <w:rsid w:val="00861649"/>
    <w:rsid w:val="00861AB6"/>
    <w:rsid w:val="00861BAA"/>
    <w:rsid w:val="008624A3"/>
    <w:rsid w:val="008633E7"/>
    <w:rsid w:val="00863507"/>
    <w:rsid w:val="008635C7"/>
    <w:rsid w:val="00863CFD"/>
    <w:rsid w:val="00863EA8"/>
    <w:rsid w:val="008644BF"/>
    <w:rsid w:val="0086548F"/>
    <w:rsid w:val="00865BE4"/>
    <w:rsid w:val="00865C42"/>
    <w:rsid w:val="00865CCB"/>
    <w:rsid w:val="00866071"/>
    <w:rsid w:val="0086651E"/>
    <w:rsid w:val="00866C50"/>
    <w:rsid w:val="00866DBC"/>
    <w:rsid w:val="00866EF2"/>
    <w:rsid w:val="00867010"/>
    <w:rsid w:val="008670B0"/>
    <w:rsid w:val="008671FF"/>
    <w:rsid w:val="008672D0"/>
    <w:rsid w:val="00867300"/>
    <w:rsid w:val="00867384"/>
    <w:rsid w:val="00867689"/>
    <w:rsid w:val="00867F99"/>
    <w:rsid w:val="0087057D"/>
    <w:rsid w:val="00870639"/>
    <w:rsid w:val="00870CEE"/>
    <w:rsid w:val="00870E36"/>
    <w:rsid w:val="00870E98"/>
    <w:rsid w:val="00871159"/>
    <w:rsid w:val="0087144C"/>
    <w:rsid w:val="008715ED"/>
    <w:rsid w:val="0087197A"/>
    <w:rsid w:val="00871EC2"/>
    <w:rsid w:val="0087289B"/>
    <w:rsid w:val="00872BEE"/>
    <w:rsid w:val="00872CDA"/>
    <w:rsid w:val="00872D59"/>
    <w:rsid w:val="00872D8D"/>
    <w:rsid w:val="00873039"/>
    <w:rsid w:val="00873045"/>
    <w:rsid w:val="008731DD"/>
    <w:rsid w:val="00873203"/>
    <w:rsid w:val="00873909"/>
    <w:rsid w:val="00873F8C"/>
    <w:rsid w:val="0087471F"/>
    <w:rsid w:val="00874C39"/>
    <w:rsid w:val="00874C90"/>
    <w:rsid w:val="00875207"/>
    <w:rsid w:val="00875E0D"/>
    <w:rsid w:val="00876388"/>
    <w:rsid w:val="00876A0E"/>
    <w:rsid w:val="008774A5"/>
    <w:rsid w:val="008775EA"/>
    <w:rsid w:val="008778CF"/>
    <w:rsid w:val="00877F14"/>
    <w:rsid w:val="00880063"/>
    <w:rsid w:val="00880160"/>
    <w:rsid w:val="0088037A"/>
    <w:rsid w:val="0088043F"/>
    <w:rsid w:val="008805BA"/>
    <w:rsid w:val="00880AB7"/>
    <w:rsid w:val="00880D05"/>
    <w:rsid w:val="00881409"/>
    <w:rsid w:val="008814A4"/>
    <w:rsid w:val="00881AC1"/>
    <w:rsid w:val="00881DDC"/>
    <w:rsid w:val="00882176"/>
    <w:rsid w:val="008823ED"/>
    <w:rsid w:val="00882954"/>
    <w:rsid w:val="00882B20"/>
    <w:rsid w:val="00882F7B"/>
    <w:rsid w:val="0088306C"/>
    <w:rsid w:val="00883084"/>
    <w:rsid w:val="008831F3"/>
    <w:rsid w:val="00883B44"/>
    <w:rsid w:val="00883C9A"/>
    <w:rsid w:val="0088440F"/>
    <w:rsid w:val="00884816"/>
    <w:rsid w:val="00885128"/>
    <w:rsid w:val="00885E72"/>
    <w:rsid w:val="00885EA6"/>
    <w:rsid w:val="00885F31"/>
    <w:rsid w:val="008863FE"/>
    <w:rsid w:val="00886751"/>
    <w:rsid w:val="00886B91"/>
    <w:rsid w:val="00886BC4"/>
    <w:rsid w:val="00886EF7"/>
    <w:rsid w:val="00887245"/>
    <w:rsid w:val="00887410"/>
    <w:rsid w:val="0088773F"/>
    <w:rsid w:val="00887A26"/>
    <w:rsid w:val="00887B6E"/>
    <w:rsid w:val="00887C38"/>
    <w:rsid w:val="00890232"/>
    <w:rsid w:val="008902F4"/>
    <w:rsid w:val="00890D5A"/>
    <w:rsid w:val="00891843"/>
    <w:rsid w:val="00892883"/>
    <w:rsid w:val="00892A70"/>
    <w:rsid w:val="00892BBB"/>
    <w:rsid w:val="00892CAB"/>
    <w:rsid w:val="00892E2B"/>
    <w:rsid w:val="00893230"/>
    <w:rsid w:val="00893474"/>
    <w:rsid w:val="00893524"/>
    <w:rsid w:val="00893C9F"/>
    <w:rsid w:val="00893F9D"/>
    <w:rsid w:val="00893FEB"/>
    <w:rsid w:val="0089415F"/>
    <w:rsid w:val="008941D8"/>
    <w:rsid w:val="0089423C"/>
    <w:rsid w:val="008945D8"/>
    <w:rsid w:val="00894A1B"/>
    <w:rsid w:val="008950DF"/>
    <w:rsid w:val="00895128"/>
    <w:rsid w:val="0089534B"/>
    <w:rsid w:val="00896DBF"/>
    <w:rsid w:val="00896DDF"/>
    <w:rsid w:val="00896E56"/>
    <w:rsid w:val="00896EC3"/>
    <w:rsid w:val="008A02A7"/>
    <w:rsid w:val="008A0BE2"/>
    <w:rsid w:val="008A0CF0"/>
    <w:rsid w:val="008A0D86"/>
    <w:rsid w:val="008A102A"/>
    <w:rsid w:val="008A10AB"/>
    <w:rsid w:val="008A1150"/>
    <w:rsid w:val="008A11C9"/>
    <w:rsid w:val="008A140F"/>
    <w:rsid w:val="008A1BE5"/>
    <w:rsid w:val="008A1F04"/>
    <w:rsid w:val="008A26DD"/>
    <w:rsid w:val="008A31B9"/>
    <w:rsid w:val="008A3DD8"/>
    <w:rsid w:val="008A3F2F"/>
    <w:rsid w:val="008A48CD"/>
    <w:rsid w:val="008A4C39"/>
    <w:rsid w:val="008A4E14"/>
    <w:rsid w:val="008A528F"/>
    <w:rsid w:val="008A57EF"/>
    <w:rsid w:val="008A584E"/>
    <w:rsid w:val="008A592E"/>
    <w:rsid w:val="008A5E02"/>
    <w:rsid w:val="008A659F"/>
    <w:rsid w:val="008A6B34"/>
    <w:rsid w:val="008A6D9A"/>
    <w:rsid w:val="008B0003"/>
    <w:rsid w:val="008B0142"/>
    <w:rsid w:val="008B02A8"/>
    <w:rsid w:val="008B0785"/>
    <w:rsid w:val="008B094D"/>
    <w:rsid w:val="008B10ED"/>
    <w:rsid w:val="008B1470"/>
    <w:rsid w:val="008B1920"/>
    <w:rsid w:val="008B1A03"/>
    <w:rsid w:val="008B1A06"/>
    <w:rsid w:val="008B2078"/>
    <w:rsid w:val="008B21BD"/>
    <w:rsid w:val="008B26E7"/>
    <w:rsid w:val="008B2AB8"/>
    <w:rsid w:val="008B2C4F"/>
    <w:rsid w:val="008B3B27"/>
    <w:rsid w:val="008B436C"/>
    <w:rsid w:val="008B43D6"/>
    <w:rsid w:val="008B4A5A"/>
    <w:rsid w:val="008B4BC9"/>
    <w:rsid w:val="008B4D04"/>
    <w:rsid w:val="008B4DA9"/>
    <w:rsid w:val="008B53E3"/>
    <w:rsid w:val="008B5901"/>
    <w:rsid w:val="008B5F70"/>
    <w:rsid w:val="008B6136"/>
    <w:rsid w:val="008B631C"/>
    <w:rsid w:val="008B64F6"/>
    <w:rsid w:val="008B6721"/>
    <w:rsid w:val="008B6A6C"/>
    <w:rsid w:val="008B6CB1"/>
    <w:rsid w:val="008B6D5C"/>
    <w:rsid w:val="008B6DC1"/>
    <w:rsid w:val="008B71CC"/>
    <w:rsid w:val="008C00BD"/>
    <w:rsid w:val="008C0292"/>
    <w:rsid w:val="008C04B4"/>
    <w:rsid w:val="008C0A80"/>
    <w:rsid w:val="008C0CE8"/>
    <w:rsid w:val="008C1437"/>
    <w:rsid w:val="008C15A9"/>
    <w:rsid w:val="008C1A6E"/>
    <w:rsid w:val="008C2641"/>
    <w:rsid w:val="008C279D"/>
    <w:rsid w:val="008C293E"/>
    <w:rsid w:val="008C2A9D"/>
    <w:rsid w:val="008C3653"/>
    <w:rsid w:val="008C3EBC"/>
    <w:rsid w:val="008C408E"/>
    <w:rsid w:val="008C41B9"/>
    <w:rsid w:val="008C42C6"/>
    <w:rsid w:val="008C45CF"/>
    <w:rsid w:val="008C5B13"/>
    <w:rsid w:val="008C5B2F"/>
    <w:rsid w:val="008C5F6D"/>
    <w:rsid w:val="008C609B"/>
    <w:rsid w:val="008C6512"/>
    <w:rsid w:val="008C6599"/>
    <w:rsid w:val="008C6BDD"/>
    <w:rsid w:val="008C6F75"/>
    <w:rsid w:val="008C70C7"/>
    <w:rsid w:val="008C71DF"/>
    <w:rsid w:val="008C7C41"/>
    <w:rsid w:val="008D008F"/>
    <w:rsid w:val="008D0286"/>
    <w:rsid w:val="008D0483"/>
    <w:rsid w:val="008D0D0A"/>
    <w:rsid w:val="008D18F3"/>
    <w:rsid w:val="008D1BAA"/>
    <w:rsid w:val="008D1BDA"/>
    <w:rsid w:val="008D1CDB"/>
    <w:rsid w:val="008D212A"/>
    <w:rsid w:val="008D2279"/>
    <w:rsid w:val="008D235A"/>
    <w:rsid w:val="008D240E"/>
    <w:rsid w:val="008D3515"/>
    <w:rsid w:val="008D3ABC"/>
    <w:rsid w:val="008D3FD7"/>
    <w:rsid w:val="008D40A2"/>
    <w:rsid w:val="008D5082"/>
    <w:rsid w:val="008D5A1B"/>
    <w:rsid w:val="008D60CF"/>
    <w:rsid w:val="008D61F2"/>
    <w:rsid w:val="008D66C0"/>
    <w:rsid w:val="008D6AFB"/>
    <w:rsid w:val="008D737E"/>
    <w:rsid w:val="008D74A6"/>
    <w:rsid w:val="008D7765"/>
    <w:rsid w:val="008D7C6C"/>
    <w:rsid w:val="008E00CB"/>
    <w:rsid w:val="008E041B"/>
    <w:rsid w:val="008E05C4"/>
    <w:rsid w:val="008E0E9C"/>
    <w:rsid w:val="008E1683"/>
    <w:rsid w:val="008E17FD"/>
    <w:rsid w:val="008E1FCA"/>
    <w:rsid w:val="008E225A"/>
    <w:rsid w:val="008E28FE"/>
    <w:rsid w:val="008E2985"/>
    <w:rsid w:val="008E2D2D"/>
    <w:rsid w:val="008E2F3C"/>
    <w:rsid w:val="008E2FE2"/>
    <w:rsid w:val="008E30BF"/>
    <w:rsid w:val="008E3103"/>
    <w:rsid w:val="008E33FD"/>
    <w:rsid w:val="008E3A25"/>
    <w:rsid w:val="008E3B78"/>
    <w:rsid w:val="008E3F30"/>
    <w:rsid w:val="008E3FD9"/>
    <w:rsid w:val="008E4779"/>
    <w:rsid w:val="008E4E00"/>
    <w:rsid w:val="008E4E73"/>
    <w:rsid w:val="008E4F31"/>
    <w:rsid w:val="008E52B1"/>
    <w:rsid w:val="008E5557"/>
    <w:rsid w:val="008E6910"/>
    <w:rsid w:val="008E69E0"/>
    <w:rsid w:val="008E6AB9"/>
    <w:rsid w:val="008E6CD1"/>
    <w:rsid w:val="008E7916"/>
    <w:rsid w:val="008E79C5"/>
    <w:rsid w:val="008E7B59"/>
    <w:rsid w:val="008E7BBA"/>
    <w:rsid w:val="008E7E19"/>
    <w:rsid w:val="008E7E33"/>
    <w:rsid w:val="008E7F23"/>
    <w:rsid w:val="008F0339"/>
    <w:rsid w:val="008F0354"/>
    <w:rsid w:val="008F06A9"/>
    <w:rsid w:val="008F0B54"/>
    <w:rsid w:val="008F0B85"/>
    <w:rsid w:val="008F0E4A"/>
    <w:rsid w:val="008F139E"/>
    <w:rsid w:val="008F15E3"/>
    <w:rsid w:val="008F1652"/>
    <w:rsid w:val="008F1A57"/>
    <w:rsid w:val="008F1C17"/>
    <w:rsid w:val="008F1C88"/>
    <w:rsid w:val="008F2213"/>
    <w:rsid w:val="008F2A21"/>
    <w:rsid w:val="008F2B2D"/>
    <w:rsid w:val="008F2C2C"/>
    <w:rsid w:val="008F33C9"/>
    <w:rsid w:val="008F3EA7"/>
    <w:rsid w:val="008F4050"/>
    <w:rsid w:val="008F44FD"/>
    <w:rsid w:val="008F5872"/>
    <w:rsid w:val="008F5A77"/>
    <w:rsid w:val="008F6048"/>
    <w:rsid w:val="008F6557"/>
    <w:rsid w:val="008F678B"/>
    <w:rsid w:val="008F695A"/>
    <w:rsid w:val="008F7633"/>
    <w:rsid w:val="008F775A"/>
    <w:rsid w:val="008F7F38"/>
    <w:rsid w:val="00900DC4"/>
    <w:rsid w:val="00900E8B"/>
    <w:rsid w:val="00900EBB"/>
    <w:rsid w:val="0090111A"/>
    <w:rsid w:val="0090118B"/>
    <w:rsid w:val="009012C4"/>
    <w:rsid w:val="009014FF"/>
    <w:rsid w:val="0090172A"/>
    <w:rsid w:val="00901D49"/>
    <w:rsid w:val="0090242B"/>
    <w:rsid w:val="0090299B"/>
    <w:rsid w:val="00902D5B"/>
    <w:rsid w:val="0090332F"/>
    <w:rsid w:val="00903505"/>
    <w:rsid w:val="00903E0F"/>
    <w:rsid w:val="009049AE"/>
    <w:rsid w:val="00904AD9"/>
    <w:rsid w:val="00904DC6"/>
    <w:rsid w:val="00904F67"/>
    <w:rsid w:val="00905A31"/>
    <w:rsid w:val="00905BF8"/>
    <w:rsid w:val="0090617E"/>
    <w:rsid w:val="00906862"/>
    <w:rsid w:val="00906FE3"/>
    <w:rsid w:val="00907645"/>
    <w:rsid w:val="00907CD2"/>
    <w:rsid w:val="00907DE5"/>
    <w:rsid w:val="00910081"/>
    <w:rsid w:val="00910256"/>
    <w:rsid w:val="009108FD"/>
    <w:rsid w:val="00910A78"/>
    <w:rsid w:val="009111F9"/>
    <w:rsid w:val="00911221"/>
    <w:rsid w:val="00911435"/>
    <w:rsid w:val="009114BD"/>
    <w:rsid w:val="0091167E"/>
    <w:rsid w:val="00911EF7"/>
    <w:rsid w:val="00912458"/>
    <w:rsid w:val="00912D91"/>
    <w:rsid w:val="00913009"/>
    <w:rsid w:val="009130B2"/>
    <w:rsid w:val="0091355D"/>
    <w:rsid w:val="0091380E"/>
    <w:rsid w:val="0091399A"/>
    <w:rsid w:val="009139D5"/>
    <w:rsid w:val="00913A2A"/>
    <w:rsid w:val="00913DAA"/>
    <w:rsid w:val="0091407E"/>
    <w:rsid w:val="00914382"/>
    <w:rsid w:val="00914592"/>
    <w:rsid w:val="00914A34"/>
    <w:rsid w:val="00914DBA"/>
    <w:rsid w:val="00915245"/>
    <w:rsid w:val="00915252"/>
    <w:rsid w:val="0091533F"/>
    <w:rsid w:val="009157E5"/>
    <w:rsid w:val="00915854"/>
    <w:rsid w:val="0091585D"/>
    <w:rsid w:val="009158A9"/>
    <w:rsid w:val="00915DC6"/>
    <w:rsid w:val="00915F74"/>
    <w:rsid w:val="0091682C"/>
    <w:rsid w:val="00916AA0"/>
    <w:rsid w:val="00916CCD"/>
    <w:rsid w:val="00916E07"/>
    <w:rsid w:val="00916F59"/>
    <w:rsid w:val="00917364"/>
    <w:rsid w:val="00917382"/>
    <w:rsid w:val="009177EF"/>
    <w:rsid w:val="00917C94"/>
    <w:rsid w:val="00917D7F"/>
    <w:rsid w:val="009202F4"/>
    <w:rsid w:val="0092035F"/>
    <w:rsid w:val="00920C02"/>
    <w:rsid w:val="00920D10"/>
    <w:rsid w:val="009211A5"/>
    <w:rsid w:val="00921500"/>
    <w:rsid w:val="009218BF"/>
    <w:rsid w:val="0092199B"/>
    <w:rsid w:val="00921C51"/>
    <w:rsid w:val="00921C7F"/>
    <w:rsid w:val="00921D1D"/>
    <w:rsid w:val="00922569"/>
    <w:rsid w:val="00922F4A"/>
    <w:rsid w:val="00923034"/>
    <w:rsid w:val="0092330E"/>
    <w:rsid w:val="009234BE"/>
    <w:rsid w:val="00923786"/>
    <w:rsid w:val="00923A3E"/>
    <w:rsid w:val="00923A54"/>
    <w:rsid w:val="00924048"/>
    <w:rsid w:val="009245EA"/>
    <w:rsid w:val="009246A0"/>
    <w:rsid w:val="00926269"/>
    <w:rsid w:val="00926870"/>
    <w:rsid w:val="00926907"/>
    <w:rsid w:val="0092697B"/>
    <w:rsid w:val="00926AB7"/>
    <w:rsid w:val="009274C2"/>
    <w:rsid w:val="0093075F"/>
    <w:rsid w:val="0093089B"/>
    <w:rsid w:val="00930AC5"/>
    <w:rsid w:val="00930C40"/>
    <w:rsid w:val="00930F75"/>
    <w:rsid w:val="00931450"/>
    <w:rsid w:val="0093149D"/>
    <w:rsid w:val="0093185C"/>
    <w:rsid w:val="009320F0"/>
    <w:rsid w:val="0093282F"/>
    <w:rsid w:val="00932A15"/>
    <w:rsid w:val="00932D23"/>
    <w:rsid w:val="00933343"/>
    <w:rsid w:val="00933406"/>
    <w:rsid w:val="0093366F"/>
    <w:rsid w:val="009337C6"/>
    <w:rsid w:val="00933D22"/>
    <w:rsid w:val="00933D83"/>
    <w:rsid w:val="00933D8A"/>
    <w:rsid w:val="00933DBD"/>
    <w:rsid w:val="00933E6C"/>
    <w:rsid w:val="00934191"/>
    <w:rsid w:val="00934468"/>
    <w:rsid w:val="00934480"/>
    <w:rsid w:val="00934534"/>
    <w:rsid w:val="00934AB4"/>
    <w:rsid w:val="00934EB7"/>
    <w:rsid w:val="00935207"/>
    <w:rsid w:val="009352D2"/>
    <w:rsid w:val="0093573D"/>
    <w:rsid w:val="00935F86"/>
    <w:rsid w:val="00935FD2"/>
    <w:rsid w:val="00936720"/>
    <w:rsid w:val="00936AE2"/>
    <w:rsid w:val="00936B15"/>
    <w:rsid w:val="00936BFB"/>
    <w:rsid w:val="00936C17"/>
    <w:rsid w:val="00936EB9"/>
    <w:rsid w:val="0093701F"/>
    <w:rsid w:val="0093711E"/>
    <w:rsid w:val="00937291"/>
    <w:rsid w:val="0093781C"/>
    <w:rsid w:val="00937821"/>
    <w:rsid w:val="009379E2"/>
    <w:rsid w:val="00937A2C"/>
    <w:rsid w:val="00937B31"/>
    <w:rsid w:val="00937BC0"/>
    <w:rsid w:val="00940224"/>
    <w:rsid w:val="009403E8"/>
    <w:rsid w:val="00940E20"/>
    <w:rsid w:val="00940F39"/>
    <w:rsid w:val="0094141E"/>
    <w:rsid w:val="00941475"/>
    <w:rsid w:val="009415A2"/>
    <w:rsid w:val="00941DCC"/>
    <w:rsid w:val="00941DF6"/>
    <w:rsid w:val="00941F0A"/>
    <w:rsid w:val="00942076"/>
    <w:rsid w:val="009421C7"/>
    <w:rsid w:val="00942868"/>
    <w:rsid w:val="00943662"/>
    <w:rsid w:val="009439CA"/>
    <w:rsid w:val="00944BFE"/>
    <w:rsid w:val="00944CB3"/>
    <w:rsid w:val="00944D07"/>
    <w:rsid w:val="00944D6C"/>
    <w:rsid w:val="00944FB5"/>
    <w:rsid w:val="00945477"/>
    <w:rsid w:val="009455B1"/>
    <w:rsid w:val="00945760"/>
    <w:rsid w:val="00945823"/>
    <w:rsid w:val="00945CDA"/>
    <w:rsid w:val="00945FDA"/>
    <w:rsid w:val="00946028"/>
    <w:rsid w:val="00946206"/>
    <w:rsid w:val="0094668B"/>
    <w:rsid w:val="0094695B"/>
    <w:rsid w:val="00946C6F"/>
    <w:rsid w:val="00947130"/>
    <w:rsid w:val="009476E4"/>
    <w:rsid w:val="0095035F"/>
    <w:rsid w:val="00950721"/>
    <w:rsid w:val="00950A7E"/>
    <w:rsid w:val="00950ABB"/>
    <w:rsid w:val="00951365"/>
    <w:rsid w:val="00951934"/>
    <w:rsid w:val="00951977"/>
    <w:rsid w:val="00951C13"/>
    <w:rsid w:val="00951D06"/>
    <w:rsid w:val="00951D72"/>
    <w:rsid w:val="0095236E"/>
    <w:rsid w:val="009525E4"/>
    <w:rsid w:val="009526FB"/>
    <w:rsid w:val="0095292C"/>
    <w:rsid w:val="00952E28"/>
    <w:rsid w:val="009535E3"/>
    <w:rsid w:val="00953661"/>
    <w:rsid w:val="009536C9"/>
    <w:rsid w:val="00953AAA"/>
    <w:rsid w:val="00953F0D"/>
    <w:rsid w:val="00954511"/>
    <w:rsid w:val="009546EE"/>
    <w:rsid w:val="009546F4"/>
    <w:rsid w:val="0095498F"/>
    <w:rsid w:val="00954D74"/>
    <w:rsid w:val="00954F93"/>
    <w:rsid w:val="009551D3"/>
    <w:rsid w:val="0095573E"/>
    <w:rsid w:val="0095577E"/>
    <w:rsid w:val="009562AA"/>
    <w:rsid w:val="009564B2"/>
    <w:rsid w:val="00956506"/>
    <w:rsid w:val="00956A47"/>
    <w:rsid w:val="00956B66"/>
    <w:rsid w:val="00956F32"/>
    <w:rsid w:val="009573A3"/>
    <w:rsid w:val="009579B6"/>
    <w:rsid w:val="00957D20"/>
    <w:rsid w:val="0096009D"/>
    <w:rsid w:val="0096027B"/>
    <w:rsid w:val="009607F1"/>
    <w:rsid w:val="00960C33"/>
    <w:rsid w:val="00960F04"/>
    <w:rsid w:val="00961263"/>
    <w:rsid w:val="009617EA"/>
    <w:rsid w:val="00961E38"/>
    <w:rsid w:val="00961FC1"/>
    <w:rsid w:val="00962020"/>
    <w:rsid w:val="0096253A"/>
    <w:rsid w:val="0096255A"/>
    <w:rsid w:val="009628E2"/>
    <w:rsid w:val="009629D3"/>
    <w:rsid w:val="009633A1"/>
    <w:rsid w:val="009633CC"/>
    <w:rsid w:val="00963768"/>
    <w:rsid w:val="0096380F"/>
    <w:rsid w:val="009638D9"/>
    <w:rsid w:val="009638F5"/>
    <w:rsid w:val="00963A77"/>
    <w:rsid w:val="00963E16"/>
    <w:rsid w:val="00964128"/>
    <w:rsid w:val="00964D68"/>
    <w:rsid w:val="00964EE5"/>
    <w:rsid w:val="00965129"/>
    <w:rsid w:val="00965396"/>
    <w:rsid w:val="0096548E"/>
    <w:rsid w:val="0096619B"/>
    <w:rsid w:val="0096642C"/>
    <w:rsid w:val="0096755F"/>
    <w:rsid w:val="0096769A"/>
    <w:rsid w:val="00967961"/>
    <w:rsid w:val="00967B5D"/>
    <w:rsid w:val="00967D3C"/>
    <w:rsid w:val="00967F06"/>
    <w:rsid w:val="0097027E"/>
    <w:rsid w:val="009703D4"/>
    <w:rsid w:val="009703D6"/>
    <w:rsid w:val="00970641"/>
    <w:rsid w:val="009707EB"/>
    <w:rsid w:val="00970840"/>
    <w:rsid w:val="00971461"/>
    <w:rsid w:val="00971720"/>
    <w:rsid w:val="00971750"/>
    <w:rsid w:val="00972140"/>
    <w:rsid w:val="009721C0"/>
    <w:rsid w:val="009735CC"/>
    <w:rsid w:val="00973C61"/>
    <w:rsid w:val="00973D58"/>
    <w:rsid w:val="00974365"/>
    <w:rsid w:val="009748BD"/>
    <w:rsid w:val="00974A23"/>
    <w:rsid w:val="00974C58"/>
    <w:rsid w:val="009750EB"/>
    <w:rsid w:val="0097540F"/>
    <w:rsid w:val="009756D1"/>
    <w:rsid w:val="0097570F"/>
    <w:rsid w:val="00975914"/>
    <w:rsid w:val="009759C5"/>
    <w:rsid w:val="00976162"/>
    <w:rsid w:val="00976621"/>
    <w:rsid w:val="00976EEF"/>
    <w:rsid w:val="00976FD9"/>
    <w:rsid w:val="00977236"/>
    <w:rsid w:val="009775DF"/>
    <w:rsid w:val="009776C9"/>
    <w:rsid w:val="0097771C"/>
    <w:rsid w:val="00977839"/>
    <w:rsid w:val="00980245"/>
    <w:rsid w:val="00980CFE"/>
    <w:rsid w:val="00980E33"/>
    <w:rsid w:val="0098144F"/>
    <w:rsid w:val="00981628"/>
    <w:rsid w:val="009816BD"/>
    <w:rsid w:val="00981709"/>
    <w:rsid w:val="00981A3A"/>
    <w:rsid w:val="009826D1"/>
    <w:rsid w:val="009828C2"/>
    <w:rsid w:val="00982D18"/>
    <w:rsid w:val="00982FFE"/>
    <w:rsid w:val="0098311C"/>
    <w:rsid w:val="009837F7"/>
    <w:rsid w:val="009838F7"/>
    <w:rsid w:val="00983DB4"/>
    <w:rsid w:val="00984062"/>
    <w:rsid w:val="00984942"/>
    <w:rsid w:val="00984AF3"/>
    <w:rsid w:val="00984C2E"/>
    <w:rsid w:val="00985148"/>
    <w:rsid w:val="009852DC"/>
    <w:rsid w:val="00985489"/>
    <w:rsid w:val="00985628"/>
    <w:rsid w:val="00985A58"/>
    <w:rsid w:val="00985D8F"/>
    <w:rsid w:val="00985D94"/>
    <w:rsid w:val="00985E94"/>
    <w:rsid w:val="00986143"/>
    <w:rsid w:val="00986266"/>
    <w:rsid w:val="00986B9E"/>
    <w:rsid w:val="00986E3F"/>
    <w:rsid w:val="00986EAD"/>
    <w:rsid w:val="009871A2"/>
    <w:rsid w:val="009872FB"/>
    <w:rsid w:val="00987A3B"/>
    <w:rsid w:val="00987E55"/>
    <w:rsid w:val="0099036E"/>
    <w:rsid w:val="00990594"/>
    <w:rsid w:val="00990C49"/>
    <w:rsid w:val="00990EA0"/>
    <w:rsid w:val="00991246"/>
    <w:rsid w:val="0099159D"/>
    <w:rsid w:val="009916A6"/>
    <w:rsid w:val="00991798"/>
    <w:rsid w:val="00991875"/>
    <w:rsid w:val="00991989"/>
    <w:rsid w:val="00991FE9"/>
    <w:rsid w:val="00992535"/>
    <w:rsid w:val="009927BA"/>
    <w:rsid w:val="00993233"/>
    <w:rsid w:val="0099328B"/>
    <w:rsid w:val="00993409"/>
    <w:rsid w:val="00993A10"/>
    <w:rsid w:val="00993CEB"/>
    <w:rsid w:val="009942D8"/>
    <w:rsid w:val="00994545"/>
    <w:rsid w:val="00995180"/>
    <w:rsid w:val="00995653"/>
    <w:rsid w:val="0099566B"/>
    <w:rsid w:val="009961C7"/>
    <w:rsid w:val="0099692B"/>
    <w:rsid w:val="0099730A"/>
    <w:rsid w:val="0099793B"/>
    <w:rsid w:val="00997B86"/>
    <w:rsid w:val="00997C96"/>
    <w:rsid w:val="00997E05"/>
    <w:rsid w:val="009A05F0"/>
    <w:rsid w:val="009A06E6"/>
    <w:rsid w:val="009A0B1F"/>
    <w:rsid w:val="009A12C6"/>
    <w:rsid w:val="009A1787"/>
    <w:rsid w:val="009A1BB1"/>
    <w:rsid w:val="009A1D48"/>
    <w:rsid w:val="009A2087"/>
    <w:rsid w:val="009A27F2"/>
    <w:rsid w:val="009A289D"/>
    <w:rsid w:val="009A2AB9"/>
    <w:rsid w:val="009A2BE3"/>
    <w:rsid w:val="009A2F89"/>
    <w:rsid w:val="009A35C1"/>
    <w:rsid w:val="009A3C37"/>
    <w:rsid w:val="009A3C5D"/>
    <w:rsid w:val="009A3DCE"/>
    <w:rsid w:val="009A3F12"/>
    <w:rsid w:val="009A3FB7"/>
    <w:rsid w:val="009A4177"/>
    <w:rsid w:val="009A41DB"/>
    <w:rsid w:val="009A48AD"/>
    <w:rsid w:val="009A48F9"/>
    <w:rsid w:val="009A4C17"/>
    <w:rsid w:val="009A506C"/>
    <w:rsid w:val="009A51EB"/>
    <w:rsid w:val="009A549B"/>
    <w:rsid w:val="009A56D2"/>
    <w:rsid w:val="009A57BF"/>
    <w:rsid w:val="009A5AEC"/>
    <w:rsid w:val="009A5B10"/>
    <w:rsid w:val="009A5C28"/>
    <w:rsid w:val="009A6195"/>
    <w:rsid w:val="009A6B44"/>
    <w:rsid w:val="009A73CE"/>
    <w:rsid w:val="009A7752"/>
    <w:rsid w:val="009A7932"/>
    <w:rsid w:val="009A7CDA"/>
    <w:rsid w:val="009A7DB2"/>
    <w:rsid w:val="009A7E37"/>
    <w:rsid w:val="009A7E82"/>
    <w:rsid w:val="009B0B87"/>
    <w:rsid w:val="009B0B9C"/>
    <w:rsid w:val="009B0F28"/>
    <w:rsid w:val="009B1290"/>
    <w:rsid w:val="009B12A6"/>
    <w:rsid w:val="009B1366"/>
    <w:rsid w:val="009B1B9E"/>
    <w:rsid w:val="009B1C11"/>
    <w:rsid w:val="009B2018"/>
    <w:rsid w:val="009B2919"/>
    <w:rsid w:val="009B29F4"/>
    <w:rsid w:val="009B2C26"/>
    <w:rsid w:val="009B2C28"/>
    <w:rsid w:val="009B2C71"/>
    <w:rsid w:val="009B30A8"/>
    <w:rsid w:val="009B381A"/>
    <w:rsid w:val="009B38D5"/>
    <w:rsid w:val="009B3A22"/>
    <w:rsid w:val="009B420A"/>
    <w:rsid w:val="009B45CE"/>
    <w:rsid w:val="009B462C"/>
    <w:rsid w:val="009B49A8"/>
    <w:rsid w:val="009B52EC"/>
    <w:rsid w:val="009B5418"/>
    <w:rsid w:val="009B56AD"/>
    <w:rsid w:val="009B5741"/>
    <w:rsid w:val="009B5CE7"/>
    <w:rsid w:val="009B5F41"/>
    <w:rsid w:val="009B62F1"/>
    <w:rsid w:val="009B646F"/>
    <w:rsid w:val="009B6729"/>
    <w:rsid w:val="009B7252"/>
    <w:rsid w:val="009B74DF"/>
    <w:rsid w:val="009B79F9"/>
    <w:rsid w:val="009B7CBB"/>
    <w:rsid w:val="009C0160"/>
    <w:rsid w:val="009C0476"/>
    <w:rsid w:val="009C0AAA"/>
    <w:rsid w:val="009C0B57"/>
    <w:rsid w:val="009C0E9D"/>
    <w:rsid w:val="009C1478"/>
    <w:rsid w:val="009C1A66"/>
    <w:rsid w:val="009C296D"/>
    <w:rsid w:val="009C2E50"/>
    <w:rsid w:val="009C30D8"/>
    <w:rsid w:val="009C365A"/>
    <w:rsid w:val="009C36B5"/>
    <w:rsid w:val="009C3D9F"/>
    <w:rsid w:val="009C4623"/>
    <w:rsid w:val="009C5019"/>
    <w:rsid w:val="009C5255"/>
    <w:rsid w:val="009C5D81"/>
    <w:rsid w:val="009C5FEF"/>
    <w:rsid w:val="009C628D"/>
    <w:rsid w:val="009C65E6"/>
    <w:rsid w:val="009C6623"/>
    <w:rsid w:val="009C672A"/>
    <w:rsid w:val="009C6BBE"/>
    <w:rsid w:val="009C71BE"/>
    <w:rsid w:val="009C7279"/>
    <w:rsid w:val="009C72EA"/>
    <w:rsid w:val="009C7314"/>
    <w:rsid w:val="009D02DC"/>
    <w:rsid w:val="009D04BE"/>
    <w:rsid w:val="009D097B"/>
    <w:rsid w:val="009D0F6D"/>
    <w:rsid w:val="009D1025"/>
    <w:rsid w:val="009D11CA"/>
    <w:rsid w:val="009D1252"/>
    <w:rsid w:val="009D1267"/>
    <w:rsid w:val="009D13DC"/>
    <w:rsid w:val="009D1B52"/>
    <w:rsid w:val="009D1CFC"/>
    <w:rsid w:val="009D1F76"/>
    <w:rsid w:val="009D22A3"/>
    <w:rsid w:val="009D22C2"/>
    <w:rsid w:val="009D25A1"/>
    <w:rsid w:val="009D27BB"/>
    <w:rsid w:val="009D2BE1"/>
    <w:rsid w:val="009D2C09"/>
    <w:rsid w:val="009D3614"/>
    <w:rsid w:val="009D3981"/>
    <w:rsid w:val="009D3B3D"/>
    <w:rsid w:val="009D3BD7"/>
    <w:rsid w:val="009D3BDC"/>
    <w:rsid w:val="009D3E94"/>
    <w:rsid w:val="009D4ECA"/>
    <w:rsid w:val="009D54CC"/>
    <w:rsid w:val="009D5524"/>
    <w:rsid w:val="009D5A8B"/>
    <w:rsid w:val="009D5D3C"/>
    <w:rsid w:val="009D5ED1"/>
    <w:rsid w:val="009D63E6"/>
    <w:rsid w:val="009D6639"/>
    <w:rsid w:val="009D690F"/>
    <w:rsid w:val="009D6995"/>
    <w:rsid w:val="009D74BA"/>
    <w:rsid w:val="009D7C50"/>
    <w:rsid w:val="009D7CEB"/>
    <w:rsid w:val="009E00F7"/>
    <w:rsid w:val="009E041D"/>
    <w:rsid w:val="009E0E5C"/>
    <w:rsid w:val="009E10A0"/>
    <w:rsid w:val="009E16E5"/>
    <w:rsid w:val="009E1747"/>
    <w:rsid w:val="009E1BFF"/>
    <w:rsid w:val="009E1C98"/>
    <w:rsid w:val="009E20AA"/>
    <w:rsid w:val="009E23C9"/>
    <w:rsid w:val="009E2474"/>
    <w:rsid w:val="009E25A6"/>
    <w:rsid w:val="009E25C2"/>
    <w:rsid w:val="009E289E"/>
    <w:rsid w:val="009E36D4"/>
    <w:rsid w:val="009E391F"/>
    <w:rsid w:val="009E4250"/>
    <w:rsid w:val="009E4738"/>
    <w:rsid w:val="009E523E"/>
    <w:rsid w:val="009E5790"/>
    <w:rsid w:val="009E5C80"/>
    <w:rsid w:val="009E63CC"/>
    <w:rsid w:val="009E7347"/>
    <w:rsid w:val="009E75B8"/>
    <w:rsid w:val="009E7A8D"/>
    <w:rsid w:val="009E7C4E"/>
    <w:rsid w:val="009F01EA"/>
    <w:rsid w:val="009F02F7"/>
    <w:rsid w:val="009F0337"/>
    <w:rsid w:val="009F0B8B"/>
    <w:rsid w:val="009F0C34"/>
    <w:rsid w:val="009F0DB1"/>
    <w:rsid w:val="009F135D"/>
    <w:rsid w:val="009F14E8"/>
    <w:rsid w:val="009F1610"/>
    <w:rsid w:val="009F16F2"/>
    <w:rsid w:val="009F18AA"/>
    <w:rsid w:val="009F1FAA"/>
    <w:rsid w:val="009F2392"/>
    <w:rsid w:val="009F24A4"/>
    <w:rsid w:val="009F29D3"/>
    <w:rsid w:val="009F2C0A"/>
    <w:rsid w:val="009F30A7"/>
    <w:rsid w:val="009F3132"/>
    <w:rsid w:val="009F34C8"/>
    <w:rsid w:val="009F3843"/>
    <w:rsid w:val="009F3B3D"/>
    <w:rsid w:val="009F3C50"/>
    <w:rsid w:val="009F3F46"/>
    <w:rsid w:val="009F4192"/>
    <w:rsid w:val="009F426E"/>
    <w:rsid w:val="009F4522"/>
    <w:rsid w:val="009F47BC"/>
    <w:rsid w:val="009F4947"/>
    <w:rsid w:val="009F4F91"/>
    <w:rsid w:val="009F4F97"/>
    <w:rsid w:val="009F4FEB"/>
    <w:rsid w:val="009F53CE"/>
    <w:rsid w:val="009F5901"/>
    <w:rsid w:val="009F6161"/>
    <w:rsid w:val="009F6267"/>
    <w:rsid w:val="009F666C"/>
    <w:rsid w:val="009F69EC"/>
    <w:rsid w:val="009F6A67"/>
    <w:rsid w:val="009F6BB2"/>
    <w:rsid w:val="009F6F14"/>
    <w:rsid w:val="009F72AA"/>
    <w:rsid w:val="009F7BD0"/>
    <w:rsid w:val="00A003C5"/>
    <w:rsid w:val="00A00B63"/>
    <w:rsid w:val="00A0171E"/>
    <w:rsid w:val="00A01CF6"/>
    <w:rsid w:val="00A02161"/>
    <w:rsid w:val="00A02285"/>
    <w:rsid w:val="00A0233D"/>
    <w:rsid w:val="00A024E4"/>
    <w:rsid w:val="00A0306A"/>
    <w:rsid w:val="00A0318B"/>
    <w:rsid w:val="00A03313"/>
    <w:rsid w:val="00A0396C"/>
    <w:rsid w:val="00A03F6F"/>
    <w:rsid w:val="00A040CD"/>
    <w:rsid w:val="00A040FD"/>
    <w:rsid w:val="00A047AE"/>
    <w:rsid w:val="00A05573"/>
    <w:rsid w:val="00A064C1"/>
    <w:rsid w:val="00A065F8"/>
    <w:rsid w:val="00A06612"/>
    <w:rsid w:val="00A069E5"/>
    <w:rsid w:val="00A06C49"/>
    <w:rsid w:val="00A06CA2"/>
    <w:rsid w:val="00A06E97"/>
    <w:rsid w:val="00A0770E"/>
    <w:rsid w:val="00A07752"/>
    <w:rsid w:val="00A07779"/>
    <w:rsid w:val="00A07790"/>
    <w:rsid w:val="00A07C32"/>
    <w:rsid w:val="00A1008C"/>
    <w:rsid w:val="00A105BE"/>
    <w:rsid w:val="00A10C1E"/>
    <w:rsid w:val="00A11181"/>
    <w:rsid w:val="00A1158A"/>
    <w:rsid w:val="00A11B31"/>
    <w:rsid w:val="00A12082"/>
    <w:rsid w:val="00A12265"/>
    <w:rsid w:val="00A12889"/>
    <w:rsid w:val="00A130EE"/>
    <w:rsid w:val="00A131A9"/>
    <w:rsid w:val="00A13543"/>
    <w:rsid w:val="00A13576"/>
    <w:rsid w:val="00A136DC"/>
    <w:rsid w:val="00A137B0"/>
    <w:rsid w:val="00A13B09"/>
    <w:rsid w:val="00A14309"/>
    <w:rsid w:val="00A14565"/>
    <w:rsid w:val="00A145FE"/>
    <w:rsid w:val="00A14647"/>
    <w:rsid w:val="00A14A24"/>
    <w:rsid w:val="00A152DA"/>
    <w:rsid w:val="00A15388"/>
    <w:rsid w:val="00A15776"/>
    <w:rsid w:val="00A167AD"/>
    <w:rsid w:val="00A16CF5"/>
    <w:rsid w:val="00A174C4"/>
    <w:rsid w:val="00A17A03"/>
    <w:rsid w:val="00A17B94"/>
    <w:rsid w:val="00A17D6E"/>
    <w:rsid w:val="00A20899"/>
    <w:rsid w:val="00A20AA9"/>
    <w:rsid w:val="00A211D9"/>
    <w:rsid w:val="00A217FF"/>
    <w:rsid w:val="00A21892"/>
    <w:rsid w:val="00A21A30"/>
    <w:rsid w:val="00A221EE"/>
    <w:rsid w:val="00A225AC"/>
    <w:rsid w:val="00A23023"/>
    <w:rsid w:val="00A23051"/>
    <w:rsid w:val="00A23432"/>
    <w:rsid w:val="00A23451"/>
    <w:rsid w:val="00A235D4"/>
    <w:rsid w:val="00A237D7"/>
    <w:rsid w:val="00A24832"/>
    <w:rsid w:val="00A25698"/>
    <w:rsid w:val="00A257AA"/>
    <w:rsid w:val="00A2585B"/>
    <w:rsid w:val="00A25BC6"/>
    <w:rsid w:val="00A25FB0"/>
    <w:rsid w:val="00A265AA"/>
    <w:rsid w:val="00A26A86"/>
    <w:rsid w:val="00A26F48"/>
    <w:rsid w:val="00A278A5"/>
    <w:rsid w:val="00A27B25"/>
    <w:rsid w:val="00A30151"/>
    <w:rsid w:val="00A30504"/>
    <w:rsid w:val="00A3133D"/>
    <w:rsid w:val="00A31439"/>
    <w:rsid w:val="00A31D04"/>
    <w:rsid w:val="00A32278"/>
    <w:rsid w:val="00A32445"/>
    <w:rsid w:val="00A325F2"/>
    <w:rsid w:val="00A326AD"/>
    <w:rsid w:val="00A326E9"/>
    <w:rsid w:val="00A32A88"/>
    <w:rsid w:val="00A32AE8"/>
    <w:rsid w:val="00A33512"/>
    <w:rsid w:val="00A3383E"/>
    <w:rsid w:val="00A33E33"/>
    <w:rsid w:val="00A33EA1"/>
    <w:rsid w:val="00A33EDC"/>
    <w:rsid w:val="00A3412A"/>
    <w:rsid w:val="00A347BF"/>
    <w:rsid w:val="00A34A22"/>
    <w:rsid w:val="00A353D6"/>
    <w:rsid w:val="00A35544"/>
    <w:rsid w:val="00A35A60"/>
    <w:rsid w:val="00A35C91"/>
    <w:rsid w:val="00A35DFD"/>
    <w:rsid w:val="00A36D22"/>
    <w:rsid w:val="00A36F1E"/>
    <w:rsid w:val="00A3706B"/>
    <w:rsid w:val="00A3741C"/>
    <w:rsid w:val="00A374C6"/>
    <w:rsid w:val="00A374D5"/>
    <w:rsid w:val="00A37540"/>
    <w:rsid w:val="00A40291"/>
    <w:rsid w:val="00A40909"/>
    <w:rsid w:val="00A40B42"/>
    <w:rsid w:val="00A4137C"/>
    <w:rsid w:val="00A41717"/>
    <w:rsid w:val="00A4181F"/>
    <w:rsid w:val="00A41EDF"/>
    <w:rsid w:val="00A420AD"/>
    <w:rsid w:val="00A4251C"/>
    <w:rsid w:val="00A42650"/>
    <w:rsid w:val="00A42A39"/>
    <w:rsid w:val="00A42CDB"/>
    <w:rsid w:val="00A4335D"/>
    <w:rsid w:val="00A43576"/>
    <w:rsid w:val="00A43678"/>
    <w:rsid w:val="00A4381C"/>
    <w:rsid w:val="00A43DD3"/>
    <w:rsid w:val="00A43EF3"/>
    <w:rsid w:val="00A43FA0"/>
    <w:rsid w:val="00A44061"/>
    <w:rsid w:val="00A444D0"/>
    <w:rsid w:val="00A4474C"/>
    <w:rsid w:val="00A44930"/>
    <w:rsid w:val="00A44E83"/>
    <w:rsid w:val="00A459C9"/>
    <w:rsid w:val="00A46210"/>
    <w:rsid w:val="00A466B5"/>
    <w:rsid w:val="00A468FA"/>
    <w:rsid w:val="00A4694A"/>
    <w:rsid w:val="00A46D01"/>
    <w:rsid w:val="00A46F2F"/>
    <w:rsid w:val="00A47335"/>
    <w:rsid w:val="00A47A61"/>
    <w:rsid w:val="00A47CA7"/>
    <w:rsid w:val="00A50354"/>
    <w:rsid w:val="00A505AE"/>
    <w:rsid w:val="00A511B8"/>
    <w:rsid w:val="00A52707"/>
    <w:rsid w:val="00A52D56"/>
    <w:rsid w:val="00A52FEC"/>
    <w:rsid w:val="00A53001"/>
    <w:rsid w:val="00A531EC"/>
    <w:rsid w:val="00A534DF"/>
    <w:rsid w:val="00A53C04"/>
    <w:rsid w:val="00A53DEC"/>
    <w:rsid w:val="00A53EDB"/>
    <w:rsid w:val="00A54223"/>
    <w:rsid w:val="00A5437B"/>
    <w:rsid w:val="00A54B52"/>
    <w:rsid w:val="00A54CD3"/>
    <w:rsid w:val="00A55112"/>
    <w:rsid w:val="00A55146"/>
    <w:rsid w:val="00A55FFA"/>
    <w:rsid w:val="00A56259"/>
    <w:rsid w:val="00A56B07"/>
    <w:rsid w:val="00A57797"/>
    <w:rsid w:val="00A57F6A"/>
    <w:rsid w:val="00A60469"/>
    <w:rsid w:val="00A60879"/>
    <w:rsid w:val="00A6092F"/>
    <w:rsid w:val="00A61047"/>
    <w:rsid w:val="00A61385"/>
    <w:rsid w:val="00A61AE2"/>
    <w:rsid w:val="00A61B45"/>
    <w:rsid w:val="00A61C82"/>
    <w:rsid w:val="00A61CB8"/>
    <w:rsid w:val="00A61E85"/>
    <w:rsid w:val="00A61FA2"/>
    <w:rsid w:val="00A626FB"/>
    <w:rsid w:val="00A62B95"/>
    <w:rsid w:val="00A62BB2"/>
    <w:rsid w:val="00A63106"/>
    <w:rsid w:val="00A6350D"/>
    <w:rsid w:val="00A63512"/>
    <w:rsid w:val="00A63AA1"/>
    <w:rsid w:val="00A63E43"/>
    <w:rsid w:val="00A642C3"/>
    <w:rsid w:val="00A64961"/>
    <w:rsid w:val="00A64E82"/>
    <w:rsid w:val="00A65953"/>
    <w:rsid w:val="00A65DFF"/>
    <w:rsid w:val="00A65E17"/>
    <w:rsid w:val="00A65F6D"/>
    <w:rsid w:val="00A66005"/>
    <w:rsid w:val="00A660BE"/>
    <w:rsid w:val="00A6643A"/>
    <w:rsid w:val="00A666FE"/>
    <w:rsid w:val="00A66B08"/>
    <w:rsid w:val="00A67020"/>
    <w:rsid w:val="00A67405"/>
    <w:rsid w:val="00A67642"/>
    <w:rsid w:val="00A67E19"/>
    <w:rsid w:val="00A703D5"/>
    <w:rsid w:val="00A704E4"/>
    <w:rsid w:val="00A7125A"/>
    <w:rsid w:val="00A712F4"/>
    <w:rsid w:val="00A7257A"/>
    <w:rsid w:val="00A7259B"/>
    <w:rsid w:val="00A7270E"/>
    <w:rsid w:val="00A727D3"/>
    <w:rsid w:val="00A72B51"/>
    <w:rsid w:val="00A73ABB"/>
    <w:rsid w:val="00A7436D"/>
    <w:rsid w:val="00A7494A"/>
    <w:rsid w:val="00A74EB6"/>
    <w:rsid w:val="00A74F1A"/>
    <w:rsid w:val="00A75C03"/>
    <w:rsid w:val="00A760AC"/>
    <w:rsid w:val="00A760C7"/>
    <w:rsid w:val="00A76A5E"/>
    <w:rsid w:val="00A76EE4"/>
    <w:rsid w:val="00A772C0"/>
    <w:rsid w:val="00A7764D"/>
    <w:rsid w:val="00A77C25"/>
    <w:rsid w:val="00A77EAA"/>
    <w:rsid w:val="00A8005D"/>
    <w:rsid w:val="00A80447"/>
    <w:rsid w:val="00A807C9"/>
    <w:rsid w:val="00A80C64"/>
    <w:rsid w:val="00A80D20"/>
    <w:rsid w:val="00A80D95"/>
    <w:rsid w:val="00A80F47"/>
    <w:rsid w:val="00A810E6"/>
    <w:rsid w:val="00A810EB"/>
    <w:rsid w:val="00A81276"/>
    <w:rsid w:val="00A8154D"/>
    <w:rsid w:val="00A816EE"/>
    <w:rsid w:val="00A81715"/>
    <w:rsid w:val="00A818A8"/>
    <w:rsid w:val="00A82006"/>
    <w:rsid w:val="00A82941"/>
    <w:rsid w:val="00A829CB"/>
    <w:rsid w:val="00A82AAD"/>
    <w:rsid w:val="00A82B7F"/>
    <w:rsid w:val="00A834E5"/>
    <w:rsid w:val="00A83550"/>
    <w:rsid w:val="00A83AB9"/>
    <w:rsid w:val="00A83BE0"/>
    <w:rsid w:val="00A8465A"/>
    <w:rsid w:val="00A847EC"/>
    <w:rsid w:val="00A84C5E"/>
    <w:rsid w:val="00A856D2"/>
    <w:rsid w:val="00A85DD8"/>
    <w:rsid w:val="00A8607D"/>
    <w:rsid w:val="00A86123"/>
    <w:rsid w:val="00A86376"/>
    <w:rsid w:val="00A8642C"/>
    <w:rsid w:val="00A86766"/>
    <w:rsid w:val="00A86BEC"/>
    <w:rsid w:val="00A86F57"/>
    <w:rsid w:val="00A87096"/>
    <w:rsid w:val="00A874EA"/>
    <w:rsid w:val="00A875B0"/>
    <w:rsid w:val="00A8761C"/>
    <w:rsid w:val="00A90067"/>
    <w:rsid w:val="00A90249"/>
    <w:rsid w:val="00A90836"/>
    <w:rsid w:val="00A90B2F"/>
    <w:rsid w:val="00A9145D"/>
    <w:rsid w:val="00A916BB"/>
    <w:rsid w:val="00A91AAA"/>
    <w:rsid w:val="00A91C56"/>
    <w:rsid w:val="00A91DFF"/>
    <w:rsid w:val="00A923C4"/>
    <w:rsid w:val="00A923DF"/>
    <w:rsid w:val="00A92568"/>
    <w:rsid w:val="00A926AF"/>
    <w:rsid w:val="00A92737"/>
    <w:rsid w:val="00A92D0D"/>
    <w:rsid w:val="00A93302"/>
    <w:rsid w:val="00A93B4F"/>
    <w:rsid w:val="00A94EBA"/>
    <w:rsid w:val="00A951DE"/>
    <w:rsid w:val="00A955F1"/>
    <w:rsid w:val="00A957A0"/>
    <w:rsid w:val="00A95C28"/>
    <w:rsid w:val="00A95FFA"/>
    <w:rsid w:val="00A9634F"/>
    <w:rsid w:val="00A964CE"/>
    <w:rsid w:val="00A96577"/>
    <w:rsid w:val="00A96E21"/>
    <w:rsid w:val="00A97047"/>
    <w:rsid w:val="00A97144"/>
    <w:rsid w:val="00A97A2B"/>
    <w:rsid w:val="00A97CCD"/>
    <w:rsid w:val="00A97E6A"/>
    <w:rsid w:val="00AA00C0"/>
    <w:rsid w:val="00AA0770"/>
    <w:rsid w:val="00AA159A"/>
    <w:rsid w:val="00AA166A"/>
    <w:rsid w:val="00AA1838"/>
    <w:rsid w:val="00AA1A73"/>
    <w:rsid w:val="00AA1A8F"/>
    <w:rsid w:val="00AA21B7"/>
    <w:rsid w:val="00AA2400"/>
    <w:rsid w:val="00AA2829"/>
    <w:rsid w:val="00AA3143"/>
    <w:rsid w:val="00AA31FD"/>
    <w:rsid w:val="00AA35B6"/>
    <w:rsid w:val="00AA3BEA"/>
    <w:rsid w:val="00AA3E40"/>
    <w:rsid w:val="00AA3F84"/>
    <w:rsid w:val="00AA4C5D"/>
    <w:rsid w:val="00AA4D9E"/>
    <w:rsid w:val="00AA556F"/>
    <w:rsid w:val="00AA5A3F"/>
    <w:rsid w:val="00AA5D51"/>
    <w:rsid w:val="00AA5DDF"/>
    <w:rsid w:val="00AA6248"/>
    <w:rsid w:val="00AA7525"/>
    <w:rsid w:val="00AA7DFB"/>
    <w:rsid w:val="00AB0124"/>
    <w:rsid w:val="00AB0489"/>
    <w:rsid w:val="00AB04AD"/>
    <w:rsid w:val="00AB074A"/>
    <w:rsid w:val="00AB0895"/>
    <w:rsid w:val="00AB099B"/>
    <w:rsid w:val="00AB105F"/>
    <w:rsid w:val="00AB1434"/>
    <w:rsid w:val="00AB19EC"/>
    <w:rsid w:val="00AB1A68"/>
    <w:rsid w:val="00AB226A"/>
    <w:rsid w:val="00AB2294"/>
    <w:rsid w:val="00AB296D"/>
    <w:rsid w:val="00AB2C55"/>
    <w:rsid w:val="00AB2D24"/>
    <w:rsid w:val="00AB2DB0"/>
    <w:rsid w:val="00AB2FF0"/>
    <w:rsid w:val="00AB3C2E"/>
    <w:rsid w:val="00AB43C0"/>
    <w:rsid w:val="00AB43CC"/>
    <w:rsid w:val="00AB4757"/>
    <w:rsid w:val="00AB4B7C"/>
    <w:rsid w:val="00AB4E18"/>
    <w:rsid w:val="00AB51FE"/>
    <w:rsid w:val="00AB57A5"/>
    <w:rsid w:val="00AB590F"/>
    <w:rsid w:val="00AB608E"/>
    <w:rsid w:val="00AB6091"/>
    <w:rsid w:val="00AB6356"/>
    <w:rsid w:val="00AB65B5"/>
    <w:rsid w:val="00AB662A"/>
    <w:rsid w:val="00AB67A4"/>
    <w:rsid w:val="00AB6A7D"/>
    <w:rsid w:val="00AB6C04"/>
    <w:rsid w:val="00AB6DB8"/>
    <w:rsid w:val="00AB7120"/>
    <w:rsid w:val="00AB7309"/>
    <w:rsid w:val="00AB73ED"/>
    <w:rsid w:val="00AB7A27"/>
    <w:rsid w:val="00AB7EE3"/>
    <w:rsid w:val="00AC01D9"/>
    <w:rsid w:val="00AC038C"/>
    <w:rsid w:val="00AC0555"/>
    <w:rsid w:val="00AC1447"/>
    <w:rsid w:val="00AC181B"/>
    <w:rsid w:val="00AC1B52"/>
    <w:rsid w:val="00AC1D19"/>
    <w:rsid w:val="00AC1DDA"/>
    <w:rsid w:val="00AC3880"/>
    <w:rsid w:val="00AC4228"/>
    <w:rsid w:val="00AC472C"/>
    <w:rsid w:val="00AC47B5"/>
    <w:rsid w:val="00AC4A2C"/>
    <w:rsid w:val="00AC4EA2"/>
    <w:rsid w:val="00AC5129"/>
    <w:rsid w:val="00AC52EF"/>
    <w:rsid w:val="00AC570A"/>
    <w:rsid w:val="00AC602D"/>
    <w:rsid w:val="00AC6345"/>
    <w:rsid w:val="00AC6F36"/>
    <w:rsid w:val="00AC6F38"/>
    <w:rsid w:val="00AC70E1"/>
    <w:rsid w:val="00AC7205"/>
    <w:rsid w:val="00AC74FC"/>
    <w:rsid w:val="00AC7538"/>
    <w:rsid w:val="00AC7688"/>
    <w:rsid w:val="00AC7AE9"/>
    <w:rsid w:val="00AD0263"/>
    <w:rsid w:val="00AD05A8"/>
    <w:rsid w:val="00AD0A27"/>
    <w:rsid w:val="00AD10B8"/>
    <w:rsid w:val="00AD13AF"/>
    <w:rsid w:val="00AD18CC"/>
    <w:rsid w:val="00AD1BC1"/>
    <w:rsid w:val="00AD1BE8"/>
    <w:rsid w:val="00AD2166"/>
    <w:rsid w:val="00AD2277"/>
    <w:rsid w:val="00AD24FC"/>
    <w:rsid w:val="00AD2F81"/>
    <w:rsid w:val="00AD377D"/>
    <w:rsid w:val="00AD3855"/>
    <w:rsid w:val="00AD38E8"/>
    <w:rsid w:val="00AD39A9"/>
    <w:rsid w:val="00AD3D31"/>
    <w:rsid w:val="00AD3FFF"/>
    <w:rsid w:val="00AD409C"/>
    <w:rsid w:val="00AD4164"/>
    <w:rsid w:val="00AD4AF2"/>
    <w:rsid w:val="00AD4C39"/>
    <w:rsid w:val="00AD4D2E"/>
    <w:rsid w:val="00AD51E4"/>
    <w:rsid w:val="00AD56E1"/>
    <w:rsid w:val="00AD5932"/>
    <w:rsid w:val="00AD6095"/>
    <w:rsid w:val="00AD610B"/>
    <w:rsid w:val="00AD64DC"/>
    <w:rsid w:val="00AD696C"/>
    <w:rsid w:val="00AD6D7D"/>
    <w:rsid w:val="00AD7080"/>
    <w:rsid w:val="00AD7191"/>
    <w:rsid w:val="00AE0177"/>
    <w:rsid w:val="00AE0454"/>
    <w:rsid w:val="00AE053B"/>
    <w:rsid w:val="00AE05CC"/>
    <w:rsid w:val="00AE063E"/>
    <w:rsid w:val="00AE0758"/>
    <w:rsid w:val="00AE0818"/>
    <w:rsid w:val="00AE0A1A"/>
    <w:rsid w:val="00AE0B91"/>
    <w:rsid w:val="00AE0C2A"/>
    <w:rsid w:val="00AE0E08"/>
    <w:rsid w:val="00AE144F"/>
    <w:rsid w:val="00AE15D5"/>
    <w:rsid w:val="00AE1610"/>
    <w:rsid w:val="00AE1777"/>
    <w:rsid w:val="00AE183F"/>
    <w:rsid w:val="00AE1DE1"/>
    <w:rsid w:val="00AE2906"/>
    <w:rsid w:val="00AE2A4E"/>
    <w:rsid w:val="00AE2AC5"/>
    <w:rsid w:val="00AE324C"/>
    <w:rsid w:val="00AE33EA"/>
    <w:rsid w:val="00AE3CA6"/>
    <w:rsid w:val="00AE4052"/>
    <w:rsid w:val="00AE4485"/>
    <w:rsid w:val="00AE4989"/>
    <w:rsid w:val="00AE4C2D"/>
    <w:rsid w:val="00AE550F"/>
    <w:rsid w:val="00AE552C"/>
    <w:rsid w:val="00AE5655"/>
    <w:rsid w:val="00AE6021"/>
    <w:rsid w:val="00AE6164"/>
    <w:rsid w:val="00AE665C"/>
    <w:rsid w:val="00AE6E72"/>
    <w:rsid w:val="00AE6FB0"/>
    <w:rsid w:val="00AE705F"/>
    <w:rsid w:val="00AE72CB"/>
    <w:rsid w:val="00AE75B6"/>
    <w:rsid w:val="00AE77EA"/>
    <w:rsid w:val="00AE7D5A"/>
    <w:rsid w:val="00AE7E77"/>
    <w:rsid w:val="00AE7FEA"/>
    <w:rsid w:val="00AF0326"/>
    <w:rsid w:val="00AF0364"/>
    <w:rsid w:val="00AF05A7"/>
    <w:rsid w:val="00AF0720"/>
    <w:rsid w:val="00AF0BD0"/>
    <w:rsid w:val="00AF0D5F"/>
    <w:rsid w:val="00AF10C5"/>
    <w:rsid w:val="00AF150C"/>
    <w:rsid w:val="00AF1528"/>
    <w:rsid w:val="00AF1A0F"/>
    <w:rsid w:val="00AF1CA2"/>
    <w:rsid w:val="00AF213C"/>
    <w:rsid w:val="00AF2257"/>
    <w:rsid w:val="00AF2435"/>
    <w:rsid w:val="00AF2832"/>
    <w:rsid w:val="00AF2919"/>
    <w:rsid w:val="00AF38C3"/>
    <w:rsid w:val="00AF3ADD"/>
    <w:rsid w:val="00AF4099"/>
    <w:rsid w:val="00AF4153"/>
    <w:rsid w:val="00AF4636"/>
    <w:rsid w:val="00AF4F84"/>
    <w:rsid w:val="00AF5188"/>
    <w:rsid w:val="00AF5D81"/>
    <w:rsid w:val="00AF5DAF"/>
    <w:rsid w:val="00AF6293"/>
    <w:rsid w:val="00AF662A"/>
    <w:rsid w:val="00AF6E76"/>
    <w:rsid w:val="00AF754C"/>
    <w:rsid w:val="00AF78A8"/>
    <w:rsid w:val="00AF7F7A"/>
    <w:rsid w:val="00B0017E"/>
    <w:rsid w:val="00B0079C"/>
    <w:rsid w:val="00B009F3"/>
    <w:rsid w:val="00B00A3C"/>
    <w:rsid w:val="00B00FD7"/>
    <w:rsid w:val="00B0148F"/>
    <w:rsid w:val="00B017C9"/>
    <w:rsid w:val="00B01AD4"/>
    <w:rsid w:val="00B01C50"/>
    <w:rsid w:val="00B02029"/>
    <w:rsid w:val="00B02081"/>
    <w:rsid w:val="00B02ABD"/>
    <w:rsid w:val="00B02C0C"/>
    <w:rsid w:val="00B0345E"/>
    <w:rsid w:val="00B035B4"/>
    <w:rsid w:val="00B035D1"/>
    <w:rsid w:val="00B03692"/>
    <w:rsid w:val="00B03A14"/>
    <w:rsid w:val="00B03CCD"/>
    <w:rsid w:val="00B03EA2"/>
    <w:rsid w:val="00B04025"/>
    <w:rsid w:val="00B0416D"/>
    <w:rsid w:val="00B0420D"/>
    <w:rsid w:val="00B0451D"/>
    <w:rsid w:val="00B04645"/>
    <w:rsid w:val="00B04962"/>
    <w:rsid w:val="00B0579D"/>
    <w:rsid w:val="00B05858"/>
    <w:rsid w:val="00B05DD6"/>
    <w:rsid w:val="00B05E4A"/>
    <w:rsid w:val="00B05E92"/>
    <w:rsid w:val="00B060E6"/>
    <w:rsid w:val="00B063DD"/>
    <w:rsid w:val="00B06EB9"/>
    <w:rsid w:val="00B06FCE"/>
    <w:rsid w:val="00B0711E"/>
    <w:rsid w:val="00B07A3E"/>
    <w:rsid w:val="00B07B2A"/>
    <w:rsid w:val="00B07CCD"/>
    <w:rsid w:val="00B07E14"/>
    <w:rsid w:val="00B07EA6"/>
    <w:rsid w:val="00B07EBC"/>
    <w:rsid w:val="00B102FD"/>
    <w:rsid w:val="00B1059F"/>
    <w:rsid w:val="00B10914"/>
    <w:rsid w:val="00B11AC1"/>
    <w:rsid w:val="00B11DC5"/>
    <w:rsid w:val="00B12278"/>
    <w:rsid w:val="00B1274F"/>
    <w:rsid w:val="00B12AFE"/>
    <w:rsid w:val="00B12BC9"/>
    <w:rsid w:val="00B12E77"/>
    <w:rsid w:val="00B13298"/>
    <w:rsid w:val="00B132EC"/>
    <w:rsid w:val="00B13474"/>
    <w:rsid w:val="00B13A7E"/>
    <w:rsid w:val="00B13C35"/>
    <w:rsid w:val="00B14077"/>
    <w:rsid w:val="00B1446C"/>
    <w:rsid w:val="00B14652"/>
    <w:rsid w:val="00B14789"/>
    <w:rsid w:val="00B14DB5"/>
    <w:rsid w:val="00B153DD"/>
    <w:rsid w:val="00B15571"/>
    <w:rsid w:val="00B1561C"/>
    <w:rsid w:val="00B157D7"/>
    <w:rsid w:val="00B159E4"/>
    <w:rsid w:val="00B15ADC"/>
    <w:rsid w:val="00B15BD9"/>
    <w:rsid w:val="00B16761"/>
    <w:rsid w:val="00B16C77"/>
    <w:rsid w:val="00B16EEF"/>
    <w:rsid w:val="00B175B3"/>
    <w:rsid w:val="00B177E4"/>
    <w:rsid w:val="00B17ACE"/>
    <w:rsid w:val="00B17DFA"/>
    <w:rsid w:val="00B2040D"/>
    <w:rsid w:val="00B2078C"/>
    <w:rsid w:val="00B207FF"/>
    <w:rsid w:val="00B20A72"/>
    <w:rsid w:val="00B20F4E"/>
    <w:rsid w:val="00B210BD"/>
    <w:rsid w:val="00B21AF9"/>
    <w:rsid w:val="00B21BB6"/>
    <w:rsid w:val="00B21D0B"/>
    <w:rsid w:val="00B2211F"/>
    <w:rsid w:val="00B22821"/>
    <w:rsid w:val="00B22C01"/>
    <w:rsid w:val="00B22D02"/>
    <w:rsid w:val="00B22D94"/>
    <w:rsid w:val="00B230CD"/>
    <w:rsid w:val="00B230D9"/>
    <w:rsid w:val="00B23666"/>
    <w:rsid w:val="00B23976"/>
    <w:rsid w:val="00B2397E"/>
    <w:rsid w:val="00B24144"/>
    <w:rsid w:val="00B247D9"/>
    <w:rsid w:val="00B249C2"/>
    <w:rsid w:val="00B24C44"/>
    <w:rsid w:val="00B24D85"/>
    <w:rsid w:val="00B25A3B"/>
    <w:rsid w:val="00B25BAE"/>
    <w:rsid w:val="00B25C5B"/>
    <w:rsid w:val="00B25D0B"/>
    <w:rsid w:val="00B26275"/>
    <w:rsid w:val="00B263B8"/>
    <w:rsid w:val="00B2646F"/>
    <w:rsid w:val="00B26AAC"/>
    <w:rsid w:val="00B272C1"/>
    <w:rsid w:val="00B272F2"/>
    <w:rsid w:val="00B30068"/>
    <w:rsid w:val="00B30D72"/>
    <w:rsid w:val="00B3226C"/>
    <w:rsid w:val="00B3248F"/>
    <w:rsid w:val="00B3252A"/>
    <w:rsid w:val="00B326FC"/>
    <w:rsid w:val="00B3305B"/>
    <w:rsid w:val="00B339A0"/>
    <w:rsid w:val="00B33CA8"/>
    <w:rsid w:val="00B33E49"/>
    <w:rsid w:val="00B33FF6"/>
    <w:rsid w:val="00B3408F"/>
    <w:rsid w:val="00B34389"/>
    <w:rsid w:val="00B34495"/>
    <w:rsid w:val="00B3453F"/>
    <w:rsid w:val="00B34A6F"/>
    <w:rsid w:val="00B34CB7"/>
    <w:rsid w:val="00B34EAA"/>
    <w:rsid w:val="00B354F8"/>
    <w:rsid w:val="00B35788"/>
    <w:rsid w:val="00B35922"/>
    <w:rsid w:val="00B35AD5"/>
    <w:rsid w:val="00B35BA0"/>
    <w:rsid w:val="00B35EB5"/>
    <w:rsid w:val="00B364C2"/>
    <w:rsid w:val="00B36967"/>
    <w:rsid w:val="00B369EE"/>
    <w:rsid w:val="00B36B0A"/>
    <w:rsid w:val="00B370D0"/>
    <w:rsid w:val="00B37982"/>
    <w:rsid w:val="00B37ABC"/>
    <w:rsid w:val="00B37EFA"/>
    <w:rsid w:val="00B4039A"/>
    <w:rsid w:val="00B4063D"/>
    <w:rsid w:val="00B41381"/>
    <w:rsid w:val="00B41639"/>
    <w:rsid w:val="00B41A12"/>
    <w:rsid w:val="00B41D45"/>
    <w:rsid w:val="00B42425"/>
    <w:rsid w:val="00B42541"/>
    <w:rsid w:val="00B42D97"/>
    <w:rsid w:val="00B42ED3"/>
    <w:rsid w:val="00B43867"/>
    <w:rsid w:val="00B43933"/>
    <w:rsid w:val="00B43993"/>
    <w:rsid w:val="00B43CFF"/>
    <w:rsid w:val="00B43E71"/>
    <w:rsid w:val="00B442C3"/>
    <w:rsid w:val="00B4430F"/>
    <w:rsid w:val="00B44802"/>
    <w:rsid w:val="00B44853"/>
    <w:rsid w:val="00B449AF"/>
    <w:rsid w:val="00B44A3C"/>
    <w:rsid w:val="00B454E9"/>
    <w:rsid w:val="00B45D2E"/>
    <w:rsid w:val="00B45DED"/>
    <w:rsid w:val="00B46112"/>
    <w:rsid w:val="00B46150"/>
    <w:rsid w:val="00B46199"/>
    <w:rsid w:val="00B4637D"/>
    <w:rsid w:val="00B467E7"/>
    <w:rsid w:val="00B47247"/>
    <w:rsid w:val="00B47ACF"/>
    <w:rsid w:val="00B47B8F"/>
    <w:rsid w:val="00B47C01"/>
    <w:rsid w:val="00B5060D"/>
    <w:rsid w:val="00B509AA"/>
    <w:rsid w:val="00B50AB0"/>
    <w:rsid w:val="00B511B9"/>
    <w:rsid w:val="00B51321"/>
    <w:rsid w:val="00B51340"/>
    <w:rsid w:val="00B5139A"/>
    <w:rsid w:val="00B5152C"/>
    <w:rsid w:val="00B5181F"/>
    <w:rsid w:val="00B51C97"/>
    <w:rsid w:val="00B51F17"/>
    <w:rsid w:val="00B52029"/>
    <w:rsid w:val="00B52275"/>
    <w:rsid w:val="00B53A60"/>
    <w:rsid w:val="00B53C39"/>
    <w:rsid w:val="00B53DB8"/>
    <w:rsid w:val="00B54204"/>
    <w:rsid w:val="00B545EF"/>
    <w:rsid w:val="00B54C14"/>
    <w:rsid w:val="00B55108"/>
    <w:rsid w:val="00B55180"/>
    <w:rsid w:val="00B55583"/>
    <w:rsid w:val="00B55D80"/>
    <w:rsid w:val="00B55DBC"/>
    <w:rsid w:val="00B56BEB"/>
    <w:rsid w:val="00B56CC4"/>
    <w:rsid w:val="00B56DE8"/>
    <w:rsid w:val="00B57119"/>
    <w:rsid w:val="00B5760E"/>
    <w:rsid w:val="00B578F6"/>
    <w:rsid w:val="00B57A50"/>
    <w:rsid w:val="00B57D09"/>
    <w:rsid w:val="00B601A9"/>
    <w:rsid w:val="00B6020F"/>
    <w:rsid w:val="00B605C6"/>
    <w:rsid w:val="00B60A24"/>
    <w:rsid w:val="00B60A9F"/>
    <w:rsid w:val="00B60B98"/>
    <w:rsid w:val="00B60E7C"/>
    <w:rsid w:val="00B61071"/>
    <w:rsid w:val="00B6142A"/>
    <w:rsid w:val="00B61587"/>
    <w:rsid w:val="00B61824"/>
    <w:rsid w:val="00B622A1"/>
    <w:rsid w:val="00B62411"/>
    <w:rsid w:val="00B624E8"/>
    <w:rsid w:val="00B62565"/>
    <w:rsid w:val="00B62CFD"/>
    <w:rsid w:val="00B62F01"/>
    <w:rsid w:val="00B63261"/>
    <w:rsid w:val="00B6395B"/>
    <w:rsid w:val="00B639E3"/>
    <w:rsid w:val="00B63F0A"/>
    <w:rsid w:val="00B64024"/>
    <w:rsid w:val="00B642F9"/>
    <w:rsid w:val="00B644EE"/>
    <w:rsid w:val="00B6470B"/>
    <w:rsid w:val="00B64955"/>
    <w:rsid w:val="00B65E36"/>
    <w:rsid w:val="00B6649C"/>
    <w:rsid w:val="00B665A9"/>
    <w:rsid w:val="00B66704"/>
    <w:rsid w:val="00B669A8"/>
    <w:rsid w:val="00B66A98"/>
    <w:rsid w:val="00B66B58"/>
    <w:rsid w:val="00B67236"/>
    <w:rsid w:val="00B6748F"/>
    <w:rsid w:val="00B67B6A"/>
    <w:rsid w:val="00B70295"/>
    <w:rsid w:val="00B708CC"/>
    <w:rsid w:val="00B70C03"/>
    <w:rsid w:val="00B70D88"/>
    <w:rsid w:val="00B71096"/>
    <w:rsid w:val="00B71131"/>
    <w:rsid w:val="00B713E8"/>
    <w:rsid w:val="00B716F7"/>
    <w:rsid w:val="00B71896"/>
    <w:rsid w:val="00B71B32"/>
    <w:rsid w:val="00B71DCF"/>
    <w:rsid w:val="00B71FB3"/>
    <w:rsid w:val="00B72377"/>
    <w:rsid w:val="00B724DB"/>
    <w:rsid w:val="00B72614"/>
    <w:rsid w:val="00B727C0"/>
    <w:rsid w:val="00B729F2"/>
    <w:rsid w:val="00B73311"/>
    <w:rsid w:val="00B7357F"/>
    <w:rsid w:val="00B73890"/>
    <w:rsid w:val="00B73BAD"/>
    <w:rsid w:val="00B73E0C"/>
    <w:rsid w:val="00B73F62"/>
    <w:rsid w:val="00B7493B"/>
    <w:rsid w:val="00B74D99"/>
    <w:rsid w:val="00B74E4E"/>
    <w:rsid w:val="00B75C95"/>
    <w:rsid w:val="00B75DFC"/>
    <w:rsid w:val="00B7627E"/>
    <w:rsid w:val="00B7632F"/>
    <w:rsid w:val="00B76403"/>
    <w:rsid w:val="00B76587"/>
    <w:rsid w:val="00B76D8D"/>
    <w:rsid w:val="00B76EAD"/>
    <w:rsid w:val="00B77315"/>
    <w:rsid w:val="00B7773C"/>
    <w:rsid w:val="00B77BD6"/>
    <w:rsid w:val="00B77CCD"/>
    <w:rsid w:val="00B805C2"/>
    <w:rsid w:val="00B80636"/>
    <w:rsid w:val="00B80D16"/>
    <w:rsid w:val="00B80E27"/>
    <w:rsid w:val="00B81073"/>
    <w:rsid w:val="00B8193F"/>
    <w:rsid w:val="00B81AE1"/>
    <w:rsid w:val="00B820F2"/>
    <w:rsid w:val="00B8233C"/>
    <w:rsid w:val="00B8237A"/>
    <w:rsid w:val="00B823F2"/>
    <w:rsid w:val="00B8262E"/>
    <w:rsid w:val="00B82644"/>
    <w:rsid w:val="00B82A5F"/>
    <w:rsid w:val="00B82A82"/>
    <w:rsid w:val="00B82E2A"/>
    <w:rsid w:val="00B83F2E"/>
    <w:rsid w:val="00B84C2E"/>
    <w:rsid w:val="00B85593"/>
    <w:rsid w:val="00B856FD"/>
    <w:rsid w:val="00B85BF5"/>
    <w:rsid w:val="00B85F3D"/>
    <w:rsid w:val="00B86397"/>
    <w:rsid w:val="00B864BB"/>
    <w:rsid w:val="00B8674E"/>
    <w:rsid w:val="00B86C47"/>
    <w:rsid w:val="00B86DF7"/>
    <w:rsid w:val="00B87153"/>
    <w:rsid w:val="00B871A9"/>
    <w:rsid w:val="00B876DC"/>
    <w:rsid w:val="00B8780D"/>
    <w:rsid w:val="00B87A67"/>
    <w:rsid w:val="00B87EFF"/>
    <w:rsid w:val="00B902AB"/>
    <w:rsid w:val="00B9090D"/>
    <w:rsid w:val="00B90D7C"/>
    <w:rsid w:val="00B91446"/>
    <w:rsid w:val="00B914DA"/>
    <w:rsid w:val="00B920CF"/>
    <w:rsid w:val="00B9273D"/>
    <w:rsid w:val="00B92975"/>
    <w:rsid w:val="00B92D9C"/>
    <w:rsid w:val="00B92F01"/>
    <w:rsid w:val="00B9371E"/>
    <w:rsid w:val="00B93D7B"/>
    <w:rsid w:val="00B94065"/>
    <w:rsid w:val="00B940BC"/>
    <w:rsid w:val="00B948B8"/>
    <w:rsid w:val="00B94920"/>
    <w:rsid w:val="00B94C27"/>
    <w:rsid w:val="00B94FBE"/>
    <w:rsid w:val="00B9547D"/>
    <w:rsid w:val="00B9580C"/>
    <w:rsid w:val="00B95833"/>
    <w:rsid w:val="00B95E3B"/>
    <w:rsid w:val="00B96036"/>
    <w:rsid w:val="00B961B2"/>
    <w:rsid w:val="00B9669C"/>
    <w:rsid w:val="00B968CC"/>
    <w:rsid w:val="00B96971"/>
    <w:rsid w:val="00B9698E"/>
    <w:rsid w:val="00B97859"/>
    <w:rsid w:val="00B97983"/>
    <w:rsid w:val="00B979E4"/>
    <w:rsid w:val="00B97A93"/>
    <w:rsid w:val="00B97C91"/>
    <w:rsid w:val="00B97EC9"/>
    <w:rsid w:val="00BA01F3"/>
    <w:rsid w:val="00BA074B"/>
    <w:rsid w:val="00BA0C73"/>
    <w:rsid w:val="00BA0D44"/>
    <w:rsid w:val="00BA0E15"/>
    <w:rsid w:val="00BA0EDB"/>
    <w:rsid w:val="00BA100B"/>
    <w:rsid w:val="00BA12CE"/>
    <w:rsid w:val="00BA1A06"/>
    <w:rsid w:val="00BA205D"/>
    <w:rsid w:val="00BA2962"/>
    <w:rsid w:val="00BA29B7"/>
    <w:rsid w:val="00BA2A41"/>
    <w:rsid w:val="00BA2CB4"/>
    <w:rsid w:val="00BA373F"/>
    <w:rsid w:val="00BA3CBF"/>
    <w:rsid w:val="00BA3E1B"/>
    <w:rsid w:val="00BA42FE"/>
    <w:rsid w:val="00BA433D"/>
    <w:rsid w:val="00BA4564"/>
    <w:rsid w:val="00BA4B57"/>
    <w:rsid w:val="00BA4E99"/>
    <w:rsid w:val="00BA558D"/>
    <w:rsid w:val="00BA563C"/>
    <w:rsid w:val="00BA61B3"/>
    <w:rsid w:val="00BA651B"/>
    <w:rsid w:val="00BA7300"/>
    <w:rsid w:val="00BA74C8"/>
    <w:rsid w:val="00BA7721"/>
    <w:rsid w:val="00BA79FC"/>
    <w:rsid w:val="00BA7B27"/>
    <w:rsid w:val="00BA7BA6"/>
    <w:rsid w:val="00BB09E9"/>
    <w:rsid w:val="00BB0F92"/>
    <w:rsid w:val="00BB136A"/>
    <w:rsid w:val="00BB1530"/>
    <w:rsid w:val="00BB17E5"/>
    <w:rsid w:val="00BB19CA"/>
    <w:rsid w:val="00BB1ABA"/>
    <w:rsid w:val="00BB1C3A"/>
    <w:rsid w:val="00BB2219"/>
    <w:rsid w:val="00BB22EA"/>
    <w:rsid w:val="00BB2399"/>
    <w:rsid w:val="00BB24B6"/>
    <w:rsid w:val="00BB2971"/>
    <w:rsid w:val="00BB29DD"/>
    <w:rsid w:val="00BB2A0A"/>
    <w:rsid w:val="00BB2E98"/>
    <w:rsid w:val="00BB2F22"/>
    <w:rsid w:val="00BB32DE"/>
    <w:rsid w:val="00BB3959"/>
    <w:rsid w:val="00BB3AD9"/>
    <w:rsid w:val="00BB4138"/>
    <w:rsid w:val="00BB4249"/>
    <w:rsid w:val="00BB448E"/>
    <w:rsid w:val="00BB4A5B"/>
    <w:rsid w:val="00BB509F"/>
    <w:rsid w:val="00BB536C"/>
    <w:rsid w:val="00BB5736"/>
    <w:rsid w:val="00BB605E"/>
    <w:rsid w:val="00BB60FB"/>
    <w:rsid w:val="00BB617C"/>
    <w:rsid w:val="00BB641A"/>
    <w:rsid w:val="00BB6B8F"/>
    <w:rsid w:val="00BB752B"/>
    <w:rsid w:val="00BB7734"/>
    <w:rsid w:val="00BB7F93"/>
    <w:rsid w:val="00BC0199"/>
    <w:rsid w:val="00BC07E3"/>
    <w:rsid w:val="00BC12F3"/>
    <w:rsid w:val="00BC1321"/>
    <w:rsid w:val="00BC14A1"/>
    <w:rsid w:val="00BC14D9"/>
    <w:rsid w:val="00BC1B38"/>
    <w:rsid w:val="00BC1B52"/>
    <w:rsid w:val="00BC1FA2"/>
    <w:rsid w:val="00BC249C"/>
    <w:rsid w:val="00BC30CE"/>
    <w:rsid w:val="00BC3DE6"/>
    <w:rsid w:val="00BC450F"/>
    <w:rsid w:val="00BC473C"/>
    <w:rsid w:val="00BC4BE6"/>
    <w:rsid w:val="00BC4D43"/>
    <w:rsid w:val="00BC4EDE"/>
    <w:rsid w:val="00BC4F65"/>
    <w:rsid w:val="00BC5710"/>
    <w:rsid w:val="00BC5C36"/>
    <w:rsid w:val="00BC5D5F"/>
    <w:rsid w:val="00BC5E38"/>
    <w:rsid w:val="00BC6199"/>
    <w:rsid w:val="00BC61FB"/>
    <w:rsid w:val="00BC6488"/>
    <w:rsid w:val="00BC68B9"/>
    <w:rsid w:val="00BC6F8C"/>
    <w:rsid w:val="00BC70B0"/>
    <w:rsid w:val="00BC7509"/>
    <w:rsid w:val="00BC7510"/>
    <w:rsid w:val="00BC7D49"/>
    <w:rsid w:val="00BD0188"/>
    <w:rsid w:val="00BD0357"/>
    <w:rsid w:val="00BD0358"/>
    <w:rsid w:val="00BD047A"/>
    <w:rsid w:val="00BD085F"/>
    <w:rsid w:val="00BD0BE0"/>
    <w:rsid w:val="00BD0D6F"/>
    <w:rsid w:val="00BD10C0"/>
    <w:rsid w:val="00BD12A2"/>
    <w:rsid w:val="00BD13BF"/>
    <w:rsid w:val="00BD15D7"/>
    <w:rsid w:val="00BD172C"/>
    <w:rsid w:val="00BD186D"/>
    <w:rsid w:val="00BD18C3"/>
    <w:rsid w:val="00BD193A"/>
    <w:rsid w:val="00BD21D1"/>
    <w:rsid w:val="00BD26F5"/>
    <w:rsid w:val="00BD2C7E"/>
    <w:rsid w:val="00BD2E82"/>
    <w:rsid w:val="00BD37DA"/>
    <w:rsid w:val="00BD3F07"/>
    <w:rsid w:val="00BD41E2"/>
    <w:rsid w:val="00BD4803"/>
    <w:rsid w:val="00BD49C4"/>
    <w:rsid w:val="00BD4A73"/>
    <w:rsid w:val="00BD4BC6"/>
    <w:rsid w:val="00BD4C71"/>
    <w:rsid w:val="00BD4D06"/>
    <w:rsid w:val="00BD4E66"/>
    <w:rsid w:val="00BD5029"/>
    <w:rsid w:val="00BD51C8"/>
    <w:rsid w:val="00BD557F"/>
    <w:rsid w:val="00BD5631"/>
    <w:rsid w:val="00BD5F0E"/>
    <w:rsid w:val="00BD6078"/>
    <w:rsid w:val="00BD6209"/>
    <w:rsid w:val="00BD729E"/>
    <w:rsid w:val="00BD74DF"/>
    <w:rsid w:val="00BD75EE"/>
    <w:rsid w:val="00BD786C"/>
    <w:rsid w:val="00BD79D8"/>
    <w:rsid w:val="00BD7A20"/>
    <w:rsid w:val="00BD7C17"/>
    <w:rsid w:val="00BD7CA4"/>
    <w:rsid w:val="00BE0161"/>
    <w:rsid w:val="00BE0172"/>
    <w:rsid w:val="00BE0A78"/>
    <w:rsid w:val="00BE1036"/>
    <w:rsid w:val="00BE10E8"/>
    <w:rsid w:val="00BE125C"/>
    <w:rsid w:val="00BE1887"/>
    <w:rsid w:val="00BE1AA2"/>
    <w:rsid w:val="00BE2356"/>
    <w:rsid w:val="00BE23B3"/>
    <w:rsid w:val="00BE25DD"/>
    <w:rsid w:val="00BE2707"/>
    <w:rsid w:val="00BE2864"/>
    <w:rsid w:val="00BE2A8A"/>
    <w:rsid w:val="00BE2DA6"/>
    <w:rsid w:val="00BE2F7D"/>
    <w:rsid w:val="00BE320D"/>
    <w:rsid w:val="00BE322F"/>
    <w:rsid w:val="00BE3421"/>
    <w:rsid w:val="00BE3676"/>
    <w:rsid w:val="00BE3753"/>
    <w:rsid w:val="00BE3FFA"/>
    <w:rsid w:val="00BE4129"/>
    <w:rsid w:val="00BE45AD"/>
    <w:rsid w:val="00BE45CF"/>
    <w:rsid w:val="00BE4B1B"/>
    <w:rsid w:val="00BE4C6F"/>
    <w:rsid w:val="00BE5692"/>
    <w:rsid w:val="00BE5C2D"/>
    <w:rsid w:val="00BE5F85"/>
    <w:rsid w:val="00BE6003"/>
    <w:rsid w:val="00BE617A"/>
    <w:rsid w:val="00BE6486"/>
    <w:rsid w:val="00BE6891"/>
    <w:rsid w:val="00BE692E"/>
    <w:rsid w:val="00BE6ADE"/>
    <w:rsid w:val="00BE6F1C"/>
    <w:rsid w:val="00BE6FBE"/>
    <w:rsid w:val="00BE71B0"/>
    <w:rsid w:val="00BE73BC"/>
    <w:rsid w:val="00BE7436"/>
    <w:rsid w:val="00BE77FC"/>
    <w:rsid w:val="00BE79A6"/>
    <w:rsid w:val="00BE7D7D"/>
    <w:rsid w:val="00BE7F6E"/>
    <w:rsid w:val="00BF031D"/>
    <w:rsid w:val="00BF0399"/>
    <w:rsid w:val="00BF088A"/>
    <w:rsid w:val="00BF08A2"/>
    <w:rsid w:val="00BF0EE4"/>
    <w:rsid w:val="00BF12B2"/>
    <w:rsid w:val="00BF1A66"/>
    <w:rsid w:val="00BF1ABA"/>
    <w:rsid w:val="00BF1CEE"/>
    <w:rsid w:val="00BF1FDE"/>
    <w:rsid w:val="00BF21D4"/>
    <w:rsid w:val="00BF288B"/>
    <w:rsid w:val="00BF2973"/>
    <w:rsid w:val="00BF2B3E"/>
    <w:rsid w:val="00BF2C98"/>
    <w:rsid w:val="00BF2D85"/>
    <w:rsid w:val="00BF3084"/>
    <w:rsid w:val="00BF3138"/>
    <w:rsid w:val="00BF3189"/>
    <w:rsid w:val="00BF322B"/>
    <w:rsid w:val="00BF3494"/>
    <w:rsid w:val="00BF36C1"/>
    <w:rsid w:val="00BF37AD"/>
    <w:rsid w:val="00BF3888"/>
    <w:rsid w:val="00BF3B5A"/>
    <w:rsid w:val="00BF3CEE"/>
    <w:rsid w:val="00BF412F"/>
    <w:rsid w:val="00BF41F8"/>
    <w:rsid w:val="00BF4477"/>
    <w:rsid w:val="00BF44FB"/>
    <w:rsid w:val="00BF46AB"/>
    <w:rsid w:val="00BF489A"/>
    <w:rsid w:val="00BF4A85"/>
    <w:rsid w:val="00BF5336"/>
    <w:rsid w:val="00BF56A5"/>
    <w:rsid w:val="00BF5902"/>
    <w:rsid w:val="00BF59BA"/>
    <w:rsid w:val="00BF5EF3"/>
    <w:rsid w:val="00BF5F48"/>
    <w:rsid w:val="00BF5FC5"/>
    <w:rsid w:val="00BF608E"/>
    <w:rsid w:val="00BF64AF"/>
    <w:rsid w:val="00BF65BB"/>
    <w:rsid w:val="00BF74C3"/>
    <w:rsid w:val="00BF7CD1"/>
    <w:rsid w:val="00BF7D27"/>
    <w:rsid w:val="00BF7D9C"/>
    <w:rsid w:val="00C0030A"/>
    <w:rsid w:val="00C004BE"/>
    <w:rsid w:val="00C0063F"/>
    <w:rsid w:val="00C007F9"/>
    <w:rsid w:val="00C01296"/>
    <w:rsid w:val="00C01D82"/>
    <w:rsid w:val="00C02157"/>
    <w:rsid w:val="00C021FA"/>
    <w:rsid w:val="00C0259F"/>
    <w:rsid w:val="00C02F9F"/>
    <w:rsid w:val="00C02FE4"/>
    <w:rsid w:val="00C0310B"/>
    <w:rsid w:val="00C0327E"/>
    <w:rsid w:val="00C0329C"/>
    <w:rsid w:val="00C03369"/>
    <w:rsid w:val="00C03E31"/>
    <w:rsid w:val="00C0486D"/>
    <w:rsid w:val="00C04D82"/>
    <w:rsid w:val="00C055A4"/>
    <w:rsid w:val="00C06AB7"/>
    <w:rsid w:val="00C07159"/>
    <w:rsid w:val="00C0716E"/>
    <w:rsid w:val="00C0741D"/>
    <w:rsid w:val="00C0775A"/>
    <w:rsid w:val="00C07D70"/>
    <w:rsid w:val="00C07DA8"/>
    <w:rsid w:val="00C07F37"/>
    <w:rsid w:val="00C10360"/>
    <w:rsid w:val="00C1040D"/>
    <w:rsid w:val="00C105D4"/>
    <w:rsid w:val="00C10D5A"/>
    <w:rsid w:val="00C10E24"/>
    <w:rsid w:val="00C11178"/>
    <w:rsid w:val="00C11301"/>
    <w:rsid w:val="00C115B0"/>
    <w:rsid w:val="00C11D7F"/>
    <w:rsid w:val="00C12378"/>
    <w:rsid w:val="00C126A5"/>
    <w:rsid w:val="00C12D84"/>
    <w:rsid w:val="00C13066"/>
    <w:rsid w:val="00C1326B"/>
    <w:rsid w:val="00C14184"/>
    <w:rsid w:val="00C14555"/>
    <w:rsid w:val="00C145E8"/>
    <w:rsid w:val="00C14A7B"/>
    <w:rsid w:val="00C14D6E"/>
    <w:rsid w:val="00C15008"/>
    <w:rsid w:val="00C1508A"/>
    <w:rsid w:val="00C156A0"/>
    <w:rsid w:val="00C15C36"/>
    <w:rsid w:val="00C15E6F"/>
    <w:rsid w:val="00C164DE"/>
    <w:rsid w:val="00C16A32"/>
    <w:rsid w:val="00C17045"/>
    <w:rsid w:val="00C1760C"/>
    <w:rsid w:val="00C17B87"/>
    <w:rsid w:val="00C17F41"/>
    <w:rsid w:val="00C20132"/>
    <w:rsid w:val="00C205FA"/>
    <w:rsid w:val="00C206D1"/>
    <w:rsid w:val="00C20F2F"/>
    <w:rsid w:val="00C210E6"/>
    <w:rsid w:val="00C21766"/>
    <w:rsid w:val="00C21D7C"/>
    <w:rsid w:val="00C22187"/>
    <w:rsid w:val="00C2318A"/>
    <w:rsid w:val="00C234D2"/>
    <w:rsid w:val="00C237E1"/>
    <w:rsid w:val="00C2435B"/>
    <w:rsid w:val="00C24428"/>
    <w:rsid w:val="00C24670"/>
    <w:rsid w:val="00C247EC"/>
    <w:rsid w:val="00C24AD5"/>
    <w:rsid w:val="00C24C2D"/>
    <w:rsid w:val="00C24EB6"/>
    <w:rsid w:val="00C24F89"/>
    <w:rsid w:val="00C25261"/>
    <w:rsid w:val="00C2539A"/>
    <w:rsid w:val="00C2556D"/>
    <w:rsid w:val="00C25EED"/>
    <w:rsid w:val="00C2608C"/>
    <w:rsid w:val="00C26328"/>
    <w:rsid w:val="00C26A5A"/>
    <w:rsid w:val="00C26AFF"/>
    <w:rsid w:val="00C26B31"/>
    <w:rsid w:val="00C270D5"/>
    <w:rsid w:val="00C2721B"/>
    <w:rsid w:val="00C2724A"/>
    <w:rsid w:val="00C27272"/>
    <w:rsid w:val="00C27DAD"/>
    <w:rsid w:val="00C3018D"/>
    <w:rsid w:val="00C30371"/>
    <w:rsid w:val="00C30D05"/>
    <w:rsid w:val="00C315C0"/>
    <w:rsid w:val="00C31C9C"/>
    <w:rsid w:val="00C31CE0"/>
    <w:rsid w:val="00C31F31"/>
    <w:rsid w:val="00C320CF"/>
    <w:rsid w:val="00C32116"/>
    <w:rsid w:val="00C328C8"/>
    <w:rsid w:val="00C332B4"/>
    <w:rsid w:val="00C3331D"/>
    <w:rsid w:val="00C33364"/>
    <w:rsid w:val="00C334D5"/>
    <w:rsid w:val="00C3355E"/>
    <w:rsid w:val="00C339C2"/>
    <w:rsid w:val="00C33B96"/>
    <w:rsid w:val="00C33EC4"/>
    <w:rsid w:val="00C343D0"/>
    <w:rsid w:val="00C34AA2"/>
    <w:rsid w:val="00C34CEF"/>
    <w:rsid w:val="00C35392"/>
    <w:rsid w:val="00C3542B"/>
    <w:rsid w:val="00C35A44"/>
    <w:rsid w:val="00C35C62"/>
    <w:rsid w:val="00C35D1F"/>
    <w:rsid w:val="00C361A1"/>
    <w:rsid w:val="00C364B6"/>
    <w:rsid w:val="00C366B2"/>
    <w:rsid w:val="00C367D6"/>
    <w:rsid w:val="00C368A7"/>
    <w:rsid w:val="00C3690F"/>
    <w:rsid w:val="00C36960"/>
    <w:rsid w:val="00C36BB7"/>
    <w:rsid w:val="00C36D52"/>
    <w:rsid w:val="00C36D59"/>
    <w:rsid w:val="00C374D4"/>
    <w:rsid w:val="00C37610"/>
    <w:rsid w:val="00C3781F"/>
    <w:rsid w:val="00C3782F"/>
    <w:rsid w:val="00C40266"/>
    <w:rsid w:val="00C40620"/>
    <w:rsid w:val="00C40851"/>
    <w:rsid w:val="00C40913"/>
    <w:rsid w:val="00C40E63"/>
    <w:rsid w:val="00C41151"/>
    <w:rsid w:val="00C41A86"/>
    <w:rsid w:val="00C41C72"/>
    <w:rsid w:val="00C41CA8"/>
    <w:rsid w:val="00C42485"/>
    <w:rsid w:val="00C425DB"/>
    <w:rsid w:val="00C42801"/>
    <w:rsid w:val="00C4364A"/>
    <w:rsid w:val="00C43CD3"/>
    <w:rsid w:val="00C44CF4"/>
    <w:rsid w:val="00C45C14"/>
    <w:rsid w:val="00C45DF2"/>
    <w:rsid w:val="00C46246"/>
    <w:rsid w:val="00C46793"/>
    <w:rsid w:val="00C467E4"/>
    <w:rsid w:val="00C4694A"/>
    <w:rsid w:val="00C469D4"/>
    <w:rsid w:val="00C46BD0"/>
    <w:rsid w:val="00C46FA2"/>
    <w:rsid w:val="00C47129"/>
    <w:rsid w:val="00C47420"/>
    <w:rsid w:val="00C47490"/>
    <w:rsid w:val="00C475DF"/>
    <w:rsid w:val="00C47AED"/>
    <w:rsid w:val="00C5054F"/>
    <w:rsid w:val="00C50B53"/>
    <w:rsid w:val="00C50FDF"/>
    <w:rsid w:val="00C51411"/>
    <w:rsid w:val="00C51B68"/>
    <w:rsid w:val="00C5216A"/>
    <w:rsid w:val="00C52B6B"/>
    <w:rsid w:val="00C52CEB"/>
    <w:rsid w:val="00C52E36"/>
    <w:rsid w:val="00C5301D"/>
    <w:rsid w:val="00C53068"/>
    <w:rsid w:val="00C530D3"/>
    <w:rsid w:val="00C533B7"/>
    <w:rsid w:val="00C536E0"/>
    <w:rsid w:val="00C541CB"/>
    <w:rsid w:val="00C542CE"/>
    <w:rsid w:val="00C54300"/>
    <w:rsid w:val="00C54338"/>
    <w:rsid w:val="00C54398"/>
    <w:rsid w:val="00C5447B"/>
    <w:rsid w:val="00C545A4"/>
    <w:rsid w:val="00C54BF4"/>
    <w:rsid w:val="00C5515D"/>
    <w:rsid w:val="00C5523B"/>
    <w:rsid w:val="00C560BE"/>
    <w:rsid w:val="00C562B7"/>
    <w:rsid w:val="00C56C6B"/>
    <w:rsid w:val="00C56E75"/>
    <w:rsid w:val="00C57051"/>
    <w:rsid w:val="00C5717D"/>
    <w:rsid w:val="00C57721"/>
    <w:rsid w:val="00C57C54"/>
    <w:rsid w:val="00C57D74"/>
    <w:rsid w:val="00C6006D"/>
    <w:rsid w:val="00C60B1E"/>
    <w:rsid w:val="00C60C71"/>
    <w:rsid w:val="00C60D35"/>
    <w:rsid w:val="00C6107E"/>
    <w:rsid w:val="00C61448"/>
    <w:rsid w:val="00C6149B"/>
    <w:rsid w:val="00C61B7F"/>
    <w:rsid w:val="00C61FA6"/>
    <w:rsid w:val="00C621D6"/>
    <w:rsid w:val="00C62617"/>
    <w:rsid w:val="00C62FFF"/>
    <w:rsid w:val="00C63D99"/>
    <w:rsid w:val="00C63EF0"/>
    <w:rsid w:val="00C6415D"/>
    <w:rsid w:val="00C643FA"/>
    <w:rsid w:val="00C64A07"/>
    <w:rsid w:val="00C64ABE"/>
    <w:rsid w:val="00C64D06"/>
    <w:rsid w:val="00C64D90"/>
    <w:rsid w:val="00C64DA0"/>
    <w:rsid w:val="00C64F1D"/>
    <w:rsid w:val="00C64FF4"/>
    <w:rsid w:val="00C65232"/>
    <w:rsid w:val="00C6545E"/>
    <w:rsid w:val="00C6549A"/>
    <w:rsid w:val="00C654FA"/>
    <w:rsid w:val="00C657DB"/>
    <w:rsid w:val="00C6586A"/>
    <w:rsid w:val="00C66245"/>
    <w:rsid w:val="00C6626D"/>
    <w:rsid w:val="00C66C15"/>
    <w:rsid w:val="00C6726A"/>
    <w:rsid w:val="00C67304"/>
    <w:rsid w:val="00C67A97"/>
    <w:rsid w:val="00C67AFE"/>
    <w:rsid w:val="00C67E45"/>
    <w:rsid w:val="00C67FAC"/>
    <w:rsid w:val="00C70065"/>
    <w:rsid w:val="00C70D3B"/>
    <w:rsid w:val="00C70DD7"/>
    <w:rsid w:val="00C70FBD"/>
    <w:rsid w:val="00C712B0"/>
    <w:rsid w:val="00C71447"/>
    <w:rsid w:val="00C7184C"/>
    <w:rsid w:val="00C71D64"/>
    <w:rsid w:val="00C71E1D"/>
    <w:rsid w:val="00C71EBB"/>
    <w:rsid w:val="00C71FF6"/>
    <w:rsid w:val="00C722DF"/>
    <w:rsid w:val="00C725B9"/>
    <w:rsid w:val="00C727E3"/>
    <w:rsid w:val="00C72B75"/>
    <w:rsid w:val="00C72B9A"/>
    <w:rsid w:val="00C72BDF"/>
    <w:rsid w:val="00C73166"/>
    <w:rsid w:val="00C7370F"/>
    <w:rsid w:val="00C73C48"/>
    <w:rsid w:val="00C74327"/>
    <w:rsid w:val="00C743E3"/>
    <w:rsid w:val="00C74908"/>
    <w:rsid w:val="00C74A64"/>
    <w:rsid w:val="00C7505B"/>
    <w:rsid w:val="00C75225"/>
    <w:rsid w:val="00C752BF"/>
    <w:rsid w:val="00C7550A"/>
    <w:rsid w:val="00C7598F"/>
    <w:rsid w:val="00C76B26"/>
    <w:rsid w:val="00C76B6C"/>
    <w:rsid w:val="00C76F73"/>
    <w:rsid w:val="00C770CA"/>
    <w:rsid w:val="00C772D2"/>
    <w:rsid w:val="00C77CD7"/>
    <w:rsid w:val="00C8042C"/>
    <w:rsid w:val="00C805AB"/>
    <w:rsid w:val="00C80B9F"/>
    <w:rsid w:val="00C80FFF"/>
    <w:rsid w:val="00C819B6"/>
    <w:rsid w:val="00C81A23"/>
    <w:rsid w:val="00C81EB3"/>
    <w:rsid w:val="00C82099"/>
    <w:rsid w:val="00C82490"/>
    <w:rsid w:val="00C828CD"/>
    <w:rsid w:val="00C82BDE"/>
    <w:rsid w:val="00C82D7B"/>
    <w:rsid w:val="00C83153"/>
    <w:rsid w:val="00C83208"/>
    <w:rsid w:val="00C832AE"/>
    <w:rsid w:val="00C8381E"/>
    <w:rsid w:val="00C84C58"/>
    <w:rsid w:val="00C8505C"/>
    <w:rsid w:val="00C8546F"/>
    <w:rsid w:val="00C856A5"/>
    <w:rsid w:val="00C85738"/>
    <w:rsid w:val="00C85924"/>
    <w:rsid w:val="00C859BD"/>
    <w:rsid w:val="00C85C4D"/>
    <w:rsid w:val="00C85E15"/>
    <w:rsid w:val="00C85FFF"/>
    <w:rsid w:val="00C8655C"/>
    <w:rsid w:val="00C86FF1"/>
    <w:rsid w:val="00C8759A"/>
    <w:rsid w:val="00C876E6"/>
    <w:rsid w:val="00C8773D"/>
    <w:rsid w:val="00C87997"/>
    <w:rsid w:val="00C87F65"/>
    <w:rsid w:val="00C90048"/>
    <w:rsid w:val="00C9071C"/>
    <w:rsid w:val="00C90B48"/>
    <w:rsid w:val="00C91019"/>
    <w:rsid w:val="00C914DD"/>
    <w:rsid w:val="00C91DA0"/>
    <w:rsid w:val="00C91FE9"/>
    <w:rsid w:val="00C92535"/>
    <w:rsid w:val="00C92835"/>
    <w:rsid w:val="00C9284C"/>
    <w:rsid w:val="00C92A30"/>
    <w:rsid w:val="00C92C76"/>
    <w:rsid w:val="00C92DC5"/>
    <w:rsid w:val="00C93210"/>
    <w:rsid w:val="00C93C6B"/>
    <w:rsid w:val="00C93CA4"/>
    <w:rsid w:val="00C93CB0"/>
    <w:rsid w:val="00C93DC7"/>
    <w:rsid w:val="00C93EB1"/>
    <w:rsid w:val="00C940AF"/>
    <w:rsid w:val="00C943EF"/>
    <w:rsid w:val="00C9489F"/>
    <w:rsid w:val="00C94D35"/>
    <w:rsid w:val="00C94E59"/>
    <w:rsid w:val="00C9582A"/>
    <w:rsid w:val="00C95A52"/>
    <w:rsid w:val="00C9661D"/>
    <w:rsid w:val="00C96C71"/>
    <w:rsid w:val="00C97184"/>
    <w:rsid w:val="00C971E0"/>
    <w:rsid w:val="00C973F7"/>
    <w:rsid w:val="00C97829"/>
    <w:rsid w:val="00C97BB3"/>
    <w:rsid w:val="00C97D23"/>
    <w:rsid w:val="00CA05B0"/>
    <w:rsid w:val="00CA05C3"/>
    <w:rsid w:val="00CA0E3A"/>
    <w:rsid w:val="00CA10EB"/>
    <w:rsid w:val="00CA13E4"/>
    <w:rsid w:val="00CA1478"/>
    <w:rsid w:val="00CA173C"/>
    <w:rsid w:val="00CA18E4"/>
    <w:rsid w:val="00CA1ECE"/>
    <w:rsid w:val="00CA26AB"/>
    <w:rsid w:val="00CA2956"/>
    <w:rsid w:val="00CA2DFF"/>
    <w:rsid w:val="00CA2F50"/>
    <w:rsid w:val="00CA3236"/>
    <w:rsid w:val="00CA3471"/>
    <w:rsid w:val="00CA358A"/>
    <w:rsid w:val="00CA3651"/>
    <w:rsid w:val="00CA3685"/>
    <w:rsid w:val="00CA427D"/>
    <w:rsid w:val="00CA47C6"/>
    <w:rsid w:val="00CA5884"/>
    <w:rsid w:val="00CA61FE"/>
    <w:rsid w:val="00CA6F62"/>
    <w:rsid w:val="00CA730E"/>
    <w:rsid w:val="00CA790D"/>
    <w:rsid w:val="00CA7965"/>
    <w:rsid w:val="00CA7F83"/>
    <w:rsid w:val="00CB0BD6"/>
    <w:rsid w:val="00CB0C9B"/>
    <w:rsid w:val="00CB1187"/>
    <w:rsid w:val="00CB1BC5"/>
    <w:rsid w:val="00CB1D5B"/>
    <w:rsid w:val="00CB2616"/>
    <w:rsid w:val="00CB2835"/>
    <w:rsid w:val="00CB2F9F"/>
    <w:rsid w:val="00CB3286"/>
    <w:rsid w:val="00CB3358"/>
    <w:rsid w:val="00CB3F35"/>
    <w:rsid w:val="00CB41C6"/>
    <w:rsid w:val="00CB4438"/>
    <w:rsid w:val="00CB47ED"/>
    <w:rsid w:val="00CB48D3"/>
    <w:rsid w:val="00CB4A77"/>
    <w:rsid w:val="00CB4EE0"/>
    <w:rsid w:val="00CB51D4"/>
    <w:rsid w:val="00CB5456"/>
    <w:rsid w:val="00CB5749"/>
    <w:rsid w:val="00CB586C"/>
    <w:rsid w:val="00CB598B"/>
    <w:rsid w:val="00CB5B00"/>
    <w:rsid w:val="00CB5C99"/>
    <w:rsid w:val="00CB5F63"/>
    <w:rsid w:val="00CB64C2"/>
    <w:rsid w:val="00CB6B7F"/>
    <w:rsid w:val="00CB7050"/>
    <w:rsid w:val="00CB71C7"/>
    <w:rsid w:val="00CB741D"/>
    <w:rsid w:val="00CC0731"/>
    <w:rsid w:val="00CC08EF"/>
    <w:rsid w:val="00CC0A51"/>
    <w:rsid w:val="00CC11B6"/>
    <w:rsid w:val="00CC1FA3"/>
    <w:rsid w:val="00CC2584"/>
    <w:rsid w:val="00CC2C6D"/>
    <w:rsid w:val="00CC2D33"/>
    <w:rsid w:val="00CC2FF0"/>
    <w:rsid w:val="00CC34F2"/>
    <w:rsid w:val="00CC3A7A"/>
    <w:rsid w:val="00CC3C4C"/>
    <w:rsid w:val="00CC3C50"/>
    <w:rsid w:val="00CC3DFC"/>
    <w:rsid w:val="00CC43D5"/>
    <w:rsid w:val="00CC4852"/>
    <w:rsid w:val="00CC4C26"/>
    <w:rsid w:val="00CC4F55"/>
    <w:rsid w:val="00CC55CE"/>
    <w:rsid w:val="00CC5B2E"/>
    <w:rsid w:val="00CC5F1E"/>
    <w:rsid w:val="00CC6224"/>
    <w:rsid w:val="00CC6361"/>
    <w:rsid w:val="00CC6F94"/>
    <w:rsid w:val="00CC7563"/>
    <w:rsid w:val="00CC7885"/>
    <w:rsid w:val="00CD0928"/>
    <w:rsid w:val="00CD0A35"/>
    <w:rsid w:val="00CD129A"/>
    <w:rsid w:val="00CD17B8"/>
    <w:rsid w:val="00CD19B9"/>
    <w:rsid w:val="00CD24AA"/>
    <w:rsid w:val="00CD2764"/>
    <w:rsid w:val="00CD3291"/>
    <w:rsid w:val="00CD3433"/>
    <w:rsid w:val="00CD380E"/>
    <w:rsid w:val="00CD3DB0"/>
    <w:rsid w:val="00CD3E69"/>
    <w:rsid w:val="00CD4373"/>
    <w:rsid w:val="00CD4458"/>
    <w:rsid w:val="00CD4A7B"/>
    <w:rsid w:val="00CD4B4F"/>
    <w:rsid w:val="00CD4C97"/>
    <w:rsid w:val="00CD4CA0"/>
    <w:rsid w:val="00CD4CA8"/>
    <w:rsid w:val="00CD548A"/>
    <w:rsid w:val="00CD59B5"/>
    <w:rsid w:val="00CD5D6B"/>
    <w:rsid w:val="00CD6256"/>
    <w:rsid w:val="00CD6D43"/>
    <w:rsid w:val="00CD6F79"/>
    <w:rsid w:val="00CD774A"/>
    <w:rsid w:val="00CD7AC1"/>
    <w:rsid w:val="00CD7B36"/>
    <w:rsid w:val="00CD7FC7"/>
    <w:rsid w:val="00CD7FD5"/>
    <w:rsid w:val="00CD7FFD"/>
    <w:rsid w:val="00CE0183"/>
    <w:rsid w:val="00CE0273"/>
    <w:rsid w:val="00CE034B"/>
    <w:rsid w:val="00CE0474"/>
    <w:rsid w:val="00CE0713"/>
    <w:rsid w:val="00CE0B98"/>
    <w:rsid w:val="00CE0F05"/>
    <w:rsid w:val="00CE232A"/>
    <w:rsid w:val="00CE2497"/>
    <w:rsid w:val="00CE2740"/>
    <w:rsid w:val="00CE2959"/>
    <w:rsid w:val="00CE2AFF"/>
    <w:rsid w:val="00CE3255"/>
    <w:rsid w:val="00CE3875"/>
    <w:rsid w:val="00CE38D9"/>
    <w:rsid w:val="00CE41D7"/>
    <w:rsid w:val="00CE433C"/>
    <w:rsid w:val="00CE4693"/>
    <w:rsid w:val="00CE4791"/>
    <w:rsid w:val="00CE4852"/>
    <w:rsid w:val="00CE4979"/>
    <w:rsid w:val="00CE518B"/>
    <w:rsid w:val="00CE5749"/>
    <w:rsid w:val="00CE5987"/>
    <w:rsid w:val="00CE5B71"/>
    <w:rsid w:val="00CE5E5E"/>
    <w:rsid w:val="00CE60FB"/>
    <w:rsid w:val="00CE637E"/>
    <w:rsid w:val="00CE6495"/>
    <w:rsid w:val="00CE693D"/>
    <w:rsid w:val="00CE74C9"/>
    <w:rsid w:val="00CE7A2A"/>
    <w:rsid w:val="00CE7B9A"/>
    <w:rsid w:val="00CF00FF"/>
    <w:rsid w:val="00CF0359"/>
    <w:rsid w:val="00CF1208"/>
    <w:rsid w:val="00CF1802"/>
    <w:rsid w:val="00CF192B"/>
    <w:rsid w:val="00CF19EA"/>
    <w:rsid w:val="00CF1C67"/>
    <w:rsid w:val="00CF21F7"/>
    <w:rsid w:val="00CF2534"/>
    <w:rsid w:val="00CF280C"/>
    <w:rsid w:val="00CF2AFC"/>
    <w:rsid w:val="00CF2B80"/>
    <w:rsid w:val="00CF2CD0"/>
    <w:rsid w:val="00CF2CDD"/>
    <w:rsid w:val="00CF2F02"/>
    <w:rsid w:val="00CF3114"/>
    <w:rsid w:val="00CF3534"/>
    <w:rsid w:val="00CF35C0"/>
    <w:rsid w:val="00CF3ECD"/>
    <w:rsid w:val="00CF3F71"/>
    <w:rsid w:val="00CF4020"/>
    <w:rsid w:val="00CF441F"/>
    <w:rsid w:val="00CF466E"/>
    <w:rsid w:val="00CF4952"/>
    <w:rsid w:val="00CF4B21"/>
    <w:rsid w:val="00CF4BF7"/>
    <w:rsid w:val="00CF5A1F"/>
    <w:rsid w:val="00CF5E08"/>
    <w:rsid w:val="00CF672C"/>
    <w:rsid w:val="00CF6BDE"/>
    <w:rsid w:val="00CF70DE"/>
    <w:rsid w:val="00CF7197"/>
    <w:rsid w:val="00CF72AF"/>
    <w:rsid w:val="00CF7468"/>
    <w:rsid w:val="00CF763B"/>
    <w:rsid w:val="00CF7DB2"/>
    <w:rsid w:val="00CF7DF6"/>
    <w:rsid w:val="00CF7EEE"/>
    <w:rsid w:val="00D00A56"/>
    <w:rsid w:val="00D00C23"/>
    <w:rsid w:val="00D00E71"/>
    <w:rsid w:val="00D02284"/>
    <w:rsid w:val="00D026D1"/>
    <w:rsid w:val="00D0298E"/>
    <w:rsid w:val="00D029DB"/>
    <w:rsid w:val="00D03419"/>
    <w:rsid w:val="00D03B4D"/>
    <w:rsid w:val="00D0428E"/>
    <w:rsid w:val="00D047E9"/>
    <w:rsid w:val="00D05E82"/>
    <w:rsid w:val="00D05F4E"/>
    <w:rsid w:val="00D05F91"/>
    <w:rsid w:val="00D06D2C"/>
    <w:rsid w:val="00D0703C"/>
    <w:rsid w:val="00D079B0"/>
    <w:rsid w:val="00D07C66"/>
    <w:rsid w:val="00D07FD6"/>
    <w:rsid w:val="00D1010F"/>
    <w:rsid w:val="00D104C9"/>
    <w:rsid w:val="00D106D8"/>
    <w:rsid w:val="00D1085E"/>
    <w:rsid w:val="00D10B95"/>
    <w:rsid w:val="00D10E25"/>
    <w:rsid w:val="00D10E82"/>
    <w:rsid w:val="00D1111F"/>
    <w:rsid w:val="00D1118C"/>
    <w:rsid w:val="00D11249"/>
    <w:rsid w:val="00D113F2"/>
    <w:rsid w:val="00D117AB"/>
    <w:rsid w:val="00D1180E"/>
    <w:rsid w:val="00D11F03"/>
    <w:rsid w:val="00D121CD"/>
    <w:rsid w:val="00D12FF2"/>
    <w:rsid w:val="00D13082"/>
    <w:rsid w:val="00D134EC"/>
    <w:rsid w:val="00D137AF"/>
    <w:rsid w:val="00D13A2B"/>
    <w:rsid w:val="00D13B17"/>
    <w:rsid w:val="00D13CC3"/>
    <w:rsid w:val="00D13E99"/>
    <w:rsid w:val="00D14082"/>
    <w:rsid w:val="00D1419F"/>
    <w:rsid w:val="00D14D67"/>
    <w:rsid w:val="00D1530B"/>
    <w:rsid w:val="00D15421"/>
    <w:rsid w:val="00D15952"/>
    <w:rsid w:val="00D15BD6"/>
    <w:rsid w:val="00D161BB"/>
    <w:rsid w:val="00D16491"/>
    <w:rsid w:val="00D16602"/>
    <w:rsid w:val="00D16F60"/>
    <w:rsid w:val="00D1713F"/>
    <w:rsid w:val="00D17628"/>
    <w:rsid w:val="00D17694"/>
    <w:rsid w:val="00D176E6"/>
    <w:rsid w:val="00D17A90"/>
    <w:rsid w:val="00D17D63"/>
    <w:rsid w:val="00D200E8"/>
    <w:rsid w:val="00D20E6A"/>
    <w:rsid w:val="00D217AD"/>
    <w:rsid w:val="00D21B99"/>
    <w:rsid w:val="00D21F73"/>
    <w:rsid w:val="00D21FE3"/>
    <w:rsid w:val="00D220CC"/>
    <w:rsid w:val="00D22896"/>
    <w:rsid w:val="00D229F1"/>
    <w:rsid w:val="00D23B9F"/>
    <w:rsid w:val="00D23BDE"/>
    <w:rsid w:val="00D240EC"/>
    <w:rsid w:val="00D2457A"/>
    <w:rsid w:val="00D24A70"/>
    <w:rsid w:val="00D24C43"/>
    <w:rsid w:val="00D24C91"/>
    <w:rsid w:val="00D24D5A"/>
    <w:rsid w:val="00D25FE4"/>
    <w:rsid w:val="00D263BD"/>
    <w:rsid w:val="00D2695A"/>
    <w:rsid w:val="00D26FF5"/>
    <w:rsid w:val="00D27022"/>
    <w:rsid w:val="00D27105"/>
    <w:rsid w:val="00D271A1"/>
    <w:rsid w:val="00D27272"/>
    <w:rsid w:val="00D274B6"/>
    <w:rsid w:val="00D274C7"/>
    <w:rsid w:val="00D276CC"/>
    <w:rsid w:val="00D27D07"/>
    <w:rsid w:val="00D30177"/>
    <w:rsid w:val="00D303A3"/>
    <w:rsid w:val="00D307DE"/>
    <w:rsid w:val="00D31552"/>
    <w:rsid w:val="00D31A1E"/>
    <w:rsid w:val="00D31C3F"/>
    <w:rsid w:val="00D3228B"/>
    <w:rsid w:val="00D32366"/>
    <w:rsid w:val="00D32532"/>
    <w:rsid w:val="00D326E7"/>
    <w:rsid w:val="00D328C0"/>
    <w:rsid w:val="00D32BB4"/>
    <w:rsid w:val="00D32C5B"/>
    <w:rsid w:val="00D32C6B"/>
    <w:rsid w:val="00D33089"/>
    <w:rsid w:val="00D33EF4"/>
    <w:rsid w:val="00D34676"/>
    <w:rsid w:val="00D34A9A"/>
    <w:rsid w:val="00D34ADF"/>
    <w:rsid w:val="00D34C81"/>
    <w:rsid w:val="00D35689"/>
    <w:rsid w:val="00D35916"/>
    <w:rsid w:val="00D35C28"/>
    <w:rsid w:val="00D35DC9"/>
    <w:rsid w:val="00D363C3"/>
    <w:rsid w:val="00D368A0"/>
    <w:rsid w:val="00D37088"/>
    <w:rsid w:val="00D374C7"/>
    <w:rsid w:val="00D40073"/>
    <w:rsid w:val="00D4008C"/>
    <w:rsid w:val="00D40A0E"/>
    <w:rsid w:val="00D40D44"/>
    <w:rsid w:val="00D41410"/>
    <w:rsid w:val="00D419FF"/>
    <w:rsid w:val="00D41BC7"/>
    <w:rsid w:val="00D41CA3"/>
    <w:rsid w:val="00D41FCA"/>
    <w:rsid w:val="00D4213B"/>
    <w:rsid w:val="00D429BB"/>
    <w:rsid w:val="00D42EEF"/>
    <w:rsid w:val="00D42F6D"/>
    <w:rsid w:val="00D43797"/>
    <w:rsid w:val="00D439D8"/>
    <w:rsid w:val="00D43B4A"/>
    <w:rsid w:val="00D43DD0"/>
    <w:rsid w:val="00D43FCE"/>
    <w:rsid w:val="00D4451F"/>
    <w:rsid w:val="00D44A0D"/>
    <w:rsid w:val="00D44AED"/>
    <w:rsid w:val="00D44BA9"/>
    <w:rsid w:val="00D44D30"/>
    <w:rsid w:val="00D45484"/>
    <w:rsid w:val="00D455A8"/>
    <w:rsid w:val="00D4584A"/>
    <w:rsid w:val="00D45A5C"/>
    <w:rsid w:val="00D45BE0"/>
    <w:rsid w:val="00D4633F"/>
    <w:rsid w:val="00D46BB8"/>
    <w:rsid w:val="00D46C13"/>
    <w:rsid w:val="00D47849"/>
    <w:rsid w:val="00D47A80"/>
    <w:rsid w:val="00D47DDE"/>
    <w:rsid w:val="00D47FC5"/>
    <w:rsid w:val="00D50527"/>
    <w:rsid w:val="00D50ECF"/>
    <w:rsid w:val="00D50F4D"/>
    <w:rsid w:val="00D51121"/>
    <w:rsid w:val="00D51215"/>
    <w:rsid w:val="00D513F0"/>
    <w:rsid w:val="00D51C43"/>
    <w:rsid w:val="00D51C7E"/>
    <w:rsid w:val="00D52236"/>
    <w:rsid w:val="00D52460"/>
    <w:rsid w:val="00D52751"/>
    <w:rsid w:val="00D528C8"/>
    <w:rsid w:val="00D52BB0"/>
    <w:rsid w:val="00D52BD6"/>
    <w:rsid w:val="00D52FB5"/>
    <w:rsid w:val="00D5346A"/>
    <w:rsid w:val="00D53630"/>
    <w:rsid w:val="00D536DE"/>
    <w:rsid w:val="00D53C49"/>
    <w:rsid w:val="00D53CA4"/>
    <w:rsid w:val="00D53DE5"/>
    <w:rsid w:val="00D542D2"/>
    <w:rsid w:val="00D54361"/>
    <w:rsid w:val="00D54363"/>
    <w:rsid w:val="00D54506"/>
    <w:rsid w:val="00D547EA"/>
    <w:rsid w:val="00D55028"/>
    <w:rsid w:val="00D55231"/>
    <w:rsid w:val="00D5525A"/>
    <w:rsid w:val="00D55B30"/>
    <w:rsid w:val="00D55D1E"/>
    <w:rsid w:val="00D55D2B"/>
    <w:rsid w:val="00D568D9"/>
    <w:rsid w:val="00D57EDE"/>
    <w:rsid w:val="00D60187"/>
    <w:rsid w:val="00D6025C"/>
    <w:rsid w:val="00D604ED"/>
    <w:rsid w:val="00D609DF"/>
    <w:rsid w:val="00D60DB7"/>
    <w:rsid w:val="00D613A0"/>
    <w:rsid w:val="00D614B5"/>
    <w:rsid w:val="00D617A7"/>
    <w:rsid w:val="00D61CFB"/>
    <w:rsid w:val="00D61FD6"/>
    <w:rsid w:val="00D62199"/>
    <w:rsid w:val="00D625A7"/>
    <w:rsid w:val="00D62A14"/>
    <w:rsid w:val="00D62B6B"/>
    <w:rsid w:val="00D6301E"/>
    <w:rsid w:val="00D637CA"/>
    <w:rsid w:val="00D63BC9"/>
    <w:rsid w:val="00D63DF8"/>
    <w:rsid w:val="00D63F70"/>
    <w:rsid w:val="00D643F8"/>
    <w:rsid w:val="00D64676"/>
    <w:rsid w:val="00D65071"/>
    <w:rsid w:val="00D650AD"/>
    <w:rsid w:val="00D65341"/>
    <w:rsid w:val="00D655A4"/>
    <w:rsid w:val="00D656BE"/>
    <w:rsid w:val="00D658F4"/>
    <w:rsid w:val="00D667CD"/>
    <w:rsid w:val="00D66921"/>
    <w:rsid w:val="00D66CBE"/>
    <w:rsid w:val="00D66D2C"/>
    <w:rsid w:val="00D67258"/>
    <w:rsid w:val="00D67AA4"/>
    <w:rsid w:val="00D701CA"/>
    <w:rsid w:val="00D70EEE"/>
    <w:rsid w:val="00D71329"/>
    <w:rsid w:val="00D719C3"/>
    <w:rsid w:val="00D71D84"/>
    <w:rsid w:val="00D71DB6"/>
    <w:rsid w:val="00D71E35"/>
    <w:rsid w:val="00D72339"/>
    <w:rsid w:val="00D727A7"/>
    <w:rsid w:val="00D729F8"/>
    <w:rsid w:val="00D72C81"/>
    <w:rsid w:val="00D72EF0"/>
    <w:rsid w:val="00D72F44"/>
    <w:rsid w:val="00D732D2"/>
    <w:rsid w:val="00D73CE7"/>
    <w:rsid w:val="00D73DC0"/>
    <w:rsid w:val="00D73DD1"/>
    <w:rsid w:val="00D749AD"/>
    <w:rsid w:val="00D74F64"/>
    <w:rsid w:val="00D75A10"/>
    <w:rsid w:val="00D75C55"/>
    <w:rsid w:val="00D76907"/>
    <w:rsid w:val="00D769B7"/>
    <w:rsid w:val="00D76A05"/>
    <w:rsid w:val="00D76B07"/>
    <w:rsid w:val="00D7724B"/>
    <w:rsid w:val="00D77403"/>
    <w:rsid w:val="00D777B3"/>
    <w:rsid w:val="00D77B0E"/>
    <w:rsid w:val="00D80B08"/>
    <w:rsid w:val="00D80C84"/>
    <w:rsid w:val="00D811E3"/>
    <w:rsid w:val="00D81222"/>
    <w:rsid w:val="00D81317"/>
    <w:rsid w:val="00D81502"/>
    <w:rsid w:val="00D81751"/>
    <w:rsid w:val="00D81775"/>
    <w:rsid w:val="00D819D1"/>
    <w:rsid w:val="00D81CA3"/>
    <w:rsid w:val="00D81D44"/>
    <w:rsid w:val="00D81DBC"/>
    <w:rsid w:val="00D81E04"/>
    <w:rsid w:val="00D81F5A"/>
    <w:rsid w:val="00D81FB9"/>
    <w:rsid w:val="00D821D6"/>
    <w:rsid w:val="00D82248"/>
    <w:rsid w:val="00D83229"/>
    <w:rsid w:val="00D834FA"/>
    <w:rsid w:val="00D83555"/>
    <w:rsid w:val="00D845E6"/>
    <w:rsid w:val="00D84A46"/>
    <w:rsid w:val="00D84B79"/>
    <w:rsid w:val="00D85131"/>
    <w:rsid w:val="00D8573B"/>
    <w:rsid w:val="00D8589A"/>
    <w:rsid w:val="00D85E0B"/>
    <w:rsid w:val="00D860F5"/>
    <w:rsid w:val="00D861D3"/>
    <w:rsid w:val="00D8623D"/>
    <w:rsid w:val="00D869A5"/>
    <w:rsid w:val="00D87054"/>
    <w:rsid w:val="00D872A8"/>
    <w:rsid w:val="00D87533"/>
    <w:rsid w:val="00D877A2"/>
    <w:rsid w:val="00D877D9"/>
    <w:rsid w:val="00D878B2"/>
    <w:rsid w:val="00D901DA"/>
    <w:rsid w:val="00D9041E"/>
    <w:rsid w:val="00D9088E"/>
    <w:rsid w:val="00D909D1"/>
    <w:rsid w:val="00D90CDC"/>
    <w:rsid w:val="00D90D23"/>
    <w:rsid w:val="00D91516"/>
    <w:rsid w:val="00D9182A"/>
    <w:rsid w:val="00D91AEC"/>
    <w:rsid w:val="00D91C4C"/>
    <w:rsid w:val="00D92175"/>
    <w:rsid w:val="00D924C2"/>
    <w:rsid w:val="00D92927"/>
    <w:rsid w:val="00D92D70"/>
    <w:rsid w:val="00D92EEB"/>
    <w:rsid w:val="00D936C8"/>
    <w:rsid w:val="00D93C78"/>
    <w:rsid w:val="00D93D8C"/>
    <w:rsid w:val="00D93EC3"/>
    <w:rsid w:val="00D94169"/>
    <w:rsid w:val="00D94354"/>
    <w:rsid w:val="00D9476A"/>
    <w:rsid w:val="00D94B71"/>
    <w:rsid w:val="00D94E16"/>
    <w:rsid w:val="00D956B3"/>
    <w:rsid w:val="00D95777"/>
    <w:rsid w:val="00D96086"/>
    <w:rsid w:val="00D9618B"/>
    <w:rsid w:val="00D961BF"/>
    <w:rsid w:val="00D96553"/>
    <w:rsid w:val="00D96559"/>
    <w:rsid w:val="00D96A88"/>
    <w:rsid w:val="00D96EA0"/>
    <w:rsid w:val="00D97441"/>
    <w:rsid w:val="00D97C60"/>
    <w:rsid w:val="00DA07B7"/>
    <w:rsid w:val="00DA0F82"/>
    <w:rsid w:val="00DA1328"/>
    <w:rsid w:val="00DA1A09"/>
    <w:rsid w:val="00DA1BEF"/>
    <w:rsid w:val="00DA200D"/>
    <w:rsid w:val="00DA2137"/>
    <w:rsid w:val="00DA25A1"/>
    <w:rsid w:val="00DA2AAD"/>
    <w:rsid w:val="00DA2CB4"/>
    <w:rsid w:val="00DA32C2"/>
    <w:rsid w:val="00DA35F9"/>
    <w:rsid w:val="00DA364F"/>
    <w:rsid w:val="00DA398F"/>
    <w:rsid w:val="00DA3B86"/>
    <w:rsid w:val="00DA3BE3"/>
    <w:rsid w:val="00DA3C38"/>
    <w:rsid w:val="00DA3D2A"/>
    <w:rsid w:val="00DA4350"/>
    <w:rsid w:val="00DA48E6"/>
    <w:rsid w:val="00DA4921"/>
    <w:rsid w:val="00DA4BEA"/>
    <w:rsid w:val="00DA4E34"/>
    <w:rsid w:val="00DA5387"/>
    <w:rsid w:val="00DA5E11"/>
    <w:rsid w:val="00DA600B"/>
    <w:rsid w:val="00DA6421"/>
    <w:rsid w:val="00DA65A9"/>
    <w:rsid w:val="00DA6C65"/>
    <w:rsid w:val="00DA723B"/>
    <w:rsid w:val="00DA79DB"/>
    <w:rsid w:val="00DA7E68"/>
    <w:rsid w:val="00DA7F76"/>
    <w:rsid w:val="00DB0FBA"/>
    <w:rsid w:val="00DB1775"/>
    <w:rsid w:val="00DB1BCF"/>
    <w:rsid w:val="00DB1CB1"/>
    <w:rsid w:val="00DB1CD1"/>
    <w:rsid w:val="00DB2121"/>
    <w:rsid w:val="00DB22CB"/>
    <w:rsid w:val="00DB2839"/>
    <w:rsid w:val="00DB2872"/>
    <w:rsid w:val="00DB2885"/>
    <w:rsid w:val="00DB2D33"/>
    <w:rsid w:val="00DB2FEE"/>
    <w:rsid w:val="00DB3067"/>
    <w:rsid w:val="00DB3CF1"/>
    <w:rsid w:val="00DB4359"/>
    <w:rsid w:val="00DB4D59"/>
    <w:rsid w:val="00DB4D7F"/>
    <w:rsid w:val="00DB4DE1"/>
    <w:rsid w:val="00DB58D1"/>
    <w:rsid w:val="00DB6086"/>
    <w:rsid w:val="00DB639E"/>
    <w:rsid w:val="00DB6E11"/>
    <w:rsid w:val="00DB6E87"/>
    <w:rsid w:val="00DB6EDD"/>
    <w:rsid w:val="00DB7094"/>
    <w:rsid w:val="00DB7A02"/>
    <w:rsid w:val="00DC01FC"/>
    <w:rsid w:val="00DC052C"/>
    <w:rsid w:val="00DC0C29"/>
    <w:rsid w:val="00DC0C63"/>
    <w:rsid w:val="00DC1543"/>
    <w:rsid w:val="00DC155C"/>
    <w:rsid w:val="00DC156A"/>
    <w:rsid w:val="00DC1E04"/>
    <w:rsid w:val="00DC2052"/>
    <w:rsid w:val="00DC2108"/>
    <w:rsid w:val="00DC2EF2"/>
    <w:rsid w:val="00DC3082"/>
    <w:rsid w:val="00DC31E2"/>
    <w:rsid w:val="00DC331E"/>
    <w:rsid w:val="00DC35FA"/>
    <w:rsid w:val="00DC36EF"/>
    <w:rsid w:val="00DC37DD"/>
    <w:rsid w:val="00DC3D5D"/>
    <w:rsid w:val="00DC459A"/>
    <w:rsid w:val="00DC494B"/>
    <w:rsid w:val="00DC4B32"/>
    <w:rsid w:val="00DC4B8E"/>
    <w:rsid w:val="00DC521F"/>
    <w:rsid w:val="00DC5811"/>
    <w:rsid w:val="00DC59A3"/>
    <w:rsid w:val="00DC5A7C"/>
    <w:rsid w:val="00DC6162"/>
    <w:rsid w:val="00DC625F"/>
    <w:rsid w:val="00DC6350"/>
    <w:rsid w:val="00DC6F7A"/>
    <w:rsid w:val="00DC70F6"/>
    <w:rsid w:val="00DC799F"/>
    <w:rsid w:val="00DC7CFF"/>
    <w:rsid w:val="00DC7DB1"/>
    <w:rsid w:val="00DC7DD1"/>
    <w:rsid w:val="00DC7EF5"/>
    <w:rsid w:val="00DD000E"/>
    <w:rsid w:val="00DD0172"/>
    <w:rsid w:val="00DD0229"/>
    <w:rsid w:val="00DD03F7"/>
    <w:rsid w:val="00DD068F"/>
    <w:rsid w:val="00DD0706"/>
    <w:rsid w:val="00DD0A73"/>
    <w:rsid w:val="00DD0F83"/>
    <w:rsid w:val="00DD1664"/>
    <w:rsid w:val="00DD1C24"/>
    <w:rsid w:val="00DD2B18"/>
    <w:rsid w:val="00DD2F13"/>
    <w:rsid w:val="00DD3492"/>
    <w:rsid w:val="00DD380F"/>
    <w:rsid w:val="00DD3BB0"/>
    <w:rsid w:val="00DD4030"/>
    <w:rsid w:val="00DD414F"/>
    <w:rsid w:val="00DD4BB6"/>
    <w:rsid w:val="00DD4DFF"/>
    <w:rsid w:val="00DD55EB"/>
    <w:rsid w:val="00DD56C2"/>
    <w:rsid w:val="00DD58C4"/>
    <w:rsid w:val="00DD58DF"/>
    <w:rsid w:val="00DD6380"/>
    <w:rsid w:val="00DD682C"/>
    <w:rsid w:val="00DD6C93"/>
    <w:rsid w:val="00DD6CC4"/>
    <w:rsid w:val="00DD7044"/>
    <w:rsid w:val="00DD70ED"/>
    <w:rsid w:val="00DD792B"/>
    <w:rsid w:val="00DE0532"/>
    <w:rsid w:val="00DE0EE9"/>
    <w:rsid w:val="00DE0F58"/>
    <w:rsid w:val="00DE12DD"/>
    <w:rsid w:val="00DE151F"/>
    <w:rsid w:val="00DE1C65"/>
    <w:rsid w:val="00DE22DA"/>
    <w:rsid w:val="00DE287B"/>
    <w:rsid w:val="00DE350E"/>
    <w:rsid w:val="00DE3663"/>
    <w:rsid w:val="00DE37D6"/>
    <w:rsid w:val="00DE3B98"/>
    <w:rsid w:val="00DE3BD4"/>
    <w:rsid w:val="00DE4783"/>
    <w:rsid w:val="00DE5162"/>
    <w:rsid w:val="00DE5445"/>
    <w:rsid w:val="00DE5625"/>
    <w:rsid w:val="00DE59A3"/>
    <w:rsid w:val="00DE5EEF"/>
    <w:rsid w:val="00DE6391"/>
    <w:rsid w:val="00DE68B2"/>
    <w:rsid w:val="00DE72A3"/>
    <w:rsid w:val="00DE737C"/>
    <w:rsid w:val="00DE7B7E"/>
    <w:rsid w:val="00DE7FBE"/>
    <w:rsid w:val="00DF033E"/>
    <w:rsid w:val="00DF03D3"/>
    <w:rsid w:val="00DF0601"/>
    <w:rsid w:val="00DF0817"/>
    <w:rsid w:val="00DF0866"/>
    <w:rsid w:val="00DF0923"/>
    <w:rsid w:val="00DF0BE3"/>
    <w:rsid w:val="00DF0C49"/>
    <w:rsid w:val="00DF1B6D"/>
    <w:rsid w:val="00DF22DF"/>
    <w:rsid w:val="00DF2372"/>
    <w:rsid w:val="00DF25E7"/>
    <w:rsid w:val="00DF2888"/>
    <w:rsid w:val="00DF28C5"/>
    <w:rsid w:val="00DF2CDB"/>
    <w:rsid w:val="00DF2F93"/>
    <w:rsid w:val="00DF34B1"/>
    <w:rsid w:val="00DF3CBA"/>
    <w:rsid w:val="00DF417D"/>
    <w:rsid w:val="00DF42CC"/>
    <w:rsid w:val="00DF445B"/>
    <w:rsid w:val="00DF45C2"/>
    <w:rsid w:val="00DF5082"/>
    <w:rsid w:val="00DF50A1"/>
    <w:rsid w:val="00DF52EA"/>
    <w:rsid w:val="00DF5759"/>
    <w:rsid w:val="00DF5F0B"/>
    <w:rsid w:val="00DF633F"/>
    <w:rsid w:val="00DF7311"/>
    <w:rsid w:val="00DF7536"/>
    <w:rsid w:val="00DF773B"/>
    <w:rsid w:val="00DF78DD"/>
    <w:rsid w:val="00DF7D50"/>
    <w:rsid w:val="00DF7EAC"/>
    <w:rsid w:val="00E01083"/>
    <w:rsid w:val="00E01638"/>
    <w:rsid w:val="00E01A2D"/>
    <w:rsid w:val="00E01A6B"/>
    <w:rsid w:val="00E01D1E"/>
    <w:rsid w:val="00E01DAC"/>
    <w:rsid w:val="00E01EF8"/>
    <w:rsid w:val="00E023E1"/>
    <w:rsid w:val="00E02487"/>
    <w:rsid w:val="00E02776"/>
    <w:rsid w:val="00E03370"/>
    <w:rsid w:val="00E03613"/>
    <w:rsid w:val="00E03632"/>
    <w:rsid w:val="00E037ED"/>
    <w:rsid w:val="00E0380B"/>
    <w:rsid w:val="00E039EA"/>
    <w:rsid w:val="00E03FAA"/>
    <w:rsid w:val="00E041BC"/>
    <w:rsid w:val="00E041F1"/>
    <w:rsid w:val="00E049E7"/>
    <w:rsid w:val="00E04A8D"/>
    <w:rsid w:val="00E055D2"/>
    <w:rsid w:val="00E05D92"/>
    <w:rsid w:val="00E05F39"/>
    <w:rsid w:val="00E05FE3"/>
    <w:rsid w:val="00E060AD"/>
    <w:rsid w:val="00E06705"/>
    <w:rsid w:val="00E06C32"/>
    <w:rsid w:val="00E0788B"/>
    <w:rsid w:val="00E10136"/>
    <w:rsid w:val="00E101B8"/>
    <w:rsid w:val="00E1025F"/>
    <w:rsid w:val="00E102A0"/>
    <w:rsid w:val="00E1068F"/>
    <w:rsid w:val="00E10D18"/>
    <w:rsid w:val="00E110CC"/>
    <w:rsid w:val="00E111B7"/>
    <w:rsid w:val="00E112D0"/>
    <w:rsid w:val="00E11638"/>
    <w:rsid w:val="00E11CAB"/>
    <w:rsid w:val="00E127B2"/>
    <w:rsid w:val="00E12964"/>
    <w:rsid w:val="00E12CEA"/>
    <w:rsid w:val="00E13105"/>
    <w:rsid w:val="00E132B9"/>
    <w:rsid w:val="00E13470"/>
    <w:rsid w:val="00E134B4"/>
    <w:rsid w:val="00E13914"/>
    <w:rsid w:val="00E13A9A"/>
    <w:rsid w:val="00E14123"/>
    <w:rsid w:val="00E142C2"/>
    <w:rsid w:val="00E14539"/>
    <w:rsid w:val="00E1475F"/>
    <w:rsid w:val="00E1479E"/>
    <w:rsid w:val="00E14B1D"/>
    <w:rsid w:val="00E14BA8"/>
    <w:rsid w:val="00E15044"/>
    <w:rsid w:val="00E1540A"/>
    <w:rsid w:val="00E15463"/>
    <w:rsid w:val="00E16429"/>
    <w:rsid w:val="00E16485"/>
    <w:rsid w:val="00E164AE"/>
    <w:rsid w:val="00E16751"/>
    <w:rsid w:val="00E169CF"/>
    <w:rsid w:val="00E16ACF"/>
    <w:rsid w:val="00E16AE1"/>
    <w:rsid w:val="00E16E0F"/>
    <w:rsid w:val="00E17814"/>
    <w:rsid w:val="00E1791E"/>
    <w:rsid w:val="00E17A8A"/>
    <w:rsid w:val="00E17FF9"/>
    <w:rsid w:val="00E200CA"/>
    <w:rsid w:val="00E20377"/>
    <w:rsid w:val="00E2049D"/>
    <w:rsid w:val="00E2077B"/>
    <w:rsid w:val="00E209EE"/>
    <w:rsid w:val="00E2160B"/>
    <w:rsid w:val="00E21DAE"/>
    <w:rsid w:val="00E2200A"/>
    <w:rsid w:val="00E22BC7"/>
    <w:rsid w:val="00E22BEA"/>
    <w:rsid w:val="00E22C39"/>
    <w:rsid w:val="00E22F21"/>
    <w:rsid w:val="00E22FCD"/>
    <w:rsid w:val="00E23304"/>
    <w:rsid w:val="00E2348F"/>
    <w:rsid w:val="00E23B5C"/>
    <w:rsid w:val="00E23F30"/>
    <w:rsid w:val="00E2425D"/>
    <w:rsid w:val="00E2445A"/>
    <w:rsid w:val="00E244F5"/>
    <w:rsid w:val="00E24636"/>
    <w:rsid w:val="00E24B38"/>
    <w:rsid w:val="00E24BC0"/>
    <w:rsid w:val="00E25087"/>
    <w:rsid w:val="00E2511A"/>
    <w:rsid w:val="00E251E1"/>
    <w:rsid w:val="00E25317"/>
    <w:rsid w:val="00E25F54"/>
    <w:rsid w:val="00E2614B"/>
    <w:rsid w:val="00E2653B"/>
    <w:rsid w:val="00E26621"/>
    <w:rsid w:val="00E27750"/>
    <w:rsid w:val="00E27F5C"/>
    <w:rsid w:val="00E30BA8"/>
    <w:rsid w:val="00E3106D"/>
    <w:rsid w:val="00E314DA"/>
    <w:rsid w:val="00E31701"/>
    <w:rsid w:val="00E31DCE"/>
    <w:rsid w:val="00E33825"/>
    <w:rsid w:val="00E339F5"/>
    <w:rsid w:val="00E33D3E"/>
    <w:rsid w:val="00E34222"/>
    <w:rsid w:val="00E34860"/>
    <w:rsid w:val="00E34C24"/>
    <w:rsid w:val="00E34E38"/>
    <w:rsid w:val="00E3538F"/>
    <w:rsid w:val="00E35514"/>
    <w:rsid w:val="00E35778"/>
    <w:rsid w:val="00E3582C"/>
    <w:rsid w:val="00E35B03"/>
    <w:rsid w:val="00E35BA4"/>
    <w:rsid w:val="00E3620B"/>
    <w:rsid w:val="00E36272"/>
    <w:rsid w:val="00E36482"/>
    <w:rsid w:val="00E366AD"/>
    <w:rsid w:val="00E3688F"/>
    <w:rsid w:val="00E36CF6"/>
    <w:rsid w:val="00E36F11"/>
    <w:rsid w:val="00E371E8"/>
    <w:rsid w:val="00E376FA"/>
    <w:rsid w:val="00E37B89"/>
    <w:rsid w:val="00E37BA6"/>
    <w:rsid w:val="00E4001E"/>
    <w:rsid w:val="00E4017C"/>
    <w:rsid w:val="00E404CF"/>
    <w:rsid w:val="00E407C2"/>
    <w:rsid w:val="00E40D85"/>
    <w:rsid w:val="00E4104F"/>
    <w:rsid w:val="00E41146"/>
    <w:rsid w:val="00E4148F"/>
    <w:rsid w:val="00E41754"/>
    <w:rsid w:val="00E41EF1"/>
    <w:rsid w:val="00E4231E"/>
    <w:rsid w:val="00E429AE"/>
    <w:rsid w:val="00E42D01"/>
    <w:rsid w:val="00E42E1E"/>
    <w:rsid w:val="00E431FF"/>
    <w:rsid w:val="00E43290"/>
    <w:rsid w:val="00E43398"/>
    <w:rsid w:val="00E43A2B"/>
    <w:rsid w:val="00E43D58"/>
    <w:rsid w:val="00E43E7E"/>
    <w:rsid w:val="00E43E89"/>
    <w:rsid w:val="00E43FA7"/>
    <w:rsid w:val="00E4442A"/>
    <w:rsid w:val="00E44518"/>
    <w:rsid w:val="00E4489C"/>
    <w:rsid w:val="00E44B11"/>
    <w:rsid w:val="00E44C8C"/>
    <w:rsid w:val="00E450B6"/>
    <w:rsid w:val="00E455A3"/>
    <w:rsid w:val="00E456BC"/>
    <w:rsid w:val="00E456F0"/>
    <w:rsid w:val="00E4587D"/>
    <w:rsid w:val="00E45C30"/>
    <w:rsid w:val="00E45C44"/>
    <w:rsid w:val="00E46452"/>
    <w:rsid w:val="00E46A8F"/>
    <w:rsid w:val="00E46ADA"/>
    <w:rsid w:val="00E46FAA"/>
    <w:rsid w:val="00E4724D"/>
    <w:rsid w:val="00E47774"/>
    <w:rsid w:val="00E47C26"/>
    <w:rsid w:val="00E47F06"/>
    <w:rsid w:val="00E47FD4"/>
    <w:rsid w:val="00E502AC"/>
    <w:rsid w:val="00E50315"/>
    <w:rsid w:val="00E50523"/>
    <w:rsid w:val="00E50560"/>
    <w:rsid w:val="00E50CE2"/>
    <w:rsid w:val="00E5127B"/>
    <w:rsid w:val="00E513FF"/>
    <w:rsid w:val="00E5165F"/>
    <w:rsid w:val="00E51ABA"/>
    <w:rsid w:val="00E51C39"/>
    <w:rsid w:val="00E51DE8"/>
    <w:rsid w:val="00E51F65"/>
    <w:rsid w:val="00E520BB"/>
    <w:rsid w:val="00E5217C"/>
    <w:rsid w:val="00E525CB"/>
    <w:rsid w:val="00E53E0C"/>
    <w:rsid w:val="00E5402F"/>
    <w:rsid w:val="00E543FB"/>
    <w:rsid w:val="00E546ED"/>
    <w:rsid w:val="00E54968"/>
    <w:rsid w:val="00E54EE4"/>
    <w:rsid w:val="00E54F40"/>
    <w:rsid w:val="00E553B1"/>
    <w:rsid w:val="00E55A06"/>
    <w:rsid w:val="00E55A7C"/>
    <w:rsid w:val="00E55C4A"/>
    <w:rsid w:val="00E56193"/>
    <w:rsid w:val="00E5644D"/>
    <w:rsid w:val="00E565A9"/>
    <w:rsid w:val="00E566B6"/>
    <w:rsid w:val="00E57839"/>
    <w:rsid w:val="00E578AC"/>
    <w:rsid w:val="00E57B62"/>
    <w:rsid w:val="00E57BC1"/>
    <w:rsid w:val="00E603CD"/>
    <w:rsid w:val="00E60469"/>
    <w:rsid w:val="00E606B3"/>
    <w:rsid w:val="00E60AB8"/>
    <w:rsid w:val="00E60D1A"/>
    <w:rsid w:val="00E6100B"/>
    <w:rsid w:val="00E6138A"/>
    <w:rsid w:val="00E61862"/>
    <w:rsid w:val="00E61A9A"/>
    <w:rsid w:val="00E61AF6"/>
    <w:rsid w:val="00E61EA3"/>
    <w:rsid w:val="00E61F25"/>
    <w:rsid w:val="00E621C7"/>
    <w:rsid w:val="00E62384"/>
    <w:rsid w:val="00E6242E"/>
    <w:rsid w:val="00E62673"/>
    <w:rsid w:val="00E6286D"/>
    <w:rsid w:val="00E62891"/>
    <w:rsid w:val="00E62E06"/>
    <w:rsid w:val="00E635F2"/>
    <w:rsid w:val="00E639A0"/>
    <w:rsid w:val="00E63CCE"/>
    <w:rsid w:val="00E63FB5"/>
    <w:rsid w:val="00E64100"/>
    <w:rsid w:val="00E642C3"/>
    <w:rsid w:val="00E642FB"/>
    <w:rsid w:val="00E64548"/>
    <w:rsid w:val="00E6461E"/>
    <w:rsid w:val="00E647C7"/>
    <w:rsid w:val="00E64951"/>
    <w:rsid w:val="00E64AB1"/>
    <w:rsid w:val="00E65447"/>
    <w:rsid w:val="00E66110"/>
    <w:rsid w:val="00E6622F"/>
    <w:rsid w:val="00E66B5F"/>
    <w:rsid w:val="00E66BCD"/>
    <w:rsid w:val="00E671B4"/>
    <w:rsid w:val="00E672EB"/>
    <w:rsid w:val="00E67E01"/>
    <w:rsid w:val="00E67EF0"/>
    <w:rsid w:val="00E702A2"/>
    <w:rsid w:val="00E7044C"/>
    <w:rsid w:val="00E704EF"/>
    <w:rsid w:val="00E70949"/>
    <w:rsid w:val="00E70B26"/>
    <w:rsid w:val="00E71120"/>
    <w:rsid w:val="00E71176"/>
    <w:rsid w:val="00E714D4"/>
    <w:rsid w:val="00E71667"/>
    <w:rsid w:val="00E7191D"/>
    <w:rsid w:val="00E719CD"/>
    <w:rsid w:val="00E71B0F"/>
    <w:rsid w:val="00E72321"/>
    <w:rsid w:val="00E727E4"/>
    <w:rsid w:val="00E7282F"/>
    <w:rsid w:val="00E729D2"/>
    <w:rsid w:val="00E72B0F"/>
    <w:rsid w:val="00E73204"/>
    <w:rsid w:val="00E7384C"/>
    <w:rsid w:val="00E73B58"/>
    <w:rsid w:val="00E7400C"/>
    <w:rsid w:val="00E744CA"/>
    <w:rsid w:val="00E74736"/>
    <w:rsid w:val="00E74970"/>
    <w:rsid w:val="00E74C89"/>
    <w:rsid w:val="00E74FDA"/>
    <w:rsid w:val="00E75219"/>
    <w:rsid w:val="00E753ED"/>
    <w:rsid w:val="00E759B8"/>
    <w:rsid w:val="00E75C47"/>
    <w:rsid w:val="00E75DB1"/>
    <w:rsid w:val="00E766A0"/>
    <w:rsid w:val="00E76890"/>
    <w:rsid w:val="00E76F50"/>
    <w:rsid w:val="00E77736"/>
    <w:rsid w:val="00E77B8D"/>
    <w:rsid w:val="00E8029E"/>
    <w:rsid w:val="00E8051B"/>
    <w:rsid w:val="00E80A3E"/>
    <w:rsid w:val="00E813B5"/>
    <w:rsid w:val="00E8195D"/>
    <w:rsid w:val="00E81998"/>
    <w:rsid w:val="00E81AB5"/>
    <w:rsid w:val="00E81D0C"/>
    <w:rsid w:val="00E8241D"/>
    <w:rsid w:val="00E82C6D"/>
    <w:rsid w:val="00E82E48"/>
    <w:rsid w:val="00E8322C"/>
    <w:rsid w:val="00E8368C"/>
    <w:rsid w:val="00E83C47"/>
    <w:rsid w:val="00E83CB1"/>
    <w:rsid w:val="00E83CCB"/>
    <w:rsid w:val="00E84131"/>
    <w:rsid w:val="00E84924"/>
    <w:rsid w:val="00E84AA7"/>
    <w:rsid w:val="00E85713"/>
    <w:rsid w:val="00E85879"/>
    <w:rsid w:val="00E859E4"/>
    <w:rsid w:val="00E85A1E"/>
    <w:rsid w:val="00E85E90"/>
    <w:rsid w:val="00E864A6"/>
    <w:rsid w:val="00E86593"/>
    <w:rsid w:val="00E86880"/>
    <w:rsid w:val="00E86B25"/>
    <w:rsid w:val="00E87A52"/>
    <w:rsid w:val="00E87D03"/>
    <w:rsid w:val="00E87F3A"/>
    <w:rsid w:val="00E902D3"/>
    <w:rsid w:val="00E90453"/>
    <w:rsid w:val="00E90564"/>
    <w:rsid w:val="00E90838"/>
    <w:rsid w:val="00E90872"/>
    <w:rsid w:val="00E90BA1"/>
    <w:rsid w:val="00E90E28"/>
    <w:rsid w:val="00E90E7D"/>
    <w:rsid w:val="00E9241A"/>
    <w:rsid w:val="00E92693"/>
    <w:rsid w:val="00E92A1C"/>
    <w:rsid w:val="00E937AE"/>
    <w:rsid w:val="00E93F02"/>
    <w:rsid w:val="00E94487"/>
    <w:rsid w:val="00E944FD"/>
    <w:rsid w:val="00E94909"/>
    <w:rsid w:val="00E94D13"/>
    <w:rsid w:val="00E95443"/>
    <w:rsid w:val="00E95F9A"/>
    <w:rsid w:val="00E9610F"/>
    <w:rsid w:val="00E9622E"/>
    <w:rsid w:val="00E9633A"/>
    <w:rsid w:val="00E96C0B"/>
    <w:rsid w:val="00E96CF5"/>
    <w:rsid w:val="00E96CF8"/>
    <w:rsid w:val="00E96F1B"/>
    <w:rsid w:val="00E973F6"/>
    <w:rsid w:val="00E9757A"/>
    <w:rsid w:val="00E97886"/>
    <w:rsid w:val="00E9796D"/>
    <w:rsid w:val="00E9799A"/>
    <w:rsid w:val="00E97B72"/>
    <w:rsid w:val="00E97BB5"/>
    <w:rsid w:val="00E97BE8"/>
    <w:rsid w:val="00EA0024"/>
    <w:rsid w:val="00EA0490"/>
    <w:rsid w:val="00EA1905"/>
    <w:rsid w:val="00EA1BAC"/>
    <w:rsid w:val="00EA1E58"/>
    <w:rsid w:val="00EA1F74"/>
    <w:rsid w:val="00EA20B1"/>
    <w:rsid w:val="00EA239E"/>
    <w:rsid w:val="00EA23B4"/>
    <w:rsid w:val="00EA264E"/>
    <w:rsid w:val="00EA2BA4"/>
    <w:rsid w:val="00EA3893"/>
    <w:rsid w:val="00EA4263"/>
    <w:rsid w:val="00EA42B3"/>
    <w:rsid w:val="00EA440E"/>
    <w:rsid w:val="00EA4449"/>
    <w:rsid w:val="00EA46F8"/>
    <w:rsid w:val="00EA48DD"/>
    <w:rsid w:val="00EA4BFA"/>
    <w:rsid w:val="00EA4C6F"/>
    <w:rsid w:val="00EA5024"/>
    <w:rsid w:val="00EA5541"/>
    <w:rsid w:val="00EA58FC"/>
    <w:rsid w:val="00EA5FB6"/>
    <w:rsid w:val="00EA60B0"/>
    <w:rsid w:val="00EA6206"/>
    <w:rsid w:val="00EA632F"/>
    <w:rsid w:val="00EA6948"/>
    <w:rsid w:val="00EA69A7"/>
    <w:rsid w:val="00EA6DB1"/>
    <w:rsid w:val="00EA6F29"/>
    <w:rsid w:val="00EA754C"/>
    <w:rsid w:val="00EA7877"/>
    <w:rsid w:val="00EA7906"/>
    <w:rsid w:val="00EB0206"/>
    <w:rsid w:val="00EB0427"/>
    <w:rsid w:val="00EB0A08"/>
    <w:rsid w:val="00EB0A5C"/>
    <w:rsid w:val="00EB0ADC"/>
    <w:rsid w:val="00EB0CDD"/>
    <w:rsid w:val="00EB12B2"/>
    <w:rsid w:val="00EB1324"/>
    <w:rsid w:val="00EB1D9F"/>
    <w:rsid w:val="00EB2138"/>
    <w:rsid w:val="00EB2CDA"/>
    <w:rsid w:val="00EB30D5"/>
    <w:rsid w:val="00EB30DB"/>
    <w:rsid w:val="00EB30EF"/>
    <w:rsid w:val="00EB3116"/>
    <w:rsid w:val="00EB35A4"/>
    <w:rsid w:val="00EB3A01"/>
    <w:rsid w:val="00EB3F38"/>
    <w:rsid w:val="00EB523D"/>
    <w:rsid w:val="00EB5245"/>
    <w:rsid w:val="00EB52F5"/>
    <w:rsid w:val="00EB55C6"/>
    <w:rsid w:val="00EB57A6"/>
    <w:rsid w:val="00EB61FB"/>
    <w:rsid w:val="00EB62F7"/>
    <w:rsid w:val="00EB6E01"/>
    <w:rsid w:val="00EB70AF"/>
    <w:rsid w:val="00EB7AC1"/>
    <w:rsid w:val="00EB7B2B"/>
    <w:rsid w:val="00EB7C4C"/>
    <w:rsid w:val="00EB7FB2"/>
    <w:rsid w:val="00EC0C86"/>
    <w:rsid w:val="00EC11FF"/>
    <w:rsid w:val="00EC1CC3"/>
    <w:rsid w:val="00EC1E62"/>
    <w:rsid w:val="00EC1EF5"/>
    <w:rsid w:val="00EC2886"/>
    <w:rsid w:val="00EC294F"/>
    <w:rsid w:val="00EC2954"/>
    <w:rsid w:val="00EC3317"/>
    <w:rsid w:val="00EC33DE"/>
    <w:rsid w:val="00EC38EE"/>
    <w:rsid w:val="00EC392B"/>
    <w:rsid w:val="00EC3DBB"/>
    <w:rsid w:val="00EC3FD9"/>
    <w:rsid w:val="00EC41CA"/>
    <w:rsid w:val="00EC43C6"/>
    <w:rsid w:val="00EC4BA3"/>
    <w:rsid w:val="00EC4C24"/>
    <w:rsid w:val="00EC4D62"/>
    <w:rsid w:val="00EC5076"/>
    <w:rsid w:val="00EC509F"/>
    <w:rsid w:val="00EC5192"/>
    <w:rsid w:val="00EC542E"/>
    <w:rsid w:val="00EC5755"/>
    <w:rsid w:val="00EC5880"/>
    <w:rsid w:val="00EC5EA8"/>
    <w:rsid w:val="00EC625E"/>
    <w:rsid w:val="00EC6478"/>
    <w:rsid w:val="00EC657D"/>
    <w:rsid w:val="00EC727D"/>
    <w:rsid w:val="00EC7355"/>
    <w:rsid w:val="00EC76D3"/>
    <w:rsid w:val="00EC7947"/>
    <w:rsid w:val="00EC7D2A"/>
    <w:rsid w:val="00ED013E"/>
    <w:rsid w:val="00ED0285"/>
    <w:rsid w:val="00ED0368"/>
    <w:rsid w:val="00ED036F"/>
    <w:rsid w:val="00ED03DD"/>
    <w:rsid w:val="00ED0F32"/>
    <w:rsid w:val="00ED126B"/>
    <w:rsid w:val="00ED166C"/>
    <w:rsid w:val="00ED1D8D"/>
    <w:rsid w:val="00ED2341"/>
    <w:rsid w:val="00ED2827"/>
    <w:rsid w:val="00ED2958"/>
    <w:rsid w:val="00ED2AFE"/>
    <w:rsid w:val="00ED2D3D"/>
    <w:rsid w:val="00ED2E28"/>
    <w:rsid w:val="00ED316F"/>
    <w:rsid w:val="00ED327C"/>
    <w:rsid w:val="00ED3533"/>
    <w:rsid w:val="00ED3575"/>
    <w:rsid w:val="00ED35FD"/>
    <w:rsid w:val="00ED39FE"/>
    <w:rsid w:val="00ED3BDB"/>
    <w:rsid w:val="00ED3C91"/>
    <w:rsid w:val="00ED4B35"/>
    <w:rsid w:val="00ED4E86"/>
    <w:rsid w:val="00ED4F06"/>
    <w:rsid w:val="00ED52E1"/>
    <w:rsid w:val="00ED5354"/>
    <w:rsid w:val="00ED55F3"/>
    <w:rsid w:val="00ED5B29"/>
    <w:rsid w:val="00ED5DA4"/>
    <w:rsid w:val="00ED60EE"/>
    <w:rsid w:val="00ED6286"/>
    <w:rsid w:val="00ED65EA"/>
    <w:rsid w:val="00ED6739"/>
    <w:rsid w:val="00ED680F"/>
    <w:rsid w:val="00ED682A"/>
    <w:rsid w:val="00ED694C"/>
    <w:rsid w:val="00ED6D98"/>
    <w:rsid w:val="00ED7585"/>
    <w:rsid w:val="00EE02AF"/>
    <w:rsid w:val="00EE0520"/>
    <w:rsid w:val="00EE0772"/>
    <w:rsid w:val="00EE07AC"/>
    <w:rsid w:val="00EE0E42"/>
    <w:rsid w:val="00EE12CA"/>
    <w:rsid w:val="00EE16D1"/>
    <w:rsid w:val="00EE2654"/>
    <w:rsid w:val="00EE288A"/>
    <w:rsid w:val="00EE29EC"/>
    <w:rsid w:val="00EE325A"/>
    <w:rsid w:val="00EE33AA"/>
    <w:rsid w:val="00EE33C9"/>
    <w:rsid w:val="00EE4223"/>
    <w:rsid w:val="00EE429F"/>
    <w:rsid w:val="00EE4560"/>
    <w:rsid w:val="00EE4EBE"/>
    <w:rsid w:val="00EE5167"/>
    <w:rsid w:val="00EE5173"/>
    <w:rsid w:val="00EE531C"/>
    <w:rsid w:val="00EE56C5"/>
    <w:rsid w:val="00EE56DF"/>
    <w:rsid w:val="00EE5957"/>
    <w:rsid w:val="00EE5FE2"/>
    <w:rsid w:val="00EE6C9D"/>
    <w:rsid w:val="00EE6EB9"/>
    <w:rsid w:val="00EE7390"/>
    <w:rsid w:val="00EE76C6"/>
    <w:rsid w:val="00EE7862"/>
    <w:rsid w:val="00EE7882"/>
    <w:rsid w:val="00EE7B47"/>
    <w:rsid w:val="00EF00E3"/>
    <w:rsid w:val="00EF035F"/>
    <w:rsid w:val="00EF1629"/>
    <w:rsid w:val="00EF1713"/>
    <w:rsid w:val="00EF179D"/>
    <w:rsid w:val="00EF1AD3"/>
    <w:rsid w:val="00EF1E4E"/>
    <w:rsid w:val="00EF2776"/>
    <w:rsid w:val="00EF2931"/>
    <w:rsid w:val="00EF2C5B"/>
    <w:rsid w:val="00EF2F76"/>
    <w:rsid w:val="00EF304B"/>
    <w:rsid w:val="00EF305B"/>
    <w:rsid w:val="00EF393C"/>
    <w:rsid w:val="00EF3E13"/>
    <w:rsid w:val="00EF448B"/>
    <w:rsid w:val="00EF4609"/>
    <w:rsid w:val="00EF466E"/>
    <w:rsid w:val="00EF4C5B"/>
    <w:rsid w:val="00EF4FFF"/>
    <w:rsid w:val="00EF514D"/>
    <w:rsid w:val="00EF5962"/>
    <w:rsid w:val="00EF5CEA"/>
    <w:rsid w:val="00EF6AD3"/>
    <w:rsid w:val="00EF6F7B"/>
    <w:rsid w:val="00EF7100"/>
    <w:rsid w:val="00EF7466"/>
    <w:rsid w:val="00EF7EAE"/>
    <w:rsid w:val="00EF7EE2"/>
    <w:rsid w:val="00F001DD"/>
    <w:rsid w:val="00F004E3"/>
    <w:rsid w:val="00F00576"/>
    <w:rsid w:val="00F006C4"/>
    <w:rsid w:val="00F00941"/>
    <w:rsid w:val="00F00B3E"/>
    <w:rsid w:val="00F00B71"/>
    <w:rsid w:val="00F013E2"/>
    <w:rsid w:val="00F014B2"/>
    <w:rsid w:val="00F01689"/>
    <w:rsid w:val="00F0174E"/>
    <w:rsid w:val="00F018D3"/>
    <w:rsid w:val="00F01930"/>
    <w:rsid w:val="00F01CC6"/>
    <w:rsid w:val="00F021F7"/>
    <w:rsid w:val="00F023EE"/>
    <w:rsid w:val="00F0283C"/>
    <w:rsid w:val="00F02D21"/>
    <w:rsid w:val="00F03080"/>
    <w:rsid w:val="00F035E4"/>
    <w:rsid w:val="00F03994"/>
    <w:rsid w:val="00F03B9D"/>
    <w:rsid w:val="00F03C92"/>
    <w:rsid w:val="00F0407B"/>
    <w:rsid w:val="00F04365"/>
    <w:rsid w:val="00F04427"/>
    <w:rsid w:val="00F0458F"/>
    <w:rsid w:val="00F04908"/>
    <w:rsid w:val="00F049DA"/>
    <w:rsid w:val="00F04AC1"/>
    <w:rsid w:val="00F04C1C"/>
    <w:rsid w:val="00F054DD"/>
    <w:rsid w:val="00F05640"/>
    <w:rsid w:val="00F05741"/>
    <w:rsid w:val="00F05A3B"/>
    <w:rsid w:val="00F062A9"/>
    <w:rsid w:val="00F069AC"/>
    <w:rsid w:val="00F073D1"/>
    <w:rsid w:val="00F07BE0"/>
    <w:rsid w:val="00F07F81"/>
    <w:rsid w:val="00F10175"/>
    <w:rsid w:val="00F101E4"/>
    <w:rsid w:val="00F10966"/>
    <w:rsid w:val="00F10B35"/>
    <w:rsid w:val="00F10D89"/>
    <w:rsid w:val="00F113A7"/>
    <w:rsid w:val="00F114F6"/>
    <w:rsid w:val="00F12372"/>
    <w:rsid w:val="00F1246F"/>
    <w:rsid w:val="00F12587"/>
    <w:rsid w:val="00F1263C"/>
    <w:rsid w:val="00F1297F"/>
    <w:rsid w:val="00F129BE"/>
    <w:rsid w:val="00F138BC"/>
    <w:rsid w:val="00F139FF"/>
    <w:rsid w:val="00F1446A"/>
    <w:rsid w:val="00F1450C"/>
    <w:rsid w:val="00F14869"/>
    <w:rsid w:val="00F14DA3"/>
    <w:rsid w:val="00F15045"/>
    <w:rsid w:val="00F15269"/>
    <w:rsid w:val="00F15961"/>
    <w:rsid w:val="00F15A4A"/>
    <w:rsid w:val="00F164C8"/>
    <w:rsid w:val="00F170A6"/>
    <w:rsid w:val="00F175FF"/>
    <w:rsid w:val="00F179B5"/>
    <w:rsid w:val="00F179D3"/>
    <w:rsid w:val="00F17C21"/>
    <w:rsid w:val="00F17D31"/>
    <w:rsid w:val="00F17DB0"/>
    <w:rsid w:val="00F2008F"/>
    <w:rsid w:val="00F20742"/>
    <w:rsid w:val="00F20797"/>
    <w:rsid w:val="00F2079B"/>
    <w:rsid w:val="00F209D1"/>
    <w:rsid w:val="00F20BD7"/>
    <w:rsid w:val="00F20E46"/>
    <w:rsid w:val="00F21357"/>
    <w:rsid w:val="00F2180F"/>
    <w:rsid w:val="00F21B71"/>
    <w:rsid w:val="00F21E4B"/>
    <w:rsid w:val="00F21F13"/>
    <w:rsid w:val="00F2220B"/>
    <w:rsid w:val="00F22427"/>
    <w:rsid w:val="00F224CC"/>
    <w:rsid w:val="00F2255A"/>
    <w:rsid w:val="00F228D8"/>
    <w:rsid w:val="00F23068"/>
    <w:rsid w:val="00F23101"/>
    <w:rsid w:val="00F2488D"/>
    <w:rsid w:val="00F24921"/>
    <w:rsid w:val="00F249B6"/>
    <w:rsid w:val="00F24EFB"/>
    <w:rsid w:val="00F250F0"/>
    <w:rsid w:val="00F2519F"/>
    <w:rsid w:val="00F254F4"/>
    <w:rsid w:val="00F25A7C"/>
    <w:rsid w:val="00F263BA"/>
    <w:rsid w:val="00F26615"/>
    <w:rsid w:val="00F26EB5"/>
    <w:rsid w:val="00F26F9C"/>
    <w:rsid w:val="00F27318"/>
    <w:rsid w:val="00F273FD"/>
    <w:rsid w:val="00F27854"/>
    <w:rsid w:val="00F2793A"/>
    <w:rsid w:val="00F27A41"/>
    <w:rsid w:val="00F3068F"/>
    <w:rsid w:val="00F30B36"/>
    <w:rsid w:val="00F30B37"/>
    <w:rsid w:val="00F30BBD"/>
    <w:rsid w:val="00F30BE0"/>
    <w:rsid w:val="00F31214"/>
    <w:rsid w:val="00F31A77"/>
    <w:rsid w:val="00F31DB5"/>
    <w:rsid w:val="00F31F23"/>
    <w:rsid w:val="00F320B0"/>
    <w:rsid w:val="00F32215"/>
    <w:rsid w:val="00F32392"/>
    <w:rsid w:val="00F329FB"/>
    <w:rsid w:val="00F32A88"/>
    <w:rsid w:val="00F32BD5"/>
    <w:rsid w:val="00F3330C"/>
    <w:rsid w:val="00F3353F"/>
    <w:rsid w:val="00F337D0"/>
    <w:rsid w:val="00F33984"/>
    <w:rsid w:val="00F339EC"/>
    <w:rsid w:val="00F33D8D"/>
    <w:rsid w:val="00F33F55"/>
    <w:rsid w:val="00F33F84"/>
    <w:rsid w:val="00F34ED5"/>
    <w:rsid w:val="00F355C3"/>
    <w:rsid w:val="00F35BA8"/>
    <w:rsid w:val="00F36933"/>
    <w:rsid w:val="00F36C73"/>
    <w:rsid w:val="00F372E2"/>
    <w:rsid w:val="00F373E4"/>
    <w:rsid w:val="00F3796D"/>
    <w:rsid w:val="00F40866"/>
    <w:rsid w:val="00F4196A"/>
    <w:rsid w:val="00F41E4F"/>
    <w:rsid w:val="00F4213F"/>
    <w:rsid w:val="00F42151"/>
    <w:rsid w:val="00F42420"/>
    <w:rsid w:val="00F424B7"/>
    <w:rsid w:val="00F42FD2"/>
    <w:rsid w:val="00F43301"/>
    <w:rsid w:val="00F4372A"/>
    <w:rsid w:val="00F438AC"/>
    <w:rsid w:val="00F43A46"/>
    <w:rsid w:val="00F440E7"/>
    <w:rsid w:val="00F445F7"/>
    <w:rsid w:val="00F447F7"/>
    <w:rsid w:val="00F44AB9"/>
    <w:rsid w:val="00F44BB6"/>
    <w:rsid w:val="00F44F7C"/>
    <w:rsid w:val="00F45604"/>
    <w:rsid w:val="00F458A6"/>
    <w:rsid w:val="00F4599C"/>
    <w:rsid w:val="00F459BC"/>
    <w:rsid w:val="00F45C79"/>
    <w:rsid w:val="00F45EFB"/>
    <w:rsid w:val="00F461B7"/>
    <w:rsid w:val="00F46540"/>
    <w:rsid w:val="00F467C6"/>
    <w:rsid w:val="00F46915"/>
    <w:rsid w:val="00F46B59"/>
    <w:rsid w:val="00F470D6"/>
    <w:rsid w:val="00F47B4F"/>
    <w:rsid w:val="00F503E6"/>
    <w:rsid w:val="00F5043B"/>
    <w:rsid w:val="00F50A03"/>
    <w:rsid w:val="00F50F2D"/>
    <w:rsid w:val="00F5129F"/>
    <w:rsid w:val="00F5132C"/>
    <w:rsid w:val="00F5165A"/>
    <w:rsid w:val="00F51BFA"/>
    <w:rsid w:val="00F5215A"/>
    <w:rsid w:val="00F5246A"/>
    <w:rsid w:val="00F524C1"/>
    <w:rsid w:val="00F52DD9"/>
    <w:rsid w:val="00F52E4A"/>
    <w:rsid w:val="00F52EC2"/>
    <w:rsid w:val="00F532F8"/>
    <w:rsid w:val="00F5359A"/>
    <w:rsid w:val="00F53D73"/>
    <w:rsid w:val="00F53E70"/>
    <w:rsid w:val="00F551BF"/>
    <w:rsid w:val="00F55947"/>
    <w:rsid w:val="00F56401"/>
    <w:rsid w:val="00F56758"/>
    <w:rsid w:val="00F56A21"/>
    <w:rsid w:val="00F56EB3"/>
    <w:rsid w:val="00F56F07"/>
    <w:rsid w:val="00F57764"/>
    <w:rsid w:val="00F57C00"/>
    <w:rsid w:val="00F57FD5"/>
    <w:rsid w:val="00F57FFD"/>
    <w:rsid w:val="00F604E2"/>
    <w:rsid w:val="00F605DB"/>
    <w:rsid w:val="00F606A2"/>
    <w:rsid w:val="00F60D05"/>
    <w:rsid w:val="00F610F1"/>
    <w:rsid w:val="00F61159"/>
    <w:rsid w:val="00F6138A"/>
    <w:rsid w:val="00F61717"/>
    <w:rsid w:val="00F6197E"/>
    <w:rsid w:val="00F61D2A"/>
    <w:rsid w:val="00F62257"/>
    <w:rsid w:val="00F62467"/>
    <w:rsid w:val="00F626C9"/>
    <w:rsid w:val="00F62B2C"/>
    <w:rsid w:val="00F62C71"/>
    <w:rsid w:val="00F62E69"/>
    <w:rsid w:val="00F630D5"/>
    <w:rsid w:val="00F63216"/>
    <w:rsid w:val="00F637FF"/>
    <w:rsid w:val="00F63907"/>
    <w:rsid w:val="00F63C46"/>
    <w:rsid w:val="00F648C6"/>
    <w:rsid w:val="00F64947"/>
    <w:rsid w:val="00F650A9"/>
    <w:rsid w:val="00F6561B"/>
    <w:rsid w:val="00F65948"/>
    <w:rsid w:val="00F65AC4"/>
    <w:rsid w:val="00F65D43"/>
    <w:rsid w:val="00F65E7B"/>
    <w:rsid w:val="00F66282"/>
    <w:rsid w:val="00F66786"/>
    <w:rsid w:val="00F668BD"/>
    <w:rsid w:val="00F66B52"/>
    <w:rsid w:val="00F66DD1"/>
    <w:rsid w:val="00F67292"/>
    <w:rsid w:val="00F675EE"/>
    <w:rsid w:val="00F67CD9"/>
    <w:rsid w:val="00F70285"/>
    <w:rsid w:val="00F702DF"/>
    <w:rsid w:val="00F711DC"/>
    <w:rsid w:val="00F72370"/>
    <w:rsid w:val="00F7264B"/>
    <w:rsid w:val="00F727EE"/>
    <w:rsid w:val="00F72886"/>
    <w:rsid w:val="00F72D97"/>
    <w:rsid w:val="00F73277"/>
    <w:rsid w:val="00F732B8"/>
    <w:rsid w:val="00F73ED0"/>
    <w:rsid w:val="00F73F5A"/>
    <w:rsid w:val="00F745F7"/>
    <w:rsid w:val="00F74696"/>
    <w:rsid w:val="00F74FCF"/>
    <w:rsid w:val="00F75201"/>
    <w:rsid w:val="00F75387"/>
    <w:rsid w:val="00F75509"/>
    <w:rsid w:val="00F75785"/>
    <w:rsid w:val="00F75800"/>
    <w:rsid w:val="00F758FD"/>
    <w:rsid w:val="00F75A43"/>
    <w:rsid w:val="00F75AD7"/>
    <w:rsid w:val="00F763C6"/>
    <w:rsid w:val="00F763CA"/>
    <w:rsid w:val="00F769F9"/>
    <w:rsid w:val="00F76CF8"/>
    <w:rsid w:val="00F77020"/>
    <w:rsid w:val="00F77202"/>
    <w:rsid w:val="00F77550"/>
    <w:rsid w:val="00F778D1"/>
    <w:rsid w:val="00F77A2F"/>
    <w:rsid w:val="00F77D21"/>
    <w:rsid w:val="00F77EA0"/>
    <w:rsid w:val="00F800F3"/>
    <w:rsid w:val="00F80136"/>
    <w:rsid w:val="00F8028F"/>
    <w:rsid w:val="00F808D6"/>
    <w:rsid w:val="00F80A84"/>
    <w:rsid w:val="00F819CE"/>
    <w:rsid w:val="00F81DEE"/>
    <w:rsid w:val="00F82979"/>
    <w:rsid w:val="00F82C8E"/>
    <w:rsid w:val="00F8392E"/>
    <w:rsid w:val="00F83ADD"/>
    <w:rsid w:val="00F84067"/>
    <w:rsid w:val="00F8418F"/>
    <w:rsid w:val="00F847EC"/>
    <w:rsid w:val="00F84821"/>
    <w:rsid w:val="00F84A2E"/>
    <w:rsid w:val="00F8540D"/>
    <w:rsid w:val="00F856C0"/>
    <w:rsid w:val="00F86248"/>
    <w:rsid w:val="00F8646D"/>
    <w:rsid w:val="00F86990"/>
    <w:rsid w:val="00F87043"/>
    <w:rsid w:val="00F872E2"/>
    <w:rsid w:val="00F87381"/>
    <w:rsid w:val="00F873BF"/>
    <w:rsid w:val="00F87509"/>
    <w:rsid w:val="00F8794C"/>
    <w:rsid w:val="00F87E45"/>
    <w:rsid w:val="00F9025A"/>
    <w:rsid w:val="00F904DC"/>
    <w:rsid w:val="00F906F7"/>
    <w:rsid w:val="00F90A80"/>
    <w:rsid w:val="00F90F0B"/>
    <w:rsid w:val="00F910C0"/>
    <w:rsid w:val="00F9131D"/>
    <w:rsid w:val="00F91425"/>
    <w:rsid w:val="00F91946"/>
    <w:rsid w:val="00F91E0D"/>
    <w:rsid w:val="00F925A6"/>
    <w:rsid w:val="00F929E7"/>
    <w:rsid w:val="00F9302D"/>
    <w:rsid w:val="00F930D8"/>
    <w:rsid w:val="00F934C6"/>
    <w:rsid w:val="00F935A2"/>
    <w:rsid w:val="00F93B46"/>
    <w:rsid w:val="00F94658"/>
    <w:rsid w:val="00F949CD"/>
    <w:rsid w:val="00F94A59"/>
    <w:rsid w:val="00F9503C"/>
    <w:rsid w:val="00F95070"/>
    <w:rsid w:val="00F957C1"/>
    <w:rsid w:val="00F95923"/>
    <w:rsid w:val="00F95965"/>
    <w:rsid w:val="00F95C17"/>
    <w:rsid w:val="00F962CA"/>
    <w:rsid w:val="00F9642C"/>
    <w:rsid w:val="00F9664A"/>
    <w:rsid w:val="00F9702C"/>
    <w:rsid w:val="00F97E02"/>
    <w:rsid w:val="00F97FDA"/>
    <w:rsid w:val="00FA02F5"/>
    <w:rsid w:val="00FA06BD"/>
    <w:rsid w:val="00FA096E"/>
    <w:rsid w:val="00FA0CE1"/>
    <w:rsid w:val="00FA0F16"/>
    <w:rsid w:val="00FA1280"/>
    <w:rsid w:val="00FA1351"/>
    <w:rsid w:val="00FA14EB"/>
    <w:rsid w:val="00FA17A5"/>
    <w:rsid w:val="00FA1D81"/>
    <w:rsid w:val="00FA1F7C"/>
    <w:rsid w:val="00FA23F6"/>
    <w:rsid w:val="00FA242F"/>
    <w:rsid w:val="00FA2915"/>
    <w:rsid w:val="00FA299C"/>
    <w:rsid w:val="00FA323C"/>
    <w:rsid w:val="00FA37EC"/>
    <w:rsid w:val="00FA391A"/>
    <w:rsid w:val="00FA5810"/>
    <w:rsid w:val="00FA59B4"/>
    <w:rsid w:val="00FA5B80"/>
    <w:rsid w:val="00FA5BB0"/>
    <w:rsid w:val="00FA5BF6"/>
    <w:rsid w:val="00FA5E12"/>
    <w:rsid w:val="00FA5FB5"/>
    <w:rsid w:val="00FA6124"/>
    <w:rsid w:val="00FA6990"/>
    <w:rsid w:val="00FA6E0C"/>
    <w:rsid w:val="00FA6E82"/>
    <w:rsid w:val="00FA6EFA"/>
    <w:rsid w:val="00FA76BA"/>
    <w:rsid w:val="00FA76C2"/>
    <w:rsid w:val="00FA7E32"/>
    <w:rsid w:val="00FB036C"/>
    <w:rsid w:val="00FB0583"/>
    <w:rsid w:val="00FB05D7"/>
    <w:rsid w:val="00FB0C92"/>
    <w:rsid w:val="00FB0DDC"/>
    <w:rsid w:val="00FB15C7"/>
    <w:rsid w:val="00FB163E"/>
    <w:rsid w:val="00FB16A4"/>
    <w:rsid w:val="00FB178F"/>
    <w:rsid w:val="00FB1A87"/>
    <w:rsid w:val="00FB209F"/>
    <w:rsid w:val="00FB29B1"/>
    <w:rsid w:val="00FB2AF2"/>
    <w:rsid w:val="00FB3044"/>
    <w:rsid w:val="00FB30AC"/>
    <w:rsid w:val="00FB315E"/>
    <w:rsid w:val="00FB396C"/>
    <w:rsid w:val="00FB3EEB"/>
    <w:rsid w:val="00FB3F9D"/>
    <w:rsid w:val="00FB3FE7"/>
    <w:rsid w:val="00FB4150"/>
    <w:rsid w:val="00FB4721"/>
    <w:rsid w:val="00FB4B88"/>
    <w:rsid w:val="00FB4CA2"/>
    <w:rsid w:val="00FB55F8"/>
    <w:rsid w:val="00FB572C"/>
    <w:rsid w:val="00FB5929"/>
    <w:rsid w:val="00FB5BF6"/>
    <w:rsid w:val="00FB5FB7"/>
    <w:rsid w:val="00FB6439"/>
    <w:rsid w:val="00FB6C06"/>
    <w:rsid w:val="00FB6D2B"/>
    <w:rsid w:val="00FB7063"/>
    <w:rsid w:val="00FB7270"/>
    <w:rsid w:val="00FB7596"/>
    <w:rsid w:val="00FB7A4E"/>
    <w:rsid w:val="00FB7C1D"/>
    <w:rsid w:val="00FB7C99"/>
    <w:rsid w:val="00FC02AD"/>
    <w:rsid w:val="00FC032A"/>
    <w:rsid w:val="00FC040D"/>
    <w:rsid w:val="00FC072A"/>
    <w:rsid w:val="00FC0D75"/>
    <w:rsid w:val="00FC0E0F"/>
    <w:rsid w:val="00FC151D"/>
    <w:rsid w:val="00FC19D2"/>
    <w:rsid w:val="00FC19F1"/>
    <w:rsid w:val="00FC1A31"/>
    <w:rsid w:val="00FC23E9"/>
    <w:rsid w:val="00FC2433"/>
    <w:rsid w:val="00FC36A3"/>
    <w:rsid w:val="00FC3A2E"/>
    <w:rsid w:val="00FC3CF1"/>
    <w:rsid w:val="00FC4251"/>
    <w:rsid w:val="00FC4344"/>
    <w:rsid w:val="00FC4550"/>
    <w:rsid w:val="00FC45A1"/>
    <w:rsid w:val="00FC4B4E"/>
    <w:rsid w:val="00FC4FC0"/>
    <w:rsid w:val="00FC5092"/>
    <w:rsid w:val="00FC52B4"/>
    <w:rsid w:val="00FC53D9"/>
    <w:rsid w:val="00FC5C20"/>
    <w:rsid w:val="00FC619D"/>
    <w:rsid w:val="00FC62A3"/>
    <w:rsid w:val="00FC6844"/>
    <w:rsid w:val="00FC68AE"/>
    <w:rsid w:val="00FC6941"/>
    <w:rsid w:val="00FC70A4"/>
    <w:rsid w:val="00FC7425"/>
    <w:rsid w:val="00FC7CAD"/>
    <w:rsid w:val="00FD04FB"/>
    <w:rsid w:val="00FD0667"/>
    <w:rsid w:val="00FD06C6"/>
    <w:rsid w:val="00FD0858"/>
    <w:rsid w:val="00FD0ABD"/>
    <w:rsid w:val="00FD149C"/>
    <w:rsid w:val="00FD155B"/>
    <w:rsid w:val="00FD1961"/>
    <w:rsid w:val="00FD1D26"/>
    <w:rsid w:val="00FD1F0D"/>
    <w:rsid w:val="00FD20F2"/>
    <w:rsid w:val="00FD26C7"/>
    <w:rsid w:val="00FD29E9"/>
    <w:rsid w:val="00FD2A0C"/>
    <w:rsid w:val="00FD33BA"/>
    <w:rsid w:val="00FD39A2"/>
    <w:rsid w:val="00FD4180"/>
    <w:rsid w:val="00FD428B"/>
    <w:rsid w:val="00FD42CF"/>
    <w:rsid w:val="00FD447A"/>
    <w:rsid w:val="00FD471B"/>
    <w:rsid w:val="00FD4E01"/>
    <w:rsid w:val="00FD550B"/>
    <w:rsid w:val="00FD591C"/>
    <w:rsid w:val="00FD5B22"/>
    <w:rsid w:val="00FD5B69"/>
    <w:rsid w:val="00FD5FDB"/>
    <w:rsid w:val="00FD624D"/>
    <w:rsid w:val="00FD70EC"/>
    <w:rsid w:val="00FD7316"/>
    <w:rsid w:val="00FD74FF"/>
    <w:rsid w:val="00FD77E7"/>
    <w:rsid w:val="00FD78E8"/>
    <w:rsid w:val="00FD7A5F"/>
    <w:rsid w:val="00FD7CD4"/>
    <w:rsid w:val="00FE028D"/>
    <w:rsid w:val="00FE02F0"/>
    <w:rsid w:val="00FE061E"/>
    <w:rsid w:val="00FE136C"/>
    <w:rsid w:val="00FE1710"/>
    <w:rsid w:val="00FE1805"/>
    <w:rsid w:val="00FE18D9"/>
    <w:rsid w:val="00FE1959"/>
    <w:rsid w:val="00FE1E7F"/>
    <w:rsid w:val="00FE2397"/>
    <w:rsid w:val="00FE27A3"/>
    <w:rsid w:val="00FE280F"/>
    <w:rsid w:val="00FE288F"/>
    <w:rsid w:val="00FE29EE"/>
    <w:rsid w:val="00FE319D"/>
    <w:rsid w:val="00FE4077"/>
    <w:rsid w:val="00FE44FA"/>
    <w:rsid w:val="00FE4A9E"/>
    <w:rsid w:val="00FE4E29"/>
    <w:rsid w:val="00FE4FB7"/>
    <w:rsid w:val="00FE52E3"/>
    <w:rsid w:val="00FE6103"/>
    <w:rsid w:val="00FE61B7"/>
    <w:rsid w:val="00FE622C"/>
    <w:rsid w:val="00FE6AE5"/>
    <w:rsid w:val="00FE6BFF"/>
    <w:rsid w:val="00FE6CE7"/>
    <w:rsid w:val="00FE6D76"/>
    <w:rsid w:val="00FE6ECF"/>
    <w:rsid w:val="00FE74D9"/>
    <w:rsid w:val="00FE7A90"/>
    <w:rsid w:val="00FE7DFE"/>
    <w:rsid w:val="00FE7E07"/>
    <w:rsid w:val="00FF053F"/>
    <w:rsid w:val="00FF0763"/>
    <w:rsid w:val="00FF0C2A"/>
    <w:rsid w:val="00FF11CE"/>
    <w:rsid w:val="00FF1354"/>
    <w:rsid w:val="00FF1DB8"/>
    <w:rsid w:val="00FF1EBF"/>
    <w:rsid w:val="00FF28F7"/>
    <w:rsid w:val="00FF2B62"/>
    <w:rsid w:val="00FF2EC3"/>
    <w:rsid w:val="00FF31F2"/>
    <w:rsid w:val="00FF3334"/>
    <w:rsid w:val="00FF344E"/>
    <w:rsid w:val="00FF3854"/>
    <w:rsid w:val="00FF3CBF"/>
    <w:rsid w:val="00FF42AC"/>
    <w:rsid w:val="00FF456B"/>
    <w:rsid w:val="00FF485F"/>
    <w:rsid w:val="00FF4A24"/>
    <w:rsid w:val="00FF4E4D"/>
    <w:rsid w:val="00FF5153"/>
    <w:rsid w:val="00FF5182"/>
    <w:rsid w:val="00FF521B"/>
    <w:rsid w:val="00FF5AA6"/>
    <w:rsid w:val="00FF5F03"/>
    <w:rsid w:val="00FF648C"/>
    <w:rsid w:val="00FF6CEC"/>
    <w:rsid w:val="00FF6FDD"/>
    <w:rsid w:val="00FF76B6"/>
    <w:rsid w:val="00FF7AE3"/>
    <w:rsid w:val="00FF7E6B"/>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rules v:ext="edit">
        <o:r id="V:Rule1" type="connector" idref="#AutoShape 26"/>
        <o:r id="V:Rule2" type="connector" idref="#AutoShape 25"/>
        <o:r id="V:Rule3" type="connector" idref="#AutoShape 27"/>
      </o:rules>
    </o:shapelayout>
  </w:shapeDefaults>
  <w:doNotEmbedSmartTags/>
  <w:decimalSymbol w:val="."/>
  <w:listSeparator w:val=","/>
  <w15:docId w15:val="{63C987E1-1F8F-4FD4-8499-D73BD02E9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42D23"/>
    <w:rPr>
      <w:lang w:val="en-GB"/>
    </w:rPr>
  </w:style>
  <w:style w:type="paragraph" w:styleId="Heading1">
    <w:name w:val="heading 1"/>
    <w:basedOn w:val="Normal"/>
    <w:next w:val="Normal"/>
    <w:link w:val="Heading1Char"/>
    <w:autoRedefine/>
    <w:uiPriority w:val="99"/>
    <w:qFormat/>
    <w:rsid w:val="00821293"/>
    <w:pPr>
      <w:keepNext/>
      <w:keepLines/>
      <w:spacing w:before="360" w:line="480" w:lineRule="auto"/>
      <w:ind w:left="851" w:hanging="851"/>
      <w:outlineLvl w:val="0"/>
    </w:pPr>
    <w:rPr>
      <w:rFonts w:ascii="Times New Roman" w:eastAsiaTheme="majorEastAsia" w:hAnsi="Times New Roman" w:cstheme="majorBidi"/>
      <w:b/>
      <w:bCs/>
      <w:szCs w:val="32"/>
    </w:rPr>
  </w:style>
  <w:style w:type="paragraph" w:styleId="Heading2">
    <w:name w:val="heading 2"/>
    <w:basedOn w:val="Normal"/>
    <w:next w:val="Normal"/>
    <w:link w:val="Heading2Char"/>
    <w:autoRedefine/>
    <w:uiPriority w:val="9"/>
    <w:unhideWhenUsed/>
    <w:qFormat/>
    <w:rsid w:val="00FE028D"/>
    <w:pPr>
      <w:keepNext/>
      <w:keepLines/>
      <w:spacing w:before="240" w:line="480" w:lineRule="auto"/>
      <w:ind w:left="907" w:hanging="907"/>
      <w:outlineLvl w:val="1"/>
    </w:pPr>
    <w:rPr>
      <w:rFonts w:ascii="Times New Roman" w:eastAsiaTheme="majorEastAsia" w:hAnsi="Times New Roman" w:cstheme="majorBidi"/>
      <w:b/>
      <w:bCs/>
      <w:szCs w:val="26"/>
      <w:lang w:val="en-US"/>
    </w:rPr>
  </w:style>
  <w:style w:type="paragraph" w:styleId="Heading3">
    <w:name w:val="heading 3"/>
    <w:basedOn w:val="APAPar"/>
    <w:next w:val="Normal"/>
    <w:link w:val="Heading3Char"/>
    <w:autoRedefine/>
    <w:uiPriority w:val="9"/>
    <w:unhideWhenUsed/>
    <w:qFormat/>
    <w:rsid w:val="005E0740"/>
    <w:pPr>
      <w:ind w:left="1134" w:hanging="1134"/>
      <w:outlineLvl w:val="2"/>
    </w:pPr>
    <w:rPr>
      <w:b/>
      <w:i/>
      <w:lang w:val="en-US"/>
    </w:rPr>
  </w:style>
  <w:style w:type="paragraph" w:styleId="Heading4">
    <w:name w:val="heading 4"/>
    <w:basedOn w:val="Normal"/>
    <w:next w:val="Normal"/>
    <w:link w:val="Heading4Char"/>
    <w:autoRedefine/>
    <w:uiPriority w:val="9"/>
    <w:unhideWhenUsed/>
    <w:qFormat/>
    <w:rsid w:val="0041202D"/>
    <w:pPr>
      <w:keepNext/>
      <w:keepLines/>
      <w:spacing w:before="200" w:line="480" w:lineRule="auto"/>
      <w:outlineLvl w:val="3"/>
    </w:pPr>
    <w:rPr>
      <w:rFonts w:ascii="Times New Roman" w:eastAsiaTheme="majorEastAsia" w:hAnsi="Times New Roman" w:cstheme="majorBidi"/>
      <w:b/>
      <w:bCs/>
      <w:i/>
      <w:iCs/>
      <w:szCs w:val="20"/>
      <w:lang w:val="en-US"/>
    </w:rPr>
  </w:style>
  <w:style w:type="paragraph" w:styleId="Heading5">
    <w:name w:val="heading 5"/>
    <w:basedOn w:val="Normal"/>
    <w:next w:val="Normal"/>
    <w:link w:val="Heading5Char"/>
    <w:autoRedefine/>
    <w:uiPriority w:val="9"/>
    <w:semiHidden/>
    <w:unhideWhenUsed/>
    <w:qFormat/>
    <w:rsid w:val="00CD7FD5"/>
    <w:pPr>
      <w:keepNext/>
      <w:keepLines/>
      <w:spacing w:before="200" w:line="480" w:lineRule="auto"/>
      <w:ind w:left="720"/>
      <w:outlineLvl w:val="4"/>
    </w:pPr>
    <w:rPr>
      <w:rFonts w:ascii="Times New Roman" w:eastAsiaTheme="majorEastAsia" w:hAnsi="Times New Roman" w:cstheme="majorBidi"/>
      <w:i/>
      <w:color w:val="243F60" w:themeColor="accent1" w:themeShade="7F"/>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821293"/>
    <w:rPr>
      <w:rFonts w:ascii="Times New Roman" w:eastAsiaTheme="majorEastAsia" w:hAnsi="Times New Roman" w:cstheme="majorBidi"/>
      <w:b/>
      <w:bCs/>
      <w:szCs w:val="32"/>
      <w:lang w:val="en-GB"/>
    </w:rPr>
  </w:style>
  <w:style w:type="paragraph" w:styleId="NoSpacing">
    <w:name w:val="No Spacing"/>
    <w:uiPriority w:val="1"/>
    <w:semiHidden/>
    <w:qFormat/>
    <w:rsid w:val="00CD7FD5"/>
    <w:rPr>
      <w:lang w:val="en-GB"/>
    </w:rPr>
  </w:style>
  <w:style w:type="character" w:customStyle="1" w:styleId="Heading2Char">
    <w:name w:val="Heading 2 Char"/>
    <w:basedOn w:val="DefaultParagraphFont"/>
    <w:link w:val="Heading2"/>
    <w:uiPriority w:val="9"/>
    <w:rsid w:val="00FE028D"/>
    <w:rPr>
      <w:rFonts w:ascii="Times New Roman" w:eastAsiaTheme="majorEastAsia" w:hAnsi="Times New Roman" w:cstheme="majorBidi"/>
      <w:b/>
      <w:bCs/>
      <w:szCs w:val="26"/>
    </w:rPr>
  </w:style>
  <w:style w:type="paragraph" w:customStyle="1" w:styleId="APAPar">
    <w:name w:val="APA Par"/>
    <w:basedOn w:val="Normal"/>
    <w:link w:val="APAParChar"/>
    <w:autoRedefine/>
    <w:uiPriority w:val="99"/>
    <w:qFormat/>
    <w:rsid w:val="005C41B7"/>
    <w:pPr>
      <w:tabs>
        <w:tab w:val="left" w:pos="567"/>
      </w:tabs>
      <w:spacing w:before="240" w:line="480" w:lineRule="auto"/>
      <w:ind w:right="-45" w:firstLine="720"/>
    </w:pPr>
    <w:rPr>
      <w:rFonts w:ascii="Times New Roman" w:eastAsia="Calibri" w:hAnsi="Times New Roman" w:cs="Times New Roman"/>
      <w:color w:val="000000"/>
      <w:szCs w:val="20"/>
    </w:rPr>
  </w:style>
  <w:style w:type="character" w:customStyle="1" w:styleId="APAParChar">
    <w:name w:val="APA Par Char"/>
    <w:link w:val="APAPar"/>
    <w:uiPriority w:val="99"/>
    <w:locked/>
    <w:rsid w:val="005C41B7"/>
    <w:rPr>
      <w:rFonts w:ascii="Times New Roman" w:eastAsia="Calibri" w:hAnsi="Times New Roman" w:cs="Times New Roman"/>
      <w:color w:val="000000"/>
      <w:szCs w:val="20"/>
      <w:lang w:val="en-GB"/>
    </w:rPr>
  </w:style>
  <w:style w:type="paragraph" w:customStyle="1" w:styleId="APARefs">
    <w:name w:val="APA Refs"/>
    <w:basedOn w:val="Normal"/>
    <w:autoRedefine/>
    <w:uiPriority w:val="99"/>
    <w:qFormat/>
    <w:rsid w:val="00F2255A"/>
    <w:pPr>
      <w:spacing w:line="360" w:lineRule="auto"/>
      <w:ind w:left="990" w:hanging="990"/>
    </w:pPr>
    <w:rPr>
      <w:rFonts w:ascii="Times New Roman" w:eastAsia="Calibri" w:hAnsi="Times New Roman" w:cs="Times New Roman"/>
      <w:lang w:val="en-AU" w:eastAsia="en-AU"/>
    </w:rPr>
  </w:style>
  <w:style w:type="character" w:customStyle="1" w:styleId="Heading3Char">
    <w:name w:val="Heading 3 Char"/>
    <w:basedOn w:val="DefaultParagraphFont"/>
    <w:link w:val="Heading3"/>
    <w:uiPriority w:val="9"/>
    <w:rsid w:val="005E0740"/>
    <w:rPr>
      <w:rFonts w:ascii="Times New Roman" w:eastAsia="Calibri" w:hAnsi="Times New Roman" w:cs="Times New Roman"/>
      <w:b/>
      <w:i/>
      <w:color w:val="000000"/>
      <w:szCs w:val="20"/>
    </w:rPr>
  </w:style>
  <w:style w:type="character" w:customStyle="1" w:styleId="Heading5Char">
    <w:name w:val="Heading 5 Char"/>
    <w:basedOn w:val="DefaultParagraphFont"/>
    <w:link w:val="Heading5"/>
    <w:uiPriority w:val="9"/>
    <w:semiHidden/>
    <w:rsid w:val="00CD7FD5"/>
    <w:rPr>
      <w:rFonts w:ascii="Times New Roman" w:eastAsiaTheme="majorEastAsia" w:hAnsi="Times New Roman" w:cstheme="majorBidi"/>
      <w:i/>
      <w:color w:val="243F60" w:themeColor="accent1" w:themeShade="7F"/>
      <w:sz w:val="24"/>
    </w:rPr>
  </w:style>
  <w:style w:type="character" w:customStyle="1" w:styleId="Heading4Char">
    <w:name w:val="Heading 4 Char"/>
    <w:basedOn w:val="DefaultParagraphFont"/>
    <w:link w:val="Heading4"/>
    <w:uiPriority w:val="9"/>
    <w:rsid w:val="0041202D"/>
    <w:rPr>
      <w:rFonts w:ascii="Times New Roman" w:eastAsiaTheme="majorEastAsia" w:hAnsi="Times New Roman" w:cstheme="majorBidi"/>
      <w:b/>
      <w:bCs/>
      <w:i/>
      <w:iCs/>
      <w:szCs w:val="20"/>
    </w:rPr>
  </w:style>
  <w:style w:type="paragraph" w:customStyle="1" w:styleId="Heading0">
    <w:name w:val="Heading 0"/>
    <w:basedOn w:val="Heading1"/>
    <w:link w:val="Heading0Char"/>
    <w:autoRedefine/>
    <w:qFormat/>
    <w:rsid w:val="00640C1B"/>
    <w:pPr>
      <w:ind w:left="1440" w:hanging="1440"/>
    </w:pPr>
    <w:rPr>
      <w:lang w:eastAsia="en-US"/>
    </w:rPr>
  </w:style>
  <w:style w:type="paragraph" w:styleId="TableofFigures">
    <w:name w:val="table of figures"/>
    <w:aliases w:val="Table or Figures"/>
    <w:basedOn w:val="APAPar"/>
    <w:next w:val="Normal"/>
    <w:autoRedefine/>
    <w:uiPriority w:val="99"/>
    <w:unhideWhenUsed/>
    <w:rsid w:val="00856CAA"/>
    <w:pPr>
      <w:tabs>
        <w:tab w:val="left" w:pos="7938"/>
      </w:tabs>
      <w:spacing w:line="360" w:lineRule="auto"/>
      <w:ind w:left="1051" w:right="0" w:hanging="1051"/>
    </w:pPr>
  </w:style>
  <w:style w:type="character" w:styleId="Hyperlink">
    <w:name w:val="Hyperlink"/>
    <w:basedOn w:val="DefaultParagraphFont"/>
    <w:uiPriority w:val="99"/>
    <w:unhideWhenUsed/>
    <w:rsid w:val="000D5418"/>
    <w:rPr>
      <w:color w:val="0000FF" w:themeColor="hyperlink"/>
      <w:u w:val="single"/>
    </w:rPr>
  </w:style>
  <w:style w:type="paragraph" w:styleId="Header">
    <w:name w:val="header"/>
    <w:basedOn w:val="Normal"/>
    <w:link w:val="HeaderChar"/>
    <w:uiPriority w:val="99"/>
    <w:unhideWhenUsed/>
    <w:rsid w:val="00246C30"/>
    <w:pPr>
      <w:tabs>
        <w:tab w:val="center" w:pos="4320"/>
        <w:tab w:val="right" w:pos="8640"/>
      </w:tabs>
    </w:pPr>
  </w:style>
  <w:style w:type="character" w:customStyle="1" w:styleId="HeaderChar">
    <w:name w:val="Header Char"/>
    <w:basedOn w:val="DefaultParagraphFont"/>
    <w:link w:val="Header"/>
    <w:uiPriority w:val="99"/>
    <w:rsid w:val="00246C30"/>
    <w:rPr>
      <w:sz w:val="24"/>
      <w:szCs w:val="24"/>
      <w:lang w:val="en-GB"/>
    </w:rPr>
  </w:style>
  <w:style w:type="paragraph" w:styleId="Footer">
    <w:name w:val="footer"/>
    <w:basedOn w:val="Normal"/>
    <w:link w:val="FooterChar"/>
    <w:uiPriority w:val="99"/>
    <w:unhideWhenUsed/>
    <w:rsid w:val="00246C30"/>
    <w:pPr>
      <w:tabs>
        <w:tab w:val="center" w:pos="4320"/>
        <w:tab w:val="right" w:pos="8640"/>
      </w:tabs>
    </w:pPr>
  </w:style>
  <w:style w:type="character" w:customStyle="1" w:styleId="FooterChar">
    <w:name w:val="Footer Char"/>
    <w:basedOn w:val="DefaultParagraphFont"/>
    <w:link w:val="Footer"/>
    <w:uiPriority w:val="99"/>
    <w:rsid w:val="00246C30"/>
    <w:rPr>
      <w:sz w:val="24"/>
      <w:szCs w:val="24"/>
      <w:lang w:val="en-GB"/>
    </w:rPr>
  </w:style>
  <w:style w:type="character" w:styleId="PageNumber">
    <w:name w:val="page number"/>
    <w:basedOn w:val="DefaultParagraphFont"/>
    <w:uiPriority w:val="99"/>
    <w:semiHidden/>
    <w:unhideWhenUsed/>
    <w:rsid w:val="00C24EB6"/>
  </w:style>
  <w:style w:type="character" w:customStyle="1" w:styleId="Heading0Char">
    <w:name w:val="Heading 0 Char"/>
    <w:basedOn w:val="Heading1Char"/>
    <w:link w:val="Heading0"/>
    <w:rsid w:val="00640C1B"/>
    <w:rPr>
      <w:rFonts w:ascii="Times New Roman" w:eastAsiaTheme="majorEastAsia" w:hAnsi="Times New Roman" w:cstheme="majorBidi"/>
      <w:b/>
      <w:bCs/>
      <w:szCs w:val="32"/>
      <w:lang w:val="en-GB" w:eastAsia="en-US"/>
    </w:rPr>
  </w:style>
  <w:style w:type="character" w:styleId="FollowedHyperlink">
    <w:name w:val="FollowedHyperlink"/>
    <w:basedOn w:val="DefaultParagraphFont"/>
    <w:uiPriority w:val="99"/>
    <w:semiHidden/>
    <w:unhideWhenUsed/>
    <w:rsid w:val="00AC0555"/>
    <w:rPr>
      <w:color w:val="800080" w:themeColor="followedHyperlink"/>
      <w:u w:val="single"/>
    </w:rPr>
  </w:style>
  <w:style w:type="paragraph" w:styleId="BalloonText">
    <w:name w:val="Balloon Text"/>
    <w:basedOn w:val="Normal"/>
    <w:link w:val="BalloonTextChar"/>
    <w:uiPriority w:val="99"/>
    <w:semiHidden/>
    <w:unhideWhenUsed/>
    <w:rsid w:val="00576F9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6F9B"/>
    <w:rPr>
      <w:rFonts w:ascii="Lucida Grande" w:hAnsi="Lucida Grande" w:cs="Lucida Grande"/>
      <w:sz w:val="18"/>
      <w:szCs w:val="18"/>
      <w:lang w:val="en-GB"/>
    </w:rPr>
  </w:style>
  <w:style w:type="character" w:styleId="BookTitle">
    <w:name w:val="Book Title"/>
    <w:uiPriority w:val="33"/>
    <w:rsid w:val="008F1C88"/>
  </w:style>
  <w:style w:type="character" w:styleId="Emphasis">
    <w:name w:val="Emphasis"/>
    <w:aliases w:val="CustQuote"/>
    <w:basedOn w:val="DefaultParagraphFont"/>
    <w:uiPriority w:val="20"/>
    <w:qFormat/>
    <w:rsid w:val="006B3C9D"/>
    <w:rPr>
      <w:lang w:val="en-US"/>
    </w:rPr>
  </w:style>
  <w:style w:type="paragraph" w:styleId="Quote">
    <w:name w:val="Quote"/>
    <w:basedOn w:val="Normal"/>
    <w:next w:val="Normal"/>
    <w:link w:val="QuoteChar"/>
    <w:uiPriority w:val="29"/>
    <w:rsid w:val="0037363F"/>
    <w:pPr>
      <w:spacing w:after="200" w:line="276" w:lineRule="auto"/>
    </w:pPr>
    <w:rPr>
      <w:rFonts w:eastAsiaTheme="minorHAnsi"/>
      <w:i/>
      <w:iCs/>
      <w:color w:val="000000" w:themeColor="text1"/>
      <w:sz w:val="22"/>
      <w:szCs w:val="22"/>
      <w:lang w:val="en-US" w:eastAsia="en-US"/>
    </w:rPr>
  </w:style>
  <w:style w:type="character" w:customStyle="1" w:styleId="QuoteChar">
    <w:name w:val="Quote Char"/>
    <w:basedOn w:val="DefaultParagraphFont"/>
    <w:link w:val="Quote"/>
    <w:uiPriority w:val="29"/>
    <w:rsid w:val="0037363F"/>
    <w:rPr>
      <w:rFonts w:eastAsiaTheme="minorHAnsi"/>
      <w:i/>
      <w:iCs/>
      <w:color w:val="000000" w:themeColor="text1"/>
      <w:sz w:val="22"/>
      <w:szCs w:val="22"/>
      <w:lang w:eastAsia="en-US"/>
    </w:rPr>
  </w:style>
  <w:style w:type="numbering" w:customStyle="1" w:styleId="NoList1">
    <w:name w:val="No List1"/>
    <w:next w:val="NoList"/>
    <w:uiPriority w:val="99"/>
    <w:semiHidden/>
    <w:unhideWhenUsed/>
    <w:rsid w:val="00656481"/>
  </w:style>
  <w:style w:type="paragraph" w:styleId="TOC1">
    <w:name w:val="toc 1"/>
    <w:basedOn w:val="Normal"/>
    <w:next w:val="Normal"/>
    <w:autoRedefine/>
    <w:uiPriority w:val="39"/>
    <w:unhideWhenUsed/>
    <w:rsid w:val="002B6871"/>
    <w:pPr>
      <w:tabs>
        <w:tab w:val="right" w:leader="dot" w:pos="9017"/>
      </w:tabs>
      <w:spacing w:before="120"/>
      <w:ind w:left="851" w:hanging="851"/>
    </w:pPr>
    <w:rPr>
      <w:b/>
      <w:sz w:val="22"/>
      <w:szCs w:val="22"/>
    </w:rPr>
  </w:style>
  <w:style w:type="paragraph" w:styleId="TOC2">
    <w:name w:val="toc 2"/>
    <w:basedOn w:val="Normal"/>
    <w:next w:val="Normal"/>
    <w:autoRedefine/>
    <w:uiPriority w:val="39"/>
    <w:unhideWhenUsed/>
    <w:rsid w:val="00656481"/>
    <w:pPr>
      <w:ind w:left="240"/>
    </w:pPr>
    <w:rPr>
      <w:i/>
      <w:sz w:val="22"/>
      <w:szCs w:val="22"/>
    </w:rPr>
  </w:style>
  <w:style w:type="paragraph" w:styleId="TOC3">
    <w:name w:val="toc 3"/>
    <w:basedOn w:val="Normal"/>
    <w:next w:val="Normal"/>
    <w:autoRedefine/>
    <w:uiPriority w:val="39"/>
    <w:unhideWhenUsed/>
    <w:rsid w:val="00656481"/>
    <w:pPr>
      <w:ind w:left="480"/>
    </w:pPr>
    <w:rPr>
      <w:sz w:val="22"/>
      <w:szCs w:val="22"/>
    </w:rPr>
  </w:style>
  <w:style w:type="paragraph" w:styleId="TOC4">
    <w:name w:val="toc 4"/>
    <w:basedOn w:val="Normal"/>
    <w:next w:val="Normal"/>
    <w:autoRedefine/>
    <w:uiPriority w:val="39"/>
    <w:unhideWhenUsed/>
    <w:rsid w:val="00656481"/>
    <w:pPr>
      <w:ind w:left="720"/>
    </w:pPr>
    <w:rPr>
      <w:sz w:val="20"/>
      <w:szCs w:val="20"/>
    </w:rPr>
  </w:style>
  <w:style w:type="paragraph" w:styleId="TOC5">
    <w:name w:val="toc 5"/>
    <w:basedOn w:val="Normal"/>
    <w:next w:val="Normal"/>
    <w:autoRedefine/>
    <w:uiPriority w:val="39"/>
    <w:unhideWhenUsed/>
    <w:rsid w:val="00656481"/>
    <w:pPr>
      <w:ind w:left="960"/>
    </w:pPr>
    <w:rPr>
      <w:sz w:val="20"/>
      <w:szCs w:val="20"/>
    </w:rPr>
  </w:style>
  <w:style w:type="paragraph" w:styleId="TOC6">
    <w:name w:val="toc 6"/>
    <w:basedOn w:val="Normal"/>
    <w:next w:val="Normal"/>
    <w:autoRedefine/>
    <w:uiPriority w:val="39"/>
    <w:unhideWhenUsed/>
    <w:rsid w:val="00656481"/>
    <w:pPr>
      <w:ind w:left="1200"/>
    </w:pPr>
    <w:rPr>
      <w:sz w:val="20"/>
      <w:szCs w:val="20"/>
    </w:rPr>
  </w:style>
  <w:style w:type="paragraph" w:styleId="TOC7">
    <w:name w:val="toc 7"/>
    <w:basedOn w:val="Normal"/>
    <w:next w:val="Normal"/>
    <w:autoRedefine/>
    <w:uiPriority w:val="39"/>
    <w:unhideWhenUsed/>
    <w:rsid w:val="00656481"/>
    <w:pPr>
      <w:ind w:left="1440"/>
    </w:pPr>
    <w:rPr>
      <w:sz w:val="20"/>
      <w:szCs w:val="20"/>
    </w:rPr>
  </w:style>
  <w:style w:type="paragraph" w:styleId="TOC8">
    <w:name w:val="toc 8"/>
    <w:basedOn w:val="Normal"/>
    <w:next w:val="Normal"/>
    <w:autoRedefine/>
    <w:uiPriority w:val="39"/>
    <w:unhideWhenUsed/>
    <w:rsid w:val="00656481"/>
    <w:pPr>
      <w:ind w:left="1680"/>
    </w:pPr>
    <w:rPr>
      <w:sz w:val="20"/>
      <w:szCs w:val="20"/>
    </w:rPr>
  </w:style>
  <w:style w:type="paragraph" w:styleId="TOC9">
    <w:name w:val="toc 9"/>
    <w:basedOn w:val="Normal"/>
    <w:next w:val="Normal"/>
    <w:autoRedefine/>
    <w:uiPriority w:val="39"/>
    <w:unhideWhenUsed/>
    <w:rsid w:val="00656481"/>
    <w:pPr>
      <w:ind w:left="1920"/>
    </w:pPr>
    <w:rPr>
      <w:sz w:val="20"/>
      <w:szCs w:val="20"/>
    </w:rPr>
  </w:style>
  <w:style w:type="table" w:customStyle="1" w:styleId="TableGrid1">
    <w:name w:val="Table Grid1"/>
    <w:basedOn w:val="TableNormal"/>
    <w:next w:val="TableGrid"/>
    <w:uiPriority w:val="59"/>
    <w:rsid w:val="006564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APAPar"/>
    <w:next w:val="Normal"/>
    <w:uiPriority w:val="39"/>
    <w:unhideWhenUsed/>
    <w:qFormat/>
    <w:rsid w:val="00C727E3"/>
  </w:style>
  <w:style w:type="paragraph" w:styleId="ListParagraph">
    <w:name w:val="List Paragraph"/>
    <w:basedOn w:val="Normal"/>
    <w:uiPriority w:val="99"/>
    <w:qFormat/>
    <w:rsid w:val="00656481"/>
    <w:pPr>
      <w:spacing w:after="200" w:line="276" w:lineRule="auto"/>
      <w:ind w:left="720"/>
      <w:contextualSpacing/>
    </w:pPr>
    <w:rPr>
      <w:rFonts w:eastAsia="Calibri"/>
      <w:sz w:val="22"/>
      <w:szCs w:val="22"/>
      <w:lang w:val="en-US" w:eastAsia="en-US"/>
    </w:rPr>
  </w:style>
  <w:style w:type="character" w:styleId="IntenseEmphasis">
    <w:name w:val="Intense Emphasis"/>
    <w:aliases w:val="Table Title"/>
    <w:basedOn w:val="APAParChar"/>
    <w:uiPriority w:val="21"/>
    <w:qFormat/>
    <w:rsid w:val="009A7DB2"/>
    <w:rPr>
      <w:rFonts w:ascii="Times New Roman" w:eastAsia="Calibri" w:hAnsi="Times New Roman" w:cs="Times New Roman"/>
      <w:color w:val="000000"/>
      <w:szCs w:val="20"/>
      <w:lang w:val="en-GB"/>
    </w:rPr>
  </w:style>
  <w:style w:type="table" w:styleId="TableGrid">
    <w:name w:val="Table Grid"/>
    <w:basedOn w:val="TableNormal"/>
    <w:uiPriority w:val="59"/>
    <w:rsid w:val="006564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647651"/>
    <w:rPr>
      <w:rFonts w:cs="Times New Roman"/>
      <w:sz w:val="16"/>
      <w:szCs w:val="16"/>
    </w:rPr>
  </w:style>
  <w:style w:type="paragraph" w:styleId="CommentText">
    <w:name w:val="annotation text"/>
    <w:basedOn w:val="Normal"/>
    <w:link w:val="CommentTextChar"/>
    <w:uiPriority w:val="99"/>
    <w:semiHidden/>
    <w:rsid w:val="00647651"/>
    <w:pPr>
      <w:ind w:firstLine="720"/>
    </w:pPr>
    <w:rPr>
      <w:rFonts w:ascii="Cambria" w:eastAsia="Times New Roman" w:hAnsi="Cambria" w:cs="Times New Roman"/>
      <w:sz w:val="20"/>
      <w:szCs w:val="20"/>
    </w:rPr>
  </w:style>
  <w:style w:type="character" w:customStyle="1" w:styleId="CommentTextChar">
    <w:name w:val="Comment Text Char"/>
    <w:basedOn w:val="DefaultParagraphFont"/>
    <w:link w:val="CommentText"/>
    <w:uiPriority w:val="99"/>
    <w:semiHidden/>
    <w:rsid w:val="00647651"/>
    <w:rPr>
      <w:rFonts w:ascii="Cambria" w:eastAsia="Times New Roman" w:hAnsi="Cambria" w:cs="Times New Roman"/>
      <w:lang w:val="en-GB"/>
    </w:rPr>
  </w:style>
  <w:style w:type="numbering" w:customStyle="1" w:styleId="NoList2">
    <w:name w:val="No List2"/>
    <w:next w:val="NoList"/>
    <w:uiPriority w:val="99"/>
    <w:semiHidden/>
    <w:unhideWhenUsed/>
    <w:rsid w:val="00C17B87"/>
  </w:style>
  <w:style w:type="table" w:customStyle="1" w:styleId="TableGrid2">
    <w:name w:val="Table Grid2"/>
    <w:basedOn w:val="TableNormal"/>
    <w:next w:val="TableGrid"/>
    <w:uiPriority w:val="99"/>
    <w:rsid w:val="00C17B87"/>
    <w:rPr>
      <w:rFonts w:ascii="Cambria" w:eastAsia="Times New Roman" w:hAnsi="Cambria"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rsid w:val="00C17B87"/>
    <w:pPr>
      <w:spacing w:line="480" w:lineRule="auto"/>
    </w:pPr>
    <w:rPr>
      <w:rFonts w:ascii="Times New Roman" w:hAnsi="Times New Roman"/>
      <w:b/>
      <w:bCs/>
      <w:color w:val="000000"/>
      <w:lang w:val="en-US" w:eastAsia="en-US"/>
    </w:rPr>
  </w:style>
  <w:style w:type="character" w:customStyle="1" w:styleId="CommentSubjectChar">
    <w:name w:val="Comment Subject Char"/>
    <w:basedOn w:val="CommentTextChar"/>
    <w:link w:val="CommentSubject"/>
    <w:uiPriority w:val="99"/>
    <w:semiHidden/>
    <w:rsid w:val="00C17B87"/>
    <w:rPr>
      <w:rFonts w:ascii="Times New Roman" w:eastAsia="Times New Roman" w:hAnsi="Times New Roman" w:cs="Times New Roman"/>
      <w:b/>
      <w:bCs/>
      <w:color w:val="000000"/>
      <w:lang w:val="en-GB" w:eastAsia="en-US"/>
    </w:rPr>
  </w:style>
  <w:style w:type="table" w:customStyle="1" w:styleId="TableGrid21">
    <w:name w:val="Table Grid21"/>
    <w:basedOn w:val="TableNormal"/>
    <w:next w:val="TableGrid"/>
    <w:uiPriority w:val="59"/>
    <w:rsid w:val="00C17B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C17B87"/>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B70295"/>
  </w:style>
  <w:style w:type="table" w:customStyle="1" w:styleId="TableGrid4">
    <w:name w:val="Table Grid4"/>
    <w:basedOn w:val="TableNormal"/>
    <w:next w:val="TableGrid"/>
    <w:uiPriority w:val="59"/>
    <w:rsid w:val="00B70295"/>
    <w:rPr>
      <w:rFonts w:eastAsia="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E54F40"/>
    <w:pPr>
      <w:spacing w:before="480" w:line="276" w:lineRule="auto"/>
      <w:outlineLvl w:val="9"/>
    </w:pPr>
    <w:rPr>
      <w:rFonts w:asciiTheme="majorHAnsi" w:hAnsiTheme="majorHAnsi"/>
      <w:color w:val="365F91" w:themeColor="accent1" w:themeShade="BF"/>
      <w:sz w:val="28"/>
      <w:szCs w:val="28"/>
      <w:lang w:val="en-US" w:eastAsia="en-US"/>
    </w:rPr>
  </w:style>
  <w:style w:type="paragraph" w:styleId="BodyText2">
    <w:name w:val="Body Text 2"/>
    <w:basedOn w:val="Normal"/>
    <w:link w:val="BodyText2Char"/>
    <w:uiPriority w:val="99"/>
    <w:semiHidden/>
    <w:unhideWhenUsed/>
    <w:rsid w:val="009E4250"/>
    <w:pPr>
      <w:spacing w:after="120" w:line="480" w:lineRule="auto"/>
    </w:pPr>
    <w:rPr>
      <w:rFonts w:eastAsiaTheme="minorHAnsi"/>
      <w:sz w:val="22"/>
      <w:szCs w:val="22"/>
      <w:lang w:val="en-US" w:eastAsia="en-US"/>
    </w:rPr>
  </w:style>
  <w:style w:type="character" w:customStyle="1" w:styleId="BodyText2Char">
    <w:name w:val="Body Text 2 Char"/>
    <w:basedOn w:val="DefaultParagraphFont"/>
    <w:link w:val="BodyText2"/>
    <w:uiPriority w:val="99"/>
    <w:semiHidden/>
    <w:rsid w:val="009E4250"/>
    <w:rPr>
      <w:rFonts w:eastAsiaTheme="minorHAnsi"/>
      <w:sz w:val="22"/>
      <w:szCs w:val="22"/>
      <w:lang w:eastAsia="en-US"/>
    </w:rPr>
  </w:style>
  <w:style w:type="paragraph" w:styleId="NormalWeb">
    <w:name w:val="Normal (Web)"/>
    <w:basedOn w:val="Normal"/>
    <w:uiPriority w:val="99"/>
    <w:semiHidden/>
    <w:unhideWhenUsed/>
    <w:rsid w:val="001A486F"/>
    <w:rPr>
      <w:rFonts w:ascii="Times New Roman" w:hAnsi="Times New Roman" w:cs="Times New Roman"/>
    </w:rPr>
  </w:style>
  <w:style w:type="character" w:customStyle="1" w:styleId="apple-converted-space">
    <w:name w:val="apple-converted-space"/>
    <w:basedOn w:val="DefaultParagraphFont"/>
    <w:rsid w:val="00AC6345"/>
  </w:style>
  <w:style w:type="paragraph" w:styleId="DocumentMap">
    <w:name w:val="Document Map"/>
    <w:basedOn w:val="Normal"/>
    <w:link w:val="DocumentMapChar"/>
    <w:uiPriority w:val="99"/>
    <w:semiHidden/>
    <w:unhideWhenUsed/>
    <w:rsid w:val="00D71D84"/>
    <w:rPr>
      <w:rFonts w:ascii="Times New Roman" w:hAnsi="Times New Roman" w:cs="Times New Roman"/>
    </w:rPr>
  </w:style>
  <w:style w:type="character" w:customStyle="1" w:styleId="DocumentMapChar">
    <w:name w:val="Document Map Char"/>
    <w:basedOn w:val="DefaultParagraphFont"/>
    <w:link w:val="DocumentMap"/>
    <w:uiPriority w:val="99"/>
    <w:semiHidden/>
    <w:rsid w:val="00D71D84"/>
    <w:rPr>
      <w:rFonts w:ascii="Times New Roman" w:hAnsi="Times New Roman" w:cs="Times New Roman"/>
      <w:lang w:val="en-GB"/>
    </w:rPr>
  </w:style>
  <w:style w:type="paragraph" w:customStyle="1" w:styleId="p1">
    <w:name w:val="p1"/>
    <w:basedOn w:val="Normal"/>
    <w:rsid w:val="00AB099B"/>
    <w:rPr>
      <w:rFonts w:ascii="Helvetica" w:hAnsi="Helvetica" w:cs="Times New Roman"/>
      <w:sz w:val="18"/>
      <w:szCs w:val="18"/>
      <w:lang w:eastAsia="en-GB"/>
    </w:rPr>
  </w:style>
  <w:style w:type="character" w:customStyle="1" w:styleId="apple-tab-span">
    <w:name w:val="apple-tab-span"/>
    <w:basedOn w:val="DefaultParagraphFont"/>
    <w:rsid w:val="00F9025A"/>
  </w:style>
  <w:style w:type="character" w:customStyle="1" w:styleId="UnresolvedMention1">
    <w:name w:val="Unresolved Mention1"/>
    <w:basedOn w:val="DefaultParagraphFont"/>
    <w:uiPriority w:val="99"/>
    <w:semiHidden/>
    <w:unhideWhenUsed/>
    <w:rsid w:val="00904AD9"/>
    <w:rPr>
      <w:color w:val="808080"/>
      <w:shd w:val="clear" w:color="auto" w:fill="E6E6E6"/>
    </w:rPr>
  </w:style>
  <w:style w:type="character" w:customStyle="1" w:styleId="UnresolvedMention2">
    <w:name w:val="Unresolved Mention2"/>
    <w:basedOn w:val="DefaultParagraphFont"/>
    <w:uiPriority w:val="99"/>
    <w:semiHidden/>
    <w:unhideWhenUsed/>
    <w:rsid w:val="00435736"/>
    <w:rPr>
      <w:color w:val="808080"/>
      <w:shd w:val="clear" w:color="auto" w:fill="E6E6E6"/>
    </w:rPr>
  </w:style>
  <w:style w:type="character" w:customStyle="1" w:styleId="UnresolvedMention3">
    <w:name w:val="Unresolved Mention3"/>
    <w:basedOn w:val="DefaultParagraphFont"/>
    <w:uiPriority w:val="99"/>
    <w:semiHidden/>
    <w:unhideWhenUsed/>
    <w:rsid w:val="00E744CA"/>
    <w:rPr>
      <w:color w:val="808080"/>
      <w:shd w:val="clear" w:color="auto" w:fill="E6E6E6"/>
    </w:rPr>
  </w:style>
  <w:style w:type="character" w:customStyle="1" w:styleId="UnresolvedMention4">
    <w:name w:val="Unresolved Mention4"/>
    <w:basedOn w:val="DefaultParagraphFont"/>
    <w:uiPriority w:val="99"/>
    <w:semiHidden/>
    <w:unhideWhenUsed/>
    <w:rsid w:val="00EC5755"/>
    <w:rPr>
      <w:color w:val="808080"/>
      <w:shd w:val="clear" w:color="auto" w:fill="E6E6E6"/>
    </w:rPr>
  </w:style>
  <w:style w:type="character" w:customStyle="1" w:styleId="UnresolvedMention5">
    <w:name w:val="Unresolved Mention5"/>
    <w:basedOn w:val="DefaultParagraphFont"/>
    <w:uiPriority w:val="99"/>
    <w:semiHidden/>
    <w:unhideWhenUsed/>
    <w:rsid w:val="00BB641A"/>
    <w:rPr>
      <w:color w:val="808080"/>
      <w:shd w:val="clear" w:color="auto" w:fill="E6E6E6"/>
    </w:rPr>
  </w:style>
  <w:style w:type="paragraph" w:styleId="Revision">
    <w:name w:val="Revision"/>
    <w:hidden/>
    <w:uiPriority w:val="99"/>
    <w:semiHidden/>
    <w:rsid w:val="00A829CB"/>
    <w:rPr>
      <w:lang w:val="en-GB"/>
    </w:rPr>
  </w:style>
  <w:style w:type="character" w:customStyle="1" w:styleId="UnresolvedMention6">
    <w:name w:val="Unresolved Mention6"/>
    <w:basedOn w:val="DefaultParagraphFont"/>
    <w:uiPriority w:val="99"/>
    <w:semiHidden/>
    <w:unhideWhenUsed/>
    <w:rsid w:val="00A829CB"/>
    <w:rPr>
      <w:color w:val="808080"/>
      <w:shd w:val="clear" w:color="auto" w:fill="E6E6E6"/>
    </w:rPr>
  </w:style>
  <w:style w:type="character" w:customStyle="1" w:styleId="UnresolvedMention">
    <w:name w:val="Unresolved Mention"/>
    <w:basedOn w:val="DefaultParagraphFont"/>
    <w:uiPriority w:val="99"/>
    <w:semiHidden/>
    <w:unhideWhenUsed/>
    <w:rsid w:val="0071005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29037">
      <w:bodyDiv w:val="1"/>
      <w:marLeft w:val="0"/>
      <w:marRight w:val="0"/>
      <w:marTop w:val="0"/>
      <w:marBottom w:val="0"/>
      <w:divBdr>
        <w:top w:val="none" w:sz="0" w:space="0" w:color="auto"/>
        <w:left w:val="none" w:sz="0" w:space="0" w:color="auto"/>
        <w:bottom w:val="none" w:sz="0" w:space="0" w:color="auto"/>
        <w:right w:val="none" w:sz="0" w:space="0" w:color="auto"/>
      </w:divBdr>
    </w:div>
    <w:div w:id="10306278">
      <w:bodyDiv w:val="1"/>
      <w:marLeft w:val="0"/>
      <w:marRight w:val="0"/>
      <w:marTop w:val="0"/>
      <w:marBottom w:val="0"/>
      <w:divBdr>
        <w:top w:val="none" w:sz="0" w:space="0" w:color="auto"/>
        <w:left w:val="none" w:sz="0" w:space="0" w:color="auto"/>
        <w:bottom w:val="none" w:sz="0" w:space="0" w:color="auto"/>
        <w:right w:val="none" w:sz="0" w:space="0" w:color="auto"/>
      </w:divBdr>
    </w:div>
    <w:div w:id="17707976">
      <w:bodyDiv w:val="1"/>
      <w:marLeft w:val="0"/>
      <w:marRight w:val="0"/>
      <w:marTop w:val="0"/>
      <w:marBottom w:val="0"/>
      <w:divBdr>
        <w:top w:val="none" w:sz="0" w:space="0" w:color="auto"/>
        <w:left w:val="none" w:sz="0" w:space="0" w:color="auto"/>
        <w:bottom w:val="none" w:sz="0" w:space="0" w:color="auto"/>
        <w:right w:val="none" w:sz="0" w:space="0" w:color="auto"/>
      </w:divBdr>
    </w:div>
    <w:div w:id="25836052">
      <w:bodyDiv w:val="1"/>
      <w:marLeft w:val="0"/>
      <w:marRight w:val="0"/>
      <w:marTop w:val="0"/>
      <w:marBottom w:val="0"/>
      <w:divBdr>
        <w:top w:val="none" w:sz="0" w:space="0" w:color="auto"/>
        <w:left w:val="none" w:sz="0" w:space="0" w:color="auto"/>
        <w:bottom w:val="none" w:sz="0" w:space="0" w:color="auto"/>
        <w:right w:val="none" w:sz="0" w:space="0" w:color="auto"/>
      </w:divBdr>
    </w:div>
    <w:div w:id="29958884">
      <w:bodyDiv w:val="1"/>
      <w:marLeft w:val="0"/>
      <w:marRight w:val="0"/>
      <w:marTop w:val="0"/>
      <w:marBottom w:val="0"/>
      <w:divBdr>
        <w:top w:val="none" w:sz="0" w:space="0" w:color="auto"/>
        <w:left w:val="none" w:sz="0" w:space="0" w:color="auto"/>
        <w:bottom w:val="none" w:sz="0" w:space="0" w:color="auto"/>
        <w:right w:val="none" w:sz="0" w:space="0" w:color="auto"/>
      </w:divBdr>
    </w:div>
    <w:div w:id="30349679">
      <w:bodyDiv w:val="1"/>
      <w:marLeft w:val="0"/>
      <w:marRight w:val="0"/>
      <w:marTop w:val="0"/>
      <w:marBottom w:val="0"/>
      <w:divBdr>
        <w:top w:val="none" w:sz="0" w:space="0" w:color="auto"/>
        <w:left w:val="none" w:sz="0" w:space="0" w:color="auto"/>
        <w:bottom w:val="none" w:sz="0" w:space="0" w:color="auto"/>
        <w:right w:val="none" w:sz="0" w:space="0" w:color="auto"/>
      </w:divBdr>
    </w:div>
    <w:div w:id="40138198">
      <w:bodyDiv w:val="1"/>
      <w:marLeft w:val="0"/>
      <w:marRight w:val="0"/>
      <w:marTop w:val="0"/>
      <w:marBottom w:val="0"/>
      <w:divBdr>
        <w:top w:val="none" w:sz="0" w:space="0" w:color="auto"/>
        <w:left w:val="none" w:sz="0" w:space="0" w:color="auto"/>
        <w:bottom w:val="none" w:sz="0" w:space="0" w:color="auto"/>
        <w:right w:val="none" w:sz="0" w:space="0" w:color="auto"/>
      </w:divBdr>
    </w:div>
    <w:div w:id="42294635">
      <w:bodyDiv w:val="1"/>
      <w:marLeft w:val="0"/>
      <w:marRight w:val="0"/>
      <w:marTop w:val="0"/>
      <w:marBottom w:val="0"/>
      <w:divBdr>
        <w:top w:val="none" w:sz="0" w:space="0" w:color="auto"/>
        <w:left w:val="none" w:sz="0" w:space="0" w:color="auto"/>
        <w:bottom w:val="none" w:sz="0" w:space="0" w:color="auto"/>
        <w:right w:val="none" w:sz="0" w:space="0" w:color="auto"/>
      </w:divBdr>
    </w:div>
    <w:div w:id="48303660">
      <w:bodyDiv w:val="1"/>
      <w:marLeft w:val="0"/>
      <w:marRight w:val="0"/>
      <w:marTop w:val="0"/>
      <w:marBottom w:val="0"/>
      <w:divBdr>
        <w:top w:val="none" w:sz="0" w:space="0" w:color="auto"/>
        <w:left w:val="none" w:sz="0" w:space="0" w:color="auto"/>
        <w:bottom w:val="none" w:sz="0" w:space="0" w:color="auto"/>
        <w:right w:val="none" w:sz="0" w:space="0" w:color="auto"/>
      </w:divBdr>
    </w:div>
    <w:div w:id="50933838">
      <w:bodyDiv w:val="1"/>
      <w:marLeft w:val="0"/>
      <w:marRight w:val="0"/>
      <w:marTop w:val="0"/>
      <w:marBottom w:val="0"/>
      <w:divBdr>
        <w:top w:val="none" w:sz="0" w:space="0" w:color="auto"/>
        <w:left w:val="none" w:sz="0" w:space="0" w:color="auto"/>
        <w:bottom w:val="none" w:sz="0" w:space="0" w:color="auto"/>
        <w:right w:val="none" w:sz="0" w:space="0" w:color="auto"/>
      </w:divBdr>
    </w:div>
    <w:div w:id="56323221">
      <w:bodyDiv w:val="1"/>
      <w:marLeft w:val="0"/>
      <w:marRight w:val="0"/>
      <w:marTop w:val="0"/>
      <w:marBottom w:val="0"/>
      <w:divBdr>
        <w:top w:val="none" w:sz="0" w:space="0" w:color="auto"/>
        <w:left w:val="none" w:sz="0" w:space="0" w:color="auto"/>
        <w:bottom w:val="none" w:sz="0" w:space="0" w:color="auto"/>
        <w:right w:val="none" w:sz="0" w:space="0" w:color="auto"/>
      </w:divBdr>
    </w:div>
    <w:div w:id="61149548">
      <w:bodyDiv w:val="1"/>
      <w:marLeft w:val="0"/>
      <w:marRight w:val="0"/>
      <w:marTop w:val="0"/>
      <w:marBottom w:val="0"/>
      <w:divBdr>
        <w:top w:val="none" w:sz="0" w:space="0" w:color="auto"/>
        <w:left w:val="none" w:sz="0" w:space="0" w:color="auto"/>
        <w:bottom w:val="none" w:sz="0" w:space="0" w:color="auto"/>
        <w:right w:val="none" w:sz="0" w:space="0" w:color="auto"/>
      </w:divBdr>
    </w:div>
    <w:div w:id="63375932">
      <w:bodyDiv w:val="1"/>
      <w:marLeft w:val="0"/>
      <w:marRight w:val="0"/>
      <w:marTop w:val="0"/>
      <w:marBottom w:val="0"/>
      <w:divBdr>
        <w:top w:val="none" w:sz="0" w:space="0" w:color="auto"/>
        <w:left w:val="none" w:sz="0" w:space="0" w:color="auto"/>
        <w:bottom w:val="none" w:sz="0" w:space="0" w:color="auto"/>
        <w:right w:val="none" w:sz="0" w:space="0" w:color="auto"/>
      </w:divBdr>
    </w:div>
    <w:div w:id="66146807">
      <w:bodyDiv w:val="1"/>
      <w:marLeft w:val="0"/>
      <w:marRight w:val="0"/>
      <w:marTop w:val="0"/>
      <w:marBottom w:val="0"/>
      <w:divBdr>
        <w:top w:val="none" w:sz="0" w:space="0" w:color="auto"/>
        <w:left w:val="none" w:sz="0" w:space="0" w:color="auto"/>
        <w:bottom w:val="none" w:sz="0" w:space="0" w:color="auto"/>
        <w:right w:val="none" w:sz="0" w:space="0" w:color="auto"/>
      </w:divBdr>
    </w:div>
    <w:div w:id="66542764">
      <w:bodyDiv w:val="1"/>
      <w:marLeft w:val="0"/>
      <w:marRight w:val="0"/>
      <w:marTop w:val="0"/>
      <w:marBottom w:val="0"/>
      <w:divBdr>
        <w:top w:val="none" w:sz="0" w:space="0" w:color="auto"/>
        <w:left w:val="none" w:sz="0" w:space="0" w:color="auto"/>
        <w:bottom w:val="none" w:sz="0" w:space="0" w:color="auto"/>
        <w:right w:val="none" w:sz="0" w:space="0" w:color="auto"/>
      </w:divBdr>
    </w:div>
    <w:div w:id="67119994">
      <w:bodyDiv w:val="1"/>
      <w:marLeft w:val="0"/>
      <w:marRight w:val="0"/>
      <w:marTop w:val="0"/>
      <w:marBottom w:val="0"/>
      <w:divBdr>
        <w:top w:val="none" w:sz="0" w:space="0" w:color="auto"/>
        <w:left w:val="none" w:sz="0" w:space="0" w:color="auto"/>
        <w:bottom w:val="none" w:sz="0" w:space="0" w:color="auto"/>
        <w:right w:val="none" w:sz="0" w:space="0" w:color="auto"/>
      </w:divBdr>
    </w:div>
    <w:div w:id="69890767">
      <w:bodyDiv w:val="1"/>
      <w:marLeft w:val="0"/>
      <w:marRight w:val="0"/>
      <w:marTop w:val="0"/>
      <w:marBottom w:val="0"/>
      <w:divBdr>
        <w:top w:val="none" w:sz="0" w:space="0" w:color="auto"/>
        <w:left w:val="none" w:sz="0" w:space="0" w:color="auto"/>
        <w:bottom w:val="none" w:sz="0" w:space="0" w:color="auto"/>
        <w:right w:val="none" w:sz="0" w:space="0" w:color="auto"/>
      </w:divBdr>
    </w:div>
    <w:div w:id="70976519">
      <w:bodyDiv w:val="1"/>
      <w:marLeft w:val="0"/>
      <w:marRight w:val="0"/>
      <w:marTop w:val="0"/>
      <w:marBottom w:val="0"/>
      <w:divBdr>
        <w:top w:val="none" w:sz="0" w:space="0" w:color="auto"/>
        <w:left w:val="none" w:sz="0" w:space="0" w:color="auto"/>
        <w:bottom w:val="none" w:sz="0" w:space="0" w:color="auto"/>
        <w:right w:val="none" w:sz="0" w:space="0" w:color="auto"/>
      </w:divBdr>
    </w:div>
    <w:div w:id="71200121">
      <w:bodyDiv w:val="1"/>
      <w:marLeft w:val="0"/>
      <w:marRight w:val="0"/>
      <w:marTop w:val="0"/>
      <w:marBottom w:val="0"/>
      <w:divBdr>
        <w:top w:val="none" w:sz="0" w:space="0" w:color="auto"/>
        <w:left w:val="none" w:sz="0" w:space="0" w:color="auto"/>
        <w:bottom w:val="none" w:sz="0" w:space="0" w:color="auto"/>
        <w:right w:val="none" w:sz="0" w:space="0" w:color="auto"/>
      </w:divBdr>
    </w:div>
    <w:div w:id="71661721">
      <w:bodyDiv w:val="1"/>
      <w:marLeft w:val="0"/>
      <w:marRight w:val="0"/>
      <w:marTop w:val="0"/>
      <w:marBottom w:val="0"/>
      <w:divBdr>
        <w:top w:val="none" w:sz="0" w:space="0" w:color="auto"/>
        <w:left w:val="none" w:sz="0" w:space="0" w:color="auto"/>
        <w:bottom w:val="none" w:sz="0" w:space="0" w:color="auto"/>
        <w:right w:val="none" w:sz="0" w:space="0" w:color="auto"/>
      </w:divBdr>
    </w:div>
    <w:div w:id="79373950">
      <w:bodyDiv w:val="1"/>
      <w:marLeft w:val="0"/>
      <w:marRight w:val="0"/>
      <w:marTop w:val="0"/>
      <w:marBottom w:val="0"/>
      <w:divBdr>
        <w:top w:val="none" w:sz="0" w:space="0" w:color="auto"/>
        <w:left w:val="none" w:sz="0" w:space="0" w:color="auto"/>
        <w:bottom w:val="none" w:sz="0" w:space="0" w:color="auto"/>
        <w:right w:val="none" w:sz="0" w:space="0" w:color="auto"/>
      </w:divBdr>
    </w:div>
    <w:div w:id="83041833">
      <w:bodyDiv w:val="1"/>
      <w:marLeft w:val="0"/>
      <w:marRight w:val="0"/>
      <w:marTop w:val="0"/>
      <w:marBottom w:val="0"/>
      <w:divBdr>
        <w:top w:val="none" w:sz="0" w:space="0" w:color="auto"/>
        <w:left w:val="none" w:sz="0" w:space="0" w:color="auto"/>
        <w:bottom w:val="none" w:sz="0" w:space="0" w:color="auto"/>
        <w:right w:val="none" w:sz="0" w:space="0" w:color="auto"/>
      </w:divBdr>
    </w:div>
    <w:div w:id="98837917">
      <w:bodyDiv w:val="1"/>
      <w:marLeft w:val="0"/>
      <w:marRight w:val="0"/>
      <w:marTop w:val="0"/>
      <w:marBottom w:val="0"/>
      <w:divBdr>
        <w:top w:val="none" w:sz="0" w:space="0" w:color="auto"/>
        <w:left w:val="none" w:sz="0" w:space="0" w:color="auto"/>
        <w:bottom w:val="none" w:sz="0" w:space="0" w:color="auto"/>
        <w:right w:val="none" w:sz="0" w:space="0" w:color="auto"/>
      </w:divBdr>
    </w:div>
    <w:div w:id="99224579">
      <w:bodyDiv w:val="1"/>
      <w:marLeft w:val="0"/>
      <w:marRight w:val="0"/>
      <w:marTop w:val="0"/>
      <w:marBottom w:val="0"/>
      <w:divBdr>
        <w:top w:val="none" w:sz="0" w:space="0" w:color="auto"/>
        <w:left w:val="none" w:sz="0" w:space="0" w:color="auto"/>
        <w:bottom w:val="none" w:sz="0" w:space="0" w:color="auto"/>
        <w:right w:val="none" w:sz="0" w:space="0" w:color="auto"/>
      </w:divBdr>
    </w:div>
    <w:div w:id="111751085">
      <w:bodyDiv w:val="1"/>
      <w:marLeft w:val="0"/>
      <w:marRight w:val="0"/>
      <w:marTop w:val="0"/>
      <w:marBottom w:val="0"/>
      <w:divBdr>
        <w:top w:val="none" w:sz="0" w:space="0" w:color="auto"/>
        <w:left w:val="none" w:sz="0" w:space="0" w:color="auto"/>
        <w:bottom w:val="none" w:sz="0" w:space="0" w:color="auto"/>
        <w:right w:val="none" w:sz="0" w:space="0" w:color="auto"/>
      </w:divBdr>
    </w:div>
    <w:div w:id="113330292">
      <w:bodyDiv w:val="1"/>
      <w:marLeft w:val="0"/>
      <w:marRight w:val="0"/>
      <w:marTop w:val="0"/>
      <w:marBottom w:val="0"/>
      <w:divBdr>
        <w:top w:val="none" w:sz="0" w:space="0" w:color="auto"/>
        <w:left w:val="none" w:sz="0" w:space="0" w:color="auto"/>
        <w:bottom w:val="none" w:sz="0" w:space="0" w:color="auto"/>
        <w:right w:val="none" w:sz="0" w:space="0" w:color="auto"/>
      </w:divBdr>
    </w:div>
    <w:div w:id="118572346">
      <w:bodyDiv w:val="1"/>
      <w:marLeft w:val="0"/>
      <w:marRight w:val="0"/>
      <w:marTop w:val="0"/>
      <w:marBottom w:val="0"/>
      <w:divBdr>
        <w:top w:val="none" w:sz="0" w:space="0" w:color="auto"/>
        <w:left w:val="none" w:sz="0" w:space="0" w:color="auto"/>
        <w:bottom w:val="none" w:sz="0" w:space="0" w:color="auto"/>
        <w:right w:val="none" w:sz="0" w:space="0" w:color="auto"/>
      </w:divBdr>
    </w:div>
    <w:div w:id="122888866">
      <w:bodyDiv w:val="1"/>
      <w:marLeft w:val="0"/>
      <w:marRight w:val="0"/>
      <w:marTop w:val="0"/>
      <w:marBottom w:val="0"/>
      <w:divBdr>
        <w:top w:val="none" w:sz="0" w:space="0" w:color="auto"/>
        <w:left w:val="none" w:sz="0" w:space="0" w:color="auto"/>
        <w:bottom w:val="none" w:sz="0" w:space="0" w:color="auto"/>
        <w:right w:val="none" w:sz="0" w:space="0" w:color="auto"/>
      </w:divBdr>
    </w:div>
    <w:div w:id="128401567">
      <w:bodyDiv w:val="1"/>
      <w:marLeft w:val="0"/>
      <w:marRight w:val="0"/>
      <w:marTop w:val="0"/>
      <w:marBottom w:val="0"/>
      <w:divBdr>
        <w:top w:val="none" w:sz="0" w:space="0" w:color="auto"/>
        <w:left w:val="none" w:sz="0" w:space="0" w:color="auto"/>
        <w:bottom w:val="none" w:sz="0" w:space="0" w:color="auto"/>
        <w:right w:val="none" w:sz="0" w:space="0" w:color="auto"/>
      </w:divBdr>
    </w:div>
    <w:div w:id="132917933">
      <w:bodyDiv w:val="1"/>
      <w:marLeft w:val="0"/>
      <w:marRight w:val="0"/>
      <w:marTop w:val="0"/>
      <w:marBottom w:val="0"/>
      <w:divBdr>
        <w:top w:val="none" w:sz="0" w:space="0" w:color="auto"/>
        <w:left w:val="none" w:sz="0" w:space="0" w:color="auto"/>
        <w:bottom w:val="none" w:sz="0" w:space="0" w:color="auto"/>
        <w:right w:val="none" w:sz="0" w:space="0" w:color="auto"/>
      </w:divBdr>
    </w:div>
    <w:div w:id="134371007">
      <w:bodyDiv w:val="1"/>
      <w:marLeft w:val="0"/>
      <w:marRight w:val="0"/>
      <w:marTop w:val="0"/>
      <w:marBottom w:val="0"/>
      <w:divBdr>
        <w:top w:val="none" w:sz="0" w:space="0" w:color="auto"/>
        <w:left w:val="none" w:sz="0" w:space="0" w:color="auto"/>
        <w:bottom w:val="none" w:sz="0" w:space="0" w:color="auto"/>
        <w:right w:val="none" w:sz="0" w:space="0" w:color="auto"/>
      </w:divBdr>
    </w:div>
    <w:div w:id="136992639">
      <w:bodyDiv w:val="1"/>
      <w:marLeft w:val="0"/>
      <w:marRight w:val="0"/>
      <w:marTop w:val="0"/>
      <w:marBottom w:val="0"/>
      <w:divBdr>
        <w:top w:val="none" w:sz="0" w:space="0" w:color="auto"/>
        <w:left w:val="none" w:sz="0" w:space="0" w:color="auto"/>
        <w:bottom w:val="none" w:sz="0" w:space="0" w:color="auto"/>
        <w:right w:val="none" w:sz="0" w:space="0" w:color="auto"/>
      </w:divBdr>
    </w:div>
    <w:div w:id="140587038">
      <w:bodyDiv w:val="1"/>
      <w:marLeft w:val="0"/>
      <w:marRight w:val="0"/>
      <w:marTop w:val="0"/>
      <w:marBottom w:val="0"/>
      <w:divBdr>
        <w:top w:val="none" w:sz="0" w:space="0" w:color="auto"/>
        <w:left w:val="none" w:sz="0" w:space="0" w:color="auto"/>
        <w:bottom w:val="none" w:sz="0" w:space="0" w:color="auto"/>
        <w:right w:val="none" w:sz="0" w:space="0" w:color="auto"/>
      </w:divBdr>
    </w:div>
    <w:div w:id="141628516">
      <w:bodyDiv w:val="1"/>
      <w:marLeft w:val="0"/>
      <w:marRight w:val="0"/>
      <w:marTop w:val="0"/>
      <w:marBottom w:val="0"/>
      <w:divBdr>
        <w:top w:val="none" w:sz="0" w:space="0" w:color="auto"/>
        <w:left w:val="none" w:sz="0" w:space="0" w:color="auto"/>
        <w:bottom w:val="none" w:sz="0" w:space="0" w:color="auto"/>
        <w:right w:val="none" w:sz="0" w:space="0" w:color="auto"/>
      </w:divBdr>
    </w:div>
    <w:div w:id="152916133">
      <w:bodyDiv w:val="1"/>
      <w:marLeft w:val="0"/>
      <w:marRight w:val="0"/>
      <w:marTop w:val="0"/>
      <w:marBottom w:val="0"/>
      <w:divBdr>
        <w:top w:val="none" w:sz="0" w:space="0" w:color="auto"/>
        <w:left w:val="none" w:sz="0" w:space="0" w:color="auto"/>
        <w:bottom w:val="none" w:sz="0" w:space="0" w:color="auto"/>
        <w:right w:val="none" w:sz="0" w:space="0" w:color="auto"/>
      </w:divBdr>
    </w:div>
    <w:div w:id="160586354">
      <w:bodyDiv w:val="1"/>
      <w:marLeft w:val="0"/>
      <w:marRight w:val="0"/>
      <w:marTop w:val="0"/>
      <w:marBottom w:val="0"/>
      <w:divBdr>
        <w:top w:val="none" w:sz="0" w:space="0" w:color="auto"/>
        <w:left w:val="none" w:sz="0" w:space="0" w:color="auto"/>
        <w:bottom w:val="none" w:sz="0" w:space="0" w:color="auto"/>
        <w:right w:val="none" w:sz="0" w:space="0" w:color="auto"/>
      </w:divBdr>
    </w:div>
    <w:div w:id="179516113">
      <w:bodyDiv w:val="1"/>
      <w:marLeft w:val="0"/>
      <w:marRight w:val="0"/>
      <w:marTop w:val="0"/>
      <w:marBottom w:val="0"/>
      <w:divBdr>
        <w:top w:val="none" w:sz="0" w:space="0" w:color="auto"/>
        <w:left w:val="none" w:sz="0" w:space="0" w:color="auto"/>
        <w:bottom w:val="none" w:sz="0" w:space="0" w:color="auto"/>
        <w:right w:val="none" w:sz="0" w:space="0" w:color="auto"/>
      </w:divBdr>
    </w:div>
    <w:div w:id="206770124">
      <w:bodyDiv w:val="1"/>
      <w:marLeft w:val="0"/>
      <w:marRight w:val="0"/>
      <w:marTop w:val="0"/>
      <w:marBottom w:val="0"/>
      <w:divBdr>
        <w:top w:val="none" w:sz="0" w:space="0" w:color="auto"/>
        <w:left w:val="none" w:sz="0" w:space="0" w:color="auto"/>
        <w:bottom w:val="none" w:sz="0" w:space="0" w:color="auto"/>
        <w:right w:val="none" w:sz="0" w:space="0" w:color="auto"/>
      </w:divBdr>
    </w:div>
    <w:div w:id="207689779">
      <w:bodyDiv w:val="1"/>
      <w:marLeft w:val="0"/>
      <w:marRight w:val="0"/>
      <w:marTop w:val="0"/>
      <w:marBottom w:val="0"/>
      <w:divBdr>
        <w:top w:val="none" w:sz="0" w:space="0" w:color="auto"/>
        <w:left w:val="none" w:sz="0" w:space="0" w:color="auto"/>
        <w:bottom w:val="none" w:sz="0" w:space="0" w:color="auto"/>
        <w:right w:val="none" w:sz="0" w:space="0" w:color="auto"/>
      </w:divBdr>
    </w:div>
    <w:div w:id="218439872">
      <w:bodyDiv w:val="1"/>
      <w:marLeft w:val="0"/>
      <w:marRight w:val="0"/>
      <w:marTop w:val="0"/>
      <w:marBottom w:val="0"/>
      <w:divBdr>
        <w:top w:val="none" w:sz="0" w:space="0" w:color="auto"/>
        <w:left w:val="none" w:sz="0" w:space="0" w:color="auto"/>
        <w:bottom w:val="none" w:sz="0" w:space="0" w:color="auto"/>
        <w:right w:val="none" w:sz="0" w:space="0" w:color="auto"/>
      </w:divBdr>
    </w:div>
    <w:div w:id="225801068">
      <w:bodyDiv w:val="1"/>
      <w:marLeft w:val="0"/>
      <w:marRight w:val="0"/>
      <w:marTop w:val="0"/>
      <w:marBottom w:val="0"/>
      <w:divBdr>
        <w:top w:val="none" w:sz="0" w:space="0" w:color="auto"/>
        <w:left w:val="none" w:sz="0" w:space="0" w:color="auto"/>
        <w:bottom w:val="none" w:sz="0" w:space="0" w:color="auto"/>
        <w:right w:val="none" w:sz="0" w:space="0" w:color="auto"/>
      </w:divBdr>
    </w:div>
    <w:div w:id="226838883">
      <w:bodyDiv w:val="1"/>
      <w:marLeft w:val="0"/>
      <w:marRight w:val="0"/>
      <w:marTop w:val="0"/>
      <w:marBottom w:val="0"/>
      <w:divBdr>
        <w:top w:val="none" w:sz="0" w:space="0" w:color="auto"/>
        <w:left w:val="none" w:sz="0" w:space="0" w:color="auto"/>
        <w:bottom w:val="none" w:sz="0" w:space="0" w:color="auto"/>
        <w:right w:val="none" w:sz="0" w:space="0" w:color="auto"/>
      </w:divBdr>
    </w:div>
    <w:div w:id="226916396">
      <w:bodyDiv w:val="1"/>
      <w:marLeft w:val="0"/>
      <w:marRight w:val="0"/>
      <w:marTop w:val="0"/>
      <w:marBottom w:val="0"/>
      <w:divBdr>
        <w:top w:val="none" w:sz="0" w:space="0" w:color="auto"/>
        <w:left w:val="none" w:sz="0" w:space="0" w:color="auto"/>
        <w:bottom w:val="none" w:sz="0" w:space="0" w:color="auto"/>
        <w:right w:val="none" w:sz="0" w:space="0" w:color="auto"/>
      </w:divBdr>
    </w:div>
    <w:div w:id="227616145">
      <w:bodyDiv w:val="1"/>
      <w:marLeft w:val="0"/>
      <w:marRight w:val="0"/>
      <w:marTop w:val="0"/>
      <w:marBottom w:val="0"/>
      <w:divBdr>
        <w:top w:val="none" w:sz="0" w:space="0" w:color="auto"/>
        <w:left w:val="none" w:sz="0" w:space="0" w:color="auto"/>
        <w:bottom w:val="none" w:sz="0" w:space="0" w:color="auto"/>
        <w:right w:val="none" w:sz="0" w:space="0" w:color="auto"/>
      </w:divBdr>
    </w:div>
    <w:div w:id="229463418">
      <w:bodyDiv w:val="1"/>
      <w:marLeft w:val="0"/>
      <w:marRight w:val="0"/>
      <w:marTop w:val="0"/>
      <w:marBottom w:val="0"/>
      <w:divBdr>
        <w:top w:val="none" w:sz="0" w:space="0" w:color="auto"/>
        <w:left w:val="none" w:sz="0" w:space="0" w:color="auto"/>
        <w:bottom w:val="none" w:sz="0" w:space="0" w:color="auto"/>
        <w:right w:val="none" w:sz="0" w:space="0" w:color="auto"/>
      </w:divBdr>
    </w:div>
    <w:div w:id="233858802">
      <w:bodyDiv w:val="1"/>
      <w:marLeft w:val="0"/>
      <w:marRight w:val="0"/>
      <w:marTop w:val="0"/>
      <w:marBottom w:val="0"/>
      <w:divBdr>
        <w:top w:val="none" w:sz="0" w:space="0" w:color="auto"/>
        <w:left w:val="none" w:sz="0" w:space="0" w:color="auto"/>
        <w:bottom w:val="none" w:sz="0" w:space="0" w:color="auto"/>
        <w:right w:val="none" w:sz="0" w:space="0" w:color="auto"/>
      </w:divBdr>
    </w:div>
    <w:div w:id="234442293">
      <w:bodyDiv w:val="1"/>
      <w:marLeft w:val="0"/>
      <w:marRight w:val="0"/>
      <w:marTop w:val="0"/>
      <w:marBottom w:val="0"/>
      <w:divBdr>
        <w:top w:val="none" w:sz="0" w:space="0" w:color="auto"/>
        <w:left w:val="none" w:sz="0" w:space="0" w:color="auto"/>
        <w:bottom w:val="none" w:sz="0" w:space="0" w:color="auto"/>
        <w:right w:val="none" w:sz="0" w:space="0" w:color="auto"/>
      </w:divBdr>
    </w:div>
    <w:div w:id="243103839">
      <w:bodyDiv w:val="1"/>
      <w:marLeft w:val="0"/>
      <w:marRight w:val="0"/>
      <w:marTop w:val="0"/>
      <w:marBottom w:val="0"/>
      <w:divBdr>
        <w:top w:val="none" w:sz="0" w:space="0" w:color="auto"/>
        <w:left w:val="none" w:sz="0" w:space="0" w:color="auto"/>
        <w:bottom w:val="none" w:sz="0" w:space="0" w:color="auto"/>
        <w:right w:val="none" w:sz="0" w:space="0" w:color="auto"/>
      </w:divBdr>
    </w:div>
    <w:div w:id="245772360">
      <w:bodyDiv w:val="1"/>
      <w:marLeft w:val="0"/>
      <w:marRight w:val="0"/>
      <w:marTop w:val="0"/>
      <w:marBottom w:val="0"/>
      <w:divBdr>
        <w:top w:val="none" w:sz="0" w:space="0" w:color="auto"/>
        <w:left w:val="none" w:sz="0" w:space="0" w:color="auto"/>
        <w:bottom w:val="none" w:sz="0" w:space="0" w:color="auto"/>
        <w:right w:val="none" w:sz="0" w:space="0" w:color="auto"/>
      </w:divBdr>
    </w:div>
    <w:div w:id="250355715">
      <w:bodyDiv w:val="1"/>
      <w:marLeft w:val="0"/>
      <w:marRight w:val="0"/>
      <w:marTop w:val="0"/>
      <w:marBottom w:val="0"/>
      <w:divBdr>
        <w:top w:val="none" w:sz="0" w:space="0" w:color="auto"/>
        <w:left w:val="none" w:sz="0" w:space="0" w:color="auto"/>
        <w:bottom w:val="none" w:sz="0" w:space="0" w:color="auto"/>
        <w:right w:val="none" w:sz="0" w:space="0" w:color="auto"/>
      </w:divBdr>
    </w:div>
    <w:div w:id="251742993">
      <w:bodyDiv w:val="1"/>
      <w:marLeft w:val="0"/>
      <w:marRight w:val="0"/>
      <w:marTop w:val="0"/>
      <w:marBottom w:val="0"/>
      <w:divBdr>
        <w:top w:val="none" w:sz="0" w:space="0" w:color="auto"/>
        <w:left w:val="none" w:sz="0" w:space="0" w:color="auto"/>
        <w:bottom w:val="none" w:sz="0" w:space="0" w:color="auto"/>
        <w:right w:val="none" w:sz="0" w:space="0" w:color="auto"/>
      </w:divBdr>
    </w:div>
    <w:div w:id="258569331">
      <w:bodyDiv w:val="1"/>
      <w:marLeft w:val="0"/>
      <w:marRight w:val="0"/>
      <w:marTop w:val="0"/>
      <w:marBottom w:val="0"/>
      <w:divBdr>
        <w:top w:val="none" w:sz="0" w:space="0" w:color="auto"/>
        <w:left w:val="none" w:sz="0" w:space="0" w:color="auto"/>
        <w:bottom w:val="none" w:sz="0" w:space="0" w:color="auto"/>
        <w:right w:val="none" w:sz="0" w:space="0" w:color="auto"/>
      </w:divBdr>
    </w:div>
    <w:div w:id="268124296">
      <w:bodyDiv w:val="1"/>
      <w:marLeft w:val="0"/>
      <w:marRight w:val="0"/>
      <w:marTop w:val="0"/>
      <w:marBottom w:val="0"/>
      <w:divBdr>
        <w:top w:val="none" w:sz="0" w:space="0" w:color="auto"/>
        <w:left w:val="none" w:sz="0" w:space="0" w:color="auto"/>
        <w:bottom w:val="none" w:sz="0" w:space="0" w:color="auto"/>
        <w:right w:val="none" w:sz="0" w:space="0" w:color="auto"/>
      </w:divBdr>
    </w:div>
    <w:div w:id="273482890">
      <w:bodyDiv w:val="1"/>
      <w:marLeft w:val="0"/>
      <w:marRight w:val="0"/>
      <w:marTop w:val="0"/>
      <w:marBottom w:val="0"/>
      <w:divBdr>
        <w:top w:val="none" w:sz="0" w:space="0" w:color="auto"/>
        <w:left w:val="none" w:sz="0" w:space="0" w:color="auto"/>
        <w:bottom w:val="none" w:sz="0" w:space="0" w:color="auto"/>
        <w:right w:val="none" w:sz="0" w:space="0" w:color="auto"/>
      </w:divBdr>
    </w:div>
    <w:div w:id="286013961">
      <w:bodyDiv w:val="1"/>
      <w:marLeft w:val="0"/>
      <w:marRight w:val="0"/>
      <w:marTop w:val="0"/>
      <w:marBottom w:val="0"/>
      <w:divBdr>
        <w:top w:val="none" w:sz="0" w:space="0" w:color="auto"/>
        <w:left w:val="none" w:sz="0" w:space="0" w:color="auto"/>
        <w:bottom w:val="none" w:sz="0" w:space="0" w:color="auto"/>
        <w:right w:val="none" w:sz="0" w:space="0" w:color="auto"/>
      </w:divBdr>
    </w:div>
    <w:div w:id="288826904">
      <w:bodyDiv w:val="1"/>
      <w:marLeft w:val="0"/>
      <w:marRight w:val="0"/>
      <w:marTop w:val="0"/>
      <w:marBottom w:val="0"/>
      <w:divBdr>
        <w:top w:val="none" w:sz="0" w:space="0" w:color="auto"/>
        <w:left w:val="none" w:sz="0" w:space="0" w:color="auto"/>
        <w:bottom w:val="none" w:sz="0" w:space="0" w:color="auto"/>
        <w:right w:val="none" w:sz="0" w:space="0" w:color="auto"/>
      </w:divBdr>
    </w:div>
    <w:div w:id="297227072">
      <w:bodyDiv w:val="1"/>
      <w:marLeft w:val="0"/>
      <w:marRight w:val="0"/>
      <w:marTop w:val="0"/>
      <w:marBottom w:val="0"/>
      <w:divBdr>
        <w:top w:val="none" w:sz="0" w:space="0" w:color="auto"/>
        <w:left w:val="none" w:sz="0" w:space="0" w:color="auto"/>
        <w:bottom w:val="none" w:sz="0" w:space="0" w:color="auto"/>
        <w:right w:val="none" w:sz="0" w:space="0" w:color="auto"/>
      </w:divBdr>
    </w:div>
    <w:div w:id="314995465">
      <w:bodyDiv w:val="1"/>
      <w:marLeft w:val="0"/>
      <w:marRight w:val="0"/>
      <w:marTop w:val="0"/>
      <w:marBottom w:val="0"/>
      <w:divBdr>
        <w:top w:val="none" w:sz="0" w:space="0" w:color="auto"/>
        <w:left w:val="none" w:sz="0" w:space="0" w:color="auto"/>
        <w:bottom w:val="none" w:sz="0" w:space="0" w:color="auto"/>
        <w:right w:val="none" w:sz="0" w:space="0" w:color="auto"/>
      </w:divBdr>
    </w:div>
    <w:div w:id="320502937">
      <w:bodyDiv w:val="1"/>
      <w:marLeft w:val="0"/>
      <w:marRight w:val="0"/>
      <w:marTop w:val="0"/>
      <w:marBottom w:val="0"/>
      <w:divBdr>
        <w:top w:val="none" w:sz="0" w:space="0" w:color="auto"/>
        <w:left w:val="none" w:sz="0" w:space="0" w:color="auto"/>
        <w:bottom w:val="none" w:sz="0" w:space="0" w:color="auto"/>
        <w:right w:val="none" w:sz="0" w:space="0" w:color="auto"/>
      </w:divBdr>
    </w:div>
    <w:div w:id="324935881">
      <w:bodyDiv w:val="1"/>
      <w:marLeft w:val="0"/>
      <w:marRight w:val="0"/>
      <w:marTop w:val="0"/>
      <w:marBottom w:val="0"/>
      <w:divBdr>
        <w:top w:val="none" w:sz="0" w:space="0" w:color="auto"/>
        <w:left w:val="none" w:sz="0" w:space="0" w:color="auto"/>
        <w:bottom w:val="none" w:sz="0" w:space="0" w:color="auto"/>
        <w:right w:val="none" w:sz="0" w:space="0" w:color="auto"/>
      </w:divBdr>
    </w:div>
    <w:div w:id="326133233">
      <w:bodyDiv w:val="1"/>
      <w:marLeft w:val="0"/>
      <w:marRight w:val="0"/>
      <w:marTop w:val="0"/>
      <w:marBottom w:val="0"/>
      <w:divBdr>
        <w:top w:val="none" w:sz="0" w:space="0" w:color="auto"/>
        <w:left w:val="none" w:sz="0" w:space="0" w:color="auto"/>
        <w:bottom w:val="none" w:sz="0" w:space="0" w:color="auto"/>
        <w:right w:val="none" w:sz="0" w:space="0" w:color="auto"/>
      </w:divBdr>
    </w:div>
    <w:div w:id="332145417">
      <w:bodyDiv w:val="1"/>
      <w:marLeft w:val="0"/>
      <w:marRight w:val="0"/>
      <w:marTop w:val="0"/>
      <w:marBottom w:val="0"/>
      <w:divBdr>
        <w:top w:val="none" w:sz="0" w:space="0" w:color="auto"/>
        <w:left w:val="none" w:sz="0" w:space="0" w:color="auto"/>
        <w:bottom w:val="none" w:sz="0" w:space="0" w:color="auto"/>
        <w:right w:val="none" w:sz="0" w:space="0" w:color="auto"/>
      </w:divBdr>
    </w:div>
    <w:div w:id="335226855">
      <w:bodyDiv w:val="1"/>
      <w:marLeft w:val="0"/>
      <w:marRight w:val="0"/>
      <w:marTop w:val="0"/>
      <w:marBottom w:val="0"/>
      <w:divBdr>
        <w:top w:val="none" w:sz="0" w:space="0" w:color="auto"/>
        <w:left w:val="none" w:sz="0" w:space="0" w:color="auto"/>
        <w:bottom w:val="none" w:sz="0" w:space="0" w:color="auto"/>
        <w:right w:val="none" w:sz="0" w:space="0" w:color="auto"/>
      </w:divBdr>
    </w:div>
    <w:div w:id="339234748">
      <w:bodyDiv w:val="1"/>
      <w:marLeft w:val="0"/>
      <w:marRight w:val="0"/>
      <w:marTop w:val="0"/>
      <w:marBottom w:val="0"/>
      <w:divBdr>
        <w:top w:val="none" w:sz="0" w:space="0" w:color="auto"/>
        <w:left w:val="none" w:sz="0" w:space="0" w:color="auto"/>
        <w:bottom w:val="none" w:sz="0" w:space="0" w:color="auto"/>
        <w:right w:val="none" w:sz="0" w:space="0" w:color="auto"/>
      </w:divBdr>
    </w:div>
    <w:div w:id="343477568">
      <w:bodyDiv w:val="1"/>
      <w:marLeft w:val="0"/>
      <w:marRight w:val="0"/>
      <w:marTop w:val="0"/>
      <w:marBottom w:val="0"/>
      <w:divBdr>
        <w:top w:val="none" w:sz="0" w:space="0" w:color="auto"/>
        <w:left w:val="none" w:sz="0" w:space="0" w:color="auto"/>
        <w:bottom w:val="none" w:sz="0" w:space="0" w:color="auto"/>
        <w:right w:val="none" w:sz="0" w:space="0" w:color="auto"/>
      </w:divBdr>
    </w:div>
    <w:div w:id="345910191">
      <w:bodyDiv w:val="1"/>
      <w:marLeft w:val="0"/>
      <w:marRight w:val="0"/>
      <w:marTop w:val="0"/>
      <w:marBottom w:val="0"/>
      <w:divBdr>
        <w:top w:val="none" w:sz="0" w:space="0" w:color="auto"/>
        <w:left w:val="none" w:sz="0" w:space="0" w:color="auto"/>
        <w:bottom w:val="none" w:sz="0" w:space="0" w:color="auto"/>
        <w:right w:val="none" w:sz="0" w:space="0" w:color="auto"/>
      </w:divBdr>
    </w:div>
    <w:div w:id="352928251">
      <w:bodyDiv w:val="1"/>
      <w:marLeft w:val="0"/>
      <w:marRight w:val="0"/>
      <w:marTop w:val="0"/>
      <w:marBottom w:val="0"/>
      <w:divBdr>
        <w:top w:val="none" w:sz="0" w:space="0" w:color="auto"/>
        <w:left w:val="none" w:sz="0" w:space="0" w:color="auto"/>
        <w:bottom w:val="none" w:sz="0" w:space="0" w:color="auto"/>
        <w:right w:val="none" w:sz="0" w:space="0" w:color="auto"/>
      </w:divBdr>
    </w:div>
    <w:div w:id="369647642">
      <w:bodyDiv w:val="1"/>
      <w:marLeft w:val="0"/>
      <w:marRight w:val="0"/>
      <w:marTop w:val="0"/>
      <w:marBottom w:val="0"/>
      <w:divBdr>
        <w:top w:val="none" w:sz="0" w:space="0" w:color="auto"/>
        <w:left w:val="none" w:sz="0" w:space="0" w:color="auto"/>
        <w:bottom w:val="none" w:sz="0" w:space="0" w:color="auto"/>
        <w:right w:val="none" w:sz="0" w:space="0" w:color="auto"/>
      </w:divBdr>
    </w:div>
    <w:div w:id="370229121">
      <w:bodyDiv w:val="1"/>
      <w:marLeft w:val="0"/>
      <w:marRight w:val="0"/>
      <w:marTop w:val="0"/>
      <w:marBottom w:val="0"/>
      <w:divBdr>
        <w:top w:val="none" w:sz="0" w:space="0" w:color="auto"/>
        <w:left w:val="none" w:sz="0" w:space="0" w:color="auto"/>
        <w:bottom w:val="none" w:sz="0" w:space="0" w:color="auto"/>
        <w:right w:val="none" w:sz="0" w:space="0" w:color="auto"/>
      </w:divBdr>
    </w:div>
    <w:div w:id="386535411">
      <w:bodyDiv w:val="1"/>
      <w:marLeft w:val="0"/>
      <w:marRight w:val="0"/>
      <w:marTop w:val="0"/>
      <w:marBottom w:val="0"/>
      <w:divBdr>
        <w:top w:val="none" w:sz="0" w:space="0" w:color="auto"/>
        <w:left w:val="none" w:sz="0" w:space="0" w:color="auto"/>
        <w:bottom w:val="none" w:sz="0" w:space="0" w:color="auto"/>
        <w:right w:val="none" w:sz="0" w:space="0" w:color="auto"/>
      </w:divBdr>
    </w:div>
    <w:div w:id="401372020">
      <w:bodyDiv w:val="1"/>
      <w:marLeft w:val="0"/>
      <w:marRight w:val="0"/>
      <w:marTop w:val="0"/>
      <w:marBottom w:val="0"/>
      <w:divBdr>
        <w:top w:val="none" w:sz="0" w:space="0" w:color="auto"/>
        <w:left w:val="none" w:sz="0" w:space="0" w:color="auto"/>
        <w:bottom w:val="none" w:sz="0" w:space="0" w:color="auto"/>
        <w:right w:val="none" w:sz="0" w:space="0" w:color="auto"/>
      </w:divBdr>
    </w:div>
    <w:div w:id="405610324">
      <w:bodyDiv w:val="1"/>
      <w:marLeft w:val="0"/>
      <w:marRight w:val="0"/>
      <w:marTop w:val="0"/>
      <w:marBottom w:val="0"/>
      <w:divBdr>
        <w:top w:val="none" w:sz="0" w:space="0" w:color="auto"/>
        <w:left w:val="none" w:sz="0" w:space="0" w:color="auto"/>
        <w:bottom w:val="none" w:sz="0" w:space="0" w:color="auto"/>
        <w:right w:val="none" w:sz="0" w:space="0" w:color="auto"/>
      </w:divBdr>
    </w:div>
    <w:div w:id="414086786">
      <w:bodyDiv w:val="1"/>
      <w:marLeft w:val="0"/>
      <w:marRight w:val="0"/>
      <w:marTop w:val="0"/>
      <w:marBottom w:val="0"/>
      <w:divBdr>
        <w:top w:val="none" w:sz="0" w:space="0" w:color="auto"/>
        <w:left w:val="none" w:sz="0" w:space="0" w:color="auto"/>
        <w:bottom w:val="none" w:sz="0" w:space="0" w:color="auto"/>
        <w:right w:val="none" w:sz="0" w:space="0" w:color="auto"/>
      </w:divBdr>
    </w:div>
    <w:div w:id="420950814">
      <w:bodyDiv w:val="1"/>
      <w:marLeft w:val="0"/>
      <w:marRight w:val="0"/>
      <w:marTop w:val="0"/>
      <w:marBottom w:val="0"/>
      <w:divBdr>
        <w:top w:val="none" w:sz="0" w:space="0" w:color="auto"/>
        <w:left w:val="none" w:sz="0" w:space="0" w:color="auto"/>
        <w:bottom w:val="none" w:sz="0" w:space="0" w:color="auto"/>
        <w:right w:val="none" w:sz="0" w:space="0" w:color="auto"/>
      </w:divBdr>
    </w:div>
    <w:div w:id="426341886">
      <w:bodyDiv w:val="1"/>
      <w:marLeft w:val="0"/>
      <w:marRight w:val="0"/>
      <w:marTop w:val="0"/>
      <w:marBottom w:val="0"/>
      <w:divBdr>
        <w:top w:val="none" w:sz="0" w:space="0" w:color="auto"/>
        <w:left w:val="none" w:sz="0" w:space="0" w:color="auto"/>
        <w:bottom w:val="none" w:sz="0" w:space="0" w:color="auto"/>
        <w:right w:val="none" w:sz="0" w:space="0" w:color="auto"/>
      </w:divBdr>
    </w:div>
    <w:div w:id="427578941">
      <w:bodyDiv w:val="1"/>
      <w:marLeft w:val="0"/>
      <w:marRight w:val="0"/>
      <w:marTop w:val="0"/>
      <w:marBottom w:val="0"/>
      <w:divBdr>
        <w:top w:val="none" w:sz="0" w:space="0" w:color="auto"/>
        <w:left w:val="none" w:sz="0" w:space="0" w:color="auto"/>
        <w:bottom w:val="none" w:sz="0" w:space="0" w:color="auto"/>
        <w:right w:val="none" w:sz="0" w:space="0" w:color="auto"/>
      </w:divBdr>
    </w:div>
    <w:div w:id="433599515">
      <w:bodyDiv w:val="1"/>
      <w:marLeft w:val="0"/>
      <w:marRight w:val="0"/>
      <w:marTop w:val="0"/>
      <w:marBottom w:val="0"/>
      <w:divBdr>
        <w:top w:val="none" w:sz="0" w:space="0" w:color="auto"/>
        <w:left w:val="none" w:sz="0" w:space="0" w:color="auto"/>
        <w:bottom w:val="none" w:sz="0" w:space="0" w:color="auto"/>
        <w:right w:val="none" w:sz="0" w:space="0" w:color="auto"/>
      </w:divBdr>
    </w:div>
    <w:div w:id="443155159">
      <w:bodyDiv w:val="1"/>
      <w:marLeft w:val="0"/>
      <w:marRight w:val="0"/>
      <w:marTop w:val="0"/>
      <w:marBottom w:val="0"/>
      <w:divBdr>
        <w:top w:val="none" w:sz="0" w:space="0" w:color="auto"/>
        <w:left w:val="none" w:sz="0" w:space="0" w:color="auto"/>
        <w:bottom w:val="none" w:sz="0" w:space="0" w:color="auto"/>
        <w:right w:val="none" w:sz="0" w:space="0" w:color="auto"/>
      </w:divBdr>
    </w:div>
    <w:div w:id="445005827">
      <w:bodyDiv w:val="1"/>
      <w:marLeft w:val="0"/>
      <w:marRight w:val="0"/>
      <w:marTop w:val="0"/>
      <w:marBottom w:val="0"/>
      <w:divBdr>
        <w:top w:val="none" w:sz="0" w:space="0" w:color="auto"/>
        <w:left w:val="none" w:sz="0" w:space="0" w:color="auto"/>
        <w:bottom w:val="none" w:sz="0" w:space="0" w:color="auto"/>
        <w:right w:val="none" w:sz="0" w:space="0" w:color="auto"/>
      </w:divBdr>
    </w:div>
    <w:div w:id="456875944">
      <w:bodyDiv w:val="1"/>
      <w:marLeft w:val="0"/>
      <w:marRight w:val="0"/>
      <w:marTop w:val="0"/>
      <w:marBottom w:val="0"/>
      <w:divBdr>
        <w:top w:val="none" w:sz="0" w:space="0" w:color="auto"/>
        <w:left w:val="none" w:sz="0" w:space="0" w:color="auto"/>
        <w:bottom w:val="none" w:sz="0" w:space="0" w:color="auto"/>
        <w:right w:val="none" w:sz="0" w:space="0" w:color="auto"/>
      </w:divBdr>
    </w:div>
    <w:div w:id="457839728">
      <w:bodyDiv w:val="1"/>
      <w:marLeft w:val="0"/>
      <w:marRight w:val="0"/>
      <w:marTop w:val="0"/>
      <w:marBottom w:val="0"/>
      <w:divBdr>
        <w:top w:val="none" w:sz="0" w:space="0" w:color="auto"/>
        <w:left w:val="none" w:sz="0" w:space="0" w:color="auto"/>
        <w:bottom w:val="none" w:sz="0" w:space="0" w:color="auto"/>
        <w:right w:val="none" w:sz="0" w:space="0" w:color="auto"/>
      </w:divBdr>
    </w:div>
    <w:div w:id="467819917">
      <w:bodyDiv w:val="1"/>
      <w:marLeft w:val="0"/>
      <w:marRight w:val="0"/>
      <w:marTop w:val="0"/>
      <w:marBottom w:val="0"/>
      <w:divBdr>
        <w:top w:val="none" w:sz="0" w:space="0" w:color="auto"/>
        <w:left w:val="none" w:sz="0" w:space="0" w:color="auto"/>
        <w:bottom w:val="none" w:sz="0" w:space="0" w:color="auto"/>
        <w:right w:val="none" w:sz="0" w:space="0" w:color="auto"/>
      </w:divBdr>
    </w:div>
    <w:div w:id="469595475">
      <w:bodyDiv w:val="1"/>
      <w:marLeft w:val="0"/>
      <w:marRight w:val="0"/>
      <w:marTop w:val="0"/>
      <w:marBottom w:val="0"/>
      <w:divBdr>
        <w:top w:val="none" w:sz="0" w:space="0" w:color="auto"/>
        <w:left w:val="none" w:sz="0" w:space="0" w:color="auto"/>
        <w:bottom w:val="none" w:sz="0" w:space="0" w:color="auto"/>
        <w:right w:val="none" w:sz="0" w:space="0" w:color="auto"/>
      </w:divBdr>
    </w:div>
    <w:div w:id="472217861">
      <w:bodyDiv w:val="1"/>
      <w:marLeft w:val="0"/>
      <w:marRight w:val="0"/>
      <w:marTop w:val="0"/>
      <w:marBottom w:val="0"/>
      <w:divBdr>
        <w:top w:val="none" w:sz="0" w:space="0" w:color="auto"/>
        <w:left w:val="none" w:sz="0" w:space="0" w:color="auto"/>
        <w:bottom w:val="none" w:sz="0" w:space="0" w:color="auto"/>
        <w:right w:val="none" w:sz="0" w:space="0" w:color="auto"/>
      </w:divBdr>
    </w:div>
    <w:div w:id="475419560">
      <w:bodyDiv w:val="1"/>
      <w:marLeft w:val="0"/>
      <w:marRight w:val="0"/>
      <w:marTop w:val="0"/>
      <w:marBottom w:val="0"/>
      <w:divBdr>
        <w:top w:val="none" w:sz="0" w:space="0" w:color="auto"/>
        <w:left w:val="none" w:sz="0" w:space="0" w:color="auto"/>
        <w:bottom w:val="none" w:sz="0" w:space="0" w:color="auto"/>
        <w:right w:val="none" w:sz="0" w:space="0" w:color="auto"/>
      </w:divBdr>
    </w:div>
    <w:div w:id="480773843">
      <w:bodyDiv w:val="1"/>
      <w:marLeft w:val="0"/>
      <w:marRight w:val="0"/>
      <w:marTop w:val="0"/>
      <w:marBottom w:val="0"/>
      <w:divBdr>
        <w:top w:val="none" w:sz="0" w:space="0" w:color="auto"/>
        <w:left w:val="none" w:sz="0" w:space="0" w:color="auto"/>
        <w:bottom w:val="none" w:sz="0" w:space="0" w:color="auto"/>
        <w:right w:val="none" w:sz="0" w:space="0" w:color="auto"/>
      </w:divBdr>
    </w:div>
    <w:div w:id="489560787">
      <w:bodyDiv w:val="1"/>
      <w:marLeft w:val="0"/>
      <w:marRight w:val="0"/>
      <w:marTop w:val="0"/>
      <w:marBottom w:val="0"/>
      <w:divBdr>
        <w:top w:val="none" w:sz="0" w:space="0" w:color="auto"/>
        <w:left w:val="none" w:sz="0" w:space="0" w:color="auto"/>
        <w:bottom w:val="none" w:sz="0" w:space="0" w:color="auto"/>
        <w:right w:val="none" w:sz="0" w:space="0" w:color="auto"/>
      </w:divBdr>
    </w:div>
    <w:div w:id="491719984">
      <w:bodyDiv w:val="1"/>
      <w:marLeft w:val="0"/>
      <w:marRight w:val="0"/>
      <w:marTop w:val="0"/>
      <w:marBottom w:val="0"/>
      <w:divBdr>
        <w:top w:val="none" w:sz="0" w:space="0" w:color="auto"/>
        <w:left w:val="none" w:sz="0" w:space="0" w:color="auto"/>
        <w:bottom w:val="none" w:sz="0" w:space="0" w:color="auto"/>
        <w:right w:val="none" w:sz="0" w:space="0" w:color="auto"/>
      </w:divBdr>
    </w:div>
    <w:div w:id="501968376">
      <w:bodyDiv w:val="1"/>
      <w:marLeft w:val="0"/>
      <w:marRight w:val="0"/>
      <w:marTop w:val="0"/>
      <w:marBottom w:val="0"/>
      <w:divBdr>
        <w:top w:val="none" w:sz="0" w:space="0" w:color="auto"/>
        <w:left w:val="none" w:sz="0" w:space="0" w:color="auto"/>
        <w:bottom w:val="none" w:sz="0" w:space="0" w:color="auto"/>
        <w:right w:val="none" w:sz="0" w:space="0" w:color="auto"/>
      </w:divBdr>
    </w:div>
    <w:div w:id="502430723">
      <w:bodyDiv w:val="1"/>
      <w:marLeft w:val="0"/>
      <w:marRight w:val="0"/>
      <w:marTop w:val="0"/>
      <w:marBottom w:val="0"/>
      <w:divBdr>
        <w:top w:val="none" w:sz="0" w:space="0" w:color="auto"/>
        <w:left w:val="none" w:sz="0" w:space="0" w:color="auto"/>
        <w:bottom w:val="none" w:sz="0" w:space="0" w:color="auto"/>
        <w:right w:val="none" w:sz="0" w:space="0" w:color="auto"/>
      </w:divBdr>
    </w:div>
    <w:div w:id="503277255">
      <w:bodyDiv w:val="1"/>
      <w:marLeft w:val="0"/>
      <w:marRight w:val="0"/>
      <w:marTop w:val="0"/>
      <w:marBottom w:val="0"/>
      <w:divBdr>
        <w:top w:val="none" w:sz="0" w:space="0" w:color="auto"/>
        <w:left w:val="none" w:sz="0" w:space="0" w:color="auto"/>
        <w:bottom w:val="none" w:sz="0" w:space="0" w:color="auto"/>
        <w:right w:val="none" w:sz="0" w:space="0" w:color="auto"/>
      </w:divBdr>
    </w:div>
    <w:div w:id="504711242">
      <w:bodyDiv w:val="1"/>
      <w:marLeft w:val="0"/>
      <w:marRight w:val="0"/>
      <w:marTop w:val="0"/>
      <w:marBottom w:val="0"/>
      <w:divBdr>
        <w:top w:val="none" w:sz="0" w:space="0" w:color="auto"/>
        <w:left w:val="none" w:sz="0" w:space="0" w:color="auto"/>
        <w:bottom w:val="none" w:sz="0" w:space="0" w:color="auto"/>
        <w:right w:val="none" w:sz="0" w:space="0" w:color="auto"/>
      </w:divBdr>
    </w:div>
    <w:div w:id="506942096">
      <w:bodyDiv w:val="1"/>
      <w:marLeft w:val="0"/>
      <w:marRight w:val="0"/>
      <w:marTop w:val="0"/>
      <w:marBottom w:val="0"/>
      <w:divBdr>
        <w:top w:val="none" w:sz="0" w:space="0" w:color="auto"/>
        <w:left w:val="none" w:sz="0" w:space="0" w:color="auto"/>
        <w:bottom w:val="none" w:sz="0" w:space="0" w:color="auto"/>
        <w:right w:val="none" w:sz="0" w:space="0" w:color="auto"/>
      </w:divBdr>
    </w:div>
    <w:div w:id="516234532">
      <w:bodyDiv w:val="1"/>
      <w:marLeft w:val="0"/>
      <w:marRight w:val="0"/>
      <w:marTop w:val="0"/>
      <w:marBottom w:val="0"/>
      <w:divBdr>
        <w:top w:val="none" w:sz="0" w:space="0" w:color="auto"/>
        <w:left w:val="none" w:sz="0" w:space="0" w:color="auto"/>
        <w:bottom w:val="none" w:sz="0" w:space="0" w:color="auto"/>
        <w:right w:val="none" w:sz="0" w:space="0" w:color="auto"/>
      </w:divBdr>
    </w:div>
    <w:div w:id="524366870">
      <w:bodyDiv w:val="1"/>
      <w:marLeft w:val="0"/>
      <w:marRight w:val="0"/>
      <w:marTop w:val="0"/>
      <w:marBottom w:val="0"/>
      <w:divBdr>
        <w:top w:val="none" w:sz="0" w:space="0" w:color="auto"/>
        <w:left w:val="none" w:sz="0" w:space="0" w:color="auto"/>
        <w:bottom w:val="none" w:sz="0" w:space="0" w:color="auto"/>
        <w:right w:val="none" w:sz="0" w:space="0" w:color="auto"/>
      </w:divBdr>
    </w:div>
    <w:div w:id="536085243">
      <w:bodyDiv w:val="1"/>
      <w:marLeft w:val="0"/>
      <w:marRight w:val="0"/>
      <w:marTop w:val="0"/>
      <w:marBottom w:val="0"/>
      <w:divBdr>
        <w:top w:val="none" w:sz="0" w:space="0" w:color="auto"/>
        <w:left w:val="none" w:sz="0" w:space="0" w:color="auto"/>
        <w:bottom w:val="none" w:sz="0" w:space="0" w:color="auto"/>
        <w:right w:val="none" w:sz="0" w:space="0" w:color="auto"/>
      </w:divBdr>
    </w:div>
    <w:div w:id="538518773">
      <w:bodyDiv w:val="1"/>
      <w:marLeft w:val="0"/>
      <w:marRight w:val="0"/>
      <w:marTop w:val="0"/>
      <w:marBottom w:val="0"/>
      <w:divBdr>
        <w:top w:val="none" w:sz="0" w:space="0" w:color="auto"/>
        <w:left w:val="none" w:sz="0" w:space="0" w:color="auto"/>
        <w:bottom w:val="none" w:sz="0" w:space="0" w:color="auto"/>
        <w:right w:val="none" w:sz="0" w:space="0" w:color="auto"/>
      </w:divBdr>
    </w:div>
    <w:div w:id="540898359">
      <w:bodyDiv w:val="1"/>
      <w:marLeft w:val="0"/>
      <w:marRight w:val="0"/>
      <w:marTop w:val="0"/>
      <w:marBottom w:val="0"/>
      <w:divBdr>
        <w:top w:val="none" w:sz="0" w:space="0" w:color="auto"/>
        <w:left w:val="none" w:sz="0" w:space="0" w:color="auto"/>
        <w:bottom w:val="none" w:sz="0" w:space="0" w:color="auto"/>
        <w:right w:val="none" w:sz="0" w:space="0" w:color="auto"/>
      </w:divBdr>
      <w:divsChild>
        <w:div w:id="341204720">
          <w:marLeft w:val="0"/>
          <w:marRight w:val="0"/>
          <w:marTop w:val="0"/>
          <w:marBottom w:val="0"/>
          <w:divBdr>
            <w:top w:val="none" w:sz="0" w:space="0" w:color="auto"/>
            <w:left w:val="none" w:sz="0" w:space="0" w:color="auto"/>
            <w:bottom w:val="none" w:sz="0" w:space="0" w:color="auto"/>
            <w:right w:val="none" w:sz="0" w:space="0" w:color="auto"/>
          </w:divBdr>
        </w:div>
      </w:divsChild>
    </w:div>
    <w:div w:id="547685569">
      <w:bodyDiv w:val="1"/>
      <w:marLeft w:val="0"/>
      <w:marRight w:val="0"/>
      <w:marTop w:val="0"/>
      <w:marBottom w:val="0"/>
      <w:divBdr>
        <w:top w:val="none" w:sz="0" w:space="0" w:color="auto"/>
        <w:left w:val="none" w:sz="0" w:space="0" w:color="auto"/>
        <w:bottom w:val="none" w:sz="0" w:space="0" w:color="auto"/>
        <w:right w:val="none" w:sz="0" w:space="0" w:color="auto"/>
      </w:divBdr>
    </w:div>
    <w:div w:id="558706563">
      <w:bodyDiv w:val="1"/>
      <w:marLeft w:val="0"/>
      <w:marRight w:val="0"/>
      <w:marTop w:val="0"/>
      <w:marBottom w:val="0"/>
      <w:divBdr>
        <w:top w:val="none" w:sz="0" w:space="0" w:color="auto"/>
        <w:left w:val="none" w:sz="0" w:space="0" w:color="auto"/>
        <w:bottom w:val="none" w:sz="0" w:space="0" w:color="auto"/>
        <w:right w:val="none" w:sz="0" w:space="0" w:color="auto"/>
      </w:divBdr>
    </w:div>
    <w:div w:id="576867170">
      <w:bodyDiv w:val="1"/>
      <w:marLeft w:val="0"/>
      <w:marRight w:val="0"/>
      <w:marTop w:val="0"/>
      <w:marBottom w:val="0"/>
      <w:divBdr>
        <w:top w:val="none" w:sz="0" w:space="0" w:color="auto"/>
        <w:left w:val="none" w:sz="0" w:space="0" w:color="auto"/>
        <w:bottom w:val="none" w:sz="0" w:space="0" w:color="auto"/>
        <w:right w:val="none" w:sz="0" w:space="0" w:color="auto"/>
      </w:divBdr>
    </w:div>
    <w:div w:id="584607864">
      <w:bodyDiv w:val="1"/>
      <w:marLeft w:val="0"/>
      <w:marRight w:val="0"/>
      <w:marTop w:val="0"/>
      <w:marBottom w:val="0"/>
      <w:divBdr>
        <w:top w:val="none" w:sz="0" w:space="0" w:color="auto"/>
        <w:left w:val="none" w:sz="0" w:space="0" w:color="auto"/>
        <w:bottom w:val="none" w:sz="0" w:space="0" w:color="auto"/>
        <w:right w:val="none" w:sz="0" w:space="0" w:color="auto"/>
      </w:divBdr>
    </w:div>
    <w:div w:id="586885942">
      <w:bodyDiv w:val="1"/>
      <w:marLeft w:val="0"/>
      <w:marRight w:val="0"/>
      <w:marTop w:val="0"/>
      <w:marBottom w:val="0"/>
      <w:divBdr>
        <w:top w:val="none" w:sz="0" w:space="0" w:color="auto"/>
        <w:left w:val="none" w:sz="0" w:space="0" w:color="auto"/>
        <w:bottom w:val="none" w:sz="0" w:space="0" w:color="auto"/>
        <w:right w:val="none" w:sz="0" w:space="0" w:color="auto"/>
      </w:divBdr>
    </w:div>
    <w:div w:id="596249771">
      <w:bodyDiv w:val="1"/>
      <w:marLeft w:val="0"/>
      <w:marRight w:val="0"/>
      <w:marTop w:val="0"/>
      <w:marBottom w:val="0"/>
      <w:divBdr>
        <w:top w:val="none" w:sz="0" w:space="0" w:color="auto"/>
        <w:left w:val="none" w:sz="0" w:space="0" w:color="auto"/>
        <w:bottom w:val="none" w:sz="0" w:space="0" w:color="auto"/>
        <w:right w:val="none" w:sz="0" w:space="0" w:color="auto"/>
      </w:divBdr>
    </w:div>
    <w:div w:id="600921028">
      <w:bodyDiv w:val="1"/>
      <w:marLeft w:val="0"/>
      <w:marRight w:val="0"/>
      <w:marTop w:val="0"/>
      <w:marBottom w:val="0"/>
      <w:divBdr>
        <w:top w:val="none" w:sz="0" w:space="0" w:color="auto"/>
        <w:left w:val="none" w:sz="0" w:space="0" w:color="auto"/>
        <w:bottom w:val="none" w:sz="0" w:space="0" w:color="auto"/>
        <w:right w:val="none" w:sz="0" w:space="0" w:color="auto"/>
      </w:divBdr>
    </w:div>
    <w:div w:id="612783970">
      <w:bodyDiv w:val="1"/>
      <w:marLeft w:val="0"/>
      <w:marRight w:val="0"/>
      <w:marTop w:val="0"/>
      <w:marBottom w:val="0"/>
      <w:divBdr>
        <w:top w:val="none" w:sz="0" w:space="0" w:color="auto"/>
        <w:left w:val="none" w:sz="0" w:space="0" w:color="auto"/>
        <w:bottom w:val="none" w:sz="0" w:space="0" w:color="auto"/>
        <w:right w:val="none" w:sz="0" w:space="0" w:color="auto"/>
      </w:divBdr>
    </w:div>
    <w:div w:id="613635160">
      <w:bodyDiv w:val="1"/>
      <w:marLeft w:val="0"/>
      <w:marRight w:val="0"/>
      <w:marTop w:val="0"/>
      <w:marBottom w:val="0"/>
      <w:divBdr>
        <w:top w:val="none" w:sz="0" w:space="0" w:color="auto"/>
        <w:left w:val="none" w:sz="0" w:space="0" w:color="auto"/>
        <w:bottom w:val="none" w:sz="0" w:space="0" w:color="auto"/>
        <w:right w:val="none" w:sz="0" w:space="0" w:color="auto"/>
      </w:divBdr>
    </w:div>
    <w:div w:id="623585692">
      <w:bodyDiv w:val="1"/>
      <w:marLeft w:val="0"/>
      <w:marRight w:val="0"/>
      <w:marTop w:val="0"/>
      <w:marBottom w:val="0"/>
      <w:divBdr>
        <w:top w:val="none" w:sz="0" w:space="0" w:color="auto"/>
        <w:left w:val="none" w:sz="0" w:space="0" w:color="auto"/>
        <w:bottom w:val="none" w:sz="0" w:space="0" w:color="auto"/>
        <w:right w:val="none" w:sz="0" w:space="0" w:color="auto"/>
      </w:divBdr>
    </w:div>
    <w:div w:id="628172083">
      <w:bodyDiv w:val="1"/>
      <w:marLeft w:val="0"/>
      <w:marRight w:val="0"/>
      <w:marTop w:val="0"/>
      <w:marBottom w:val="0"/>
      <w:divBdr>
        <w:top w:val="none" w:sz="0" w:space="0" w:color="auto"/>
        <w:left w:val="none" w:sz="0" w:space="0" w:color="auto"/>
        <w:bottom w:val="none" w:sz="0" w:space="0" w:color="auto"/>
        <w:right w:val="none" w:sz="0" w:space="0" w:color="auto"/>
      </w:divBdr>
    </w:div>
    <w:div w:id="645167282">
      <w:bodyDiv w:val="1"/>
      <w:marLeft w:val="0"/>
      <w:marRight w:val="0"/>
      <w:marTop w:val="0"/>
      <w:marBottom w:val="0"/>
      <w:divBdr>
        <w:top w:val="none" w:sz="0" w:space="0" w:color="auto"/>
        <w:left w:val="none" w:sz="0" w:space="0" w:color="auto"/>
        <w:bottom w:val="none" w:sz="0" w:space="0" w:color="auto"/>
        <w:right w:val="none" w:sz="0" w:space="0" w:color="auto"/>
      </w:divBdr>
    </w:div>
    <w:div w:id="648676709">
      <w:bodyDiv w:val="1"/>
      <w:marLeft w:val="0"/>
      <w:marRight w:val="0"/>
      <w:marTop w:val="0"/>
      <w:marBottom w:val="0"/>
      <w:divBdr>
        <w:top w:val="none" w:sz="0" w:space="0" w:color="auto"/>
        <w:left w:val="none" w:sz="0" w:space="0" w:color="auto"/>
        <w:bottom w:val="none" w:sz="0" w:space="0" w:color="auto"/>
        <w:right w:val="none" w:sz="0" w:space="0" w:color="auto"/>
      </w:divBdr>
    </w:div>
    <w:div w:id="651327533">
      <w:bodyDiv w:val="1"/>
      <w:marLeft w:val="0"/>
      <w:marRight w:val="0"/>
      <w:marTop w:val="0"/>
      <w:marBottom w:val="0"/>
      <w:divBdr>
        <w:top w:val="none" w:sz="0" w:space="0" w:color="auto"/>
        <w:left w:val="none" w:sz="0" w:space="0" w:color="auto"/>
        <w:bottom w:val="none" w:sz="0" w:space="0" w:color="auto"/>
        <w:right w:val="none" w:sz="0" w:space="0" w:color="auto"/>
      </w:divBdr>
    </w:div>
    <w:div w:id="657732714">
      <w:bodyDiv w:val="1"/>
      <w:marLeft w:val="0"/>
      <w:marRight w:val="0"/>
      <w:marTop w:val="0"/>
      <w:marBottom w:val="0"/>
      <w:divBdr>
        <w:top w:val="none" w:sz="0" w:space="0" w:color="auto"/>
        <w:left w:val="none" w:sz="0" w:space="0" w:color="auto"/>
        <w:bottom w:val="none" w:sz="0" w:space="0" w:color="auto"/>
        <w:right w:val="none" w:sz="0" w:space="0" w:color="auto"/>
      </w:divBdr>
    </w:div>
    <w:div w:id="662516209">
      <w:bodyDiv w:val="1"/>
      <w:marLeft w:val="0"/>
      <w:marRight w:val="0"/>
      <w:marTop w:val="0"/>
      <w:marBottom w:val="0"/>
      <w:divBdr>
        <w:top w:val="none" w:sz="0" w:space="0" w:color="auto"/>
        <w:left w:val="none" w:sz="0" w:space="0" w:color="auto"/>
        <w:bottom w:val="none" w:sz="0" w:space="0" w:color="auto"/>
        <w:right w:val="none" w:sz="0" w:space="0" w:color="auto"/>
      </w:divBdr>
    </w:div>
    <w:div w:id="670372093">
      <w:bodyDiv w:val="1"/>
      <w:marLeft w:val="0"/>
      <w:marRight w:val="0"/>
      <w:marTop w:val="0"/>
      <w:marBottom w:val="0"/>
      <w:divBdr>
        <w:top w:val="none" w:sz="0" w:space="0" w:color="auto"/>
        <w:left w:val="none" w:sz="0" w:space="0" w:color="auto"/>
        <w:bottom w:val="none" w:sz="0" w:space="0" w:color="auto"/>
        <w:right w:val="none" w:sz="0" w:space="0" w:color="auto"/>
      </w:divBdr>
    </w:div>
    <w:div w:id="670987115">
      <w:bodyDiv w:val="1"/>
      <w:marLeft w:val="0"/>
      <w:marRight w:val="0"/>
      <w:marTop w:val="0"/>
      <w:marBottom w:val="0"/>
      <w:divBdr>
        <w:top w:val="none" w:sz="0" w:space="0" w:color="auto"/>
        <w:left w:val="none" w:sz="0" w:space="0" w:color="auto"/>
        <w:bottom w:val="none" w:sz="0" w:space="0" w:color="auto"/>
        <w:right w:val="none" w:sz="0" w:space="0" w:color="auto"/>
      </w:divBdr>
    </w:div>
    <w:div w:id="674840372">
      <w:bodyDiv w:val="1"/>
      <w:marLeft w:val="0"/>
      <w:marRight w:val="0"/>
      <w:marTop w:val="0"/>
      <w:marBottom w:val="0"/>
      <w:divBdr>
        <w:top w:val="none" w:sz="0" w:space="0" w:color="auto"/>
        <w:left w:val="none" w:sz="0" w:space="0" w:color="auto"/>
        <w:bottom w:val="none" w:sz="0" w:space="0" w:color="auto"/>
        <w:right w:val="none" w:sz="0" w:space="0" w:color="auto"/>
      </w:divBdr>
    </w:div>
    <w:div w:id="678628880">
      <w:bodyDiv w:val="1"/>
      <w:marLeft w:val="0"/>
      <w:marRight w:val="0"/>
      <w:marTop w:val="0"/>
      <w:marBottom w:val="0"/>
      <w:divBdr>
        <w:top w:val="none" w:sz="0" w:space="0" w:color="auto"/>
        <w:left w:val="none" w:sz="0" w:space="0" w:color="auto"/>
        <w:bottom w:val="none" w:sz="0" w:space="0" w:color="auto"/>
        <w:right w:val="none" w:sz="0" w:space="0" w:color="auto"/>
      </w:divBdr>
    </w:div>
    <w:div w:id="686717187">
      <w:bodyDiv w:val="1"/>
      <w:marLeft w:val="0"/>
      <w:marRight w:val="0"/>
      <w:marTop w:val="0"/>
      <w:marBottom w:val="0"/>
      <w:divBdr>
        <w:top w:val="none" w:sz="0" w:space="0" w:color="auto"/>
        <w:left w:val="none" w:sz="0" w:space="0" w:color="auto"/>
        <w:bottom w:val="none" w:sz="0" w:space="0" w:color="auto"/>
        <w:right w:val="none" w:sz="0" w:space="0" w:color="auto"/>
      </w:divBdr>
    </w:div>
    <w:div w:id="688029052">
      <w:bodyDiv w:val="1"/>
      <w:marLeft w:val="0"/>
      <w:marRight w:val="0"/>
      <w:marTop w:val="0"/>
      <w:marBottom w:val="0"/>
      <w:divBdr>
        <w:top w:val="none" w:sz="0" w:space="0" w:color="auto"/>
        <w:left w:val="none" w:sz="0" w:space="0" w:color="auto"/>
        <w:bottom w:val="none" w:sz="0" w:space="0" w:color="auto"/>
        <w:right w:val="none" w:sz="0" w:space="0" w:color="auto"/>
      </w:divBdr>
    </w:div>
    <w:div w:id="696658627">
      <w:bodyDiv w:val="1"/>
      <w:marLeft w:val="0"/>
      <w:marRight w:val="0"/>
      <w:marTop w:val="0"/>
      <w:marBottom w:val="0"/>
      <w:divBdr>
        <w:top w:val="none" w:sz="0" w:space="0" w:color="auto"/>
        <w:left w:val="none" w:sz="0" w:space="0" w:color="auto"/>
        <w:bottom w:val="none" w:sz="0" w:space="0" w:color="auto"/>
        <w:right w:val="none" w:sz="0" w:space="0" w:color="auto"/>
      </w:divBdr>
    </w:div>
    <w:div w:id="696732066">
      <w:bodyDiv w:val="1"/>
      <w:marLeft w:val="0"/>
      <w:marRight w:val="0"/>
      <w:marTop w:val="0"/>
      <w:marBottom w:val="0"/>
      <w:divBdr>
        <w:top w:val="none" w:sz="0" w:space="0" w:color="auto"/>
        <w:left w:val="none" w:sz="0" w:space="0" w:color="auto"/>
        <w:bottom w:val="none" w:sz="0" w:space="0" w:color="auto"/>
        <w:right w:val="none" w:sz="0" w:space="0" w:color="auto"/>
      </w:divBdr>
    </w:div>
    <w:div w:id="702219015">
      <w:bodyDiv w:val="1"/>
      <w:marLeft w:val="0"/>
      <w:marRight w:val="0"/>
      <w:marTop w:val="0"/>
      <w:marBottom w:val="0"/>
      <w:divBdr>
        <w:top w:val="none" w:sz="0" w:space="0" w:color="auto"/>
        <w:left w:val="none" w:sz="0" w:space="0" w:color="auto"/>
        <w:bottom w:val="none" w:sz="0" w:space="0" w:color="auto"/>
        <w:right w:val="none" w:sz="0" w:space="0" w:color="auto"/>
      </w:divBdr>
    </w:div>
    <w:div w:id="717434770">
      <w:bodyDiv w:val="1"/>
      <w:marLeft w:val="0"/>
      <w:marRight w:val="0"/>
      <w:marTop w:val="0"/>
      <w:marBottom w:val="0"/>
      <w:divBdr>
        <w:top w:val="none" w:sz="0" w:space="0" w:color="auto"/>
        <w:left w:val="none" w:sz="0" w:space="0" w:color="auto"/>
        <w:bottom w:val="none" w:sz="0" w:space="0" w:color="auto"/>
        <w:right w:val="none" w:sz="0" w:space="0" w:color="auto"/>
      </w:divBdr>
    </w:div>
    <w:div w:id="719979289">
      <w:bodyDiv w:val="1"/>
      <w:marLeft w:val="0"/>
      <w:marRight w:val="0"/>
      <w:marTop w:val="0"/>
      <w:marBottom w:val="0"/>
      <w:divBdr>
        <w:top w:val="none" w:sz="0" w:space="0" w:color="auto"/>
        <w:left w:val="none" w:sz="0" w:space="0" w:color="auto"/>
        <w:bottom w:val="none" w:sz="0" w:space="0" w:color="auto"/>
        <w:right w:val="none" w:sz="0" w:space="0" w:color="auto"/>
      </w:divBdr>
    </w:div>
    <w:div w:id="720595474">
      <w:bodyDiv w:val="1"/>
      <w:marLeft w:val="0"/>
      <w:marRight w:val="0"/>
      <w:marTop w:val="0"/>
      <w:marBottom w:val="0"/>
      <w:divBdr>
        <w:top w:val="none" w:sz="0" w:space="0" w:color="auto"/>
        <w:left w:val="none" w:sz="0" w:space="0" w:color="auto"/>
        <w:bottom w:val="none" w:sz="0" w:space="0" w:color="auto"/>
        <w:right w:val="none" w:sz="0" w:space="0" w:color="auto"/>
      </w:divBdr>
    </w:div>
    <w:div w:id="727918635">
      <w:bodyDiv w:val="1"/>
      <w:marLeft w:val="0"/>
      <w:marRight w:val="0"/>
      <w:marTop w:val="0"/>
      <w:marBottom w:val="0"/>
      <w:divBdr>
        <w:top w:val="none" w:sz="0" w:space="0" w:color="auto"/>
        <w:left w:val="none" w:sz="0" w:space="0" w:color="auto"/>
        <w:bottom w:val="none" w:sz="0" w:space="0" w:color="auto"/>
        <w:right w:val="none" w:sz="0" w:space="0" w:color="auto"/>
      </w:divBdr>
    </w:div>
    <w:div w:id="733743085">
      <w:bodyDiv w:val="1"/>
      <w:marLeft w:val="0"/>
      <w:marRight w:val="0"/>
      <w:marTop w:val="0"/>
      <w:marBottom w:val="0"/>
      <w:divBdr>
        <w:top w:val="none" w:sz="0" w:space="0" w:color="auto"/>
        <w:left w:val="none" w:sz="0" w:space="0" w:color="auto"/>
        <w:bottom w:val="none" w:sz="0" w:space="0" w:color="auto"/>
        <w:right w:val="none" w:sz="0" w:space="0" w:color="auto"/>
      </w:divBdr>
    </w:div>
    <w:div w:id="742799715">
      <w:bodyDiv w:val="1"/>
      <w:marLeft w:val="0"/>
      <w:marRight w:val="0"/>
      <w:marTop w:val="0"/>
      <w:marBottom w:val="0"/>
      <w:divBdr>
        <w:top w:val="none" w:sz="0" w:space="0" w:color="auto"/>
        <w:left w:val="none" w:sz="0" w:space="0" w:color="auto"/>
        <w:bottom w:val="none" w:sz="0" w:space="0" w:color="auto"/>
        <w:right w:val="none" w:sz="0" w:space="0" w:color="auto"/>
      </w:divBdr>
    </w:div>
    <w:div w:id="744376792">
      <w:bodyDiv w:val="1"/>
      <w:marLeft w:val="0"/>
      <w:marRight w:val="0"/>
      <w:marTop w:val="0"/>
      <w:marBottom w:val="0"/>
      <w:divBdr>
        <w:top w:val="none" w:sz="0" w:space="0" w:color="auto"/>
        <w:left w:val="none" w:sz="0" w:space="0" w:color="auto"/>
        <w:bottom w:val="none" w:sz="0" w:space="0" w:color="auto"/>
        <w:right w:val="none" w:sz="0" w:space="0" w:color="auto"/>
      </w:divBdr>
      <w:divsChild>
        <w:div w:id="97408648">
          <w:marLeft w:val="0"/>
          <w:marRight w:val="0"/>
          <w:marTop w:val="0"/>
          <w:marBottom w:val="0"/>
          <w:divBdr>
            <w:top w:val="none" w:sz="0" w:space="0" w:color="auto"/>
            <w:left w:val="none" w:sz="0" w:space="0" w:color="auto"/>
            <w:bottom w:val="none" w:sz="0" w:space="0" w:color="auto"/>
            <w:right w:val="none" w:sz="0" w:space="0" w:color="auto"/>
          </w:divBdr>
        </w:div>
      </w:divsChild>
    </w:div>
    <w:div w:id="746614897">
      <w:bodyDiv w:val="1"/>
      <w:marLeft w:val="0"/>
      <w:marRight w:val="0"/>
      <w:marTop w:val="0"/>
      <w:marBottom w:val="0"/>
      <w:divBdr>
        <w:top w:val="none" w:sz="0" w:space="0" w:color="auto"/>
        <w:left w:val="none" w:sz="0" w:space="0" w:color="auto"/>
        <w:bottom w:val="none" w:sz="0" w:space="0" w:color="auto"/>
        <w:right w:val="none" w:sz="0" w:space="0" w:color="auto"/>
      </w:divBdr>
    </w:div>
    <w:div w:id="752774971">
      <w:bodyDiv w:val="1"/>
      <w:marLeft w:val="0"/>
      <w:marRight w:val="0"/>
      <w:marTop w:val="0"/>
      <w:marBottom w:val="0"/>
      <w:divBdr>
        <w:top w:val="none" w:sz="0" w:space="0" w:color="auto"/>
        <w:left w:val="none" w:sz="0" w:space="0" w:color="auto"/>
        <w:bottom w:val="none" w:sz="0" w:space="0" w:color="auto"/>
        <w:right w:val="none" w:sz="0" w:space="0" w:color="auto"/>
      </w:divBdr>
    </w:div>
    <w:div w:id="753861339">
      <w:bodyDiv w:val="1"/>
      <w:marLeft w:val="0"/>
      <w:marRight w:val="0"/>
      <w:marTop w:val="0"/>
      <w:marBottom w:val="0"/>
      <w:divBdr>
        <w:top w:val="none" w:sz="0" w:space="0" w:color="auto"/>
        <w:left w:val="none" w:sz="0" w:space="0" w:color="auto"/>
        <w:bottom w:val="none" w:sz="0" w:space="0" w:color="auto"/>
        <w:right w:val="none" w:sz="0" w:space="0" w:color="auto"/>
      </w:divBdr>
    </w:div>
    <w:div w:id="756443399">
      <w:bodyDiv w:val="1"/>
      <w:marLeft w:val="0"/>
      <w:marRight w:val="0"/>
      <w:marTop w:val="0"/>
      <w:marBottom w:val="0"/>
      <w:divBdr>
        <w:top w:val="none" w:sz="0" w:space="0" w:color="auto"/>
        <w:left w:val="none" w:sz="0" w:space="0" w:color="auto"/>
        <w:bottom w:val="none" w:sz="0" w:space="0" w:color="auto"/>
        <w:right w:val="none" w:sz="0" w:space="0" w:color="auto"/>
      </w:divBdr>
    </w:div>
    <w:div w:id="764420534">
      <w:bodyDiv w:val="1"/>
      <w:marLeft w:val="0"/>
      <w:marRight w:val="0"/>
      <w:marTop w:val="0"/>
      <w:marBottom w:val="0"/>
      <w:divBdr>
        <w:top w:val="none" w:sz="0" w:space="0" w:color="auto"/>
        <w:left w:val="none" w:sz="0" w:space="0" w:color="auto"/>
        <w:bottom w:val="none" w:sz="0" w:space="0" w:color="auto"/>
        <w:right w:val="none" w:sz="0" w:space="0" w:color="auto"/>
      </w:divBdr>
    </w:div>
    <w:div w:id="774331463">
      <w:bodyDiv w:val="1"/>
      <w:marLeft w:val="0"/>
      <w:marRight w:val="0"/>
      <w:marTop w:val="0"/>
      <w:marBottom w:val="0"/>
      <w:divBdr>
        <w:top w:val="none" w:sz="0" w:space="0" w:color="auto"/>
        <w:left w:val="none" w:sz="0" w:space="0" w:color="auto"/>
        <w:bottom w:val="none" w:sz="0" w:space="0" w:color="auto"/>
        <w:right w:val="none" w:sz="0" w:space="0" w:color="auto"/>
      </w:divBdr>
    </w:div>
    <w:div w:id="794717065">
      <w:bodyDiv w:val="1"/>
      <w:marLeft w:val="0"/>
      <w:marRight w:val="0"/>
      <w:marTop w:val="0"/>
      <w:marBottom w:val="0"/>
      <w:divBdr>
        <w:top w:val="none" w:sz="0" w:space="0" w:color="auto"/>
        <w:left w:val="none" w:sz="0" w:space="0" w:color="auto"/>
        <w:bottom w:val="none" w:sz="0" w:space="0" w:color="auto"/>
        <w:right w:val="none" w:sz="0" w:space="0" w:color="auto"/>
      </w:divBdr>
    </w:div>
    <w:div w:id="799809803">
      <w:bodyDiv w:val="1"/>
      <w:marLeft w:val="0"/>
      <w:marRight w:val="0"/>
      <w:marTop w:val="0"/>
      <w:marBottom w:val="0"/>
      <w:divBdr>
        <w:top w:val="none" w:sz="0" w:space="0" w:color="auto"/>
        <w:left w:val="none" w:sz="0" w:space="0" w:color="auto"/>
        <w:bottom w:val="none" w:sz="0" w:space="0" w:color="auto"/>
        <w:right w:val="none" w:sz="0" w:space="0" w:color="auto"/>
      </w:divBdr>
    </w:div>
    <w:div w:id="809177075">
      <w:bodyDiv w:val="1"/>
      <w:marLeft w:val="0"/>
      <w:marRight w:val="0"/>
      <w:marTop w:val="0"/>
      <w:marBottom w:val="0"/>
      <w:divBdr>
        <w:top w:val="none" w:sz="0" w:space="0" w:color="auto"/>
        <w:left w:val="none" w:sz="0" w:space="0" w:color="auto"/>
        <w:bottom w:val="none" w:sz="0" w:space="0" w:color="auto"/>
        <w:right w:val="none" w:sz="0" w:space="0" w:color="auto"/>
      </w:divBdr>
    </w:div>
    <w:div w:id="812139571">
      <w:bodyDiv w:val="1"/>
      <w:marLeft w:val="0"/>
      <w:marRight w:val="0"/>
      <w:marTop w:val="0"/>
      <w:marBottom w:val="0"/>
      <w:divBdr>
        <w:top w:val="none" w:sz="0" w:space="0" w:color="auto"/>
        <w:left w:val="none" w:sz="0" w:space="0" w:color="auto"/>
        <w:bottom w:val="none" w:sz="0" w:space="0" w:color="auto"/>
        <w:right w:val="none" w:sz="0" w:space="0" w:color="auto"/>
      </w:divBdr>
    </w:div>
    <w:div w:id="812677210">
      <w:bodyDiv w:val="1"/>
      <w:marLeft w:val="0"/>
      <w:marRight w:val="0"/>
      <w:marTop w:val="0"/>
      <w:marBottom w:val="0"/>
      <w:divBdr>
        <w:top w:val="none" w:sz="0" w:space="0" w:color="auto"/>
        <w:left w:val="none" w:sz="0" w:space="0" w:color="auto"/>
        <w:bottom w:val="none" w:sz="0" w:space="0" w:color="auto"/>
        <w:right w:val="none" w:sz="0" w:space="0" w:color="auto"/>
      </w:divBdr>
    </w:div>
    <w:div w:id="813379216">
      <w:bodyDiv w:val="1"/>
      <w:marLeft w:val="0"/>
      <w:marRight w:val="0"/>
      <w:marTop w:val="0"/>
      <w:marBottom w:val="0"/>
      <w:divBdr>
        <w:top w:val="none" w:sz="0" w:space="0" w:color="auto"/>
        <w:left w:val="none" w:sz="0" w:space="0" w:color="auto"/>
        <w:bottom w:val="none" w:sz="0" w:space="0" w:color="auto"/>
        <w:right w:val="none" w:sz="0" w:space="0" w:color="auto"/>
      </w:divBdr>
    </w:div>
    <w:div w:id="827669636">
      <w:bodyDiv w:val="1"/>
      <w:marLeft w:val="0"/>
      <w:marRight w:val="0"/>
      <w:marTop w:val="0"/>
      <w:marBottom w:val="0"/>
      <w:divBdr>
        <w:top w:val="none" w:sz="0" w:space="0" w:color="auto"/>
        <w:left w:val="none" w:sz="0" w:space="0" w:color="auto"/>
        <w:bottom w:val="none" w:sz="0" w:space="0" w:color="auto"/>
        <w:right w:val="none" w:sz="0" w:space="0" w:color="auto"/>
      </w:divBdr>
    </w:div>
    <w:div w:id="838236048">
      <w:bodyDiv w:val="1"/>
      <w:marLeft w:val="0"/>
      <w:marRight w:val="0"/>
      <w:marTop w:val="0"/>
      <w:marBottom w:val="0"/>
      <w:divBdr>
        <w:top w:val="none" w:sz="0" w:space="0" w:color="auto"/>
        <w:left w:val="none" w:sz="0" w:space="0" w:color="auto"/>
        <w:bottom w:val="none" w:sz="0" w:space="0" w:color="auto"/>
        <w:right w:val="none" w:sz="0" w:space="0" w:color="auto"/>
      </w:divBdr>
    </w:div>
    <w:div w:id="846552589">
      <w:bodyDiv w:val="1"/>
      <w:marLeft w:val="0"/>
      <w:marRight w:val="0"/>
      <w:marTop w:val="0"/>
      <w:marBottom w:val="0"/>
      <w:divBdr>
        <w:top w:val="none" w:sz="0" w:space="0" w:color="auto"/>
        <w:left w:val="none" w:sz="0" w:space="0" w:color="auto"/>
        <w:bottom w:val="none" w:sz="0" w:space="0" w:color="auto"/>
        <w:right w:val="none" w:sz="0" w:space="0" w:color="auto"/>
      </w:divBdr>
    </w:div>
    <w:div w:id="859008739">
      <w:bodyDiv w:val="1"/>
      <w:marLeft w:val="0"/>
      <w:marRight w:val="0"/>
      <w:marTop w:val="0"/>
      <w:marBottom w:val="0"/>
      <w:divBdr>
        <w:top w:val="none" w:sz="0" w:space="0" w:color="auto"/>
        <w:left w:val="none" w:sz="0" w:space="0" w:color="auto"/>
        <w:bottom w:val="none" w:sz="0" w:space="0" w:color="auto"/>
        <w:right w:val="none" w:sz="0" w:space="0" w:color="auto"/>
      </w:divBdr>
    </w:div>
    <w:div w:id="859397975">
      <w:bodyDiv w:val="1"/>
      <w:marLeft w:val="0"/>
      <w:marRight w:val="0"/>
      <w:marTop w:val="0"/>
      <w:marBottom w:val="0"/>
      <w:divBdr>
        <w:top w:val="none" w:sz="0" w:space="0" w:color="auto"/>
        <w:left w:val="none" w:sz="0" w:space="0" w:color="auto"/>
        <w:bottom w:val="none" w:sz="0" w:space="0" w:color="auto"/>
        <w:right w:val="none" w:sz="0" w:space="0" w:color="auto"/>
      </w:divBdr>
    </w:div>
    <w:div w:id="862135717">
      <w:bodyDiv w:val="1"/>
      <w:marLeft w:val="0"/>
      <w:marRight w:val="0"/>
      <w:marTop w:val="0"/>
      <w:marBottom w:val="0"/>
      <w:divBdr>
        <w:top w:val="none" w:sz="0" w:space="0" w:color="auto"/>
        <w:left w:val="none" w:sz="0" w:space="0" w:color="auto"/>
        <w:bottom w:val="none" w:sz="0" w:space="0" w:color="auto"/>
        <w:right w:val="none" w:sz="0" w:space="0" w:color="auto"/>
      </w:divBdr>
    </w:div>
    <w:div w:id="869415108">
      <w:bodyDiv w:val="1"/>
      <w:marLeft w:val="0"/>
      <w:marRight w:val="0"/>
      <w:marTop w:val="0"/>
      <w:marBottom w:val="0"/>
      <w:divBdr>
        <w:top w:val="none" w:sz="0" w:space="0" w:color="auto"/>
        <w:left w:val="none" w:sz="0" w:space="0" w:color="auto"/>
        <w:bottom w:val="none" w:sz="0" w:space="0" w:color="auto"/>
        <w:right w:val="none" w:sz="0" w:space="0" w:color="auto"/>
      </w:divBdr>
    </w:div>
    <w:div w:id="869612206">
      <w:bodyDiv w:val="1"/>
      <w:marLeft w:val="0"/>
      <w:marRight w:val="0"/>
      <w:marTop w:val="0"/>
      <w:marBottom w:val="0"/>
      <w:divBdr>
        <w:top w:val="none" w:sz="0" w:space="0" w:color="auto"/>
        <w:left w:val="none" w:sz="0" w:space="0" w:color="auto"/>
        <w:bottom w:val="none" w:sz="0" w:space="0" w:color="auto"/>
        <w:right w:val="none" w:sz="0" w:space="0" w:color="auto"/>
      </w:divBdr>
    </w:div>
    <w:div w:id="872497780">
      <w:bodyDiv w:val="1"/>
      <w:marLeft w:val="0"/>
      <w:marRight w:val="0"/>
      <w:marTop w:val="0"/>
      <w:marBottom w:val="0"/>
      <w:divBdr>
        <w:top w:val="none" w:sz="0" w:space="0" w:color="auto"/>
        <w:left w:val="none" w:sz="0" w:space="0" w:color="auto"/>
        <w:bottom w:val="none" w:sz="0" w:space="0" w:color="auto"/>
        <w:right w:val="none" w:sz="0" w:space="0" w:color="auto"/>
      </w:divBdr>
    </w:div>
    <w:div w:id="893345935">
      <w:bodyDiv w:val="1"/>
      <w:marLeft w:val="0"/>
      <w:marRight w:val="0"/>
      <w:marTop w:val="0"/>
      <w:marBottom w:val="0"/>
      <w:divBdr>
        <w:top w:val="none" w:sz="0" w:space="0" w:color="auto"/>
        <w:left w:val="none" w:sz="0" w:space="0" w:color="auto"/>
        <w:bottom w:val="none" w:sz="0" w:space="0" w:color="auto"/>
        <w:right w:val="none" w:sz="0" w:space="0" w:color="auto"/>
      </w:divBdr>
    </w:div>
    <w:div w:id="894775828">
      <w:bodyDiv w:val="1"/>
      <w:marLeft w:val="0"/>
      <w:marRight w:val="0"/>
      <w:marTop w:val="0"/>
      <w:marBottom w:val="0"/>
      <w:divBdr>
        <w:top w:val="none" w:sz="0" w:space="0" w:color="auto"/>
        <w:left w:val="none" w:sz="0" w:space="0" w:color="auto"/>
        <w:bottom w:val="none" w:sz="0" w:space="0" w:color="auto"/>
        <w:right w:val="none" w:sz="0" w:space="0" w:color="auto"/>
      </w:divBdr>
    </w:div>
    <w:div w:id="895704743">
      <w:bodyDiv w:val="1"/>
      <w:marLeft w:val="0"/>
      <w:marRight w:val="0"/>
      <w:marTop w:val="0"/>
      <w:marBottom w:val="0"/>
      <w:divBdr>
        <w:top w:val="none" w:sz="0" w:space="0" w:color="auto"/>
        <w:left w:val="none" w:sz="0" w:space="0" w:color="auto"/>
        <w:bottom w:val="none" w:sz="0" w:space="0" w:color="auto"/>
        <w:right w:val="none" w:sz="0" w:space="0" w:color="auto"/>
      </w:divBdr>
    </w:div>
    <w:div w:id="903029532">
      <w:bodyDiv w:val="1"/>
      <w:marLeft w:val="0"/>
      <w:marRight w:val="0"/>
      <w:marTop w:val="0"/>
      <w:marBottom w:val="0"/>
      <w:divBdr>
        <w:top w:val="none" w:sz="0" w:space="0" w:color="auto"/>
        <w:left w:val="none" w:sz="0" w:space="0" w:color="auto"/>
        <w:bottom w:val="none" w:sz="0" w:space="0" w:color="auto"/>
        <w:right w:val="none" w:sz="0" w:space="0" w:color="auto"/>
      </w:divBdr>
      <w:divsChild>
        <w:div w:id="1230388080">
          <w:marLeft w:val="0"/>
          <w:marRight w:val="0"/>
          <w:marTop w:val="0"/>
          <w:marBottom w:val="0"/>
          <w:divBdr>
            <w:top w:val="none" w:sz="0" w:space="0" w:color="auto"/>
            <w:left w:val="none" w:sz="0" w:space="0" w:color="auto"/>
            <w:bottom w:val="none" w:sz="0" w:space="0" w:color="auto"/>
            <w:right w:val="none" w:sz="0" w:space="0" w:color="auto"/>
          </w:divBdr>
        </w:div>
      </w:divsChild>
    </w:div>
    <w:div w:id="905646837">
      <w:bodyDiv w:val="1"/>
      <w:marLeft w:val="0"/>
      <w:marRight w:val="0"/>
      <w:marTop w:val="0"/>
      <w:marBottom w:val="0"/>
      <w:divBdr>
        <w:top w:val="none" w:sz="0" w:space="0" w:color="auto"/>
        <w:left w:val="none" w:sz="0" w:space="0" w:color="auto"/>
        <w:bottom w:val="none" w:sz="0" w:space="0" w:color="auto"/>
        <w:right w:val="none" w:sz="0" w:space="0" w:color="auto"/>
      </w:divBdr>
    </w:div>
    <w:div w:id="914434816">
      <w:bodyDiv w:val="1"/>
      <w:marLeft w:val="0"/>
      <w:marRight w:val="0"/>
      <w:marTop w:val="0"/>
      <w:marBottom w:val="0"/>
      <w:divBdr>
        <w:top w:val="none" w:sz="0" w:space="0" w:color="auto"/>
        <w:left w:val="none" w:sz="0" w:space="0" w:color="auto"/>
        <w:bottom w:val="none" w:sz="0" w:space="0" w:color="auto"/>
        <w:right w:val="none" w:sz="0" w:space="0" w:color="auto"/>
      </w:divBdr>
    </w:div>
    <w:div w:id="923954847">
      <w:bodyDiv w:val="1"/>
      <w:marLeft w:val="0"/>
      <w:marRight w:val="0"/>
      <w:marTop w:val="0"/>
      <w:marBottom w:val="0"/>
      <w:divBdr>
        <w:top w:val="none" w:sz="0" w:space="0" w:color="auto"/>
        <w:left w:val="none" w:sz="0" w:space="0" w:color="auto"/>
        <w:bottom w:val="none" w:sz="0" w:space="0" w:color="auto"/>
        <w:right w:val="none" w:sz="0" w:space="0" w:color="auto"/>
      </w:divBdr>
    </w:div>
    <w:div w:id="924001336">
      <w:bodyDiv w:val="1"/>
      <w:marLeft w:val="0"/>
      <w:marRight w:val="0"/>
      <w:marTop w:val="0"/>
      <w:marBottom w:val="0"/>
      <w:divBdr>
        <w:top w:val="none" w:sz="0" w:space="0" w:color="auto"/>
        <w:left w:val="none" w:sz="0" w:space="0" w:color="auto"/>
        <w:bottom w:val="none" w:sz="0" w:space="0" w:color="auto"/>
        <w:right w:val="none" w:sz="0" w:space="0" w:color="auto"/>
      </w:divBdr>
    </w:div>
    <w:div w:id="937717967">
      <w:bodyDiv w:val="1"/>
      <w:marLeft w:val="0"/>
      <w:marRight w:val="0"/>
      <w:marTop w:val="0"/>
      <w:marBottom w:val="0"/>
      <w:divBdr>
        <w:top w:val="none" w:sz="0" w:space="0" w:color="auto"/>
        <w:left w:val="none" w:sz="0" w:space="0" w:color="auto"/>
        <w:bottom w:val="none" w:sz="0" w:space="0" w:color="auto"/>
        <w:right w:val="none" w:sz="0" w:space="0" w:color="auto"/>
      </w:divBdr>
    </w:div>
    <w:div w:id="957377575">
      <w:bodyDiv w:val="1"/>
      <w:marLeft w:val="0"/>
      <w:marRight w:val="0"/>
      <w:marTop w:val="0"/>
      <w:marBottom w:val="0"/>
      <w:divBdr>
        <w:top w:val="none" w:sz="0" w:space="0" w:color="auto"/>
        <w:left w:val="none" w:sz="0" w:space="0" w:color="auto"/>
        <w:bottom w:val="none" w:sz="0" w:space="0" w:color="auto"/>
        <w:right w:val="none" w:sz="0" w:space="0" w:color="auto"/>
      </w:divBdr>
    </w:div>
    <w:div w:id="958879675">
      <w:bodyDiv w:val="1"/>
      <w:marLeft w:val="0"/>
      <w:marRight w:val="0"/>
      <w:marTop w:val="0"/>
      <w:marBottom w:val="0"/>
      <w:divBdr>
        <w:top w:val="none" w:sz="0" w:space="0" w:color="auto"/>
        <w:left w:val="none" w:sz="0" w:space="0" w:color="auto"/>
        <w:bottom w:val="none" w:sz="0" w:space="0" w:color="auto"/>
        <w:right w:val="none" w:sz="0" w:space="0" w:color="auto"/>
      </w:divBdr>
    </w:div>
    <w:div w:id="962418511">
      <w:bodyDiv w:val="1"/>
      <w:marLeft w:val="0"/>
      <w:marRight w:val="0"/>
      <w:marTop w:val="0"/>
      <w:marBottom w:val="0"/>
      <w:divBdr>
        <w:top w:val="none" w:sz="0" w:space="0" w:color="auto"/>
        <w:left w:val="none" w:sz="0" w:space="0" w:color="auto"/>
        <w:bottom w:val="none" w:sz="0" w:space="0" w:color="auto"/>
        <w:right w:val="none" w:sz="0" w:space="0" w:color="auto"/>
      </w:divBdr>
    </w:div>
    <w:div w:id="962685828">
      <w:bodyDiv w:val="1"/>
      <w:marLeft w:val="0"/>
      <w:marRight w:val="0"/>
      <w:marTop w:val="0"/>
      <w:marBottom w:val="0"/>
      <w:divBdr>
        <w:top w:val="none" w:sz="0" w:space="0" w:color="auto"/>
        <w:left w:val="none" w:sz="0" w:space="0" w:color="auto"/>
        <w:bottom w:val="none" w:sz="0" w:space="0" w:color="auto"/>
        <w:right w:val="none" w:sz="0" w:space="0" w:color="auto"/>
      </w:divBdr>
    </w:div>
    <w:div w:id="965356163">
      <w:bodyDiv w:val="1"/>
      <w:marLeft w:val="0"/>
      <w:marRight w:val="0"/>
      <w:marTop w:val="0"/>
      <w:marBottom w:val="0"/>
      <w:divBdr>
        <w:top w:val="none" w:sz="0" w:space="0" w:color="auto"/>
        <w:left w:val="none" w:sz="0" w:space="0" w:color="auto"/>
        <w:bottom w:val="none" w:sz="0" w:space="0" w:color="auto"/>
        <w:right w:val="none" w:sz="0" w:space="0" w:color="auto"/>
      </w:divBdr>
    </w:div>
    <w:div w:id="968438748">
      <w:bodyDiv w:val="1"/>
      <w:marLeft w:val="0"/>
      <w:marRight w:val="0"/>
      <w:marTop w:val="0"/>
      <w:marBottom w:val="0"/>
      <w:divBdr>
        <w:top w:val="none" w:sz="0" w:space="0" w:color="auto"/>
        <w:left w:val="none" w:sz="0" w:space="0" w:color="auto"/>
        <w:bottom w:val="none" w:sz="0" w:space="0" w:color="auto"/>
        <w:right w:val="none" w:sz="0" w:space="0" w:color="auto"/>
      </w:divBdr>
    </w:div>
    <w:div w:id="969936488">
      <w:bodyDiv w:val="1"/>
      <w:marLeft w:val="0"/>
      <w:marRight w:val="0"/>
      <w:marTop w:val="0"/>
      <w:marBottom w:val="0"/>
      <w:divBdr>
        <w:top w:val="none" w:sz="0" w:space="0" w:color="auto"/>
        <w:left w:val="none" w:sz="0" w:space="0" w:color="auto"/>
        <w:bottom w:val="none" w:sz="0" w:space="0" w:color="auto"/>
        <w:right w:val="none" w:sz="0" w:space="0" w:color="auto"/>
      </w:divBdr>
    </w:div>
    <w:div w:id="973801936">
      <w:bodyDiv w:val="1"/>
      <w:marLeft w:val="0"/>
      <w:marRight w:val="0"/>
      <w:marTop w:val="0"/>
      <w:marBottom w:val="0"/>
      <w:divBdr>
        <w:top w:val="none" w:sz="0" w:space="0" w:color="auto"/>
        <w:left w:val="none" w:sz="0" w:space="0" w:color="auto"/>
        <w:bottom w:val="none" w:sz="0" w:space="0" w:color="auto"/>
        <w:right w:val="none" w:sz="0" w:space="0" w:color="auto"/>
      </w:divBdr>
      <w:divsChild>
        <w:div w:id="967705576">
          <w:marLeft w:val="0"/>
          <w:marRight w:val="0"/>
          <w:marTop w:val="0"/>
          <w:marBottom w:val="0"/>
          <w:divBdr>
            <w:top w:val="none" w:sz="0" w:space="0" w:color="auto"/>
            <w:left w:val="none" w:sz="0" w:space="0" w:color="auto"/>
            <w:bottom w:val="none" w:sz="0" w:space="0" w:color="auto"/>
            <w:right w:val="none" w:sz="0" w:space="0" w:color="auto"/>
          </w:divBdr>
        </w:div>
      </w:divsChild>
    </w:div>
    <w:div w:id="975522306">
      <w:bodyDiv w:val="1"/>
      <w:marLeft w:val="0"/>
      <w:marRight w:val="0"/>
      <w:marTop w:val="0"/>
      <w:marBottom w:val="0"/>
      <w:divBdr>
        <w:top w:val="none" w:sz="0" w:space="0" w:color="auto"/>
        <w:left w:val="none" w:sz="0" w:space="0" w:color="auto"/>
        <w:bottom w:val="none" w:sz="0" w:space="0" w:color="auto"/>
        <w:right w:val="none" w:sz="0" w:space="0" w:color="auto"/>
      </w:divBdr>
    </w:div>
    <w:div w:id="978025782">
      <w:bodyDiv w:val="1"/>
      <w:marLeft w:val="0"/>
      <w:marRight w:val="0"/>
      <w:marTop w:val="0"/>
      <w:marBottom w:val="0"/>
      <w:divBdr>
        <w:top w:val="none" w:sz="0" w:space="0" w:color="auto"/>
        <w:left w:val="none" w:sz="0" w:space="0" w:color="auto"/>
        <w:bottom w:val="none" w:sz="0" w:space="0" w:color="auto"/>
        <w:right w:val="none" w:sz="0" w:space="0" w:color="auto"/>
      </w:divBdr>
    </w:div>
    <w:div w:id="983856283">
      <w:bodyDiv w:val="1"/>
      <w:marLeft w:val="0"/>
      <w:marRight w:val="0"/>
      <w:marTop w:val="0"/>
      <w:marBottom w:val="0"/>
      <w:divBdr>
        <w:top w:val="none" w:sz="0" w:space="0" w:color="auto"/>
        <w:left w:val="none" w:sz="0" w:space="0" w:color="auto"/>
        <w:bottom w:val="none" w:sz="0" w:space="0" w:color="auto"/>
        <w:right w:val="none" w:sz="0" w:space="0" w:color="auto"/>
      </w:divBdr>
    </w:div>
    <w:div w:id="987055670">
      <w:bodyDiv w:val="1"/>
      <w:marLeft w:val="0"/>
      <w:marRight w:val="0"/>
      <w:marTop w:val="0"/>
      <w:marBottom w:val="0"/>
      <w:divBdr>
        <w:top w:val="none" w:sz="0" w:space="0" w:color="auto"/>
        <w:left w:val="none" w:sz="0" w:space="0" w:color="auto"/>
        <w:bottom w:val="none" w:sz="0" w:space="0" w:color="auto"/>
        <w:right w:val="none" w:sz="0" w:space="0" w:color="auto"/>
      </w:divBdr>
    </w:div>
    <w:div w:id="991522224">
      <w:bodyDiv w:val="1"/>
      <w:marLeft w:val="0"/>
      <w:marRight w:val="0"/>
      <w:marTop w:val="0"/>
      <w:marBottom w:val="0"/>
      <w:divBdr>
        <w:top w:val="none" w:sz="0" w:space="0" w:color="auto"/>
        <w:left w:val="none" w:sz="0" w:space="0" w:color="auto"/>
        <w:bottom w:val="none" w:sz="0" w:space="0" w:color="auto"/>
        <w:right w:val="none" w:sz="0" w:space="0" w:color="auto"/>
      </w:divBdr>
    </w:div>
    <w:div w:id="1015352368">
      <w:bodyDiv w:val="1"/>
      <w:marLeft w:val="0"/>
      <w:marRight w:val="0"/>
      <w:marTop w:val="0"/>
      <w:marBottom w:val="0"/>
      <w:divBdr>
        <w:top w:val="none" w:sz="0" w:space="0" w:color="auto"/>
        <w:left w:val="none" w:sz="0" w:space="0" w:color="auto"/>
        <w:bottom w:val="none" w:sz="0" w:space="0" w:color="auto"/>
        <w:right w:val="none" w:sz="0" w:space="0" w:color="auto"/>
      </w:divBdr>
    </w:div>
    <w:div w:id="1016926206">
      <w:bodyDiv w:val="1"/>
      <w:marLeft w:val="0"/>
      <w:marRight w:val="0"/>
      <w:marTop w:val="0"/>
      <w:marBottom w:val="0"/>
      <w:divBdr>
        <w:top w:val="none" w:sz="0" w:space="0" w:color="auto"/>
        <w:left w:val="none" w:sz="0" w:space="0" w:color="auto"/>
        <w:bottom w:val="none" w:sz="0" w:space="0" w:color="auto"/>
        <w:right w:val="none" w:sz="0" w:space="0" w:color="auto"/>
      </w:divBdr>
    </w:div>
    <w:div w:id="1017927759">
      <w:bodyDiv w:val="1"/>
      <w:marLeft w:val="0"/>
      <w:marRight w:val="0"/>
      <w:marTop w:val="0"/>
      <w:marBottom w:val="0"/>
      <w:divBdr>
        <w:top w:val="none" w:sz="0" w:space="0" w:color="auto"/>
        <w:left w:val="none" w:sz="0" w:space="0" w:color="auto"/>
        <w:bottom w:val="none" w:sz="0" w:space="0" w:color="auto"/>
        <w:right w:val="none" w:sz="0" w:space="0" w:color="auto"/>
      </w:divBdr>
    </w:div>
    <w:div w:id="1028601843">
      <w:bodyDiv w:val="1"/>
      <w:marLeft w:val="0"/>
      <w:marRight w:val="0"/>
      <w:marTop w:val="0"/>
      <w:marBottom w:val="0"/>
      <w:divBdr>
        <w:top w:val="none" w:sz="0" w:space="0" w:color="auto"/>
        <w:left w:val="none" w:sz="0" w:space="0" w:color="auto"/>
        <w:bottom w:val="none" w:sz="0" w:space="0" w:color="auto"/>
        <w:right w:val="none" w:sz="0" w:space="0" w:color="auto"/>
      </w:divBdr>
    </w:div>
    <w:div w:id="1034162066">
      <w:bodyDiv w:val="1"/>
      <w:marLeft w:val="0"/>
      <w:marRight w:val="0"/>
      <w:marTop w:val="0"/>
      <w:marBottom w:val="0"/>
      <w:divBdr>
        <w:top w:val="none" w:sz="0" w:space="0" w:color="auto"/>
        <w:left w:val="none" w:sz="0" w:space="0" w:color="auto"/>
        <w:bottom w:val="none" w:sz="0" w:space="0" w:color="auto"/>
        <w:right w:val="none" w:sz="0" w:space="0" w:color="auto"/>
      </w:divBdr>
    </w:div>
    <w:div w:id="1042946378">
      <w:bodyDiv w:val="1"/>
      <w:marLeft w:val="0"/>
      <w:marRight w:val="0"/>
      <w:marTop w:val="0"/>
      <w:marBottom w:val="0"/>
      <w:divBdr>
        <w:top w:val="none" w:sz="0" w:space="0" w:color="auto"/>
        <w:left w:val="none" w:sz="0" w:space="0" w:color="auto"/>
        <w:bottom w:val="none" w:sz="0" w:space="0" w:color="auto"/>
        <w:right w:val="none" w:sz="0" w:space="0" w:color="auto"/>
      </w:divBdr>
    </w:div>
    <w:div w:id="1065906998">
      <w:bodyDiv w:val="1"/>
      <w:marLeft w:val="0"/>
      <w:marRight w:val="0"/>
      <w:marTop w:val="0"/>
      <w:marBottom w:val="0"/>
      <w:divBdr>
        <w:top w:val="none" w:sz="0" w:space="0" w:color="auto"/>
        <w:left w:val="none" w:sz="0" w:space="0" w:color="auto"/>
        <w:bottom w:val="none" w:sz="0" w:space="0" w:color="auto"/>
        <w:right w:val="none" w:sz="0" w:space="0" w:color="auto"/>
      </w:divBdr>
    </w:div>
    <w:div w:id="1066338999">
      <w:bodyDiv w:val="1"/>
      <w:marLeft w:val="0"/>
      <w:marRight w:val="0"/>
      <w:marTop w:val="0"/>
      <w:marBottom w:val="0"/>
      <w:divBdr>
        <w:top w:val="none" w:sz="0" w:space="0" w:color="auto"/>
        <w:left w:val="none" w:sz="0" w:space="0" w:color="auto"/>
        <w:bottom w:val="none" w:sz="0" w:space="0" w:color="auto"/>
        <w:right w:val="none" w:sz="0" w:space="0" w:color="auto"/>
      </w:divBdr>
    </w:div>
    <w:div w:id="1071318281">
      <w:bodyDiv w:val="1"/>
      <w:marLeft w:val="0"/>
      <w:marRight w:val="0"/>
      <w:marTop w:val="0"/>
      <w:marBottom w:val="0"/>
      <w:divBdr>
        <w:top w:val="none" w:sz="0" w:space="0" w:color="auto"/>
        <w:left w:val="none" w:sz="0" w:space="0" w:color="auto"/>
        <w:bottom w:val="none" w:sz="0" w:space="0" w:color="auto"/>
        <w:right w:val="none" w:sz="0" w:space="0" w:color="auto"/>
      </w:divBdr>
    </w:div>
    <w:div w:id="1080249972">
      <w:bodyDiv w:val="1"/>
      <w:marLeft w:val="0"/>
      <w:marRight w:val="0"/>
      <w:marTop w:val="0"/>
      <w:marBottom w:val="0"/>
      <w:divBdr>
        <w:top w:val="none" w:sz="0" w:space="0" w:color="auto"/>
        <w:left w:val="none" w:sz="0" w:space="0" w:color="auto"/>
        <w:bottom w:val="none" w:sz="0" w:space="0" w:color="auto"/>
        <w:right w:val="none" w:sz="0" w:space="0" w:color="auto"/>
      </w:divBdr>
    </w:div>
    <w:div w:id="1085032498">
      <w:bodyDiv w:val="1"/>
      <w:marLeft w:val="0"/>
      <w:marRight w:val="0"/>
      <w:marTop w:val="0"/>
      <w:marBottom w:val="0"/>
      <w:divBdr>
        <w:top w:val="none" w:sz="0" w:space="0" w:color="auto"/>
        <w:left w:val="none" w:sz="0" w:space="0" w:color="auto"/>
        <w:bottom w:val="none" w:sz="0" w:space="0" w:color="auto"/>
        <w:right w:val="none" w:sz="0" w:space="0" w:color="auto"/>
      </w:divBdr>
    </w:div>
    <w:div w:id="1091971224">
      <w:bodyDiv w:val="1"/>
      <w:marLeft w:val="0"/>
      <w:marRight w:val="0"/>
      <w:marTop w:val="0"/>
      <w:marBottom w:val="0"/>
      <w:divBdr>
        <w:top w:val="none" w:sz="0" w:space="0" w:color="auto"/>
        <w:left w:val="none" w:sz="0" w:space="0" w:color="auto"/>
        <w:bottom w:val="none" w:sz="0" w:space="0" w:color="auto"/>
        <w:right w:val="none" w:sz="0" w:space="0" w:color="auto"/>
      </w:divBdr>
    </w:div>
    <w:div w:id="1092315791">
      <w:bodyDiv w:val="1"/>
      <w:marLeft w:val="0"/>
      <w:marRight w:val="0"/>
      <w:marTop w:val="0"/>
      <w:marBottom w:val="0"/>
      <w:divBdr>
        <w:top w:val="none" w:sz="0" w:space="0" w:color="auto"/>
        <w:left w:val="none" w:sz="0" w:space="0" w:color="auto"/>
        <w:bottom w:val="none" w:sz="0" w:space="0" w:color="auto"/>
        <w:right w:val="none" w:sz="0" w:space="0" w:color="auto"/>
      </w:divBdr>
    </w:div>
    <w:div w:id="1094590081">
      <w:bodyDiv w:val="1"/>
      <w:marLeft w:val="0"/>
      <w:marRight w:val="0"/>
      <w:marTop w:val="0"/>
      <w:marBottom w:val="0"/>
      <w:divBdr>
        <w:top w:val="none" w:sz="0" w:space="0" w:color="auto"/>
        <w:left w:val="none" w:sz="0" w:space="0" w:color="auto"/>
        <w:bottom w:val="none" w:sz="0" w:space="0" w:color="auto"/>
        <w:right w:val="none" w:sz="0" w:space="0" w:color="auto"/>
      </w:divBdr>
    </w:div>
    <w:div w:id="1104610885">
      <w:bodyDiv w:val="1"/>
      <w:marLeft w:val="0"/>
      <w:marRight w:val="0"/>
      <w:marTop w:val="0"/>
      <w:marBottom w:val="0"/>
      <w:divBdr>
        <w:top w:val="none" w:sz="0" w:space="0" w:color="auto"/>
        <w:left w:val="none" w:sz="0" w:space="0" w:color="auto"/>
        <w:bottom w:val="none" w:sz="0" w:space="0" w:color="auto"/>
        <w:right w:val="none" w:sz="0" w:space="0" w:color="auto"/>
      </w:divBdr>
    </w:div>
    <w:div w:id="1104686654">
      <w:bodyDiv w:val="1"/>
      <w:marLeft w:val="0"/>
      <w:marRight w:val="0"/>
      <w:marTop w:val="0"/>
      <w:marBottom w:val="0"/>
      <w:divBdr>
        <w:top w:val="none" w:sz="0" w:space="0" w:color="auto"/>
        <w:left w:val="none" w:sz="0" w:space="0" w:color="auto"/>
        <w:bottom w:val="none" w:sz="0" w:space="0" w:color="auto"/>
        <w:right w:val="none" w:sz="0" w:space="0" w:color="auto"/>
      </w:divBdr>
    </w:div>
    <w:div w:id="1123619984">
      <w:bodyDiv w:val="1"/>
      <w:marLeft w:val="0"/>
      <w:marRight w:val="0"/>
      <w:marTop w:val="0"/>
      <w:marBottom w:val="0"/>
      <w:divBdr>
        <w:top w:val="none" w:sz="0" w:space="0" w:color="auto"/>
        <w:left w:val="none" w:sz="0" w:space="0" w:color="auto"/>
        <w:bottom w:val="none" w:sz="0" w:space="0" w:color="auto"/>
        <w:right w:val="none" w:sz="0" w:space="0" w:color="auto"/>
      </w:divBdr>
    </w:div>
    <w:div w:id="1131433902">
      <w:bodyDiv w:val="1"/>
      <w:marLeft w:val="0"/>
      <w:marRight w:val="0"/>
      <w:marTop w:val="0"/>
      <w:marBottom w:val="0"/>
      <w:divBdr>
        <w:top w:val="none" w:sz="0" w:space="0" w:color="auto"/>
        <w:left w:val="none" w:sz="0" w:space="0" w:color="auto"/>
        <w:bottom w:val="none" w:sz="0" w:space="0" w:color="auto"/>
        <w:right w:val="none" w:sz="0" w:space="0" w:color="auto"/>
      </w:divBdr>
    </w:div>
    <w:div w:id="1132165603">
      <w:bodyDiv w:val="1"/>
      <w:marLeft w:val="0"/>
      <w:marRight w:val="0"/>
      <w:marTop w:val="0"/>
      <w:marBottom w:val="0"/>
      <w:divBdr>
        <w:top w:val="none" w:sz="0" w:space="0" w:color="auto"/>
        <w:left w:val="none" w:sz="0" w:space="0" w:color="auto"/>
        <w:bottom w:val="none" w:sz="0" w:space="0" w:color="auto"/>
        <w:right w:val="none" w:sz="0" w:space="0" w:color="auto"/>
      </w:divBdr>
    </w:div>
    <w:div w:id="1140272766">
      <w:bodyDiv w:val="1"/>
      <w:marLeft w:val="0"/>
      <w:marRight w:val="0"/>
      <w:marTop w:val="0"/>
      <w:marBottom w:val="0"/>
      <w:divBdr>
        <w:top w:val="none" w:sz="0" w:space="0" w:color="auto"/>
        <w:left w:val="none" w:sz="0" w:space="0" w:color="auto"/>
        <w:bottom w:val="none" w:sz="0" w:space="0" w:color="auto"/>
        <w:right w:val="none" w:sz="0" w:space="0" w:color="auto"/>
      </w:divBdr>
    </w:div>
    <w:div w:id="1142885696">
      <w:bodyDiv w:val="1"/>
      <w:marLeft w:val="0"/>
      <w:marRight w:val="0"/>
      <w:marTop w:val="0"/>
      <w:marBottom w:val="0"/>
      <w:divBdr>
        <w:top w:val="none" w:sz="0" w:space="0" w:color="auto"/>
        <w:left w:val="none" w:sz="0" w:space="0" w:color="auto"/>
        <w:bottom w:val="none" w:sz="0" w:space="0" w:color="auto"/>
        <w:right w:val="none" w:sz="0" w:space="0" w:color="auto"/>
      </w:divBdr>
    </w:div>
    <w:div w:id="1143883839">
      <w:bodyDiv w:val="1"/>
      <w:marLeft w:val="0"/>
      <w:marRight w:val="0"/>
      <w:marTop w:val="0"/>
      <w:marBottom w:val="0"/>
      <w:divBdr>
        <w:top w:val="none" w:sz="0" w:space="0" w:color="auto"/>
        <w:left w:val="none" w:sz="0" w:space="0" w:color="auto"/>
        <w:bottom w:val="none" w:sz="0" w:space="0" w:color="auto"/>
        <w:right w:val="none" w:sz="0" w:space="0" w:color="auto"/>
      </w:divBdr>
    </w:div>
    <w:div w:id="1145972058">
      <w:bodyDiv w:val="1"/>
      <w:marLeft w:val="0"/>
      <w:marRight w:val="0"/>
      <w:marTop w:val="0"/>
      <w:marBottom w:val="0"/>
      <w:divBdr>
        <w:top w:val="none" w:sz="0" w:space="0" w:color="auto"/>
        <w:left w:val="none" w:sz="0" w:space="0" w:color="auto"/>
        <w:bottom w:val="none" w:sz="0" w:space="0" w:color="auto"/>
        <w:right w:val="none" w:sz="0" w:space="0" w:color="auto"/>
      </w:divBdr>
    </w:div>
    <w:div w:id="1150948846">
      <w:bodyDiv w:val="1"/>
      <w:marLeft w:val="0"/>
      <w:marRight w:val="0"/>
      <w:marTop w:val="0"/>
      <w:marBottom w:val="0"/>
      <w:divBdr>
        <w:top w:val="none" w:sz="0" w:space="0" w:color="auto"/>
        <w:left w:val="none" w:sz="0" w:space="0" w:color="auto"/>
        <w:bottom w:val="none" w:sz="0" w:space="0" w:color="auto"/>
        <w:right w:val="none" w:sz="0" w:space="0" w:color="auto"/>
      </w:divBdr>
    </w:div>
    <w:div w:id="1153637839">
      <w:bodyDiv w:val="1"/>
      <w:marLeft w:val="0"/>
      <w:marRight w:val="0"/>
      <w:marTop w:val="0"/>
      <w:marBottom w:val="0"/>
      <w:divBdr>
        <w:top w:val="none" w:sz="0" w:space="0" w:color="auto"/>
        <w:left w:val="none" w:sz="0" w:space="0" w:color="auto"/>
        <w:bottom w:val="none" w:sz="0" w:space="0" w:color="auto"/>
        <w:right w:val="none" w:sz="0" w:space="0" w:color="auto"/>
      </w:divBdr>
    </w:div>
    <w:div w:id="1154029303">
      <w:bodyDiv w:val="1"/>
      <w:marLeft w:val="0"/>
      <w:marRight w:val="0"/>
      <w:marTop w:val="0"/>
      <w:marBottom w:val="0"/>
      <w:divBdr>
        <w:top w:val="none" w:sz="0" w:space="0" w:color="auto"/>
        <w:left w:val="none" w:sz="0" w:space="0" w:color="auto"/>
        <w:bottom w:val="none" w:sz="0" w:space="0" w:color="auto"/>
        <w:right w:val="none" w:sz="0" w:space="0" w:color="auto"/>
      </w:divBdr>
    </w:div>
    <w:div w:id="1154099911">
      <w:bodyDiv w:val="1"/>
      <w:marLeft w:val="0"/>
      <w:marRight w:val="0"/>
      <w:marTop w:val="0"/>
      <w:marBottom w:val="0"/>
      <w:divBdr>
        <w:top w:val="none" w:sz="0" w:space="0" w:color="auto"/>
        <w:left w:val="none" w:sz="0" w:space="0" w:color="auto"/>
        <w:bottom w:val="none" w:sz="0" w:space="0" w:color="auto"/>
        <w:right w:val="none" w:sz="0" w:space="0" w:color="auto"/>
      </w:divBdr>
    </w:div>
    <w:div w:id="1157381195">
      <w:bodyDiv w:val="1"/>
      <w:marLeft w:val="0"/>
      <w:marRight w:val="0"/>
      <w:marTop w:val="0"/>
      <w:marBottom w:val="0"/>
      <w:divBdr>
        <w:top w:val="none" w:sz="0" w:space="0" w:color="auto"/>
        <w:left w:val="none" w:sz="0" w:space="0" w:color="auto"/>
        <w:bottom w:val="none" w:sz="0" w:space="0" w:color="auto"/>
        <w:right w:val="none" w:sz="0" w:space="0" w:color="auto"/>
      </w:divBdr>
    </w:div>
    <w:div w:id="1175270010">
      <w:bodyDiv w:val="1"/>
      <w:marLeft w:val="0"/>
      <w:marRight w:val="0"/>
      <w:marTop w:val="0"/>
      <w:marBottom w:val="0"/>
      <w:divBdr>
        <w:top w:val="none" w:sz="0" w:space="0" w:color="auto"/>
        <w:left w:val="none" w:sz="0" w:space="0" w:color="auto"/>
        <w:bottom w:val="none" w:sz="0" w:space="0" w:color="auto"/>
        <w:right w:val="none" w:sz="0" w:space="0" w:color="auto"/>
      </w:divBdr>
    </w:div>
    <w:div w:id="1177888878">
      <w:bodyDiv w:val="1"/>
      <w:marLeft w:val="0"/>
      <w:marRight w:val="0"/>
      <w:marTop w:val="0"/>
      <w:marBottom w:val="0"/>
      <w:divBdr>
        <w:top w:val="none" w:sz="0" w:space="0" w:color="auto"/>
        <w:left w:val="none" w:sz="0" w:space="0" w:color="auto"/>
        <w:bottom w:val="none" w:sz="0" w:space="0" w:color="auto"/>
        <w:right w:val="none" w:sz="0" w:space="0" w:color="auto"/>
      </w:divBdr>
    </w:div>
    <w:div w:id="1184176031">
      <w:bodyDiv w:val="1"/>
      <w:marLeft w:val="0"/>
      <w:marRight w:val="0"/>
      <w:marTop w:val="0"/>
      <w:marBottom w:val="0"/>
      <w:divBdr>
        <w:top w:val="none" w:sz="0" w:space="0" w:color="auto"/>
        <w:left w:val="none" w:sz="0" w:space="0" w:color="auto"/>
        <w:bottom w:val="none" w:sz="0" w:space="0" w:color="auto"/>
        <w:right w:val="none" w:sz="0" w:space="0" w:color="auto"/>
      </w:divBdr>
    </w:div>
    <w:div w:id="1187063357">
      <w:bodyDiv w:val="1"/>
      <w:marLeft w:val="0"/>
      <w:marRight w:val="0"/>
      <w:marTop w:val="0"/>
      <w:marBottom w:val="0"/>
      <w:divBdr>
        <w:top w:val="none" w:sz="0" w:space="0" w:color="auto"/>
        <w:left w:val="none" w:sz="0" w:space="0" w:color="auto"/>
        <w:bottom w:val="none" w:sz="0" w:space="0" w:color="auto"/>
        <w:right w:val="none" w:sz="0" w:space="0" w:color="auto"/>
      </w:divBdr>
    </w:div>
    <w:div w:id="1188638704">
      <w:bodyDiv w:val="1"/>
      <w:marLeft w:val="0"/>
      <w:marRight w:val="0"/>
      <w:marTop w:val="0"/>
      <w:marBottom w:val="0"/>
      <w:divBdr>
        <w:top w:val="none" w:sz="0" w:space="0" w:color="auto"/>
        <w:left w:val="none" w:sz="0" w:space="0" w:color="auto"/>
        <w:bottom w:val="none" w:sz="0" w:space="0" w:color="auto"/>
        <w:right w:val="none" w:sz="0" w:space="0" w:color="auto"/>
      </w:divBdr>
    </w:div>
    <w:div w:id="1189031534">
      <w:bodyDiv w:val="1"/>
      <w:marLeft w:val="0"/>
      <w:marRight w:val="0"/>
      <w:marTop w:val="0"/>
      <w:marBottom w:val="0"/>
      <w:divBdr>
        <w:top w:val="none" w:sz="0" w:space="0" w:color="auto"/>
        <w:left w:val="none" w:sz="0" w:space="0" w:color="auto"/>
        <w:bottom w:val="none" w:sz="0" w:space="0" w:color="auto"/>
        <w:right w:val="none" w:sz="0" w:space="0" w:color="auto"/>
      </w:divBdr>
    </w:div>
    <w:div w:id="1190799793">
      <w:bodyDiv w:val="1"/>
      <w:marLeft w:val="0"/>
      <w:marRight w:val="0"/>
      <w:marTop w:val="0"/>
      <w:marBottom w:val="0"/>
      <w:divBdr>
        <w:top w:val="none" w:sz="0" w:space="0" w:color="auto"/>
        <w:left w:val="none" w:sz="0" w:space="0" w:color="auto"/>
        <w:bottom w:val="none" w:sz="0" w:space="0" w:color="auto"/>
        <w:right w:val="none" w:sz="0" w:space="0" w:color="auto"/>
      </w:divBdr>
    </w:div>
    <w:div w:id="1197617451">
      <w:bodyDiv w:val="1"/>
      <w:marLeft w:val="0"/>
      <w:marRight w:val="0"/>
      <w:marTop w:val="0"/>
      <w:marBottom w:val="0"/>
      <w:divBdr>
        <w:top w:val="none" w:sz="0" w:space="0" w:color="auto"/>
        <w:left w:val="none" w:sz="0" w:space="0" w:color="auto"/>
        <w:bottom w:val="none" w:sz="0" w:space="0" w:color="auto"/>
        <w:right w:val="none" w:sz="0" w:space="0" w:color="auto"/>
      </w:divBdr>
    </w:div>
    <w:div w:id="1201360188">
      <w:bodyDiv w:val="1"/>
      <w:marLeft w:val="0"/>
      <w:marRight w:val="0"/>
      <w:marTop w:val="0"/>
      <w:marBottom w:val="0"/>
      <w:divBdr>
        <w:top w:val="none" w:sz="0" w:space="0" w:color="auto"/>
        <w:left w:val="none" w:sz="0" w:space="0" w:color="auto"/>
        <w:bottom w:val="none" w:sz="0" w:space="0" w:color="auto"/>
        <w:right w:val="none" w:sz="0" w:space="0" w:color="auto"/>
      </w:divBdr>
    </w:div>
    <w:div w:id="1205413240">
      <w:bodyDiv w:val="1"/>
      <w:marLeft w:val="0"/>
      <w:marRight w:val="0"/>
      <w:marTop w:val="0"/>
      <w:marBottom w:val="0"/>
      <w:divBdr>
        <w:top w:val="none" w:sz="0" w:space="0" w:color="auto"/>
        <w:left w:val="none" w:sz="0" w:space="0" w:color="auto"/>
        <w:bottom w:val="none" w:sz="0" w:space="0" w:color="auto"/>
        <w:right w:val="none" w:sz="0" w:space="0" w:color="auto"/>
      </w:divBdr>
    </w:div>
    <w:div w:id="1210386750">
      <w:bodyDiv w:val="1"/>
      <w:marLeft w:val="0"/>
      <w:marRight w:val="0"/>
      <w:marTop w:val="0"/>
      <w:marBottom w:val="0"/>
      <w:divBdr>
        <w:top w:val="none" w:sz="0" w:space="0" w:color="auto"/>
        <w:left w:val="none" w:sz="0" w:space="0" w:color="auto"/>
        <w:bottom w:val="none" w:sz="0" w:space="0" w:color="auto"/>
        <w:right w:val="none" w:sz="0" w:space="0" w:color="auto"/>
      </w:divBdr>
    </w:div>
    <w:div w:id="1211116103">
      <w:bodyDiv w:val="1"/>
      <w:marLeft w:val="0"/>
      <w:marRight w:val="0"/>
      <w:marTop w:val="0"/>
      <w:marBottom w:val="0"/>
      <w:divBdr>
        <w:top w:val="none" w:sz="0" w:space="0" w:color="auto"/>
        <w:left w:val="none" w:sz="0" w:space="0" w:color="auto"/>
        <w:bottom w:val="none" w:sz="0" w:space="0" w:color="auto"/>
        <w:right w:val="none" w:sz="0" w:space="0" w:color="auto"/>
      </w:divBdr>
    </w:div>
    <w:div w:id="1211261217">
      <w:bodyDiv w:val="1"/>
      <w:marLeft w:val="0"/>
      <w:marRight w:val="0"/>
      <w:marTop w:val="0"/>
      <w:marBottom w:val="0"/>
      <w:divBdr>
        <w:top w:val="none" w:sz="0" w:space="0" w:color="auto"/>
        <w:left w:val="none" w:sz="0" w:space="0" w:color="auto"/>
        <w:bottom w:val="none" w:sz="0" w:space="0" w:color="auto"/>
        <w:right w:val="none" w:sz="0" w:space="0" w:color="auto"/>
      </w:divBdr>
    </w:div>
    <w:div w:id="1218514342">
      <w:bodyDiv w:val="1"/>
      <w:marLeft w:val="0"/>
      <w:marRight w:val="0"/>
      <w:marTop w:val="0"/>
      <w:marBottom w:val="0"/>
      <w:divBdr>
        <w:top w:val="none" w:sz="0" w:space="0" w:color="auto"/>
        <w:left w:val="none" w:sz="0" w:space="0" w:color="auto"/>
        <w:bottom w:val="none" w:sz="0" w:space="0" w:color="auto"/>
        <w:right w:val="none" w:sz="0" w:space="0" w:color="auto"/>
      </w:divBdr>
    </w:div>
    <w:div w:id="1225412539">
      <w:bodyDiv w:val="1"/>
      <w:marLeft w:val="0"/>
      <w:marRight w:val="0"/>
      <w:marTop w:val="0"/>
      <w:marBottom w:val="0"/>
      <w:divBdr>
        <w:top w:val="none" w:sz="0" w:space="0" w:color="auto"/>
        <w:left w:val="none" w:sz="0" w:space="0" w:color="auto"/>
        <w:bottom w:val="none" w:sz="0" w:space="0" w:color="auto"/>
        <w:right w:val="none" w:sz="0" w:space="0" w:color="auto"/>
      </w:divBdr>
    </w:div>
    <w:div w:id="1226844041">
      <w:bodyDiv w:val="1"/>
      <w:marLeft w:val="0"/>
      <w:marRight w:val="0"/>
      <w:marTop w:val="0"/>
      <w:marBottom w:val="0"/>
      <w:divBdr>
        <w:top w:val="none" w:sz="0" w:space="0" w:color="auto"/>
        <w:left w:val="none" w:sz="0" w:space="0" w:color="auto"/>
        <w:bottom w:val="none" w:sz="0" w:space="0" w:color="auto"/>
        <w:right w:val="none" w:sz="0" w:space="0" w:color="auto"/>
      </w:divBdr>
    </w:div>
    <w:div w:id="1237931953">
      <w:bodyDiv w:val="1"/>
      <w:marLeft w:val="0"/>
      <w:marRight w:val="0"/>
      <w:marTop w:val="0"/>
      <w:marBottom w:val="0"/>
      <w:divBdr>
        <w:top w:val="none" w:sz="0" w:space="0" w:color="auto"/>
        <w:left w:val="none" w:sz="0" w:space="0" w:color="auto"/>
        <w:bottom w:val="none" w:sz="0" w:space="0" w:color="auto"/>
        <w:right w:val="none" w:sz="0" w:space="0" w:color="auto"/>
      </w:divBdr>
    </w:div>
    <w:div w:id="1240556997">
      <w:bodyDiv w:val="1"/>
      <w:marLeft w:val="0"/>
      <w:marRight w:val="0"/>
      <w:marTop w:val="0"/>
      <w:marBottom w:val="0"/>
      <w:divBdr>
        <w:top w:val="none" w:sz="0" w:space="0" w:color="auto"/>
        <w:left w:val="none" w:sz="0" w:space="0" w:color="auto"/>
        <w:bottom w:val="none" w:sz="0" w:space="0" w:color="auto"/>
        <w:right w:val="none" w:sz="0" w:space="0" w:color="auto"/>
      </w:divBdr>
    </w:div>
    <w:div w:id="1250889887">
      <w:bodyDiv w:val="1"/>
      <w:marLeft w:val="0"/>
      <w:marRight w:val="0"/>
      <w:marTop w:val="0"/>
      <w:marBottom w:val="0"/>
      <w:divBdr>
        <w:top w:val="none" w:sz="0" w:space="0" w:color="auto"/>
        <w:left w:val="none" w:sz="0" w:space="0" w:color="auto"/>
        <w:bottom w:val="none" w:sz="0" w:space="0" w:color="auto"/>
        <w:right w:val="none" w:sz="0" w:space="0" w:color="auto"/>
      </w:divBdr>
    </w:div>
    <w:div w:id="1251625970">
      <w:bodyDiv w:val="1"/>
      <w:marLeft w:val="0"/>
      <w:marRight w:val="0"/>
      <w:marTop w:val="0"/>
      <w:marBottom w:val="0"/>
      <w:divBdr>
        <w:top w:val="none" w:sz="0" w:space="0" w:color="auto"/>
        <w:left w:val="none" w:sz="0" w:space="0" w:color="auto"/>
        <w:bottom w:val="none" w:sz="0" w:space="0" w:color="auto"/>
        <w:right w:val="none" w:sz="0" w:space="0" w:color="auto"/>
      </w:divBdr>
    </w:div>
    <w:div w:id="1253127618">
      <w:bodyDiv w:val="1"/>
      <w:marLeft w:val="0"/>
      <w:marRight w:val="0"/>
      <w:marTop w:val="0"/>
      <w:marBottom w:val="0"/>
      <w:divBdr>
        <w:top w:val="none" w:sz="0" w:space="0" w:color="auto"/>
        <w:left w:val="none" w:sz="0" w:space="0" w:color="auto"/>
        <w:bottom w:val="none" w:sz="0" w:space="0" w:color="auto"/>
        <w:right w:val="none" w:sz="0" w:space="0" w:color="auto"/>
      </w:divBdr>
    </w:div>
    <w:div w:id="1260719743">
      <w:bodyDiv w:val="1"/>
      <w:marLeft w:val="0"/>
      <w:marRight w:val="0"/>
      <w:marTop w:val="0"/>
      <w:marBottom w:val="0"/>
      <w:divBdr>
        <w:top w:val="none" w:sz="0" w:space="0" w:color="auto"/>
        <w:left w:val="none" w:sz="0" w:space="0" w:color="auto"/>
        <w:bottom w:val="none" w:sz="0" w:space="0" w:color="auto"/>
        <w:right w:val="none" w:sz="0" w:space="0" w:color="auto"/>
      </w:divBdr>
    </w:div>
    <w:div w:id="1279486536">
      <w:bodyDiv w:val="1"/>
      <w:marLeft w:val="0"/>
      <w:marRight w:val="0"/>
      <w:marTop w:val="0"/>
      <w:marBottom w:val="0"/>
      <w:divBdr>
        <w:top w:val="none" w:sz="0" w:space="0" w:color="auto"/>
        <w:left w:val="none" w:sz="0" w:space="0" w:color="auto"/>
        <w:bottom w:val="none" w:sz="0" w:space="0" w:color="auto"/>
        <w:right w:val="none" w:sz="0" w:space="0" w:color="auto"/>
      </w:divBdr>
    </w:div>
    <w:div w:id="1282147753">
      <w:bodyDiv w:val="1"/>
      <w:marLeft w:val="0"/>
      <w:marRight w:val="0"/>
      <w:marTop w:val="0"/>
      <w:marBottom w:val="0"/>
      <w:divBdr>
        <w:top w:val="none" w:sz="0" w:space="0" w:color="auto"/>
        <w:left w:val="none" w:sz="0" w:space="0" w:color="auto"/>
        <w:bottom w:val="none" w:sz="0" w:space="0" w:color="auto"/>
        <w:right w:val="none" w:sz="0" w:space="0" w:color="auto"/>
      </w:divBdr>
    </w:div>
    <w:div w:id="1282299720">
      <w:bodyDiv w:val="1"/>
      <w:marLeft w:val="0"/>
      <w:marRight w:val="0"/>
      <w:marTop w:val="0"/>
      <w:marBottom w:val="0"/>
      <w:divBdr>
        <w:top w:val="none" w:sz="0" w:space="0" w:color="auto"/>
        <w:left w:val="none" w:sz="0" w:space="0" w:color="auto"/>
        <w:bottom w:val="none" w:sz="0" w:space="0" w:color="auto"/>
        <w:right w:val="none" w:sz="0" w:space="0" w:color="auto"/>
      </w:divBdr>
    </w:div>
    <w:div w:id="1288776616">
      <w:bodyDiv w:val="1"/>
      <w:marLeft w:val="0"/>
      <w:marRight w:val="0"/>
      <w:marTop w:val="0"/>
      <w:marBottom w:val="0"/>
      <w:divBdr>
        <w:top w:val="none" w:sz="0" w:space="0" w:color="auto"/>
        <w:left w:val="none" w:sz="0" w:space="0" w:color="auto"/>
        <w:bottom w:val="none" w:sz="0" w:space="0" w:color="auto"/>
        <w:right w:val="none" w:sz="0" w:space="0" w:color="auto"/>
      </w:divBdr>
    </w:div>
    <w:div w:id="1296569944">
      <w:bodyDiv w:val="1"/>
      <w:marLeft w:val="0"/>
      <w:marRight w:val="0"/>
      <w:marTop w:val="0"/>
      <w:marBottom w:val="0"/>
      <w:divBdr>
        <w:top w:val="none" w:sz="0" w:space="0" w:color="auto"/>
        <w:left w:val="none" w:sz="0" w:space="0" w:color="auto"/>
        <w:bottom w:val="none" w:sz="0" w:space="0" w:color="auto"/>
        <w:right w:val="none" w:sz="0" w:space="0" w:color="auto"/>
      </w:divBdr>
    </w:div>
    <w:div w:id="1300920336">
      <w:bodyDiv w:val="1"/>
      <w:marLeft w:val="0"/>
      <w:marRight w:val="0"/>
      <w:marTop w:val="0"/>
      <w:marBottom w:val="0"/>
      <w:divBdr>
        <w:top w:val="none" w:sz="0" w:space="0" w:color="auto"/>
        <w:left w:val="none" w:sz="0" w:space="0" w:color="auto"/>
        <w:bottom w:val="none" w:sz="0" w:space="0" w:color="auto"/>
        <w:right w:val="none" w:sz="0" w:space="0" w:color="auto"/>
      </w:divBdr>
    </w:div>
    <w:div w:id="1305431148">
      <w:bodyDiv w:val="1"/>
      <w:marLeft w:val="0"/>
      <w:marRight w:val="0"/>
      <w:marTop w:val="0"/>
      <w:marBottom w:val="0"/>
      <w:divBdr>
        <w:top w:val="none" w:sz="0" w:space="0" w:color="auto"/>
        <w:left w:val="none" w:sz="0" w:space="0" w:color="auto"/>
        <w:bottom w:val="none" w:sz="0" w:space="0" w:color="auto"/>
        <w:right w:val="none" w:sz="0" w:space="0" w:color="auto"/>
      </w:divBdr>
    </w:div>
    <w:div w:id="1308248172">
      <w:bodyDiv w:val="1"/>
      <w:marLeft w:val="0"/>
      <w:marRight w:val="0"/>
      <w:marTop w:val="0"/>
      <w:marBottom w:val="0"/>
      <w:divBdr>
        <w:top w:val="none" w:sz="0" w:space="0" w:color="auto"/>
        <w:left w:val="none" w:sz="0" w:space="0" w:color="auto"/>
        <w:bottom w:val="none" w:sz="0" w:space="0" w:color="auto"/>
        <w:right w:val="none" w:sz="0" w:space="0" w:color="auto"/>
      </w:divBdr>
    </w:div>
    <w:div w:id="1319385224">
      <w:bodyDiv w:val="1"/>
      <w:marLeft w:val="0"/>
      <w:marRight w:val="0"/>
      <w:marTop w:val="0"/>
      <w:marBottom w:val="0"/>
      <w:divBdr>
        <w:top w:val="none" w:sz="0" w:space="0" w:color="auto"/>
        <w:left w:val="none" w:sz="0" w:space="0" w:color="auto"/>
        <w:bottom w:val="none" w:sz="0" w:space="0" w:color="auto"/>
        <w:right w:val="none" w:sz="0" w:space="0" w:color="auto"/>
      </w:divBdr>
    </w:div>
    <w:div w:id="1323003681">
      <w:bodyDiv w:val="1"/>
      <w:marLeft w:val="0"/>
      <w:marRight w:val="0"/>
      <w:marTop w:val="0"/>
      <w:marBottom w:val="0"/>
      <w:divBdr>
        <w:top w:val="none" w:sz="0" w:space="0" w:color="auto"/>
        <w:left w:val="none" w:sz="0" w:space="0" w:color="auto"/>
        <w:bottom w:val="none" w:sz="0" w:space="0" w:color="auto"/>
        <w:right w:val="none" w:sz="0" w:space="0" w:color="auto"/>
      </w:divBdr>
    </w:div>
    <w:div w:id="1324316849">
      <w:bodyDiv w:val="1"/>
      <w:marLeft w:val="0"/>
      <w:marRight w:val="0"/>
      <w:marTop w:val="0"/>
      <w:marBottom w:val="0"/>
      <w:divBdr>
        <w:top w:val="none" w:sz="0" w:space="0" w:color="auto"/>
        <w:left w:val="none" w:sz="0" w:space="0" w:color="auto"/>
        <w:bottom w:val="none" w:sz="0" w:space="0" w:color="auto"/>
        <w:right w:val="none" w:sz="0" w:space="0" w:color="auto"/>
      </w:divBdr>
    </w:div>
    <w:div w:id="1331448735">
      <w:bodyDiv w:val="1"/>
      <w:marLeft w:val="0"/>
      <w:marRight w:val="0"/>
      <w:marTop w:val="0"/>
      <w:marBottom w:val="0"/>
      <w:divBdr>
        <w:top w:val="none" w:sz="0" w:space="0" w:color="auto"/>
        <w:left w:val="none" w:sz="0" w:space="0" w:color="auto"/>
        <w:bottom w:val="none" w:sz="0" w:space="0" w:color="auto"/>
        <w:right w:val="none" w:sz="0" w:space="0" w:color="auto"/>
      </w:divBdr>
    </w:div>
    <w:div w:id="1333727906">
      <w:bodyDiv w:val="1"/>
      <w:marLeft w:val="0"/>
      <w:marRight w:val="0"/>
      <w:marTop w:val="0"/>
      <w:marBottom w:val="0"/>
      <w:divBdr>
        <w:top w:val="none" w:sz="0" w:space="0" w:color="auto"/>
        <w:left w:val="none" w:sz="0" w:space="0" w:color="auto"/>
        <w:bottom w:val="none" w:sz="0" w:space="0" w:color="auto"/>
        <w:right w:val="none" w:sz="0" w:space="0" w:color="auto"/>
      </w:divBdr>
    </w:div>
    <w:div w:id="1344668824">
      <w:bodyDiv w:val="1"/>
      <w:marLeft w:val="0"/>
      <w:marRight w:val="0"/>
      <w:marTop w:val="0"/>
      <w:marBottom w:val="0"/>
      <w:divBdr>
        <w:top w:val="none" w:sz="0" w:space="0" w:color="auto"/>
        <w:left w:val="none" w:sz="0" w:space="0" w:color="auto"/>
        <w:bottom w:val="none" w:sz="0" w:space="0" w:color="auto"/>
        <w:right w:val="none" w:sz="0" w:space="0" w:color="auto"/>
      </w:divBdr>
    </w:div>
    <w:div w:id="1347514352">
      <w:bodyDiv w:val="1"/>
      <w:marLeft w:val="0"/>
      <w:marRight w:val="0"/>
      <w:marTop w:val="0"/>
      <w:marBottom w:val="0"/>
      <w:divBdr>
        <w:top w:val="none" w:sz="0" w:space="0" w:color="auto"/>
        <w:left w:val="none" w:sz="0" w:space="0" w:color="auto"/>
        <w:bottom w:val="none" w:sz="0" w:space="0" w:color="auto"/>
        <w:right w:val="none" w:sz="0" w:space="0" w:color="auto"/>
      </w:divBdr>
    </w:div>
    <w:div w:id="1353216574">
      <w:bodyDiv w:val="1"/>
      <w:marLeft w:val="0"/>
      <w:marRight w:val="0"/>
      <w:marTop w:val="0"/>
      <w:marBottom w:val="0"/>
      <w:divBdr>
        <w:top w:val="none" w:sz="0" w:space="0" w:color="auto"/>
        <w:left w:val="none" w:sz="0" w:space="0" w:color="auto"/>
        <w:bottom w:val="none" w:sz="0" w:space="0" w:color="auto"/>
        <w:right w:val="none" w:sz="0" w:space="0" w:color="auto"/>
      </w:divBdr>
    </w:div>
    <w:div w:id="1354305375">
      <w:bodyDiv w:val="1"/>
      <w:marLeft w:val="0"/>
      <w:marRight w:val="0"/>
      <w:marTop w:val="0"/>
      <w:marBottom w:val="0"/>
      <w:divBdr>
        <w:top w:val="none" w:sz="0" w:space="0" w:color="auto"/>
        <w:left w:val="none" w:sz="0" w:space="0" w:color="auto"/>
        <w:bottom w:val="none" w:sz="0" w:space="0" w:color="auto"/>
        <w:right w:val="none" w:sz="0" w:space="0" w:color="auto"/>
      </w:divBdr>
    </w:div>
    <w:div w:id="1363626194">
      <w:bodyDiv w:val="1"/>
      <w:marLeft w:val="0"/>
      <w:marRight w:val="0"/>
      <w:marTop w:val="0"/>
      <w:marBottom w:val="0"/>
      <w:divBdr>
        <w:top w:val="none" w:sz="0" w:space="0" w:color="auto"/>
        <w:left w:val="none" w:sz="0" w:space="0" w:color="auto"/>
        <w:bottom w:val="none" w:sz="0" w:space="0" w:color="auto"/>
        <w:right w:val="none" w:sz="0" w:space="0" w:color="auto"/>
      </w:divBdr>
    </w:div>
    <w:div w:id="1377854882">
      <w:bodyDiv w:val="1"/>
      <w:marLeft w:val="0"/>
      <w:marRight w:val="0"/>
      <w:marTop w:val="0"/>
      <w:marBottom w:val="0"/>
      <w:divBdr>
        <w:top w:val="none" w:sz="0" w:space="0" w:color="auto"/>
        <w:left w:val="none" w:sz="0" w:space="0" w:color="auto"/>
        <w:bottom w:val="none" w:sz="0" w:space="0" w:color="auto"/>
        <w:right w:val="none" w:sz="0" w:space="0" w:color="auto"/>
      </w:divBdr>
      <w:divsChild>
        <w:div w:id="1982149157">
          <w:marLeft w:val="0"/>
          <w:marRight w:val="0"/>
          <w:marTop w:val="0"/>
          <w:marBottom w:val="0"/>
          <w:divBdr>
            <w:top w:val="none" w:sz="0" w:space="0" w:color="auto"/>
            <w:left w:val="none" w:sz="0" w:space="0" w:color="auto"/>
            <w:bottom w:val="none" w:sz="0" w:space="0" w:color="auto"/>
            <w:right w:val="none" w:sz="0" w:space="0" w:color="auto"/>
          </w:divBdr>
        </w:div>
      </w:divsChild>
    </w:div>
    <w:div w:id="1380935627">
      <w:bodyDiv w:val="1"/>
      <w:marLeft w:val="0"/>
      <w:marRight w:val="0"/>
      <w:marTop w:val="0"/>
      <w:marBottom w:val="0"/>
      <w:divBdr>
        <w:top w:val="none" w:sz="0" w:space="0" w:color="auto"/>
        <w:left w:val="none" w:sz="0" w:space="0" w:color="auto"/>
        <w:bottom w:val="none" w:sz="0" w:space="0" w:color="auto"/>
        <w:right w:val="none" w:sz="0" w:space="0" w:color="auto"/>
      </w:divBdr>
    </w:div>
    <w:div w:id="1384601339">
      <w:bodyDiv w:val="1"/>
      <w:marLeft w:val="0"/>
      <w:marRight w:val="0"/>
      <w:marTop w:val="0"/>
      <w:marBottom w:val="0"/>
      <w:divBdr>
        <w:top w:val="none" w:sz="0" w:space="0" w:color="auto"/>
        <w:left w:val="none" w:sz="0" w:space="0" w:color="auto"/>
        <w:bottom w:val="none" w:sz="0" w:space="0" w:color="auto"/>
        <w:right w:val="none" w:sz="0" w:space="0" w:color="auto"/>
      </w:divBdr>
    </w:div>
    <w:div w:id="1392073859">
      <w:bodyDiv w:val="1"/>
      <w:marLeft w:val="0"/>
      <w:marRight w:val="0"/>
      <w:marTop w:val="0"/>
      <w:marBottom w:val="0"/>
      <w:divBdr>
        <w:top w:val="none" w:sz="0" w:space="0" w:color="auto"/>
        <w:left w:val="none" w:sz="0" w:space="0" w:color="auto"/>
        <w:bottom w:val="none" w:sz="0" w:space="0" w:color="auto"/>
        <w:right w:val="none" w:sz="0" w:space="0" w:color="auto"/>
      </w:divBdr>
      <w:divsChild>
        <w:div w:id="1474911797">
          <w:marLeft w:val="0"/>
          <w:marRight w:val="0"/>
          <w:marTop w:val="0"/>
          <w:marBottom w:val="0"/>
          <w:divBdr>
            <w:top w:val="none" w:sz="0" w:space="0" w:color="auto"/>
            <w:left w:val="none" w:sz="0" w:space="0" w:color="auto"/>
            <w:bottom w:val="none" w:sz="0" w:space="0" w:color="auto"/>
            <w:right w:val="none" w:sz="0" w:space="0" w:color="auto"/>
          </w:divBdr>
        </w:div>
      </w:divsChild>
    </w:div>
    <w:div w:id="1392773993">
      <w:bodyDiv w:val="1"/>
      <w:marLeft w:val="0"/>
      <w:marRight w:val="0"/>
      <w:marTop w:val="0"/>
      <w:marBottom w:val="0"/>
      <w:divBdr>
        <w:top w:val="none" w:sz="0" w:space="0" w:color="auto"/>
        <w:left w:val="none" w:sz="0" w:space="0" w:color="auto"/>
        <w:bottom w:val="none" w:sz="0" w:space="0" w:color="auto"/>
        <w:right w:val="none" w:sz="0" w:space="0" w:color="auto"/>
      </w:divBdr>
    </w:div>
    <w:div w:id="1395661356">
      <w:bodyDiv w:val="1"/>
      <w:marLeft w:val="0"/>
      <w:marRight w:val="0"/>
      <w:marTop w:val="0"/>
      <w:marBottom w:val="0"/>
      <w:divBdr>
        <w:top w:val="none" w:sz="0" w:space="0" w:color="auto"/>
        <w:left w:val="none" w:sz="0" w:space="0" w:color="auto"/>
        <w:bottom w:val="none" w:sz="0" w:space="0" w:color="auto"/>
        <w:right w:val="none" w:sz="0" w:space="0" w:color="auto"/>
      </w:divBdr>
    </w:div>
    <w:div w:id="1395663285">
      <w:bodyDiv w:val="1"/>
      <w:marLeft w:val="0"/>
      <w:marRight w:val="0"/>
      <w:marTop w:val="0"/>
      <w:marBottom w:val="0"/>
      <w:divBdr>
        <w:top w:val="none" w:sz="0" w:space="0" w:color="auto"/>
        <w:left w:val="none" w:sz="0" w:space="0" w:color="auto"/>
        <w:bottom w:val="none" w:sz="0" w:space="0" w:color="auto"/>
        <w:right w:val="none" w:sz="0" w:space="0" w:color="auto"/>
      </w:divBdr>
    </w:div>
    <w:div w:id="1396930903">
      <w:bodyDiv w:val="1"/>
      <w:marLeft w:val="0"/>
      <w:marRight w:val="0"/>
      <w:marTop w:val="0"/>
      <w:marBottom w:val="0"/>
      <w:divBdr>
        <w:top w:val="none" w:sz="0" w:space="0" w:color="auto"/>
        <w:left w:val="none" w:sz="0" w:space="0" w:color="auto"/>
        <w:bottom w:val="none" w:sz="0" w:space="0" w:color="auto"/>
        <w:right w:val="none" w:sz="0" w:space="0" w:color="auto"/>
      </w:divBdr>
    </w:div>
    <w:div w:id="1402289401">
      <w:bodyDiv w:val="1"/>
      <w:marLeft w:val="0"/>
      <w:marRight w:val="0"/>
      <w:marTop w:val="0"/>
      <w:marBottom w:val="0"/>
      <w:divBdr>
        <w:top w:val="none" w:sz="0" w:space="0" w:color="auto"/>
        <w:left w:val="none" w:sz="0" w:space="0" w:color="auto"/>
        <w:bottom w:val="none" w:sz="0" w:space="0" w:color="auto"/>
        <w:right w:val="none" w:sz="0" w:space="0" w:color="auto"/>
      </w:divBdr>
    </w:div>
    <w:div w:id="1405949450">
      <w:bodyDiv w:val="1"/>
      <w:marLeft w:val="0"/>
      <w:marRight w:val="0"/>
      <w:marTop w:val="0"/>
      <w:marBottom w:val="0"/>
      <w:divBdr>
        <w:top w:val="none" w:sz="0" w:space="0" w:color="auto"/>
        <w:left w:val="none" w:sz="0" w:space="0" w:color="auto"/>
        <w:bottom w:val="none" w:sz="0" w:space="0" w:color="auto"/>
        <w:right w:val="none" w:sz="0" w:space="0" w:color="auto"/>
      </w:divBdr>
    </w:div>
    <w:div w:id="1407457945">
      <w:bodyDiv w:val="1"/>
      <w:marLeft w:val="0"/>
      <w:marRight w:val="0"/>
      <w:marTop w:val="0"/>
      <w:marBottom w:val="0"/>
      <w:divBdr>
        <w:top w:val="none" w:sz="0" w:space="0" w:color="auto"/>
        <w:left w:val="none" w:sz="0" w:space="0" w:color="auto"/>
        <w:bottom w:val="none" w:sz="0" w:space="0" w:color="auto"/>
        <w:right w:val="none" w:sz="0" w:space="0" w:color="auto"/>
      </w:divBdr>
    </w:div>
    <w:div w:id="1421416292">
      <w:bodyDiv w:val="1"/>
      <w:marLeft w:val="0"/>
      <w:marRight w:val="0"/>
      <w:marTop w:val="0"/>
      <w:marBottom w:val="0"/>
      <w:divBdr>
        <w:top w:val="none" w:sz="0" w:space="0" w:color="auto"/>
        <w:left w:val="none" w:sz="0" w:space="0" w:color="auto"/>
        <w:bottom w:val="none" w:sz="0" w:space="0" w:color="auto"/>
        <w:right w:val="none" w:sz="0" w:space="0" w:color="auto"/>
      </w:divBdr>
    </w:div>
    <w:div w:id="1428578265">
      <w:bodyDiv w:val="1"/>
      <w:marLeft w:val="0"/>
      <w:marRight w:val="0"/>
      <w:marTop w:val="0"/>
      <w:marBottom w:val="0"/>
      <w:divBdr>
        <w:top w:val="none" w:sz="0" w:space="0" w:color="auto"/>
        <w:left w:val="none" w:sz="0" w:space="0" w:color="auto"/>
        <w:bottom w:val="none" w:sz="0" w:space="0" w:color="auto"/>
        <w:right w:val="none" w:sz="0" w:space="0" w:color="auto"/>
      </w:divBdr>
    </w:div>
    <w:div w:id="1431897472">
      <w:bodyDiv w:val="1"/>
      <w:marLeft w:val="0"/>
      <w:marRight w:val="0"/>
      <w:marTop w:val="0"/>
      <w:marBottom w:val="0"/>
      <w:divBdr>
        <w:top w:val="none" w:sz="0" w:space="0" w:color="auto"/>
        <w:left w:val="none" w:sz="0" w:space="0" w:color="auto"/>
        <w:bottom w:val="none" w:sz="0" w:space="0" w:color="auto"/>
        <w:right w:val="none" w:sz="0" w:space="0" w:color="auto"/>
      </w:divBdr>
    </w:div>
    <w:div w:id="1432163468">
      <w:bodyDiv w:val="1"/>
      <w:marLeft w:val="0"/>
      <w:marRight w:val="0"/>
      <w:marTop w:val="0"/>
      <w:marBottom w:val="0"/>
      <w:divBdr>
        <w:top w:val="none" w:sz="0" w:space="0" w:color="auto"/>
        <w:left w:val="none" w:sz="0" w:space="0" w:color="auto"/>
        <w:bottom w:val="none" w:sz="0" w:space="0" w:color="auto"/>
        <w:right w:val="none" w:sz="0" w:space="0" w:color="auto"/>
      </w:divBdr>
    </w:div>
    <w:div w:id="1435590305">
      <w:bodyDiv w:val="1"/>
      <w:marLeft w:val="0"/>
      <w:marRight w:val="0"/>
      <w:marTop w:val="0"/>
      <w:marBottom w:val="0"/>
      <w:divBdr>
        <w:top w:val="none" w:sz="0" w:space="0" w:color="auto"/>
        <w:left w:val="none" w:sz="0" w:space="0" w:color="auto"/>
        <w:bottom w:val="none" w:sz="0" w:space="0" w:color="auto"/>
        <w:right w:val="none" w:sz="0" w:space="0" w:color="auto"/>
      </w:divBdr>
    </w:div>
    <w:div w:id="1436442916">
      <w:bodyDiv w:val="1"/>
      <w:marLeft w:val="0"/>
      <w:marRight w:val="0"/>
      <w:marTop w:val="0"/>
      <w:marBottom w:val="0"/>
      <w:divBdr>
        <w:top w:val="none" w:sz="0" w:space="0" w:color="auto"/>
        <w:left w:val="none" w:sz="0" w:space="0" w:color="auto"/>
        <w:bottom w:val="none" w:sz="0" w:space="0" w:color="auto"/>
        <w:right w:val="none" w:sz="0" w:space="0" w:color="auto"/>
      </w:divBdr>
    </w:div>
    <w:div w:id="1439570019">
      <w:bodyDiv w:val="1"/>
      <w:marLeft w:val="0"/>
      <w:marRight w:val="0"/>
      <w:marTop w:val="0"/>
      <w:marBottom w:val="0"/>
      <w:divBdr>
        <w:top w:val="none" w:sz="0" w:space="0" w:color="auto"/>
        <w:left w:val="none" w:sz="0" w:space="0" w:color="auto"/>
        <w:bottom w:val="none" w:sz="0" w:space="0" w:color="auto"/>
        <w:right w:val="none" w:sz="0" w:space="0" w:color="auto"/>
      </w:divBdr>
    </w:div>
    <w:div w:id="1440679268">
      <w:bodyDiv w:val="1"/>
      <w:marLeft w:val="0"/>
      <w:marRight w:val="0"/>
      <w:marTop w:val="0"/>
      <w:marBottom w:val="0"/>
      <w:divBdr>
        <w:top w:val="none" w:sz="0" w:space="0" w:color="auto"/>
        <w:left w:val="none" w:sz="0" w:space="0" w:color="auto"/>
        <w:bottom w:val="none" w:sz="0" w:space="0" w:color="auto"/>
        <w:right w:val="none" w:sz="0" w:space="0" w:color="auto"/>
      </w:divBdr>
    </w:div>
    <w:div w:id="1441141504">
      <w:bodyDiv w:val="1"/>
      <w:marLeft w:val="0"/>
      <w:marRight w:val="0"/>
      <w:marTop w:val="0"/>
      <w:marBottom w:val="0"/>
      <w:divBdr>
        <w:top w:val="none" w:sz="0" w:space="0" w:color="auto"/>
        <w:left w:val="none" w:sz="0" w:space="0" w:color="auto"/>
        <w:bottom w:val="none" w:sz="0" w:space="0" w:color="auto"/>
        <w:right w:val="none" w:sz="0" w:space="0" w:color="auto"/>
      </w:divBdr>
    </w:div>
    <w:div w:id="1442452979">
      <w:bodyDiv w:val="1"/>
      <w:marLeft w:val="0"/>
      <w:marRight w:val="0"/>
      <w:marTop w:val="0"/>
      <w:marBottom w:val="0"/>
      <w:divBdr>
        <w:top w:val="none" w:sz="0" w:space="0" w:color="auto"/>
        <w:left w:val="none" w:sz="0" w:space="0" w:color="auto"/>
        <w:bottom w:val="none" w:sz="0" w:space="0" w:color="auto"/>
        <w:right w:val="none" w:sz="0" w:space="0" w:color="auto"/>
      </w:divBdr>
    </w:div>
    <w:div w:id="1448086734">
      <w:bodyDiv w:val="1"/>
      <w:marLeft w:val="0"/>
      <w:marRight w:val="0"/>
      <w:marTop w:val="0"/>
      <w:marBottom w:val="0"/>
      <w:divBdr>
        <w:top w:val="none" w:sz="0" w:space="0" w:color="auto"/>
        <w:left w:val="none" w:sz="0" w:space="0" w:color="auto"/>
        <w:bottom w:val="none" w:sz="0" w:space="0" w:color="auto"/>
        <w:right w:val="none" w:sz="0" w:space="0" w:color="auto"/>
      </w:divBdr>
    </w:div>
    <w:div w:id="1449619398">
      <w:bodyDiv w:val="1"/>
      <w:marLeft w:val="0"/>
      <w:marRight w:val="0"/>
      <w:marTop w:val="0"/>
      <w:marBottom w:val="0"/>
      <w:divBdr>
        <w:top w:val="none" w:sz="0" w:space="0" w:color="auto"/>
        <w:left w:val="none" w:sz="0" w:space="0" w:color="auto"/>
        <w:bottom w:val="none" w:sz="0" w:space="0" w:color="auto"/>
        <w:right w:val="none" w:sz="0" w:space="0" w:color="auto"/>
      </w:divBdr>
    </w:div>
    <w:div w:id="1450785588">
      <w:bodyDiv w:val="1"/>
      <w:marLeft w:val="0"/>
      <w:marRight w:val="0"/>
      <w:marTop w:val="0"/>
      <w:marBottom w:val="0"/>
      <w:divBdr>
        <w:top w:val="none" w:sz="0" w:space="0" w:color="auto"/>
        <w:left w:val="none" w:sz="0" w:space="0" w:color="auto"/>
        <w:bottom w:val="none" w:sz="0" w:space="0" w:color="auto"/>
        <w:right w:val="none" w:sz="0" w:space="0" w:color="auto"/>
      </w:divBdr>
    </w:div>
    <w:div w:id="1453356548">
      <w:bodyDiv w:val="1"/>
      <w:marLeft w:val="0"/>
      <w:marRight w:val="0"/>
      <w:marTop w:val="0"/>
      <w:marBottom w:val="0"/>
      <w:divBdr>
        <w:top w:val="none" w:sz="0" w:space="0" w:color="auto"/>
        <w:left w:val="none" w:sz="0" w:space="0" w:color="auto"/>
        <w:bottom w:val="none" w:sz="0" w:space="0" w:color="auto"/>
        <w:right w:val="none" w:sz="0" w:space="0" w:color="auto"/>
      </w:divBdr>
    </w:div>
    <w:div w:id="1454404089">
      <w:bodyDiv w:val="1"/>
      <w:marLeft w:val="0"/>
      <w:marRight w:val="0"/>
      <w:marTop w:val="0"/>
      <w:marBottom w:val="0"/>
      <w:divBdr>
        <w:top w:val="none" w:sz="0" w:space="0" w:color="auto"/>
        <w:left w:val="none" w:sz="0" w:space="0" w:color="auto"/>
        <w:bottom w:val="none" w:sz="0" w:space="0" w:color="auto"/>
        <w:right w:val="none" w:sz="0" w:space="0" w:color="auto"/>
      </w:divBdr>
    </w:div>
    <w:div w:id="1458334809">
      <w:bodyDiv w:val="1"/>
      <w:marLeft w:val="0"/>
      <w:marRight w:val="0"/>
      <w:marTop w:val="0"/>
      <w:marBottom w:val="0"/>
      <w:divBdr>
        <w:top w:val="none" w:sz="0" w:space="0" w:color="auto"/>
        <w:left w:val="none" w:sz="0" w:space="0" w:color="auto"/>
        <w:bottom w:val="none" w:sz="0" w:space="0" w:color="auto"/>
        <w:right w:val="none" w:sz="0" w:space="0" w:color="auto"/>
      </w:divBdr>
    </w:div>
    <w:div w:id="1459302738">
      <w:bodyDiv w:val="1"/>
      <w:marLeft w:val="0"/>
      <w:marRight w:val="0"/>
      <w:marTop w:val="0"/>
      <w:marBottom w:val="0"/>
      <w:divBdr>
        <w:top w:val="none" w:sz="0" w:space="0" w:color="auto"/>
        <w:left w:val="none" w:sz="0" w:space="0" w:color="auto"/>
        <w:bottom w:val="none" w:sz="0" w:space="0" w:color="auto"/>
        <w:right w:val="none" w:sz="0" w:space="0" w:color="auto"/>
      </w:divBdr>
    </w:div>
    <w:div w:id="1462072617">
      <w:bodyDiv w:val="1"/>
      <w:marLeft w:val="0"/>
      <w:marRight w:val="0"/>
      <w:marTop w:val="0"/>
      <w:marBottom w:val="0"/>
      <w:divBdr>
        <w:top w:val="none" w:sz="0" w:space="0" w:color="auto"/>
        <w:left w:val="none" w:sz="0" w:space="0" w:color="auto"/>
        <w:bottom w:val="none" w:sz="0" w:space="0" w:color="auto"/>
        <w:right w:val="none" w:sz="0" w:space="0" w:color="auto"/>
      </w:divBdr>
    </w:div>
    <w:div w:id="1477528128">
      <w:bodyDiv w:val="1"/>
      <w:marLeft w:val="0"/>
      <w:marRight w:val="0"/>
      <w:marTop w:val="0"/>
      <w:marBottom w:val="0"/>
      <w:divBdr>
        <w:top w:val="none" w:sz="0" w:space="0" w:color="auto"/>
        <w:left w:val="none" w:sz="0" w:space="0" w:color="auto"/>
        <w:bottom w:val="none" w:sz="0" w:space="0" w:color="auto"/>
        <w:right w:val="none" w:sz="0" w:space="0" w:color="auto"/>
      </w:divBdr>
    </w:div>
    <w:div w:id="1484813044">
      <w:bodyDiv w:val="1"/>
      <w:marLeft w:val="0"/>
      <w:marRight w:val="0"/>
      <w:marTop w:val="0"/>
      <w:marBottom w:val="0"/>
      <w:divBdr>
        <w:top w:val="none" w:sz="0" w:space="0" w:color="auto"/>
        <w:left w:val="none" w:sz="0" w:space="0" w:color="auto"/>
        <w:bottom w:val="none" w:sz="0" w:space="0" w:color="auto"/>
        <w:right w:val="none" w:sz="0" w:space="0" w:color="auto"/>
      </w:divBdr>
    </w:div>
    <w:div w:id="1494955193">
      <w:bodyDiv w:val="1"/>
      <w:marLeft w:val="0"/>
      <w:marRight w:val="0"/>
      <w:marTop w:val="0"/>
      <w:marBottom w:val="0"/>
      <w:divBdr>
        <w:top w:val="none" w:sz="0" w:space="0" w:color="auto"/>
        <w:left w:val="none" w:sz="0" w:space="0" w:color="auto"/>
        <w:bottom w:val="none" w:sz="0" w:space="0" w:color="auto"/>
        <w:right w:val="none" w:sz="0" w:space="0" w:color="auto"/>
      </w:divBdr>
    </w:div>
    <w:div w:id="1496187438">
      <w:bodyDiv w:val="1"/>
      <w:marLeft w:val="0"/>
      <w:marRight w:val="0"/>
      <w:marTop w:val="0"/>
      <w:marBottom w:val="0"/>
      <w:divBdr>
        <w:top w:val="none" w:sz="0" w:space="0" w:color="auto"/>
        <w:left w:val="none" w:sz="0" w:space="0" w:color="auto"/>
        <w:bottom w:val="none" w:sz="0" w:space="0" w:color="auto"/>
        <w:right w:val="none" w:sz="0" w:space="0" w:color="auto"/>
      </w:divBdr>
    </w:div>
    <w:div w:id="1497191181">
      <w:bodyDiv w:val="1"/>
      <w:marLeft w:val="0"/>
      <w:marRight w:val="0"/>
      <w:marTop w:val="0"/>
      <w:marBottom w:val="0"/>
      <w:divBdr>
        <w:top w:val="none" w:sz="0" w:space="0" w:color="auto"/>
        <w:left w:val="none" w:sz="0" w:space="0" w:color="auto"/>
        <w:bottom w:val="none" w:sz="0" w:space="0" w:color="auto"/>
        <w:right w:val="none" w:sz="0" w:space="0" w:color="auto"/>
      </w:divBdr>
    </w:div>
    <w:div w:id="1498809117">
      <w:bodyDiv w:val="1"/>
      <w:marLeft w:val="0"/>
      <w:marRight w:val="0"/>
      <w:marTop w:val="0"/>
      <w:marBottom w:val="0"/>
      <w:divBdr>
        <w:top w:val="none" w:sz="0" w:space="0" w:color="auto"/>
        <w:left w:val="none" w:sz="0" w:space="0" w:color="auto"/>
        <w:bottom w:val="none" w:sz="0" w:space="0" w:color="auto"/>
        <w:right w:val="none" w:sz="0" w:space="0" w:color="auto"/>
      </w:divBdr>
    </w:div>
    <w:div w:id="1511676623">
      <w:bodyDiv w:val="1"/>
      <w:marLeft w:val="0"/>
      <w:marRight w:val="0"/>
      <w:marTop w:val="0"/>
      <w:marBottom w:val="0"/>
      <w:divBdr>
        <w:top w:val="none" w:sz="0" w:space="0" w:color="auto"/>
        <w:left w:val="none" w:sz="0" w:space="0" w:color="auto"/>
        <w:bottom w:val="none" w:sz="0" w:space="0" w:color="auto"/>
        <w:right w:val="none" w:sz="0" w:space="0" w:color="auto"/>
      </w:divBdr>
    </w:div>
    <w:div w:id="1517429713">
      <w:bodyDiv w:val="1"/>
      <w:marLeft w:val="0"/>
      <w:marRight w:val="0"/>
      <w:marTop w:val="0"/>
      <w:marBottom w:val="0"/>
      <w:divBdr>
        <w:top w:val="none" w:sz="0" w:space="0" w:color="auto"/>
        <w:left w:val="none" w:sz="0" w:space="0" w:color="auto"/>
        <w:bottom w:val="none" w:sz="0" w:space="0" w:color="auto"/>
        <w:right w:val="none" w:sz="0" w:space="0" w:color="auto"/>
      </w:divBdr>
    </w:div>
    <w:div w:id="1522822178">
      <w:bodyDiv w:val="1"/>
      <w:marLeft w:val="0"/>
      <w:marRight w:val="0"/>
      <w:marTop w:val="0"/>
      <w:marBottom w:val="0"/>
      <w:divBdr>
        <w:top w:val="none" w:sz="0" w:space="0" w:color="auto"/>
        <w:left w:val="none" w:sz="0" w:space="0" w:color="auto"/>
        <w:bottom w:val="none" w:sz="0" w:space="0" w:color="auto"/>
        <w:right w:val="none" w:sz="0" w:space="0" w:color="auto"/>
      </w:divBdr>
    </w:div>
    <w:div w:id="1537087288">
      <w:bodyDiv w:val="1"/>
      <w:marLeft w:val="0"/>
      <w:marRight w:val="0"/>
      <w:marTop w:val="0"/>
      <w:marBottom w:val="0"/>
      <w:divBdr>
        <w:top w:val="none" w:sz="0" w:space="0" w:color="auto"/>
        <w:left w:val="none" w:sz="0" w:space="0" w:color="auto"/>
        <w:bottom w:val="none" w:sz="0" w:space="0" w:color="auto"/>
        <w:right w:val="none" w:sz="0" w:space="0" w:color="auto"/>
      </w:divBdr>
    </w:div>
    <w:div w:id="1537237543">
      <w:bodyDiv w:val="1"/>
      <w:marLeft w:val="0"/>
      <w:marRight w:val="0"/>
      <w:marTop w:val="0"/>
      <w:marBottom w:val="0"/>
      <w:divBdr>
        <w:top w:val="none" w:sz="0" w:space="0" w:color="auto"/>
        <w:left w:val="none" w:sz="0" w:space="0" w:color="auto"/>
        <w:bottom w:val="none" w:sz="0" w:space="0" w:color="auto"/>
        <w:right w:val="none" w:sz="0" w:space="0" w:color="auto"/>
      </w:divBdr>
    </w:div>
    <w:div w:id="1540580610">
      <w:bodyDiv w:val="1"/>
      <w:marLeft w:val="0"/>
      <w:marRight w:val="0"/>
      <w:marTop w:val="0"/>
      <w:marBottom w:val="0"/>
      <w:divBdr>
        <w:top w:val="none" w:sz="0" w:space="0" w:color="auto"/>
        <w:left w:val="none" w:sz="0" w:space="0" w:color="auto"/>
        <w:bottom w:val="none" w:sz="0" w:space="0" w:color="auto"/>
        <w:right w:val="none" w:sz="0" w:space="0" w:color="auto"/>
      </w:divBdr>
    </w:div>
    <w:div w:id="1547598200">
      <w:bodyDiv w:val="1"/>
      <w:marLeft w:val="0"/>
      <w:marRight w:val="0"/>
      <w:marTop w:val="0"/>
      <w:marBottom w:val="0"/>
      <w:divBdr>
        <w:top w:val="none" w:sz="0" w:space="0" w:color="auto"/>
        <w:left w:val="none" w:sz="0" w:space="0" w:color="auto"/>
        <w:bottom w:val="none" w:sz="0" w:space="0" w:color="auto"/>
        <w:right w:val="none" w:sz="0" w:space="0" w:color="auto"/>
      </w:divBdr>
    </w:div>
    <w:div w:id="1549997409">
      <w:bodyDiv w:val="1"/>
      <w:marLeft w:val="0"/>
      <w:marRight w:val="0"/>
      <w:marTop w:val="0"/>
      <w:marBottom w:val="0"/>
      <w:divBdr>
        <w:top w:val="none" w:sz="0" w:space="0" w:color="auto"/>
        <w:left w:val="none" w:sz="0" w:space="0" w:color="auto"/>
        <w:bottom w:val="none" w:sz="0" w:space="0" w:color="auto"/>
        <w:right w:val="none" w:sz="0" w:space="0" w:color="auto"/>
      </w:divBdr>
    </w:div>
    <w:div w:id="1560045856">
      <w:bodyDiv w:val="1"/>
      <w:marLeft w:val="0"/>
      <w:marRight w:val="0"/>
      <w:marTop w:val="0"/>
      <w:marBottom w:val="0"/>
      <w:divBdr>
        <w:top w:val="none" w:sz="0" w:space="0" w:color="auto"/>
        <w:left w:val="none" w:sz="0" w:space="0" w:color="auto"/>
        <w:bottom w:val="none" w:sz="0" w:space="0" w:color="auto"/>
        <w:right w:val="none" w:sz="0" w:space="0" w:color="auto"/>
      </w:divBdr>
    </w:div>
    <w:div w:id="1560675188">
      <w:bodyDiv w:val="1"/>
      <w:marLeft w:val="0"/>
      <w:marRight w:val="0"/>
      <w:marTop w:val="0"/>
      <w:marBottom w:val="0"/>
      <w:divBdr>
        <w:top w:val="none" w:sz="0" w:space="0" w:color="auto"/>
        <w:left w:val="none" w:sz="0" w:space="0" w:color="auto"/>
        <w:bottom w:val="none" w:sz="0" w:space="0" w:color="auto"/>
        <w:right w:val="none" w:sz="0" w:space="0" w:color="auto"/>
      </w:divBdr>
    </w:div>
    <w:div w:id="1560822018">
      <w:bodyDiv w:val="1"/>
      <w:marLeft w:val="0"/>
      <w:marRight w:val="0"/>
      <w:marTop w:val="0"/>
      <w:marBottom w:val="0"/>
      <w:divBdr>
        <w:top w:val="none" w:sz="0" w:space="0" w:color="auto"/>
        <w:left w:val="none" w:sz="0" w:space="0" w:color="auto"/>
        <w:bottom w:val="none" w:sz="0" w:space="0" w:color="auto"/>
        <w:right w:val="none" w:sz="0" w:space="0" w:color="auto"/>
      </w:divBdr>
    </w:div>
    <w:div w:id="1567761688">
      <w:bodyDiv w:val="1"/>
      <w:marLeft w:val="0"/>
      <w:marRight w:val="0"/>
      <w:marTop w:val="0"/>
      <w:marBottom w:val="0"/>
      <w:divBdr>
        <w:top w:val="none" w:sz="0" w:space="0" w:color="auto"/>
        <w:left w:val="none" w:sz="0" w:space="0" w:color="auto"/>
        <w:bottom w:val="none" w:sz="0" w:space="0" w:color="auto"/>
        <w:right w:val="none" w:sz="0" w:space="0" w:color="auto"/>
      </w:divBdr>
    </w:div>
    <w:div w:id="1591695632">
      <w:bodyDiv w:val="1"/>
      <w:marLeft w:val="0"/>
      <w:marRight w:val="0"/>
      <w:marTop w:val="0"/>
      <w:marBottom w:val="0"/>
      <w:divBdr>
        <w:top w:val="none" w:sz="0" w:space="0" w:color="auto"/>
        <w:left w:val="none" w:sz="0" w:space="0" w:color="auto"/>
        <w:bottom w:val="none" w:sz="0" w:space="0" w:color="auto"/>
        <w:right w:val="none" w:sz="0" w:space="0" w:color="auto"/>
      </w:divBdr>
    </w:div>
    <w:div w:id="1593008247">
      <w:bodyDiv w:val="1"/>
      <w:marLeft w:val="0"/>
      <w:marRight w:val="0"/>
      <w:marTop w:val="0"/>
      <w:marBottom w:val="0"/>
      <w:divBdr>
        <w:top w:val="none" w:sz="0" w:space="0" w:color="auto"/>
        <w:left w:val="none" w:sz="0" w:space="0" w:color="auto"/>
        <w:bottom w:val="none" w:sz="0" w:space="0" w:color="auto"/>
        <w:right w:val="none" w:sz="0" w:space="0" w:color="auto"/>
      </w:divBdr>
    </w:div>
    <w:div w:id="1624537204">
      <w:bodyDiv w:val="1"/>
      <w:marLeft w:val="0"/>
      <w:marRight w:val="0"/>
      <w:marTop w:val="0"/>
      <w:marBottom w:val="0"/>
      <w:divBdr>
        <w:top w:val="none" w:sz="0" w:space="0" w:color="auto"/>
        <w:left w:val="none" w:sz="0" w:space="0" w:color="auto"/>
        <w:bottom w:val="none" w:sz="0" w:space="0" w:color="auto"/>
        <w:right w:val="none" w:sz="0" w:space="0" w:color="auto"/>
      </w:divBdr>
    </w:div>
    <w:div w:id="1625310761">
      <w:bodyDiv w:val="1"/>
      <w:marLeft w:val="0"/>
      <w:marRight w:val="0"/>
      <w:marTop w:val="0"/>
      <w:marBottom w:val="0"/>
      <w:divBdr>
        <w:top w:val="none" w:sz="0" w:space="0" w:color="auto"/>
        <w:left w:val="none" w:sz="0" w:space="0" w:color="auto"/>
        <w:bottom w:val="none" w:sz="0" w:space="0" w:color="auto"/>
        <w:right w:val="none" w:sz="0" w:space="0" w:color="auto"/>
      </w:divBdr>
    </w:div>
    <w:div w:id="1631669217">
      <w:bodyDiv w:val="1"/>
      <w:marLeft w:val="0"/>
      <w:marRight w:val="0"/>
      <w:marTop w:val="0"/>
      <w:marBottom w:val="0"/>
      <w:divBdr>
        <w:top w:val="none" w:sz="0" w:space="0" w:color="auto"/>
        <w:left w:val="none" w:sz="0" w:space="0" w:color="auto"/>
        <w:bottom w:val="none" w:sz="0" w:space="0" w:color="auto"/>
        <w:right w:val="none" w:sz="0" w:space="0" w:color="auto"/>
      </w:divBdr>
    </w:div>
    <w:div w:id="1632053136">
      <w:bodyDiv w:val="1"/>
      <w:marLeft w:val="0"/>
      <w:marRight w:val="0"/>
      <w:marTop w:val="0"/>
      <w:marBottom w:val="0"/>
      <w:divBdr>
        <w:top w:val="none" w:sz="0" w:space="0" w:color="auto"/>
        <w:left w:val="none" w:sz="0" w:space="0" w:color="auto"/>
        <w:bottom w:val="none" w:sz="0" w:space="0" w:color="auto"/>
        <w:right w:val="none" w:sz="0" w:space="0" w:color="auto"/>
      </w:divBdr>
    </w:div>
    <w:div w:id="1632203738">
      <w:bodyDiv w:val="1"/>
      <w:marLeft w:val="0"/>
      <w:marRight w:val="0"/>
      <w:marTop w:val="0"/>
      <w:marBottom w:val="0"/>
      <w:divBdr>
        <w:top w:val="none" w:sz="0" w:space="0" w:color="auto"/>
        <w:left w:val="none" w:sz="0" w:space="0" w:color="auto"/>
        <w:bottom w:val="none" w:sz="0" w:space="0" w:color="auto"/>
        <w:right w:val="none" w:sz="0" w:space="0" w:color="auto"/>
      </w:divBdr>
    </w:div>
    <w:div w:id="1632781215">
      <w:bodyDiv w:val="1"/>
      <w:marLeft w:val="0"/>
      <w:marRight w:val="0"/>
      <w:marTop w:val="0"/>
      <w:marBottom w:val="0"/>
      <w:divBdr>
        <w:top w:val="none" w:sz="0" w:space="0" w:color="auto"/>
        <w:left w:val="none" w:sz="0" w:space="0" w:color="auto"/>
        <w:bottom w:val="none" w:sz="0" w:space="0" w:color="auto"/>
        <w:right w:val="none" w:sz="0" w:space="0" w:color="auto"/>
      </w:divBdr>
      <w:divsChild>
        <w:div w:id="147788538">
          <w:marLeft w:val="0"/>
          <w:marRight w:val="0"/>
          <w:marTop w:val="0"/>
          <w:marBottom w:val="0"/>
          <w:divBdr>
            <w:top w:val="none" w:sz="0" w:space="0" w:color="auto"/>
            <w:left w:val="none" w:sz="0" w:space="0" w:color="auto"/>
            <w:bottom w:val="none" w:sz="0" w:space="0" w:color="auto"/>
            <w:right w:val="none" w:sz="0" w:space="0" w:color="auto"/>
          </w:divBdr>
        </w:div>
      </w:divsChild>
    </w:div>
    <w:div w:id="1633904216">
      <w:bodyDiv w:val="1"/>
      <w:marLeft w:val="0"/>
      <w:marRight w:val="0"/>
      <w:marTop w:val="0"/>
      <w:marBottom w:val="0"/>
      <w:divBdr>
        <w:top w:val="none" w:sz="0" w:space="0" w:color="auto"/>
        <w:left w:val="none" w:sz="0" w:space="0" w:color="auto"/>
        <w:bottom w:val="none" w:sz="0" w:space="0" w:color="auto"/>
        <w:right w:val="none" w:sz="0" w:space="0" w:color="auto"/>
      </w:divBdr>
    </w:div>
    <w:div w:id="1636175308">
      <w:bodyDiv w:val="1"/>
      <w:marLeft w:val="0"/>
      <w:marRight w:val="0"/>
      <w:marTop w:val="0"/>
      <w:marBottom w:val="0"/>
      <w:divBdr>
        <w:top w:val="none" w:sz="0" w:space="0" w:color="auto"/>
        <w:left w:val="none" w:sz="0" w:space="0" w:color="auto"/>
        <w:bottom w:val="none" w:sz="0" w:space="0" w:color="auto"/>
        <w:right w:val="none" w:sz="0" w:space="0" w:color="auto"/>
      </w:divBdr>
    </w:div>
    <w:div w:id="1643926655">
      <w:bodyDiv w:val="1"/>
      <w:marLeft w:val="0"/>
      <w:marRight w:val="0"/>
      <w:marTop w:val="0"/>
      <w:marBottom w:val="0"/>
      <w:divBdr>
        <w:top w:val="none" w:sz="0" w:space="0" w:color="auto"/>
        <w:left w:val="none" w:sz="0" w:space="0" w:color="auto"/>
        <w:bottom w:val="none" w:sz="0" w:space="0" w:color="auto"/>
        <w:right w:val="none" w:sz="0" w:space="0" w:color="auto"/>
      </w:divBdr>
    </w:div>
    <w:div w:id="1649480478">
      <w:bodyDiv w:val="1"/>
      <w:marLeft w:val="0"/>
      <w:marRight w:val="0"/>
      <w:marTop w:val="0"/>
      <w:marBottom w:val="0"/>
      <w:divBdr>
        <w:top w:val="none" w:sz="0" w:space="0" w:color="auto"/>
        <w:left w:val="none" w:sz="0" w:space="0" w:color="auto"/>
        <w:bottom w:val="none" w:sz="0" w:space="0" w:color="auto"/>
        <w:right w:val="none" w:sz="0" w:space="0" w:color="auto"/>
      </w:divBdr>
      <w:divsChild>
        <w:div w:id="1990399315">
          <w:marLeft w:val="0"/>
          <w:marRight w:val="0"/>
          <w:marTop w:val="0"/>
          <w:marBottom w:val="0"/>
          <w:divBdr>
            <w:top w:val="none" w:sz="0" w:space="0" w:color="auto"/>
            <w:left w:val="none" w:sz="0" w:space="0" w:color="auto"/>
            <w:bottom w:val="none" w:sz="0" w:space="0" w:color="auto"/>
            <w:right w:val="none" w:sz="0" w:space="0" w:color="auto"/>
          </w:divBdr>
        </w:div>
      </w:divsChild>
    </w:div>
    <w:div w:id="1656369741">
      <w:bodyDiv w:val="1"/>
      <w:marLeft w:val="0"/>
      <w:marRight w:val="0"/>
      <w:marTop w:val="0"/>
      <w:marBottom w:val="0"/>
      <w:divBdr>
        <w:top w:val="none" w:sz="0" w:space="0" w:color="auto"/>
        <w:left w:val="none" w:sz="0" w:space="0" w:color="auto"/>
        <w:bottom w:val="none" w:sz="0" w:space="0" w:color="auto"/>
        <w:right w:val="none" w:sz="0" w:space="0" w:color="auto"/>
      </w:divBdr>
    </w:div>
    <w:div w:id="1657102362">
      <w:bodyDiv w:val="1"/>
      <w:marLeft w:val="0"/>
      <w:marRight w:val="0"/>
      <w:marTop w:val="0"/>
      <w:marBottom w:val="0"/>
      <w:divBdr>
        <w:top w:val="none" w:sz="0" w:space="0" w:color="auto"/>
        <w:left w:val="none" w:sz="0" w:space="0" w:color="auto"/>
        <w:bottom w:val="none" w:sz="0" w:space="0" w:color="auto"/>
        <w:right w:val="none" w:sz="0" w:space="0" w:color="auto"/>
      </w:divBdr>
    </w:div>
    <w:div w:id="1669020057">
      <w:bodyDiv w:val="1"/>
      <w:marLeft w:val="0"/>
      <w:marRight w:val="0"/>
      <w:marTop w:val="0"/>
      <w:marBottom w:val="0"/>
      <w:divBdr>
        <w:top w:val="none" w:sz="0" w:space="0" w:color="auto"/>
        <w:left w:val="none" w:sz="0" w:space="0" w:color="auto"/>
        <w:bottom w:val="none" w:sz="0" w:space="0" w:color="auto"/>
        <w:right w:val="none" w:sz="0" w:space="0" w:color="auto"/>
      </w:divBdr>
    </w:div>
    <w:div w:id="1671909116">
      <w:bodyDiv w:val="1"/>
      <w:marLeft w:val="0"/>
      <w:marRight w:val="0"/>
      <w:marTop w:val="0"/>
      <w:marBottom w:val="0"/>
      <w:divBdr>
        <w:top w:val="none" w:sz="0" w:space="0" w:color="auto"/>
        <w:left w:val="none" w:sz="0" w:space="0" w:color="auto"/>
        <w:bottom w:val="none" w:sz="0" w:space="0" w:color="auto"/>
        <w:right w:val="none" w:sz="0" w:space="0" w:color="auto"/>
      </w:divBdr>
    </w:div>
    <w:div w:id="1691491116">
      <w:bodyDiv w:val="1"/>
      <w:marLeft w:val="0"/>
      <w:marRight w:val="0"/>
      <w:marTop w:val="0"/>
      <w:marBottom w:val="0"/>
      <w:divBdr>
        <w:top w:val="none" w:sz="0" w:space="0" w:color="auto"/>
        <w:left w:val="none" w:sz="0" w:space="0" w:color="auto"/>
        <w:bottom w:val="none" w:sz="0" w:space="0" w:color="auto"/>
        <w:right w:val="none" w:sz="0" w:space="0" w:color="auto"/>
      </w:divBdr>
    </w:div>
    <w:div w:id="1693844284">
      <w:bodyDiv w:val="1"/>
      <w:marLeft w:val="0"/>
      <w:marRight w:val="0"/>
      <w:marTop w:val="0"/>
      <w:marBottom w:val="0"/>
      <w:divBdr>
        <w:top w:val="none" w:sz="0" w:space="0" w:color="auto"/>
        <w:left w:val="none" w:sz="0" w:space="0" w:color="auto"/>
        <w:bottom w:val="none" w:sz="0" w:space="0" w:color="auto"/>
        <w:right w:val="none" w:sz="0" w:space="0" w:color="auto"/>
      </w:divBdr>
    </w:div>
    <w:div w:id="1700812879">
      <w:bodyDiv w:val="1"/>
      <w:marLeft w:val="0"/>
      <w:marRight w:val="0"/>
      <w:marTop w:val="0"/>
      <w:marBottom w:val="0"/>
      <w:divBdr>
        <w:top w:val="none" w:sz="0" w:space="0" w:color="auto"/>
        <w:left w:val="none" w:sz="0" w:space="0" w:color="auto"/>
        <w:bottom w:val="none" w:sz="0" w:space="0" w:color="auto"/>
        <w:right w:val="none" w:sz="0" w:space="0" w:color="auto"/>
      </w:divBdr>
    </w:div>
    <w:div w:id="1704136105">
      <w:bodyDiv w:val="1"/>
      <w:marLeft w:val="0"/>
      <w:marRight w:val="0"/>
      <w:marTop w:val="0"/>
      <w:marBottom w:val="0"/>
      <w:divBdr>
        <w:top w:val="none" w:sz="0" w:space="0" w:color="auto"/>
        <w:left w:val="none" w:sz="0" w:space="0" w:color="auto"/>
        <w:bottom w:val="none" w:sz="0" w:space="0" w:color="auto"/>
        <w:right w:val="none" w:sz="0" w:space="0" w:color="auto"/>
      </w:divBdr>
    </w:div>
    <w:div w:id="1705717762">
      <w:bodyDiv w:val="1"/>
      <w:marLeft w:val="0"/>
      <w:marRight w:val="0"/>
      <w:marTop w:val="0"/>
      <w:marBottom w:val="0"/>
      <w:divBdr>
        <w:top w:val="none" w:sz="0" w:space="0" w:color="auto"/>
        <w:left w:val="none" w:sz="0" w:space="0" w:color="auto"/>
        <w:bottom w:val="none" w:sz="0" w:space="0" w:color="auto"/>
        <w:right w:val="none" w:sz="0" w:space="0" w:color="auto"/>
      </w:divBdr>
    </w:div>
    <w:div w:id="1706439877">
      <w:bodyDiv w:val="1"/>
      <w:marLeft w:val="0"/>
      <w:marRight w:val="0"/>
      <w:marTop w:val="0"/>
      <w:marBottom w:val="0"/>
      <w:divBdr>
        <w:top w:val="none" w:sz="0" w:space="0" w:color="auto"/>
        <w:left w:val="none" w:sz="0" w:space="0" w:color="auto"/>
        <w:bottom w:val="none" w:sz="0" w:space="0" w:color="auto"/>
        <w:right w:val="none" w:sz="0" w:space="0" w:color="auto"/>
      </w:divBdr>
    </w:div>
    <w:div w:id="1709262646">
      <w:bodyDiv w:val="1"/>
      <w:marLeft w:val="0"/>
      <w:marRight w:val="0"/>
      <w:marTop w:val="0"/>
      <w:marBottom w:val="0"/>
      <w:divBdr>
        <w:top w:val="none" w:sz="0" w:space="0" w:color="auto"/>
        <w:left w:val="none" w:sz="0" w:space="0" w:color="auto"/>
        <w:bottom w:val="none" w:sz="0" w:space="0" w:color="auto"/>
        <w:right w:val="none" w:sz="0" w:space="0" w:color="auto"/>
      </w:divBdr>
    </w:div>
    <w:div w:id="1710837476">
      <w:bodyDiv w:val="1"/>
      <w:marLeft w:val="0"/>
      <w:marRight w:val="0"/>
      <w:marTop w:val="0"/>
      <w:marBottom w:val="0"/>
      <w:divBdr>
        <w:top w:val="none" w:sz="0" w:space="0" w:color="auto"/>
        <w:left w:val="none" w:sz="0" w:space="0" w:color="auto"/>
        <w:bottom w:val="none" w:sz="0" w:space="0" w:color="auto"/>
        <w:right w:val="none" w:sz="0" w:space="0" w:color="auto"/>
      </w:divBdr>
    </w:div>
    <w:div w:id="1710839862">
      <w:bodyDiv w:val="1"/>
      <w:marLeft w:val="0"/>
      <w:marRight w:val="0"/>
      <w:marTop w:val="0"/>
      <w:marBottom w:val="0"/>
      <w:divBdr>
        <w:top w:val="none" w:sz="0" w:space="0" w:color="auto"/>
        <w:left w:val="none" w:sz="0" w:space="0" w:color="auto"/>
        <w:bottom w:val="none" w:sz="0" w:space="0" w:color="auto"/>
        <w:right w:val="none" w:sz="0" w:space="0" w:color="auto"/>
      </w:divBdr>
    </w:div>
    <w:div w:id="1711608282">
      <w:bodyDiv w:val="1"/>
      <w:marLeft w:val="0"/>
      <w:marRight w:val="0"/>
      <w:marTop w:val="0"/>
      <w:marBottom w:val="0"/>
      <w:divBdr>
        <w:top w:val="none" w:sz="0" w:space="0" w:color="auto"/>
        <w:left w:val="none" w:sz="0" w:space="0" w:color="auto"/>
        <w:bottom w:val="none" w:sz="0" w:space="0" w:color="auto"/>
        <w:right w:val="none" w:sz="0" w:space="0" w:color="auto"/>
      </w:divBdr>
    </w:div>
    <w:div w:id="1717848060">
      <w:bodyDiv w:val="1"/>
      <w:marLeft w:val="0"/>
      <w:marRight w:val="0"/>
      <w:marTop w:val="0"/>
      <w:marBottom w:val="0"/>
      <w:divBdr>
        <w:top w:val="none" w:sz="0" w:space="0" w:color="auto"/>
        <w:left w:val="none" w:sz="0" w:space="0" w:color="auto"/>
        <w:bottom w:val="none" w:sz="0" w:space="0" w:color="auto"/>
        <w:right w:val="none" w:sz="0" w:space="0" w:color="auto"/>
      </w:divBdr>
    </w:div>
    <w:div w:id="1723941954">
      <w:bodyDiv w:val="1"/>
      <w:marLeft w:val="0"/>
      <w:marRight w:val="0"/>
      <w:marTop w:val="0"/>
      <w:marBottom w:val="0"/>
      <w:divBdr>
        <w:top w:val="none" w:sz="0" w:space="0" w:color="auto"/>
        <w:left w:val="none" w:sz="0" w:space="0" w:color="auto"/>
        <w:bottom w:val="none" w:sz="0" w:space="0" w:color="auto"/>
        <w:right w:val="none" w:sz="0" w:space="0" w:color="auto"/>
      </w:divBdr>
    </w:div>
    <w:div w:id="1731271687">
      <w:bodyDiv w:val="1"/>
      <w:marLeft w:val="0"/>
      <w:marRight w:val="0"/>
      <w:marTop w:val="0"/>
      <w:marBottom w:val="0"/>
      <w:divBdr>
        <w:top w:val="none" w:sz="0" w:space="0" w:color="auto"/>
        <w:left w:val="none" w:sz="0" w:space="0" w:color="auto"/>
        <w:bottom w:val="none" w:sz="0" w:space="0" w:color="auto"/>
        <w:right w:val="none" w:sz="0" w:space="0" w:color="auto"/>
      </w:divBdr>
    </w:div>
    <w:div w:id="1734038797">
      <w:bodyDiv w:val="1"/>
      <w:marLeft w:val="0"/>
      <w:marRight w:val="0"/>
      <w:marTop w:val="0"/>
      <w:marBottom w:val="0"/>
      <w:divBdr>
        <w:top w:val="none" w:sz="0" w:space="0" w:color="auto"/>
        <w:left w:val="none" w:sz="0" w:space="0" w:color="auto"/>
        <w:bottom w:val="none" w:sz="0" w:space="0" w:color="auto"/>
        <w:right w:val="none" w:sz="0" w:space="0" w:color="auto"/>
      </w:divBdr>
    </w:div>
    <w:div w:id="1741177623">
      <w:bodyDiv w:val="1"/>
      <w:marLeft w:val="0"/>
      <w:marRight w:val="0"/>
      <w:marTop w:val="0"/>
      <w:marBottom w:val="0"/>
      <w:divBdr>
        <w:top w:val="none" w:sz="0" w:space="0" w:color="auto"/>
        <w:left w:val="none" w:sz="0" w:space="0" w:color="auto"/>
        <w:bottom w:val="none" w:sz="0" w:space="0" w:color="auto"/>
        <w:right w:val="none" w:sz="0" w:space="0" w:color="auto"/>
      </w:divBdr>
    </w:div>
    <w:div w:id="1747803797">
      <w:bodyDiv w:val="1"/>
      <w:marLeft w:val="0"/>
      <w:marRight w:val="0"/>
      <w:marTop w:val="0"/>
      <w:marBottom w:val="0"/>
      <w:divBdr>
        <w:top w:val="none" w:sz="0" w:space="0" w:color="auto"/>
        <w:left w:val="none" w:sz="0" w:space="0" w:color="auto"/>
        <w:bottom w:val="none" w:sz="0" w:space="0" w:color="auto"/>
        <w:right w:val="none" w:sz="0" w:space="0" w:color="auto"/>
      </w:divBdr>
    </w:div>
    <w:div w:id="1750300873">
      <w:bodyDiv w:val="1"/>
      <w:marLeft w:val="0"/>
      <w:marRight w:val="0"/>
      <w:marTop w:val="0"/>
      <w:marBottom w:val="0"/>
      <w:divBdr>
        <w:top w:val="none" w:sz="0" w:space="0" w:color="auto"/>
        <w:left w:val="none" w:sz="0" w:space="0" w:color="auto"/>
        <w:bottom w:val="none" w:sz="0" w:space="0" w:color="auto"/>
        <w:right w:val="none" w:sz="0" w:space="0" w:color="auto"/>
      </w:divBdr>
    </w:div>
    <w:div w:id="1752238903">
      <w:bodyDiv w:val="1"/>
      <w:marLeft w:val="0"/>
      <w:marRight w:val="0"/>
      <w:marTop w:val="0"/>
      <w:marBottom w:val="0"/>
      <w:divBdr>
        <w:top w:val="none" w:sz="0" w:space="0" w:color="auto"/>
        <w:left w:val="none" w:sz="0" w:space="0" w:color="auto"/>
        <w:bottom w:val="none" w:sz="0" w:space="0" w:color="auto"/>
        <w:right w:val="none" w:sz="0" w:space="0" w:color="auto"/>
      </w:divBdr>
    </w:div>
    <w:div w:id="1755936639">
      <w:bodyDiv w:val="1"/>
      <w:marLeft w:val="0"/>
      <w:marRight w:val="0"/>
      <w:marTop w:val="0"/>
      <w:marBottom w:val="0"/>
      <w:divBdr>
        <w:top w:val="none" w:sz="0" w:space="0" w:color="auto"/>
        <w:left w:val="none" w:sz="0" w:space="0" w:color="auto"/>
        <w:bottom w:val="none" w:sz="0" w:space="0" w:color="auto"/>
        <w:right w:val="none" w:sz="0" w:space="0" w:color="auto"/>
      </w:divBdr>
    </w:div>
    <w:div w:id="1756433544">
      <w:bodyDiv w:val="1"/>
      <w:marLeft w:val="0"/>
      <w:marRight w:val="0"/>
      <w:marTop w:val="0"/>
      <w:marBottom w:val="0"/>
      <w:divBdr>
        <w:top w:val="none" w:sz="0" w:space="0" w:color="auto"/>
        <w:left w:val="none" w:sz="0" w:space="0" w:color="auto"/>
        <w:bottom w:val="none" w:sz="0" w:space="0" w:color="auto"/>
        <w:right w:val="none" w:sz="0" w:space="0" w:color="auto"/>
      </w:divBdr>
    </w:div>
    <w:div w:id="1757436971">
      <w:bodyDiv w:val="1"/>
      <w:marLeft w:val="0"/>
      <w:marRight w:val="0"/>
      <w:marTop w:val="0"/>
      <w:marBottom w:val="0"/>
      <w:divBdr>
        <w:top w:val="none" w:sz="0" w:space="0" w:color="auto"/>
        <w:left w:val="none" w:sz="0" w:space="0" w:color="auto"/>
        <w:bottom w:val="none" w:sz="0" w:space="0" w:color="auto"/>
        <w:right w:val="none" w:sz="0" w:space="0" w:color="auto"/>
      </w:divBdr>
    </w:div>
    <w:div w:id="1772312556">
      <w:bodyDiv w:val="1"/>
      <w:marLeft w:val="0"/>
      <w:marRight w:val="0"/>
      <w:marTop w:val="0"/>
      <w:marBottom w:val="0"/>
      <w:divBdr>
        <w:top w:val="none" w:sz="0" w:space="0" w:color="auto"/>
        <w:left w:val="none" w:sz="0" w:space="0" w:color="auto"/>
        <w:bottom w:val="none" w:sz="0" w:space="0" w:color="auto"/>
        <w:right w:val="none" w:sz="0" w:space="0" w:color="auto"/>
      </w:divBdr>
    </w:div>
    <w:div w:id="1792631084">
      <w:bodyDiv w:val="1"/>
      <w:marLeft w:val="0"/>
      <w:marRight w:val="0"/>
      <w:marTop w:val="0"/>
      <w:marBottom w:val="0"/>
      <w:divBdr>
        <w:top w:val="none" w:sz="0" w:space="0" w:color="auto"/>
        <w:left w:val="none" w:sz="0" w:space="0" w:color="auto"/>
        <w:bottom w:val="none" w:sz="0" w:space="0" w:color="auto"/>
        <w:right w:val="none" w:sz="0" w:space="0" w:color="auto"/>
      </w:divBdr>
    </w:div>
    <w:div w:id="1803571806">
      <w:bodyDiv w:val="1"/>
      <w:marLeft w:val="0"/>
      <w:marRight w:val="0"/>
      <w:marTop w:val="0"/>
      <w:marBottom w:val="0"/>
      <w:divBdr>
        <w:top w:val="none" w:sz="0" w:space="0" w:color="auto"/>
        <w:left w:val="none" w:sz="0" w:space="0" w:color="auto"/>
        <w:bottom w:val="none" w:sz="0" w:space="0" w:color="auto"/>
        <w:right w:val="none" w:sz="0" w:space="0" w:color="auto"/>
      </w:divBdr>
    </w:div>
    <w:div w:id="1813643713">
      <w:bodyDiv w:val="1"/>
      <w:marLeft w:val="0"/>
      <w:marRight w:val="0"/>
      <w:marTop w:val="0"/>
      <w:marBottom w:val="0"/>
      <w:divBdr>
        <w:top w:val="none" w:sz="0" w:space="0" w:color="auto"/>
        <w:left w:val="none" w:sz="0" w:space="0" w:color="auto"/>
        <w:bottom w:val="none" w:sz="0" w:space="0" w:color="auto"/>
        <w:right w:val="none" w:sz="0" w:space="0" w:color="auto"/>
      </w:divBdr>
    </w:div>
    <w:div w:id="1819571236">
      <w:bodyDiv w:val="1"/>
      <w:marLeft w:val="0"/>
      <w:marRight w:val="0"/>
      <w:marTop w:val="0"/>
      <w:marBottom w:val="0"/>
      <w:divBdr>
        <w:top w:val="none" w:sz="0" w:space="0" w:color="auto"/>
        <w:left w:val="none" w:sz="0" w:space="0" w:color="auto"/>
        <w:bottom w:val="none" w:sz="0" w:space="0" w:color="auto"/>
        <w:right w:val="none" w:sz="0" w:space="0" w:color="auto"/>
      </w:divBdr>
    </w:div>
    <w:div w:id="1832452496">
      <w:bodyDiv w:val="1"/>
      <w:marLeft w:val="0"/>
      <w:marRight w:val="0"/>
      <w:marTop w:val="0"/>
      <w:marBottom w:val="0"/>
      <w:divBdr>
        <w:top w:val="none" w:sz="0" w:space="0" w:color="auto"/>
        <w:left w:val="none" w:sz="0" w:space="0" w:color="auto"/>
        <w:bottom w:val="none" w:sz="0" w:space="0" w:color="auto"/>
        <w:right w:val="none" w:sz="0" w:space="0" w:color="auto"/>
      </w:divBdr>
    </w:div>
    <w:div w:id="1835102188">
      <w:bodyDiv w:val="1"/>
      <w:marLeft w:val="0"/>
      <w:marRight w:val="0"/>
      <w:marTop w:val="0"/>
      <w:marBottom w:val="0"/>
      <w:divBdr>
        <w:top w:val="none" w:sz="0" w:space="0" w:color="auto"/>
        <w:left w:val="none" w:sz="0" w:space="0" w:color="auto"/>
        <w:bottom w:val="none" w:sz="0" w:space="0" w:color="auto"/>
        <w:right w:val="none" w:sz="0" w:space="0" w:color="auto"/>
      </w:divBdr>
    </w:div>
    <w:div w:id="1840803416">
      <w:bodyDiv w:val="1"/>
      <w:marLeft w:val="0"/>
      <w:marRight w:val="0"/>
      <w:marTop w:val="0"/>
      <w:marBottom w:val="0"/>
      <w:divBdr>
        <w:top w:val="none" w:sz="0" w:space="0" w:color="auto"/>
        <w:left w:val="none" w:sz="0" w:space="0" w:color="auto"/>
        <w:bottom w:val="none" w:sz="0" w:space="0" w:color="auto"/>
        <w:right w:val="none" w:sz="0" w:space="0" w:color="auto"/>
      </w:divBdr>
    </w:div>
    <w:div w:id="1846435143">
      <w:bodyDiv w:val="1"/>
      <w:marLeft w:val="0"/>
      <w:marRight w:val="0"/>
      <w:marTop w:val="0"/>
      <w:marBottom w:val="0"/>
      <w:divBdr>
        <w:top w:val="none" w:sz="0" w:space="0" w:color="auto"/>
        <w:left w:val="none" w:sz="0" w:space="0" w:color="auto"/>
        <w:bottom w:val="none" w:sz="0" w:space="0" w:color="auto"/>
        <w:right w:val="none" w:sz="0" w:space="0" w:color="auto"/>
      </w:divBdr>
    </w:div>
    <w:div w:id="1847480796">
      <w:bodyDiv w:val="1"/>
      <w:marLeft w:val="0"/>
      <w:marRight w:val="0"/>
      <w:marTop w:val="0"/>
      <w:marBottom w:val="0"/>
      <w:divBdr>
        <w:top w:val="none" w:sz="0" w:space="0" w:color="auto"/>
        <w:left w:val="none" w:sz="0" w:space="0" w:color="auto"/>
        <w:bottom w:val="none" w:sz="0" w:space="0" w:color="auto"/>
        <w:right w:val="none" w:sz="0" w:space="0" w:color="auto"/>
      </w:divBdr>
    </w:div>
    <w:div w:id="1850102983">
      <w:bodyDiv w:val="1"/>
      <w:marLeft w:val="0"/>
      <w:marRight w:val="0"/>
      <w:marTop w:val="0"/>
      <w:marBottom w:val="0"/>
      <w:divBdr>
        <w:top w:val="none" w:sz="0" w:space="0" w:color="auto"/>
        <w:left w:val="none" w:sz="0" w:space="0" w:color="auto"/>
        <w:bottom w:val="none" w:sz="0" w:space="0" w:color="auto"/>
        <w:right w:val="none" w:sz="0" w:space="0" w:color="auto"/>
      </w:divBdr>
    </w:div>
    <w:div w:id="1853109855">
      <w:bodyDiv w:val="1"/>
      <w:marLeft w:val="0"/>
      <w:marRight w:val="0"/>
      <w:marTop w:val="0"/>
      <w:marBottom w:val="0"/>
      <w:divBdr>
        <w:top w:val="none" w:sz="0" w:space="0" w:color="auto"/>
        <w:left w:val="none" w:sz="0" w:space="0" w:color="auto"/>
        <w:bottom w:val="none" w:sz="0" w:space="0" w:color="auto"/>
        <w:right w:val="none" w:sz="0" w:space="0" w:color="auto"/>
      </w:divBdr>
    </w:div>
    <w:div w:id="1859197494">
      <w:bodyDiv w:val="1"/>
      <w:marLeft w:val="0"/>
      <w:marRight w:val="0"/>
      <w:marTop w:val="0"/>
      <w:marBottom w:val="0"/>
      <w:divBdr>
        <w:top w:val="none" w:sz="0" w:space="0" w:color="auto"/>
        <w:left w:val="none" w:sz="0" w:space="0" w:color="auto"/>
        <w:bottom w:val="none" w:sz="0" w:space="0" w:color="auto"/>
        <w:right w:val="none" w:sz="0" w:space="0" w:color="auto"/>
      </w:divBdr>
      <w:divsChild>
        <w:div w:id="856653245">
          <w:marLeft w:val="0"/>
          <w:marRight w:val="0"/>
          <w:marTop w:val="0"/>
          <w:marBottom w:val="0"/>
          <w:divBdr>
            <w:top w:val="none" w:sz="0" w:space="0" w:color="auto"/>
            <w:left w:val="none" w:sz="0" w:space="0" w:color="auto"/>
            <w:bottom w:val="none" w:sz="0" w:space="0" w:color="auto"/>
            <w:right w:val="none" w:sz="0" w:space="0" w:color="auto"/>
          </w:divBdr>
        </w:div>
      </w:divsChild>
    </w:div>
    <w:div w:id="1861773307">
      <w:bodyDiv w:val="1"/>
      <w:marLeft w:val="0"/>
      <w:marRight w:val="0"/>
      <w:marTop w:val="0"/>
      <w:marBottom w:val="0"/>
      <w:divBdr>
        <w:top w:val="none" w:sz="0" w:space="0" w:color="auto"/>
        <w:left w:val="none" w:sz="0" w:space="0" w:color="auto"/>
        <w:bottom w:val="none" w:sz="0" w:space="0" w:color="auto"/>
        <w:right w:val="none" w:sz="0" w:space="0" w:color="auto"/>
      </w:divBdr>
    </w:div>
    <w:div w:id="1862278170">
      <w:bodyDiv w:val="1"/>
      <w:marLeft w:val="0"/>
      <w:marRight w:val="0"/>
      <w:marTop w:val="0"/>
      <w:marBottom w:val="0"/>
      <w:divBdr>
        <w:top w:val="none" w:sz="0" w:space="0" w:color="auto"/>
        <w:left w:val="none" w:sz="0" w:space="0" w:color="auto"/>
        <w:bottom w:val="none" w:sz="0" w:space="0" w:color="auto"/>
        <w:right w:val="none" w:sz="0" w:space="0" w:color="auto"/>
      </w:divBdr>
    </w:div>
    <w:div w:id="1864973468">
      <w:bodyDiv w:val="1"/>
      <w:marLeft w:val="0"/>
      <w:marRight w:val="0"/>
      <w:marTop w:val="0"/>
      <w:marBottom w:val="0"/>
      <w:divBdr>
        <w:top w:val="none" w:sz="0" w:space="0" w:color="auto"/>
        <w:left w:val="none" w:sz="0" w:space="0" w:color="auto"/>
        <w:bottom w:val="none" w:sz="0" w:space="0" w:color="auto"/>
        <w:right w:val="none" w:sz="0" w:space="0" w:color="auto"/>
      </w:divBdr>
    </w:div>
    <w:div w:id="1865440983">
      <w:bodyDiv w:val="1"/>
      <w:marLeft w:val="0"/>
      <w:marRight w:val="0"/>
      <w:marTop w:val="0"/>
      <w:marBottom w:val="0"/>
      <w:divBdr>
        <w:top w:val="none" w:sz="0" w:space="0" w:color="auto"/>
        <w:left w:val="none" w:sz="0" w:space="0" w:color="auto"/>
        <w:bottom w:val="none" w:sz="0" w:space="0" w:color="auto"/>
        <w:right w:val="none" w:sz="0" w:space="0" w:color="auto"/>
      </w:divBdr>
    </w:div>
    <w:div w:id="1871409257">
      <w:bodyDiv w:val="1"/>
      <w:marLeft w:val="0"/>
      <w:marRight w:val="0"/>
      <w:marTop w:val="0"/>
      <w:marBottom w:val="0"/>
      <w:divBdr>
        <w:top w:val="none" w:sz="0" w:space="0" w:color="auto"/>
        <w:left w:val="none" w:sz="0" w:space="0" w:color="auto"/>
        <w:bottom w:val="none" w:sz="0" w:space="0" w:color="auto"/>
        <w:right w:val="none" w:sz="0" w:space="0" w:color="auto"/>
      </w:divBdr>
    </w:div>
    <w:div w:id="1876038575">
      <w:bodyDiv w:val="1"/>
      <w:marLeft w:val="0"/>
      <w:marRight w:val="0"/>
      <w:marTop w:val="0"/>
      <w:marBottom w:val="0"/>
      <w:divBdr>
        <w:top w:val="none" w:sz="0" w:space="0" w:color="auto"/>
        <w:left w:val="none" w:sz="0" w:space="0" w:color="auto"/>
        <w:bottom w:val="none" w:sz="0" w:space="0" w:color="auto"/>
        <w:right w:val="none" w:sz="0" w:space="0" w:color="auto"/>
      </w:divBdr>
    </w:div>
    <w:div w:id="1881504632">
      <w:bodyDiv w:val="1"/>
      <w:marLeft w:val="0"/>
      <w:marRight w:val="0"/>
      <w:marTop w:val="0"/>
      <w:marBottom w:val="0"/>
      <w:divBdr>
        <w:top w:val="none" w:sz="0" w:space="0" w:color="auto"/>
        <w:left w:val="none" w:sz="0" w:space="0" w:color="auto"/>
        <w:bottom w:val="none" w:sz="0" w:space="0" w:color="auto"/>
        <w:right w:val="none" w:sz="0" w:space="0" w:color="auto"/>
      </w:divBdr>
    </w:div>
    <w:div w:id="1883519117">
      <w:bodyDiv w:val="1"/>
      <w:marLeft w:val="0"/>
      <w:marRight w:val="0"/>
      <w:marTop w:val="0"/>
      <w:marBottom w:val="0"/>
      <w:divBdr>
        <w:top w:val="none" w:sz="0" w:space="0" w:color="auto"/>
        <w:left w:val="none" w:sz="0" w:space="0" w:color="auto"/>
        <w:bottom w:val="none" w:sz="0" w:space="0" w:color="auto"/>
        <w:right w:val="none" w:sz="0" w:space="0" w:color="auto"/>
      </w:divBdr>
    </w:div>
    <w:div w:id="1887596761">
      <w:bodyDiv w:val="1"/>
      <w:marLeft w:val="0"/>
      <w:marRight w:val="0"/>
      <w:marTop w:val="0"/>
      <w:marBottom w:val="0"/>
      <w:divBdr>
        <w:top w:val="none" w:sz="0" w:space="0" w:color="auto"/>
        <w:left w:val="none" w:sz="0" w:space="0" w:color="auto"/>
        <w:bottom w:val="none" w:sz="0" w:space="0" w:color="auto"/>
        <w:right w:val="none" w:sz="0" w:space="0" w:color="auto"/>
      </w:divBdr>
    </w:div>
    <w:div w:id="1899244392">
      <w:bodyDiv w:val="1"/>
      <w:marLeft w:val="0"/>
      <w:marRight w:val="0"/>
      <w:marTop w:val="0"/>
      <w:marBottom w:val="0"/>
      <w:divBdr>
        <w:top w:val="none" w:sz="0" w:space="0" w:color="auto"/>
        <w:left w:val="none" w:sz="0" w:space="0" w:color="auto"/>
        <w:bottom w:val="none" w:sz="0" w:space="0" w:color="auto"/>
        <w:right w:val="none" w:sz="0" w:space="0" w:color="auto"/>
      </w:divBdr>
    </w:div>
    <w:div w:id="1900048602">
      <w:bodyDiv w:val="1"/>
      <w:marLeft w:val="0"/>
      <w:marRight w:val="0"/>
      <w:marTop w:val="0"/>
      <w:marBottom w:val="0"/>
      <w:divBdr>
        <w:top w:val="none" w:sz="0" w:space="0" w:color="auto"/>
        <w:left w:val="none" w:sz="0" w:space="0" w:color="auto"/>
        <w:bottom w:val="none" w:sz="0" w:space="0" w:color="auto"/>
        <w:right w:val="none" w:sz="0" w:space="0" w:color="auto"/>
      </w:divBdr>
    </w:div>
    <w:div w:id="1903247678">
      <w:bodyDiv w:val="1"/>
      <w:marLeft w:val="0"/>
      <w:marRight w:val="0"/>
      <w:marTop w:val="0"/>
      <w:marBottom w:val="0"/>
      <w:divBdr>
        <w:top w:val="none" w:sz="0" w:space="0" w:color="auto"/>
        <w:left w:val="none" w:sz="0" w:space="0" w:color="auto"/>
        <w:bottom w:val="none" w:sz="0" w:space="0" w:color="auto"/>
        <w:right w:val="none" w:sz="0" w:space="0" w:color="auto"/>
      </w:divBdr>
    </w:div>
    <w:div w:id="1914119660">
      <w:bodyDiv w:val="1"/>
      <w:marLeft w:val="0"/>
      <w:marRight w:val="0"/>
      <w:marTop w:val="0"/>
      <w:marBottom w:val="0"/>
      <w:divBdr>
        <w:top w:val="none" w:sz="0" w:space="0" w:color="auto"/>
        <w:left w:val="none" w:sz="0" w:space="0" w:color="auto"/>
        <w:bottom w:val="none" w:sz="0" w:space="0" w:color="auto"/>
        <w:right w:val="none" w:sz="0" w:space="0" w:color="auto"/>
      </w:divBdr>
    </w:div>
    <w:div w:id="1922131010">
      <w:bodyDiv w:val="1"/>
      <w:marLeft w:val="0"/>
      <w:marRight w:val="0"/>
      <w:marTop w:val="0"/>
      <w:marBottom w:val="0"/>
      <w:divBdr>
        <w:top w:val="none" w:sz="0" w:space="0" w:color="auto"/>
        <w:left w:val="none" w:sz="0" w:space="0" w:color="auto"/>
        <w:bottom w:val="none" w:sz="0" w:space="0" w:color="auto"/>
        <w:right w:val="none" w:sz="0" w:space="0" w:color="auto"/>
      </w:divBdr>
    </w:div>
    <w:div w:id="1930383626">
      <w:bodyDiv w:val="1"/>
      <w:marLeft w:val="0"/>
      <w:marRight w:val="0"/>
      <w:marTop w:val="0"/>
      <w:marBottom w:val="0"/>
      <w:divBdr>
        <w:top w:val="none" w:sz="0" w:space="0" w:color="auto"/>
        <w:left w:val="none" w:sz="0" w:space="0" w:color="auto"/>
        <w:bottom w:val="none" w:sz="0" w:space="0" w:color="auto"/>
        <w:right w:val="none" w:sz="0" w:space="0" w:color="auto"/>
      </w:divBdr>
    </w:div>
    <w:div w:id="1932742326">
      <w:bodyDiv w:val="1"/>
      <w:marLeft w:val="0"/>
      <w:marRight w:val="0"/>
      <w:marTop w:val="0"/>
      <w:marBottom w:val="0"/>
      <w:divBdr>
        <w:top w:val="none" w:sz="0" w:space="0" w:color="auto"/>
        <w:left w:val="none" w:sz="0" w:space="0" w:color="auto"/>
        <w:bottom w:val="none" w:sz="0" w:space="0" w:color="auto"/>
        <w:right w:val="none" w:sz="0" w:space="0" w:color="auto"/>
      </w:divBdr>
    </w:div>
    <w:div w:id="1937128345">
      <w:bodyDiv w:val="1"/>
      <w:marLeft w:val="0"/>
      <w:marRight w:val="0"/>
      <w:marTop w:val="0"/>
      <w:marBottom w:val="0"/>
      <w:divBdr>
        <w:top w:val="none" w:sz="0" w:space="0" w:color="auto"/>
        <w:left w:val="none" w:sz="0" w:space="0" w:color="auto"/>
        <w:bottom w:val="none" w:sz="0" w:space="0" w:color="auto"/>
        <w:right w:val="none" w:sz="0" w:space="0" w:color="auto"/>
      </w:divBdr>
    </w:div>
    <w:div w:id="1949969403">
      <w:bodyDiv w:val="1"/>
      <w:marLeft w:val="0"/>
      <w:marRight w:val="0"/>
      <w:marTop w:val="0"/>
      <w:marBottom w:val="0"/>
      <w:divBdr>
        <w:top w:val="none" w:sz="0" w:space="0" w:color="auto"/>
        <w:left w:val="none" w:sz="0" w:space="0" w:color="auto"/>
        <w:bottom w:val="none" w:sz="0" w:space="0" w:color="auto"/>
        <w:right w:val="none" w:sz="0" w:space="0" w:color="auto"/>
      </w:divBdr>
    </w:div>
    <w:div w:id="1950887804">
      <w:bodyDiv w:val="1"/>
      <w:marLeft w:val="0"/>
      <w:marRight w:val="0"/>
      <w:marTop w:val="0"/>
      <w:marBottom w:val="0"/>
      <w:divBdr>
        <w:top w:val="none" w:sz="0" w:space="0" w:color="auto"/>
        <w:left w:val="none" w:sz="0" w:space="0" w:color="auto"/>
        <w:bottom w:val="none" w:sz="0" w:space="0" w:color="auto"/>
        <w:right w:val="none" w:sz="0" w:space="0" w:color="auto"/>
      </w:divBdr>
    </w:div>
    <w:div w:id="1966735708">
      <w:bodyDiv w:val="1"/>
      <w:marLeft w:val="0"/>
      <w:marRight w:val="0"/>
      <w:marTop w:val="0"/>
      <w:marBottom w:val="0"/>
      <w:divBdr>
        <w:top w:val="none" w:sz="0" w:space="0" w:color="auto"/>
        <w:left w:val="none" w:sz="0" w:space="0" w:color="auto"/>
        <w:bottom w:val="none" w:sz="0" w:space="0" w:color="auto"/>
        <w:right w:val="none" w:sz="0" w:space="0" w:color="auto"/>
      </w:divBdr>
    </w:div>
    <w:div w:id="1970554334">
      <w:bodyDiv w:val="1"/>
      <w:marLeft w:val="0"/>
      <w:marRight w:val="0"/>
      <w:marTop w:val="0"/>
      <w:marBottom w:val="0"/>
      <w:divBdr>
        <w:top w:val="none" w:sz="0" w:space="0" w:color="auto"/>
        <w:left w:val="none" w:sz="0" w:space="0" w:color="auto"/>
        <w:bottom w:val="none" w:sz="0" w:space="0" w:color="auto"/>
        <w:right w:val="none" w:sz="0" w:space="0" w:color="auto"/>
      </w:divBdr>
    </w:div>
    <w:div w:id="1978563547">
      <w:bodyDiv w:val="1"/>
      <w:marLeft w:val="0"/>
      <w:marRight w:val="0"/>
      <w:marTop w:val="0"/>
      <w:marBottom w:val="0"/>
      <w:divBdr>
        <w:top w:val="none" w:sz="0" w:space="0" w:color="auto"/>
        <w:left w:val="none" w:sz="0" w:space="0" w:color="auto"/>
        <w:bottom w:val="none" w:sz="0" w:space="0" w:color="auto"/>
        <w:right w:val="none" w:sz="0" w:space="0" w:color="auto"/>
      </w:divBdr>
    </w:div>
    <w:div w:id="1980723831">
      <w:bodyDiv w:val="1"/>
      <w:marLeft w:val="0"/>
      <w:marRight w:val="0"/>
      <w:marTop w:val="0"/>
      <w:marBottom w:val="0"/>
      <w:divBdr>
        <w:top w:val="none" w:sz="0" w:space="0" w:color="auto"/>
        <w:left w:val="none" w:sz="0" w:space="0" w:color="auto"/>
        <w:bottom w:val="none" w:sz="0" w:space="0" w:color="auto"/>
        <w:right w:val="none" w:sz="0" w:space="0" w:color="auto"/>
      </w:divBdr>
    </w:div>
    <w:div w:id="1986540729">
      <w:bodyDiv w:val="1"/>
      <w:marLeft w:val="0"/>
      <w:marRight w:val="0"/>
      <w:marTop w:val="0"/>
      <w:marBottom w:val="0"/>
      <w:divBdr>
        <w:top w:val="none" w:sz="0" w:space="0" w:color="auto"/>
        <w:left w:val="none" w:sz="0" w:space="0" w:color="auto"/>
        <w:bottom w:val="none" w:sz="0" w:space="0" w:color="auto"/>
        <w:right w:val="none" w:sz="0" w:space="0" w:color="auto"/>
      </w:divBdr>
    </w:div>
    <w:div w:id="1989048626">
      <w:bodyDiv w:val="1"/>
      <w:marLeft w:val="0"/>
      <w:marRight w:val="0"/>
      <w:marTop w:val="0"/>
      <w:marBottom w:val="0"/>
      <w:divBdr>
        <w:top w:val="none" w:sz="0" w:space="0" w:color="auto"/>
        <w:left w:val="none" w:sz="0" w:space="0" w:color="auto"/>
        <w:bottom w:val="none" w:sz="0" w:space="0" w:color="auto"/>
        <w:right w:val="none" w:sz="0" w:space="0" w:color="auto"/>
      </w:divBdr>
    </w:div>
    <w:div w:id="2007393580">
      <w:bodyDiv w:val="1"/>
      <w:marLeft w:val="0"/>
      <w:marRight w:val="0"/>
      <w:marTop w:val="0"/>
      <w:marBottom w:val="0"/>
      <w:divBdr>
        <w:top w:val="none" w:sz="0" w:space="0" w:color="auto"/>
        <w:left w:val="none" w:sz="0" w:space="0" w:color="auto"/>
        <w:bottom w:val="none" w:sz="0" w:space="0" w:color="auto"/>
        <w:right w:val="none" w:sz="0" w:space="0" w:color="auto"/>
      </w:divBdr>
    </w:div>
    <w:div w:id="2009017587">
      <w:bodyDiv w:val="1"/>
      <w:marLeft w:val="0"/>
      <w:marRight w:val="0"/>
      <w:marTop w:val="0"/>
      <w:marBottom w:val="0"/>
      <w:divBdr>
        <w:top w:val="none" w:sz="0" w:space="0" w:color="auto"/>
        <w:left w:val="none" w:sz="0" w:space="0" w:color="auto"/>
        <w:bottom w:val="none" w:sz="0" w:space="0" w:color="auto"/>
        <w:right w:val="none" w:sz="0" w:space="0" w:color="auto"/>
      </w:divBdr>
    </w:div>
    <w:div w:id="2032030574">
      <w:bodyDiv w:val="1"/>
      <w:marLeft w:val="0"/>
      <w:marRight w:val="0"/>
      <w:marTop w:val="0"/>
      <w:marBottom w:val="0"/>
      <w:divBdr>
        <w:top w:val="none" w:sz="0" w:space="0" w:color="auto"/>
        <w:left w:val="none" w:sz="0" w:space="0" w:color="auto"/>
        <w:bottom w:val="none" w:sz="0" w:space="0" w:color="auto"/>
        <w:right w:val="none" w:sz="0" w:space="0" w:color="auto"/>
      </w:divBdr>
    </w:div>
    <w:div w:id="2036080606">
      <w:bodyDiv w:val="1"/>
      <w:marLeft w:val="0"/>
      <w:marRight w:val="0"/>
      <w:marTop w:val="0"/>
      <w:marBottom w:val="0"/>
      <w:divBdr>
        <w:top w:val="none" w:sz="0" w:space="0" w:color="auto"/>
        <w:left w:val="none" w:sz="0" w:space="0" w:color="auto"/>
        <w:bottom w:val="none" w:sz="0" w:space="0" w:color="auto"/>
        <w:right w:val="none" w:sz="0" w:space="0" w:color="auto"/>
      </w:divBdr>
    </w:div>
    <w:div w:id="2043478343">
      <w:bodyDiv w:val="1"/>
      <w:marLeft w:val="0"/>
      <w:marRight w:val="0"/>
      <w:marTop w:val="0"/>
      <w:marBottom w:val="0"/>
      <w:divBdr>
        <w:top w:val="none" w:sz="0" w:space="0" w:color="auto"/>
        <w:left w:val="none" w:sz="0" w:space="0" w:color="auto"/>
        <w:bottom w:val="none" w:sz="0" w:space="0" w:color="auto"/>
        <w:right w:val="none" w:sz="0" w:space="0" w:color="auto"/>
      </w:divBdr>
    </w:div>
    <w:div w:id="2049984441">
      <w:bodyDiv w:val="1"/>
      <w:marLeft w:val="0"/>
      <w:marRight w:val="0"/>
      <w:marTop w:val="0"/>
      <w:marBottom w:val="0"/>
      <w:divBdr>
        <w:top w:val="none" w:sz="0" w:space="0" w:color="auto"/>
        <w:left w:val="none" w:sz="0" w:space="0" w:color="auto"/>
        <w:bottom w:val="none" w:sz="0" w:space="0" w:color="auto"/>
        <w:right w:val="none" w:sz="0" w:space="0" w:color="auto"/>
      </w:divBdr>
    </w:div>
    <w:div w:id="2054499879">
      <w:bodyDiv w:val="1"/>
      <w:marLeft w:val="0"/>
      <w:marRight w:val="0"/>
      <w:marTop w:val="0"/>
      <w:marBottom w:val="0"/>
      <w:divBdr>
        <w:top w:val="none" w:sz="0" w:space="0" w:color="auto"/>
        <w:left w:val="none" w:sz="0" w:space="0" w:color="auto"/>
        <w:bottom w:val="none" w:sz="0" w:space="0" w:color="auto"/>
        <w:right w:val="none" w:sz="0" w:space="0" w:color="auto"/>
      </w:divBdr>
    </w:div>
    <w:div w:id="2054694274">
      <w:bodyDiv w:val="1"/>
      <w:marLeft w:val="0"/>
      <w:marRight w:val="0"/>
      <w:marTop w:val="0"/>
      <w:marBottom w:val="0"/>
      <w:divBdr>
        <w:top w:val="none" w:sz="0" w:space="0" w:color="auto"/>
        <w:left w:val="none" w:sz="0" w:space="0" w:color="auto"/>
        <w:bottom w:val="none" w:sz="0" w:space="0" w:color="auto"/>
        <w:right w:val="none" w:sz="0" w:space="0" w:color="auto"/>
      </w:divBdr>
    </w:div>
    <w:div w:id="2060786370">
      <w:bodyDiv w:val="1"/>
      <w:marLeft w:val="0"/>
      <w:marRight w:val="0"/>
      <w:marTop w:val="0"/>
      <w:marBottom w:val="0"/>
      <w:divBdr>
        <w:top w:val="none" w:sz="0" w:space="0" w:color="auto"/>
        <w:left w:val="none" w:sz="0" w:space="0" w:color="auto"/>
        <w:bottom w:val="none" w:sz="0" w:space="0" w:color="auto"/>
        <w:right w:val="none" w:sz="0" w:space="0" w:color="auto"/>
      </w:divBdr>
      <w:divsChild>
        <w:div w:id="1132477921">
          <w:marLeft w:val="0"/>
          <w:marRight w:val="0"/>
          <w:marTop w:val="0"/>
          <w:marBottom w:val="0"/>
          <w:divBdr>
            <w:top w:val="none" w:sz="0" w:space="0" w:color="auto"/>
            <w:left w:val="none" w:sz="0" w:space="0" w:color="auto"/>
            <w:bottom w:val="none" w:sz="0" w:space="0" w:color="auto"/>
            <w:right w:val="none" w:sz="0" w:space="0" w:color="auto"/>
          </w:divBdr>
        </w:div>
      </w:divsChild>
    </w:div>
    <w:div w:id="2062172205">
      <w:bodyDiv w:val="1"/>
      <w:marLeft w:val="0"/>
      <w:marRight w:val="0"/>
      <w:marTop w:val="0"/>
      <w:marBottom w:val="0"/>
      <w:divBdr>
        <w:top w:val="none" w:sz="0" w:space="0" w:color="auto"/>
        <w:left w:val="none" w:sz="0" w:space="0" w:color="auto"/>
        <w:bottom w:val="none" w:sz="0" w:space="0" w:color="auto"/>
        <w:right w:val="none" w:sz="0" w:space="0" w:color="auto"/>
      </w:divBdr>
    </w:div>
    <w:div w:id="2062974109">
      <w:bodyDiv w:val="1"/>
      <w:marLeft w:val="0"/>
      <w:marRight w:val="0"/>
      <w:marTop w:val="0"/>
      <w:marBottom w:val="0"/>
      <w:divBdr>
        <w:top w:val="none" w:sz="0" w:space="0" w:color="auto"/>
        <w:left w:val="none" w:sz="0" w:space="0" w:color="auto"/>
        <w:bottom w:val="none" w:sz="0" w:space="0" w:color="auto"/>
        <w:right w:val="none" w:sz="0" w:space="0" w:color="auto"/>
      </w:divBdr>
    </w:div>
    <w:div w:id="2067758100">
      <w:bodyDiv w:val="1"/>
      <w:marLeft w:val="0"/>
      <w:marRight w:val="0"/>
      <w:marTop w:val="0"/>
      <w:marBottom w:val="0"/>
      <w:divBdr>
        <w:top w:val="none" w:sz="0" w:space="0" w:color="auto"/>
        <w:left w:val="none" w:sz="0" w:space="0" w:color="auto"/>
        <w:bottom w:val="none" w:sz="0" w:space="0" w:color="auto"/>
        <w:right w:val="none" w:sz="0" w:space="0" w:color="auto"/>
      </w:divBdr>
    </w:div>
    <w:div w:id="2075615142">
      <w:bodyDiv w:val="1"/>
      <w:marLeft w:val="0"/>
      <w:marRight w:val="0"/>
      <w:marTop w:val="0"/>
      <w:marBottom w:val="0"/>
      <w:divBdr>
        <w:top w:val="none" w:sz="0" w:space="0" w:color="auto"/>
        <w:left w:val="none" w:sz="0" w:space="0" w:color="auto"/>
        <w:bottom w:val="none" w:sz="0" w:space="0" w:color="auto"/>
        <w:right w:val="none" w:sz="0" w:space="0" w:color="auto"/>
      </w:divBdr>
    </w:div>
    <w:div w:id="2091195090">
      <w:bodyDiv w:val="1"/>
      <w:marLeft w:val="0"/>
      <w:marRight w:val="0"/>
      <w:marTop w:val="0"/>
      <w:marBottom w:val="0"/>
      <w:divBdr>
        <w:top w:val="none" w:sz="0" w:space="0" w:color="auto"/>
        <w:left w:val="none" w:sz="0" w:space="0" w:color="auto"/>
        <w:bottom w:val="none" w:sz="0" w:space="0" w:color="auto"/>
        <w:right w:val="none" w:sz="0" w:space="0" w:color="auto"/>
      </w:divBdr>
    </w:div>
    <w:div w:id="2107380606">
      <w:bodyDiv w:val="1"/>
      <w:marLeft w:val="0"/>
      <w:marRight w:val="0"/>
      <w:marTop w:val="0"/>
      <w:marBottom w:val="0"/>
      <w:divBdr>
        <w:top w:val="none" w:sz="0" w:space="0" w:color="auto"/>
        <w:left w:val="none" w:sz="0" w:space="0" w:color="auto"/>
        <w:bottom w:val="none" w:sz="0" w:space="0" w:color="auto"/>
        <w:right w:val="none" w:sz="0" w:space="0" w:color="auto"/>
      </w:divBdr>
    </w:div>
    <w:div w:id="2108228660">
      <w:bodyDiv w:val="1"/>
      <w:marLeft w:val="0"/>
      <w:marRight w:val="0"/>
      <w:marTop w:val="0"/>
      <w:marBottom w:val="0"/>
      <w:divBdr>
        <w:top w:val="none" w:sz="0" w:space="0" w:color="auto"/>
        <w:left w:val="none" w:sz="0" w:space="0" w:color="auto"/>
        <w:bottom w:val="none" w:sz="0" w:space="0" w:color="auto"/>
        <w:right w:val="none" w:sz="0" w:space="0" w:color="auto"/>
      </w:divBdr>
    </w:div>
    <w:div w:id="2109694554">
      <w:bodyDiv w:val="1"/>
      <w:marLeft w:val="0"/>
      <w:marRight w:val="0"/>
      <w:marTop w:val="0"/>
      <w:marBottom w:val="0"/>
      <w:divBdr>
        <w:top w:val="none" w:sz="0" w:space="0" w:color="auto"/>
        <w:left w:val="none" w:sz="0" w:space="0" w:color="auto"/>
        <w:bottom w:val="none" w:sz="0" w:space="0" w:color="auto"/>
        <w:right w:val="none" w:sz="0" w:space="0" w:color="auto"/>
      </w:divBdr>
    </w:div>
    <w:div w:id="2111507803">
      <w:bodyDiv w:val="1"/>
      <w:marLeft w:val="0"/>
      <w:marRight w:val="0"/>
      <w:marTop w:val="0"/>
      <w:marBottom w:val="0"/>
      <w:divBdr>
        <w:top w:val="none" w:sz="0" w:space="0" w:color="auto"/>
        <w:left w:val="none" w:sz="0" w:space="0" w:color="auto"/>
        <w:bottom w:val="none" w:sz="0" w:space="0" w:color="auto"/>
        <w:right w:val="none" w:sz="0" w:space="0" w:color="auto"/>
      </w:divBdr>
    </w:div>
    <w:div w:id="2123377453">
      <w:bodyDiv w:val="1"/>
      <w:marLeft w:val="0"/>
      <w:marRight w:val="0"/>
      <w:marTop w:val="0"/>
      <w:marBottom w:val="0"/>
      <w:divBdr>
        <w:top w:val="none" w:sz="0" w:space="0" w:color="auto"/>
        <w:left w:val="none" w:sz="0" w:space="0" w:color="auto"/>
        <w:bottom w:val="none" w:sz="0" w:space="0" w:color="auto"/>
        <w:right w:val="none" w:sz="0" w:space="0" w:color="auto"/>
      </w:divBdr>
    </w:div>
    <w:div w:id="2134323188">
      <w:bodyDiv w:val="1"/>
      <w:marLeft w:val="0"/>
      <w:marRight w:val="0"/>
      <w:marTop w:val="0"/>
      <w:marBottom w:val="0"/>
      <w:divBdr>
        <w:top w:val="none" w:sz="0" w:space="0" w:color="auto"/>
        <w:left w:val="none" w:sz="0" w:space="0" w:color="auto"/>
        <w:bottom w:val="none" w:sz="0" w:space="0" w:color="auto"/>
        <w:right w:val="none" w:sz="0" w:space="0" w:color="auto"/>
      </w:divBdr>
    </w:div>
    <w:div w:id="21401489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fontTable" Target="fontTable.xml"/><Relationship Id="rId21" Type="http://schemas.openxmlformats.org/officeDocument/2006/relationships/image" Target="media/image10.png"/><Relationship Id="rId42" Type="http://schemas.openxmlformats.org/officeDocument/2006/relationships/hyperlink" Target="https://doi.org/10.1016/j.jalz.2007.04.381" TargetMode="External"/><Relationship Id="rId47" Type="http://schemas.openxmlformats.org/officeDocument/2006/relationships/hyperlink" Target="http://ec.europa.eu/health/europe_2020_en.htm" TargetMode="External"/><Relationship Id="rId63" Type="http://schemas.openxmlformats.org/officeDocument/2006/relationships/hyperlink" Target="http://dx.doi.org/10.1016/j.apmr.2009.05.021" TargetMode="External"/><Relationship Id="rId68" Type="http://schemas.openxmlformats.org/officeDocument/2006/relationships/image" Target="media/image29.png"/><Relationship Id="rId84" Type="http://schemas.openxmlformats.org/officeDocument/2006/relationships/image" Target="media/image45.png"/><Relationship Id="rId89" Type="http://schemas.openxmlformats.org/officeDocument/2006/relationships/image" Target="media/image50.emf"/><Relationship Id="rId112" Type="http://schemas.openxmlformats.org/officeDocument/2006/relationships/image" Target="media/image73.png"/><Relationship Id="rId16" Type="http://schemas.openxmlformats.org/officeDocument/2006/relationships/image" Target="media/image5.png"/><Relationship Id="rId107" Type="http://schemas.openxmlformats.org/officeDocument/2006/relationships/image" Target="media/image68.png"/><Relationship Id="rId11" Type="http://schemas.openxmlformats.org/officeDocument/2006/relationships/footer" Target="footer3.xml"/><Relationship Id="rId24" Type="http://schemas.openxmlformats.org/officeDocument/2006/relationships/image" Target="media/image13.emf"/><Relationship Id="rId32" Type="http://schemas.openxmlformats.org/officeDocument/2006/relationships/image" Target="media/image21.tiff"/><Relationship Id="rId37" Type="http://schemas.openxmlformats.org/officeDocument/2006/relationships/image" Target="media/image26.tiff"/><Relationship Id="rId40" Type="http://schemas.openxmlformats.org/officeDocument/2006/relationships/hyperlink" Target="http://www.longfinance.net/images/reports/pdf/baml_silverdollar_2014.pdf" TargetMode="External"/><Relationship Id="rId45" Type="http://schemas.openxmlformats.org/officeDocument/2006/relationships/hyperlink" Target="http://www.cdc.gov/physicalactivity/everyone/guidelines/olderadults.html" TargetMode="External"/><Relationship Id="rId53" Type="http://schemas.openxmlformats.org/officeDocument/2006/relationships/hyperlink" Target="https://getd.libs.uga.edu/pdfs/mitchell_meghan_b_200605_ms.pdf" TargetMode="External"/><Relationship Id="rId58" Type="http://schemas.openxmlformats.org/officeDocument/2006/relationships/hyperlink" Target="http://www.share-project.org/t3/share/new_sites/Fragebogen/ma-Gree.pdf" TargetMode="External"/><Relationship Id="rId66" Type="http://schemas.openxmlformats.org/officeDocument/2006/relationships/hyperlink" Target="http://dx.doi.org/10.1037/neu0000109" TargetMode="External"/><Relationship Id="rId74" Type="http://schemas.openxmlformats.org/officeDocument/2006/relationships/image" Target="media/image35.png"/><Relationship Id="rId79" Type="http://schemas.openxmlformats.org/officeDocument/2006/relationships/image" Target="media/image40.png"/><Relationship Id="rId87" Type="http://schemas.openxmlformats.org/officeDocument/2006/relationships/image" Target="media/image48.emf"/><Relationship Id="rId102" Type="http://schemas.openxmlformats.org/officeDocument/2006/relationships/image" Target="media/image63.png"/><Relationship Id="rId110" Type="http://schemas.openxmlformats.org/officeDocument/2006/relationships/image" Target="media/image71.png"/><Relationship Id="rId115" Type="http://schemas.openxmlformats.org/officeDocument/2006/relationships/image" Target="media/image76.png"/><Relationship Id="rId5" Type="http://schemas.openxmlformats.org/officeDocument/2006/relationships/webSettings" Target="webSettings.xml"/><Relationship Id="rId61" Type="http://schemas.openxmlformats.org/officeDocument/2006/relationships/hyperlink" Target="http://www.who.int/ageing/publications/active_ageing/en/" TargetMode="External"/><Relationship Id="rId82" Type="http://schemas.openxmlformats.org/officeDocument/2006/relationships/image" Target="media/image43.png"/><Relationship Id="rId90" Type="http://schemas.openxmlformats.org/officeDocument/2006/relationships/image" Target="media/image51.emf"/><Relationship Id="rId95" Type="http://schemas.openxmlformats.org/officeDocument/2006/relationships/image" Target="media/image56.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wmf"/><Relationship Id="rId27" Type="http://schemas.openxmlformats.org/officeDocument/2006/relationships/image" Target="media/image16.tiff"/><Relationship Id="rId30" Type="http://schemas.openxmlformats.org/officeDocument/2006/relationships/image" Target="media/image19.png"/><Relationship Id="rId35" Type="http://schemas.openxmlformats.org/officeDocument/2006/relationships/image" Target="media/image24.tiff"/><Relationship Id="rId43" Type="http://schemas.openxmlformats.org/officeDocument/2006/relationships/hyperlink" Target="http://dspace.library.uvic.ca/handle/1828/181?show=full" TargetMode="External"/><Relationship Id="rId48" Type="http://schemas.openxmlformats.org/officeDocument/2006/relationships/hyperlink" Target="http://ec.europa.eu/eurostat/statistics-explained/index.php/Mortality_and_life_expectancy_statistics" TargetMode="External"/><Relationship Id="rId56" Type="http://schemas.openxmlformats.org/officeDocument/2006/relationships/hyperlink" Target="https://dx.doi.org/10.1016%2Fj.cger.2013.07.003" TargetMode="External"/><Relationship Id="rId64" Type="http://schemas.openxmlformats.org/officeDocument/2006/relationships/hyperlink" Target="https://getd.libs.uga.edu/pdfs/mitchell_meghan_b_200605_ms.pdf" TargetMode="External"/><Relationship Id="rId69" Type="http://schemas.openxmlformats.org/officeDocument/2006/relationships/image" Target="media/image30.png"/><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113" Type="http://schemas.openxmlformats.org/officeDocument/2006/relationships/image" Target="media/image74.png"/><Relationship Id="rId118"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ro.ecu.edu.au/theses/1002/" TargetMode="External"/><Relationship Id="rId72" Type="http://schemas.openxmlformats.org/officeDocument/2006/relationships/image" Target="media/image33.png"/><Relationship Id="rId80" Type="http://schemas.openxmlformats.org/officeDocument/2006/relationships/image" Target="media/image41.png"/><Relationship Id="rId85" Type="http://schemas.openxmlformats.org/officeDocument/2006/relationships/image" Target="media/image46.png"/><Relationship Id="rId93" Type="http://schemas.openxmlformats.org/officeDocument/2006/relationships/image" Target="media/image54.png"/><Relationship Id="rId98"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tiff"/><Relationship Id="rId38" Type="http://schemas.openxmlformats.org/officeDocument/2006/relationships/hyperlink" Target="http://www.ncbi.nlm.nih.gov/pmc/articles/PMC2153442/" TargetMode="External"/><Relationship Id="rId46" Type="http://schemas.openxmlformats.org/officeDocument/2006/relationships/hyperlink" Target="http://www.csef.it/WP/wp320.pdf" TargetMode="External"/><Relationship Id="rId59" Type="http://schemas.openxmlformats.org/officeDocument/2006/relationships/hyperlink" Target="http://www.who.int/dg/lee/speeches/2006/mauritius_chronic_disease/en/" TargetMode="External"/><Relationship Id="rId67" Type="http://schemas.openxmlformats.org/officeDocument/2006/relationships/image" Target="media/image28.png"/><Relationship Id="rId103" Type="http://schemas.openxmlformats.org/officeDocument/2006/relationships/image" Target="media/image64.png"/><Relationship Id="rId108" Type="http://schemas.openxmlformats.org/officeDocument/2006/relationships/image" Target="media/image69.png"/><Relationship Id="rId116"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hyperlink" Target="http://dx.doi.org/10.1080/10715769800300191" TargetMode="External"/><Relationship Id="rId54" Type="http://schemas.openxmlformats.org/officeDocument/2006/relationships/hyperlink" Target="http://psycnet.apa.org/doi/10.1037/0894-4105.14.2.209" TargetMode="External"/><Relationship Id="rId62" Type="http://schemas.openxmlformats.org/officeDocument/2006/relationships/hyperlink" Target="http://www.who.int/healthinfo/survey/ageingdefnolder/en/" TargetMode="External"/><Relationship Id="rId70" Type="http://schemas.openxmlformats.org/officeDocument/2006/relationships/image" Target="media/image31.png"/><Relationship Id="rId75" Type="http://schemas.openxmlformats.org/officeDocument/2006/relationships/image" Target="media/image36.png"/><Relationship Id="rId83" Type="http://schemas.openxmlformats.org/officeDocument/2006/relationships/image" Target="media/image44.png"/><Relationship Id="rId88" Type="http://schemas.openxmlformats.org/officeDocument/2006/relationships/image" Target="media/image49.png"/><Relationship Id="rId91" Type="http://schemas.openxmlformats.org/officeDocument/2006/relationships/image" Target="media/image52.emf"/><Relationship Id="rId96" Type="http://schemas.openxmlformats.org/officeDocument/2006/relationships/image" Target="media/image57.png"/><Relationship Id="rId111"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tiff"/><Relationship Id="rId36" Type="http://schemas.openxmlformats.org/officeDocument/2006/relationships/image" Target="media/image25.tiff"/><Relationship Id="rId49" Type="http://schemas.openxmlformats.org/officeDocument/2006/relationships/hyperlink" Target="http://ec.europa.eu/eurostat/statistics-explained/index.php/Fertility_statistics" TargetMode="External"/><Relationship Id="rId57" Type="http://schemas.openxmlformats.org/officeDocument/2006/relationships/hyperlink" Target="http://dx.doi.org/10.1037/neu0000109" TargetMode="External"/><Relationship Id="rId106" Type="http://schemas.openxmlformats.org/officeDocument/2006/relationships/image" Target="media/image67.png"/><Relationship Id="rId114" Type="http://schemas.openxmlformats.org/officeDocument/2006/relationships/image" Target="media/image75.png"/><Relationship Id="rId10" Type="http://schemas.openxmlformats.org/officeDocument/2006/relationships/footer" Target="footer2.xml"/><Relationship Id="rId31" Type="http://schemas.openxmlformats.org/officeDocument/2006/relationships/image" Target="media/image20.tiff"/><Relationship Id="rId44" Type="http://schemas.openxmlformats.org/officeDocument/2006/relationships/hyperlink" Target="http://www.cdc.gov/chronicdisease/resources/publications/AAG/aging.htm" TargetMode="External"/><Relationship Id="rId52" Type="http://schemas.openxmlformats.org/officeDocument/2006/relationships/hyperlink" Target="http://www.pewsocialtrends.org/files/2010/10/764-children-raised-by-grandparents.pdf" TargetMode="External"/><Relationship Id="rId60" Type="http://schemas.openxmlformats.org/officeDocument/2006/relationships/hyperlink" Target="http://www.who.int/healthinfo/statistics/indhale/en/" TargetMode="External"/><Relationship Id="rId65" Type="http://schemas.openxmlformats.org/officeDocument/2006/relationships/hyperlink" Target="http://scholarcommons.usf.edu/etd/1728" TargetMode="External"/><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7.emf"/><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7.jpeg"/><Relationship Id="rId109" Type="http://schemas.openxmlformats.org/officeDocument/2006/relationships/image" Target="media/image70.png"/><Relationship Id="rId34" Type="http://schemas.openxmlformats.org/officeDocument/2006/relationships/image" Target="media/image23.tiff"/><Relationship Id="rId50" Type="http://schemas.openxmlformats.org/officeDocument/2006/relationships/hyperlink" Target="http://news.kathimerini.gr/4dcgi/_w_articles_world_2_28/07/2013_528291" TargetMode="External"/><Relationship Id="rId55" Type="http://schemas.openxmlformats.org/officeDocument/2006/relationships/hyperlink" Target="http://scholarcommons.usf.edu/etd/1728" TargetMode="External"/><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9C2174E-DD9E-4250-A813-AE777CCE2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7136</TotalTime>
  <Pages>92</Pages>
  <Words>71907</Words>
  <Characters>409872</Characters>
  <Application>Microsoft Office Word</Application>
  <DocSecurity>0</DocSecurity>
  <Lines>3415</Lines>
  <Paragraphs>961</Paragraphs>
  <ScaleCrop>false</ScaleCrop>
  <HeadingPairs>
    <vt:vector size="2" baseType="variant">
      <vt:variant>
        <vt:lpstr>Title</vt:lpstr>
      </vt:variant>
      <vt:variant>
        <vt:i4>1</vt:i4>
      </vt:variant>
    </vt:vector>
  </HeadingPairs>
  <TitlesOfParts>
    <vt:vector size="1" baseType="lpstr">
      <vt:lpstr/>
    </vt:vector>
  </TitlesOfParts>
  <Company>獫票楧栮捯洀鉭曮㞱Û뜰⠲쎔딁烊皭〼፥ᙼ䕸忤઱</Company>
  <LinksUpToDate>false</LinksUpToDate>
  <CharactersWithSpaces>480818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fsd dfds</dc:creator>
  <cp:keywords/>
  <dc:description/>
  <cp:lastModifiedBy>Helena Fearnley</cp:lastModifiedBy>
  <cp:revision>119</cp:revision>
  <cp:lastPrinted>2018-02-20T15:10:00Z</cp:lastPrinted>
  <dcterms:created xsi:type="dcterms:W3CDTF">2018-01-03T10:42:00Z</dcterms:created>
  <dcterms:modified xsi:type="dcterms:W3CDTF">2020-04-22T15:57:00Z</dcterms:modified>
</cp:coreProperties>
</file>